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77EB">
      <w:pPr>
        <w:spacing w:line="600" w:lineRule="exact"/>
        <w:jc w:val="center"/>
        <w:rPr>
          <w:rFonts w:ascii="Times New Roman" w:hAnsi="Times New Roman" w:eastAsia="方正仿宋_GBK"/>
          <w:szCs w:val="32"/>
        </w:rPr>
      </w:pPr>
      <w:bookmarkStart w:id="0" w:name="_GoBack"/>
      <w:bookmarkEnd w:id="0"/>
    </w:p>
    <w:p w14:paraId="0754254E">
      <w:pPr>
        <w:spacing w:line="600" w:lineRule="exact"/>
        <w:jc w:val="center"/>
        <w:rPr>
          <w:rFonts w:ascii="Times New Roman" w:hAnsi="Times New Roman" w:eastAsia="方正小标宋_GBK"/>
          <w:sz w:val="44"/>
          <w:szCs w:val="20"/>
        </w:rPr>
      </w:pPr>
    </w:p>
    <w:p w14:paraId="1DE1EACD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重庆高新区管委会</w:t>
      </w:r>
    </w:p>
    <w:p w14:paraId="15ADCB7C">
      <w:pPr>
        <w:adjustRightInd w:val="0"/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重庆高新区高技术服务业发展</w:t>
      </w:r>
    </w:p>
    <w:p w14:paraId="1A403776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扶持办法（修订）</w:t>
      </w:r>
      <w:r>
        <w:rPr>
          <w:rFonts w:hint="eastAsia" w:eastAsia="方正小标宋_GBK"/>
          <w:sz w:val="44"/>
          <w:szCs w:val="44"/>
        </w:rPr>
        <w:t>》的通知</w:t>
      </w:r>
    </w:p>
    <w:p w14:paraId="20DA9BE4">
      <w:pPr>
        <w:widowControl/>
        <w:shd w:val="clear" w:color="auto" w:fill="FFFFFF"/>
        <w:tabs>
          <w:tab w:val="center" w:pos="4422"/>
          <w:tab w:val="right" w:pos="8844"/>
        </w:tabs>
        <w:spacing w:line="600" w:lineRule="exact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渝高新发〔2024〕30号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ab/>
      </w:r>
    </w:p>
    <w:p w14:paraId="4C7C00E2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 </w:t>
      </w:r>
    </w:p>
    <w:p w14:paraId="15AA37D6"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各镇人民政府、各街道办事处，管委会各部门、各直属企事业单位，市驻高新区部门，有关单位：</w:t>
      </w:r>
    </w:p>
    <w:p w14:paraId="68D665D7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《重庆高新区高技术服务业发展扶持办法（修订）》已经重庆高新区管委会2024年第24次常务会议审议通过，现印发给你们，请认真贯彻执行。</w:t>
      </w:r>
    </w:p>
    <w:p w14:paraId="327777D0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 </w:t>
      </w:r>
    </w:p>
    <w:p w14:paraId="4C72C3D6">
      <w:pPr>
        <w:widowControl/>
        <w:shd w:val="clear" w:color="auto" w:fill="FFFFFF"/>
        <w:spacing w:line="600" w:lineRule="exact"/>
        <w:ind w:right="420" w:rightChars="200"/>
        <w:jc w:val="righ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重庆高新区管委会</w:t>
      </w:r>
    </w:p>
    <w:p w14:paraId="43C3DA49">
      <w:pPr>
        <w:widowControl/>
        <w:shd w:val="clear" w:color="auto" w:fill="FFFFFF"/>
        <w:spacing w:line="600" w:lineRule="exact"/>
        <w:ind w:right="320"/>
        <w:jc w:val="righ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2024年12月4日 </w:t>
      </w:r>
    </w:p>
    <w:p w14:paraId="61F4CF6C">
      <w:pPr>
        <w:widowControl/>
        <w:shd w:val="clear" w:color="auto" w:fill="FFFFFF"/>
        <w:spacing w:line="600" w:lineRule="exact"/>
        <w:ind w:right="159"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（此件公开发布）</w:t>
      </w:r>
    </w:p>
    <w:p w14:paraId="335EAF7A">
      <w:pPr>
        <w:widowControl/>
        <w:spacing w:line="600" w:lineRule="exact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br w:type="page"/>
      </w:r>
    </w:p>
    <w:p w14:paraId="49AE43BE"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 </w:t>
      </w:r>
    </w:p>
    <w:p w14:paraId="593A6E08">
      <w:pPr>
        <w:widowControl/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重庆高新区高技术服务业发展扶持办法</w:t>
      </w:r>
    </w:p>
    <w:p w14:paraId="782CCEDD">
      <w:pPr>
        <w:widowControl/>
        <w:spacing w:line="600" w:lineRule="exact"/>
        <w:jc w:val="center"/>
        <w:rPr>
          <w:rFonts w:ascii="方正黑体_GBK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（修订）</w:t>
      </w:r>
    </w:p>
    <w:p w14:paraId="3BA5D240">
      <w:pPr>
        <w:spacing w:line="600" w:lineRule="exact"/>
        <w:rPr>
          <w:rFonts w:ascii="方正仿宋_GBK" w:hAnsi="华文中宋" w:eastAsia="方正仿宋_GBK"/>
          <w:sz w:val="32"/>
          <w:szCs w:val="32"/>
        </w:rPr>
      </w:pPr>
    </w:p>
    <w:p w14:paraId="54ACA7F0">
      <w:pPr>
        <w:spacing w:line="600" w:lineRule="exact"/>
        <w:jc w:val="center"/>
        <w:rPr>
          <w:rFonts w:ascii="Times New Roman" w:hAnsi="Times New Roman" w:eastAsia="方正黑体_GBK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方正黑体_GBK" w:cs="仿宋_GB2312"/>
          <w:spacing w:val="-4"/>
          <w:sz w:val="32"/>
          <w:szCs w:val="32"/>
        </w:rPr>
        <w:t>第一章 总则</w:t>
      </w:r>
    </w:p>
    <w:p w14:paraId="34B46D68">
      <w:pPr>
        <w:spacing w:line="600" w:lineRule="exact"/>
        <w:jc w:val="center"/>
        <w:rPr>
          <w:rFonts w:hint="eastAsia" w:ascii="Times New Roman" w:hAnsi="Times New Roman" w:eastAsia="方正黑体_GBK" w:cs="仿宋_GB2312"/>
          <w:spacing w:val="-4"/>
          <w:sz w:val="32"/>
          <w:szCs w:val="32"/>
        </w:rPr>
      </w:pPr>
    </w:p>
    <w:p w14:paraId="66EC6D51">
      <w:pPr>
        <w:spacing w:line="600" w:lineRule="exact"/>
        <w:ind w:firstLine="624" w:firstLineChars="200"/>
        <w:rPr>
          <w:rFonts w:ascii="Times New Roman" w:hAnsi="Times New Roman" w:eastAsia="方正仿宋_GBK" w:cs="方正仿宋_GBK"/>
          <w:spacing w:val="-4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</w:rPr>
        <w:t xml:space="preserve">第一条 </w:t>
      </w:r>
      <w:r>
        <w:rPr>
          <w:rFonts w:hint="eastAsia" w:ascii="Times New Roman" w:hAnsi="方正仿宋_GBK" w:eastAsia="方正仿宋_GBK" w:cs="方正仿宋_GBK"/>
          <w:spacing w:val="-4"/>
          <w:sz w:val="32"/>
          <w:szCs w:val="32"/>
        </w:rPr>
        <w:t>本办法旨在支持软件和</w:t>
      </w:r>
      <w:r>
        <w:rPr>
          <w:rFonts w:hint="eastAsia" w:ascii="Times New Roman" w:hAnsi="方正仿宋_GBK" w:eastAsia="方正仿宋_GBK" w:cs="方正仿宋_GBK"/>
          <w:color w:val="000000"/>
          <w:spacing w:val="-4"/>
          <w:sz w:val="32"/>
          <w:szCs w:val="32"/>
        </w:rPr>
        <w:t>信息服务、检验检测服务、科技服务、</w:t>
      </w:r>
      <w:r>
        <w:rPr>
          <w:rFonts w:hint="eastAsia" w:ascii="Times New Roman" w:hAnsi="方正仿宋_GBK" w:eastAsia="方正仿宋_GBK" w:cs="方正仿宋_GBK"/>
          <w:spacing w:val="-4"/>
          <w:sz w:val="32"/>
          <w:szCs w:val="32"/>
        </w:rPr>
        <w:t>数字文创等高技术服务业。</w:t>
      </w:r>
    </w:p>
    <w:p w14:paraId="41962973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软件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信息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：包括软件开发、集成电路设计、信息系统集成和物联网技术服务、信息处理和储存支持服务、大数据、云计算、区块链等。</w:t>
      </w:r>
    </w:p>
    <w:p w14:paraId="1D02F088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宋体" w:cs="Arial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检验检测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：检验检测服务包括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汽车摩托车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、电子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通讯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、先进材料、智能装备、食品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质量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安全、生态环境、生物医药、工程质量检验检测等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70272AE6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科技服务：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包括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研究和试验发展、专业技术服务、科技推广和应用服务等。</w:t>
      </w:r>
    </w:p>
    <w:p w14:paraId="5B9E99DF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数字文创：包括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工业设计、电子竞技、影视媒体、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数字内容服务、文化旅游平台管理等。</w:t>
      </w:r>
    </w:p>
    <w:p w14:paraId="54653818">
      <w:pPr>
        <w:spacing w:line="600" w:lineRule="exact"/>
        <w:ind w:firstLine="624" w:firstLineChars="200"/>
        <w:rPr>
          <w:rFonts w:hint="eastAsia" w:ascii="Times New Roman" w:hAnsi="Times New Roman" w:eastAsia="方正仿宋_GBK" w:cs="仿宋_GB2312"/>
          <w:spacing w:val="-4"/>
          <w:sz w:val="32"/>
          <w:szCs w:val="32"/>
        </w:rPr>
      </w:pPr>
    </w:p>
    <w:p w14:paraId="427D1722">
      <w:pPr>
        <w:spacing w:line="600" w:lineRule="exact"/>
        <w:ind w:firstLine="624" w:firstLineChars="200"/>
        <w:jc w:val="center"/>
        <w:rPr>
          <w:rFonts w:ascii="Times New Roman" w:hAnsi="Times New Roman" w:eastAsia="方正黑体_GBK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方正黑体_GBK" w:cs="仿宋_GB2312"/>
          <w:spacing w:val="-4"/>
          <w:sz w:val="32"/>
          <w:szCs w:val="32"/>
        </w:rPr>
        <w:t>第二章 扶持内容</w:t>
      </w:r>
    </w:p>
    <w:p w14:paraId="32D4617D">
      <w:pPr>
        <w:spacing w:line="600" w:lineRule="exact"/>
        <w:ind w:firstLine="624" w:firstLineChars="200"/>
        <w:jc w:val="center"/>
        <w:rPr>
          <w:rFonts w:hint="eastAsia" w:ascii="Times New Roman" w:hAnsi="Times New Roman" w:eastAsia="方正黑体_GBK" w:cs="仿宋_GB2312"/>
          <w:spacing w:val="-4"/>
          <w:sz w:val="32"/>
          <w:szCs w:val="32"/>
        </w:rPr>
      </w:pPr>
    </w:p>
    <w:p w14:paraId="0D65472D">
      <w:pPr>
        <w:spacing w:line="600" w:lineRule="exact"/>
        <w:ind w:firstLine="624" w:firstLineChars="200"/>
        <w:rPr>
          <w:rFonts w:ascii="Times New Roman" w:hAnsi="Times New Roman" w:eastAsia="方正楷体_GBK" w:cs="方正楷体_GBK"/>
          <w:b/>
          <w:bCs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  <w:lang w:eastAsia="zh-CN"/>
        </w:rPr>
        <w:t>二</w:t>
      </w: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</w:rPr>
        <w:t xml:space="preserve">条 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支持企业做大做强</w:t>
      </w:r>
    </w:p>
    <w:p w14:paraId="278727E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年开票收入首次达到1000万元、3000万元、5000万元、1亿元、5亿元、10亿元及以上的高技术服务业企业，分别一次性给予10万元、20万元、50万元、80万元、150万元、200万元经营补贴，晋级补差。</w:t>
      </w:r>
    </w:p>
    <w:p w14:paraId="75A5E0E1">
      <w:pPr>
        <w:spacing w:line="600" w:lineRule="exact"/>
        <w:ind w:firstLine="624" w:firstLineChars="200"/>
        <w:rPr>
          <w:rFonts w:ascii="Times New Roman" w:hAnsi="Times New Roman" w:eastAsia="方正黑体_GBK" w:cs="方正楷体_GBK"/>
          <w:spacing w:val="-4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  <w:lang w:eastAsia="zh-CN"/>
        </w:rPr>
        <w:t>三</w:t>
      </w: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spacing w:val="-4"/>
          <w:sz w:val="32"/>
          <w:szCs w:val="32"/>
        </w:rPr>
        <w:t>稳增长奖励</w:t>
      </w:r>
    </w:p>
    <w:p w14:paraId="5226EC0C">
      <w:pPr>
        <w:spacing w:line="600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（一）年营业收入2000万元、5000万元、1亿元、5亿元、10亿元及以上，且营业收入同比增长达30%及以上的信息传输、软件和信息技术服务业企业，分别给予5万元、10万元、20万元、50万元、100万元奖励。</w:t>
      </w:r>
    </w:p>
    <w:p w14:paraId="253FFBE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（二）年营业收入1000万元、5000万元、1亿元、5亿元、10亿元及以上，且营业收入同比增长达30%及以上的科学研究和技术服务业企业，分别给予5万元、10万元、20万元、50万元、100万元奖励。</w:t>
      </w:r>
    </w:p>
    <w:p w14:paraId="6A0456FB">
      <w:pPr>
        <w:spacing w:line="600" w:lineRule="exact"/>
        <w:ind w:firstLine="640" w:firstLineChars="200"/>
        <w:rPr>
          <w:rFonts w:ascii="Times New Roman" w:hAnsi="Times New Roman" w:eastAsia="方正黑体_GBK" w:cs="方正楷体_GBK"/>
          <w:color w:val="000000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color w:val="000000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方正楷体_GBK" w:eastAsia="方正黑体_GBK" w:cs="方正楷体_GBK"/>
          <w:color w:val="000000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color w:val="000000"/>
          <w:sz w:val="32"/>
          <w:szCs w:val="32"/>
        </w:rPr>
        <w:t>租金补贴</w:t>
      </w:r>
    </w:p>
    <w:p w14:paraId="5B78BC4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租用楼宇/厂房的高技术服务业企业，年开票收入超过500万元，且年开票收入达到6000元/平方米及以上，按实缴租金的40%</w:t>
      </w:r>
      <w:r>
        <w:rPr>
          <w:rFonts w:hint="eastAsia" w:ascii="Times New Roman" w:hAnsi="Times New Roman" w:eastAsia="宋体" w:cs="宋体"/>
          <w:color w:val="000000"/>
          <w:sz w:val="32"/>
          <w:szCs w:val="32"/>
        </w:rPr>
        <w:t>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100%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给予</w:t>
      </w:r>
      <w:r>
        <w:rPr>
          <w:rFonts w:ascii="Times New Roman" w:hAnsi="Times New Roman" w:eastAsia="方正仿宋_GBK" w:cs="Times New Roman"/>
          <w:sz w:val="32"/>
          <w:szCs w:val="32"/>
        </w:rPr>
        <w:t>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贴，单个企业年补贴总额不超过100万元，且至多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累计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享受3个年度补贴。</w:t>
      </w:r>
    </w:p>
    <w:p w14:paraId="4D7952FB">
      <w:pPr>
        <w:spacing w:line="600" w:lineRule="exact"/>
        <w:ind w:firstLine="600"/>
        <w:rPr>
          <w:rFonts w:ascii="Times New Roman" w:hAnsi="Times New Roman" w:eastAsia="方正楷体_GBK" w:cs="方正楷体_GBK"/>
          <w:b/>
          <w:bCs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五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鼓励软件企业自主研发软件产品</w:t>
      </w:r>
    </w:p>
    <w:p w14:paraId="28E2645F">
      <w:pPr>
        <w:spacing w:line="60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企业销售经认定的首版次软件产品，按产品合同实际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销售</w:t>
      </w:r>
      <w:r>
        <w:rPr>
          <w:rFonts w:ascii="Times New Roman" w:hAnsi="Times New Roman" w:eastAsia="方正仿宋_GBK" w:cs="Times New Roman"/>
          <w:sz w:val="32"/>
          <w:szCs w:val="32"/>
        </w:rPr>
        <w:t>额的20%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给予</w:t>
      </w:r>
      <w:r>
        <w:rPr>
          <w:rFonts w:ascii="Times New Roman" w:hAnsi="Times New Roman" w:eastAsia="方正仿宋_GBK" w:cs="Times New Roman"/>
          <w:sz w:val="32"/>
          <w:szCs w:val="32"/>
        </w:rPr>
        <w:t>补贴，单个企业年补贴总额最高不超过300万元，同一个产品补贴期限为2年。用户方和供给方为关联企业的除外。</w:t>
      </w:r>
    </w:p>
    <w:p w14:paraId="4AB9B614">
      <w:pPr>
        <w:spacing w:line="600" w:lineRule="exact"/>
        <w:ind w:firstLine="6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六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鼓励企业获得资质</w:t>
      </w:r>
    </w:p>
    <w:p w14:paraId="18F0639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对首次通过ITSS（信息技术服务标准）二级、一级认证的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软件</w:t>
      </w:r>
      <w:r>
        <w:rPr>
          <w:rFonts w:ascii="Times New Roman" w:hAnsi="Times New Roman" w:eastAsia="方正仿宋_GBK" w:cs="Times New Roman"/>
          <w:sz w:val="32"/>
          <w:szCs w:val="32"/>
        </w:rPr>
        <w:t>企业，分别给予10万元、20万元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一次性</w:t>
      </w:r>
      <w:r>
        <w:rPr>
          <w:rFonts w:ascii="Times New Roman" w:hAnsi="Times New Roman" w:eastAsia="方正仿宋_GBK" w:cs="Times New Roman"/>
          <w:sz w:val="32"/>
          <w:szCs w:val="32"/>
        </w:rPr>
        <w:t>补贴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，晋级补差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F12497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对首次通过CMMI（软件能力成熟度集成模型）四级、五级认证的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软件</w:t>
      </w:r>
      <w:r>
        <w:rPr>
          <w:rFonts w:ascii="Times New Roman" w:hAnsi="Times New Roman" w:eastAsia="方正仿宋_GBK" w:cs="Times New Roman"/>
          <w:sz w:val="32"/>
          <w:szCs w:val="32"/>
        </w:rPr>
        <w:t>企业，分别给予20万元、30万元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一次性</w:t>
      </w:r>
      <w:r>
        <w:rPr>
          <w:rFonts w:ascii="Times New Roman" w:hAnsi="Times New Roman" w:eastAsia="方正仿宋_GBK" w:cs="Times New Roman"/>
          <w:sz w:val="32"/>
          <w:szCs w:val="32"/>
        </w:rPr>
        <w:t>补贴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，晋级补差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7D3D59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（三）对首次通过DCMM（数据管理能力成熟度模型）二级、三级、四级及以上评估认证的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软件</w:t>
      </w:r>
      <w:r>
        <w:rPr>
          <w:rFonts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分别给予10万元、20万元、30万元一次性补贴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，晋级补差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8194CD2">
      <w:pPr>
        <w:spacing w:line="600" w:lineRule="exact"/>
        <w:ind w:firstLine="6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七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重点项目配套补助</w:t>
      </w:r>
    </w:p>
    <w:p w14:paraId="73C52BBE">
      <w:pPr>
        <w:spacing w:line="60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（一）新认定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国家、市级文化产业示范基地（园区），分别一次性给予运营单位100万元、70万元补贴。</w:t>
      </w:r>
    </w:p>
    <w:p w14:paraId="37073496">
      <w:pPr>
        <w:spacing w:line="60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（二）新认定的国家级、市级工业设计中心，分别一次性给予100万元、50万元补贴。 </w:t>
      </w:r>
    </w:p>
    <w:p w14:paraId="1A2B9BA8">
      <w:pPr>
        <w:spacing w:line="600" w:lineRule="exact"/>
        <w:ind w:firstLine="6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八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支持企业购置</w:t>
      </w:r>
      <w:r>
        <w:rPr>
          <w:rFonts w:hint="eastAsia" w:ascii="Times New Roman" w:hAnsi="Times New Roman" w:eastAsia="方正黑体_GBK" w:cs="方正楷体_GBK"/>
          <w:sz w:val="32"/>
          <w:szCs w:val="32"/>
        </w:rPr>
        <w:t>/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租用重大设备</w:t>
      </w:r>
    </w:p>
    <w:p w14:paraId="2B8FBF52">
      <w:pPr>
        <w:spacing w:line="60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企业（机构）购置用于检验检测的仪器设备，单台（套）原值100万元及以上，按其实际购买支出额的20%补助，单台（套）仪器设备补助最高不超过200万元，单个企业年补助总额最高不超过1000万元。从事电子通讯、先进材料、生物医药等高端检验检测服务的企业（机构），单台（套）仪器设备原值可放宽至50万元及以上。</w:t>
      </w:r>
    </w:p>
    <w:p w14:paraId="5F9D4729">
      <w:pPr>
        <w:spacing w:line="60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企业（机构）租赁用于检验检测的仪器设备，单台（套）原值100万元及以上，按其实际支付租赁费的30%给予补贴，单个企业年补贴总额最高不超过200万元。从事电子通讯、先进材料、生物医药等高端检验检测服务的企业（机构），单台（套）仪器设备原值可放宽至50万元及以上。</w:t>
      </w:r>
    </w:p>
    <w:p w14:paraId="494E6B55">
      <w:pPr>
        <w:spacing w:line="600" w:lineRule="exact"/>
        <w:ind w:firstLine="6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九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鼓励检验检测企业集聚发展</w:t>
      </w:r>
    </w:p>
    <w:p w14:paraId="62FAAD4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入驻国家检验检测高技术服务业集聚区的检验检测企业（机构），按实际装修费用给予办公用房最高不超过600元/平方米、厂房最高不超过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00元/平方米装修补贴，单个企业补贴总额最高不超过300万元。从事电子通讯、先进材料、生物医药等高端检验检测服务的企业（机构），入驻区域可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适当放宽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2CB564C">
      <w:pPr>
        <w:spacing w:line="600" w:lineRule="exact"/>
        <w:ind w:firstLine="640" w:firstLineChars="2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第十条 鼓励企业参加行业比赛</w:t>
      </w:r>
    </w:p>
    <w:p w14:paraId="742C850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（一）对获得德国IF奖金奖、德国红点奖金奖、日本GMARK奖金奖、美国IDEA奖、中国优秀工业设计奖金奖的企业（机构），一次性给予50万元补贴。</w:t>
      </w:r>
    </w:p>
    <w:p w14:paraId="4958F4B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（二）对获得中国优秀工业设计奖银奖、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智博杯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中国（重庆）工业设计大赛金奖、中国设计智造大奖金奖的企业（机构），一次性给予30万元补贴。</w:t>
      </w:r>
    </w:p>
    <w:p w14:paraId="6E823D3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（三）对获得中国优秀工业设计奖铜奖、中国工业设计十佳大奖的企业（机构），一次性给予10万元补贴。</w:t>
      </w:r>
    </w:p>
    <w:p w14:paraId="1D1ECF89">
      <w:pPr>
        <w:spacing w:line="600" w:lineRule="exact"/>
        <w:ind w:firstLine="640" w:firstLineChars="2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第十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一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 鼓励企业举办重大活动</w:t>
      </w:r>
    </w:p>
    <w:p w14:paraId="3C633F0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举办由区级及以上政府或部门批准的工业设计领域高峰论坛、设计比赛等重大活动，按活动实际发生费用（经有资质的第三方机构审计）的50%给予支持，单场活动最高补贴不超过300万元；重大国际交流活动，可一事一议给予补贴。</w:t>
      </w:r>
    </w:p>
    <w:p w14:paraId="1DDF234B">
      <w:pPr>
        <w:spacing w:line="600" w:lineRule="exact"/>
        <w:ind w:firstLine="640" w:firstLineChars="2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第十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二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</w:t>
      </w:r>
      <w:r>
        <w:rPr>
          <w:rFonts w:hint="eastAsia" w:ascii="Times New Roman" w:hAnsi="方正楷体_GBK" w:eastAsia="方正黑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支持高端设计人才培育引进</w:t>
      </w:r>
    </w:p>
    <w:p w14:paraId="055BFFE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企业聘用具备中级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sz w:val="32"/>
          <w:szCs w:val="32"/>
        </w:rPr>
        <w:t>以上工程技术工业设计专业职称的人员，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依法缴纳社会保险费</w:t>
      </w:r>
      <w:r>
        <w:rPr>
          <w:rFonts w:ascii="Times New Roman" w:hAnsi="Times New Roman" w:eastAsia="方正仿宋_GBK" w:cs="Times New Roman"/>
          <w:sz w:val="32"/>
          <w:szCs w:val="32"/>
        </w:rPr>
        <w:t>时间达12个月及以上，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签订2年及以上劳动合同，按3万元/人给予企业一次性补贴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E7DDDC"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企业新</w:t>
      </w:r>
      <w:r>
        <w:rPr>
          <w:rFonts w:ascii="Times New Roman" w:hAnsi="Times New Roman" w:eastAsia="方正仿宋_GBK" w:cs="Times New Roman"/>
          <w:sz w:val="32"/>
          <w:szCs w:val="32"/>
        </w:rPr>
        <w:t>聘用工业设计专业硕士研究生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sz w:val="32"/>
          <w:szCs w:val="32"/>
        </w:rPr>
        <w:t>以上学历人员，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依法缴纳社会保险费</w:t>
      </w:r>
      <w:r>
        <w:rPr>
          <w:rFonts w:ascii="Times New Roman" w:hAnsi="Times New Roman" w:eastAsia="方正仿宋_GBK" w:cs="Times New Roman"/>
          <w:sz w:val="32"/>
          <w:szCs w:val="32"/>
        </w:rPr>
        <w:t>时间达12个月及以上，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签订2年及以上劳动合同，按3万元/人给予企业一次性补贴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1493CED"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4A0B632">
      <w:pPr>
        <w:spacing w:line="600" w:lineRule="exact"/>
        <w:jc w:val="center"/>
        <w:rPr>
          <w:rFonts w:ascii="Times New Roman" w:hAnsi="Times New Roman" w:eastAsia="方正黑体_GBK" w:cs="仿宋_GB2312"/>
          <w:spacing w:val="-4"/>
          <w:sz w:val="32"/>
          <w:szCs w:val="32"/>
        </w:rPr>
      </w:pPr>
      <w:r>
        <w:rPr>
          <w:rFonts w:hint="eastAsia" w:ascii="Times New Roman" w:hAnsi="Times New Roman" w:eastAsia="方正黑体_GBK" w:cs="仿宋_GB2312"/>
          <w:spacing w:val="-4"/>
          <w:sz w:val="32"/>
          <w:szCs w:val="32"/>
        </w:rPr>
        <w:t>第三章 附则</w:t>
      </w:r>
    </w:p>
    <w:p w14:paraId="2B954A17">
      <w:pPr>
        <w:spacing w:line="600" w:lineRule="exact"/>
        <w:jc w:val="center"/>
        <w:rPr>
          <w:rFonts w:hint="eastAsia" w:ascii="Times New Roman" w:hAnsi="Times New Roman" w:eastAsia="方正黑体_GBK" w:cs="仿宋_GB2312"/>
          <w:spacing w:val="-4"/>
          <w:sz w:val="32"/>
          <w:szCs w:val="32"/>
        </w:rPr>
      </w:pPr>
    </w:p>
    <w:p w14:paraId="26A2237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第十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三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本办法与重庆高新区其他政策内容重复或类似的，按照就高不重复享受。对已享受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“一企一策”的</w:t>
      </w:r>
      <w:r>
        <w:rPr>
          <w:rFonts w:ascii="Times New Roman" w:hAnsi="Times New Roman" w:eastAsia="方正仿宋_GBK" w:cs="Times New Roman"/>
          <w:sz w:val="32"/>
          <w:szCs w:val="32"/>
        </w:rPr>
        <w:t>企业（机构）不重复享受本办法同类扶持政策。</w:t>
      </w:r>
    </w:p>
    <w:p w14:paraId="6284604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楷体_GBK" w:eastAsia="方正黑体_GBK" w:cs="方正楷体_GBK"/>
          <w:sz w:val="32"/>
          <w:szCs w:val="32"/>
        </w:rPr>
        <w:t>第十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四</w:t>
      </w:r>
      <w:r>
        <w:rPr>
          <w:rFonts w:hint="eastAsia" w:ascii="Times New Roman" w:hAnsi="方正楷体_GBK" w:eastAsia="方正黑体_GBK" w:cs="方正楷体_GBK"/>
          <w:sz w:val="32"/>
          <w:szCs w:val="32"/>
        </w:rPr>
        <w:t xml:space="preserve">条 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本办法所指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包含本数。</w:t>
      </w:r>
    </w:p>
    <w:p w14:paraId="4EBFDD0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楷体_GBK" w:eastAsia="方正黑体_GBK" w:cs="方正楷体_GBK"/>
          <w:sz w:val="32"/>
          <w:szCs w:val="32"/>
        </w:rPr>
        <w:t>第十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五</w:t>
      </w:r>
      <w:r>
        <w:rPr>
          <w:rFonts w:ascii="Times New Roman" w:hAnsi="方正楷体_GBK" w:eastAsia="方正黑体_GBK" w:cs="方正楷体_GBK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>本办法具体标准、申报条件、申报流程等内容，另行制定实施细则。</w:t>
      </w:r>
    </w:p>
    <w:p w14:paraId="03859D3D">
      <w:pPr>
        <w:spacing w:line="600" w:lineRule="exact"/>
        <w:ind w:firstLine="640" w:firstLineChars="200"/>
        <w:rPr>
          <w:rFonts w:ascii="Calibri" w:hAnsi="Calibri" w:eastAsia="宋体"/>
          <w:szCs w:val="21"/>
        </w:rPr>
      </w:pPr>
      <w:r>
        <w:rPr>
          <w:rFonts w:ascii="Times New Roman" w:hAnsi="方正楷体_GBK" w:eastAsia="方正黑体_GBK" w:cs="方正楷体_GBK"/>
          <w:sz w:val="32"/>
          <w:szCs w:val="32"/>
        </w:rPr>
        <w:t>第十</w:t>
      </w:r>
      <w:r>
        <w:rPr>
          <w:rFonts w:hint="eastAsia" w:ascii="Times New Roman" w:hAnsi="方正楷体_GBK" w:eastAsia="方正黑体_GBK" w:cs="方正楷体_GBK"/>
          <w:sz w:val="32"/>
          <w:szCs w:val="32"/>
          <w:lang w:eastAsia="zh-CN"/>
        </w:rPr>
        <w:t>六</w:t>
      </w:r>
      <w:r>
        <w:rPr>
          <w:rFonts w:ascii="Times New Roman" w:hAnsi="方正楷体_GBK" w:eastAsia="方正黑体_GBK" w:cs="方正楷体_GBK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办法自公布之日起30日后实施，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重庆高新区高技术服务业发展扶持办法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（渝高新发〔2023〕30号）同时废止。2024年1月1日至本办法实施前参照本办法执行。原办法执行期间已按相关程序进行申报且符合条件但未兑现的项目，按原办法执行。</w:t>
      </w:r>
      <w:r>
        <w:rPr>
          <w:rFonts w:ascii="Times New Roman" w:hAnsi="Times New Roman" w:eastAsia="方正仿宋_GBK" w:cs="Times New Roman"/>
          <w:sz w:val="32"/>
          <w:szCs w:val="36"/>
        </w:rPr>
        <w:t>执行期间如遇国家、市级有关政策调整的，根据新政策做相应调整</w:t>
      </w:r>
      <w:r>
        <w:rPr>
          <w:rFonts w:ascii="Times New Roman" w:hAnsi="Times New Roman" w:eastAsia="方正仿宋_GBK" w:cs="Times New Roman"/>
          <w:sz w:val="32"/>
          <w:szCs w:val="32"/>
        </w:rPr>
        <w:t>。本办法由重庆高新区管委会负责解释。</w:t>
      </w:r>
    </w:p>
    <w:p w14:paraId="7B15D76A">
      <w:pPr>
        <w:spacing w:line="600" w:lineRule="exact"/>
        <w:jc w:val="center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FD8C5"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5FD7A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方正仿宋_GBK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5FD7A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方正仿宋_GBK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261354DA">
    <w:pPr>
      <w:pStyle w:val="8"/>
      <w:pBdr>
        <w:top w:val="none" w:color="auto" w:sz="0" w:space="14"/>
      </w:pBdr>
      <w:wordWrap w:val="0"/>
      <w:ind w:right="420" w:rightChars="2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-53340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-4.2pt;height:0.15pt;width:442.25pt;z-index:251659264;mso-width-relative:page;mso-height-relative:page;" filled="f" stroked="t" coordsize="21600,21600" o:gfxdata="UEsDBAoAAAAAAIdO4kAAAAAAAAAAAAAAAAAEAAAAZHJzL1BLAwQUAAAACACHTuJAnIaqjtUAAAAH&#10;AQAADwAAAGRycy9kb3ducmV2LnhtbE2OwU7DMBBE70j9B2uRuLVOUlSFEKdSI3ECDrTl7sbbOKq9&#10;tmI3KX+Pe4LTaGdGs6/e3qxhE45hcCQgX2XAkDqnBuoFHA9vyxJYiJKUNI5QwA8G2DaLh1pWys30&#10;hdM+9iyNUKikAB2jrzgPnUYrw8p5pJSd3WhlTOfYczXKOY1bw4ss23ArB0oftPTYauwu+6sV0L77&#10;otWfh3ksduGjn9bGny/fQjw95tkrsIi3+FeGO35ChyYxndyVVGBGwPIlFZOUz8BSXJbrDbDT3ciB&#10;NzX/z9/8AlBLAwQUAAAACACHTuJA8DYtKekBAAC1AwAADgAAAGRycy9lMm9Eb2MueG1srVNNjtMw&#10;FN4jcQfLe5qkUspM1HQWUw0bBJWAA7iOnVjyn/w8TXsJLoDEDlYs2XMbZo7BsxM6MGxmQRbO8/v5&#10;nr/Pz+uro9HkIAIoZ1taLUpKhOWuU7Zv6Yf3Ny8uKIHIbMe0s6KlJwH0avP82Xr0jVi6welOBIIg&#10;FprRt3SI0TdFAXwQhsHCeWExKF0wLOI29EUX2IjoRhfLslwVowudD44LAPRupyCdEcNTAJ2Uiout&#10;47dG2DihBqFZREowKA90k08rpeDxrZQgItEtRaYxr9gE7X1ai82aNX1gflB8PgJ7yhEecTJMWWx6&#10;htqyyMhtUP9AGcWDAyfjgjtTTESyIsiiKh9p825gXmQuKDX4s+jw/2D5m8MuENW1tKbEMoMXfvfp&#10;+8+PX+5/fMb17ttXUieRRg8N5l7bXZh34HchMT7KYNIfuZBjFvZ0FlYcI+HorFfVqn6JHTjGqssy&#10;QxYPtT5AfCWcIcloqVY20WYNO7yGiP0w9XdKclt3o7TOV6ctGVu6xC+hM5xHiXOApvHICWxPCdM9&#10;DjqPIUOC06pL5QkIQr+/1oEcWBqPsq4ul4kstvsrLfXeMhimvByaBseoiG9BK9PSizJ9c7W2CJIk&#10;m0RK1t51p6xd9uNt5jbz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IaqjtUA&#10;AAAHAQAADwAAAAAAAAABACAAAAAiAAAAZHJzL2Rvd25yZXYueG1sUEsBAhQAFAAAAAgAh07iQPA2&#10;LSnpAQAAtQMAAA4AAAAAAAAAAQAgAAAAJA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重庆高新技术产业开发区管理委员会办公室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</w:t>
    </w:r>
  </w:p>
  <w:p w14:paraId="14A3E0D5">
    <w:pPr>
      <w:pStyle w:val="8"/>
      <w:wordWrap w:val="0"/>
      <w:ind w:left="4788" w:leftChars="2280" w:firstLine="5600" w:firstLineChars="2000"/>
      <w:jc w:val="right"/>
      <w:rPr>
        <w:rFonts w:ascii="宋体" w:hAnsi="宋体" w:eastAsia="方正黑体_GBK" w:cs="宋体"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97A12">
    <w:pPr>
      <w:pStyle w:val="8"/>
      <w:textAlignment w:val="center"/>
      <w:rPr>
        <w:rFonts w:ascii="方正仿宋_GBK" w:hAnsi="方正仿宋_GBK" w:eastAsia="方正黑体_GBK" w:cs="方正仿宋_GBK"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891555C">
    <w:pPr>
      <w:pStyle w:val="8"/>
      <w:textAlignment w:val="center"/>
      <w:rPr>
        <w:rFonts w:ascii="宋体" w:hAnsi="宋体" w:eastAsia="方正黑体_GBK" w:cs="宋体"/>
        <w:bCs/>
        <w:color w:val="005192"/>
        <w:sz w:val="32"/>
        <w:szCs w:val="32"/>
      </w:rPr>
    </w:pPr>
    <w:r>
      <w:rPr>
        <w:rFonts w:hint="eastAsia" w:ascii="宋体" w:hAnsi="宋体" w:eastAsia="方正黑体_GBK" w:cs="宋体"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重庆高新技术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产业开发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区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管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理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委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员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6D1"/>
    <w:rsid w:val="00077231"/>
    <w:rsid w:val="00081D3D"/>
    <w:rsid w:val="000971FC"/>
    <w:rsid w:val="00134AFF"/>
    <w:rsid w:val="001550CA"/>
    <w:rsid w:val="00172A27"/>
    <w:rsid w:val="001817B2"/>
    <w:rsid w:val="00181E72"/>
    <w:rsid w:val="00182B90"/>
    <w:rsid w:val="0019467B"/>
    <w:rsid w:val="00247C71"/>
    <w:rsid w:val="00252E99"/>
    <w:rsid w:val="00255878"/>
    <w:rsid w:val="00321887"/>
    <w:rsid w:val="00331813"/>
    <w:rsid w:val="0038644B"/>
    <w:rsid w:val="003D5AB2"/>
    <w:rsid w:val="003E1EB3"/>
    <w:rsid w:val="003F07B7"/>
    <w:rsid w:val="00411CB0"/>
    <w:rsid w:val="00413EA0"/>
    <w:rsid w:val="00421D25"/>
    <w:rsid w:val="0043219F"/>
    <w:rsid w:val="0043221D"/>
    <w:rsid w:val="00452ABA"/>
    <w:rsid w:val="00454CDB"/>
    <w:rsid w:val="004A55A3"/>
    <w:rsid w:val="004A5FB9"/>
    <w:rsid w:val="004B0F0D"/>
    <w:rsid w:val="00543F56"/>
    <w:rsid w:val="005447A2"/>
    <w:rsid w:val="005B6D61"/>
    <w:rsid w:val="005D53CA"/>
    <w:rsid w:val="00607467"/>
    <w:rsid w:val="00645801"/>
    <w:rsid w:val="00667DB2"/>
    <w:rsid w:val="006D2628"/>
    <w:rsid w:val="006D3D21"/>
    <w:rsid w:val="006F7EE0"/>
    <w:rsid w:val="007353B1"/>
    <w:rsid w:val="007D11E3"/>
    <w:rsid w:val="00830333"/>
    <w:rsid w:val="00833156"/>
    <w:rsid w:val="009464FD"/>
    <w:rsid w:val="00961C4B"/>
    <w:rsid w:val="009A4E85"/>
    <w:rsid w:val="009E18BA"/>
    <w:rsid w:val="00A75D4C"/>
    <w:rsid w:val="00AB17FD"/>
    <w:rsid w:val="00AF77A8"/>
    <w:rsid w:val="00B17497"/>
    <w:rsid w:val="00B7287B"/>
    <w:rsid w:val="00B94C6E"/>
    <w:rsid w:val="00BA5114"/>
    <w:rsid w:val="00BF31F2"/>
    <w:rsid w:val="00C05F8F"/>
    <w:rsid w:val="00C23EFF"/>
    <w:rsid w:val="00C42DF9"/>
    <w:rsid w:val="00C602E3"/>
    <w:rsid w:val="00C853CB"/>
    <w:rsid w:val="00CA5C3D"/>
    <w:rsid w:val="00D55674"/>
    <w:rsid w:val="00DA755B"/>
    <w:rsid w:val="00E035C3"/>
    <w:rsid w:val="00E13F24"/>
    <w:rsid w:val="00E70BB7"/>
    <w:rsid w:val="00E70C0D"/>
    <w:rsid w:val="00E815F3"/>
    <w:rsid w:val="00EF1BA1"/>
    <w:rsid w:val="00F16F44"/>
    <w:rsid w:val="00F25D8A"/>
    <w:rsid w:val="00F31925"/>
    <w:rsid w:val="00F60472"/>
    <w:rsid w:val="00F97964"/>
    <w:rsid w:val="00FD73DD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955228"/>
    <w:rsid w:val="1CF734C9"/>
    <w:rsid w:val="1DEC284C"/>
    <w:rsid w:val="1E6523AC"/>
    <w:rsid w:val="22440422"/>
    <w:rsid w:val="22BB4BBB"/>
    <w:rsid w:val="2AEB3417"/>
    <w:rsid w:val="2F0A1F3D"/>
    <w:rsid w:val="31A15F24"/>
    <w:rsid w:val="324A1681"/>
    <w:rsid w:val="36FB1DF0"/>
    <w:rsid w:val="37F17173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8205DCD"/>
    <w:rsid w:val="69AC0D42"/>
    <w:rsid w:val="6AD9688B"/>
    <w:rsid w:val="6D0E3F22"/>
    <w:rsid w:val="744E4660"/>
    <w:rsid w:val="753355A2"/>
    <w:rsid w:val="759F1C61"/>
    <w:rsid w:val="75CB46AD"/>
    <w:rsid w:val="769F2DE8"/>
    <w:rsid w:val="76FDEB7C"/>
    <w:rsid w:val="79C65162"/>
    <w:rsid w:val="7B500D13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6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Indent 3"/>
    <w:basedOn w:val="1"/>
    <w:link w:val="18"/>
    <w:qFormat/>
    <w:uiPriority w:val="0"/>
    <w:pPr>
      <w:adjustRightInd w:val="0"/>
      <w:snapToGrid w:val="0"/>
      <w:spacing w:line="276" w:lineRule="auto"/>
      <w:ind w:firstLine="200" w:firstLineChars="200"/>
    </w:pPr>
    <w:rPr>
      <w:rFonts w:ascii="仿宋_GB2312" w:hAnsi="Times New Roman" w:eastAsia="仿宋_GB2312" w:cs="Times New Roman"/>
      <w:sz w:val="32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正文文本 字符"/>
    <w:link w:val="5"/>
    <w:qFormat/>
    <w:uiPriority w:val="99"/>
    <w:rPr>
      <w:kern w:val="2"/>
      <w:sz w:val="21"/>
      <w:szCs w:val="24"/>
    </w:rPr>
  </w:style>
  <w:style w:type="character" w:customStyle="1" w:styleId="17">
    <w:name w:val="正文文本 字符1"/>
    <w:basedOn w:val="1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正文文本缩进 3 字符"/>
    <w:basedOn w:val="12"/>
    <w:link w:val="9"/>
    <w:qFormat/>
    <w:uiPriority w:val="0"/>
    <w:rPr>
      <w:rFonts w:ascii="仿宋_GB2312" w:eastAsia="仿宋_GB2312"/>
      <w:kern w:val="2"/>
      <w:sz w:val="32"/>
      <w:szCs w:val="24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0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日期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Cambria Math" w:hAnsi="Cambria Math" w:eastAsia="Cambria Math" w:cs="Cambria Math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2532</Words>
  <Characters>2680</Characters>
  <Lines>19</Lines>
  <Paragraphs>5</Paragraphs>
  <TotalTime>36</TotalTime>
  <ScaleCrop>false</ScaleCrop>
  <LinksUpToDate>false</LinksUpToDate>
  <CharactersWithSpaces>2706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2024-12-26T03:25:00Z</dcterms:created>
  <dc:creator>t</dc:creator>
  <cp:lastModifiedBy>gaoxin</cp:lastModifiedBy>
  <cp:lastPrinted>2024-12-26T01:23:00Z</cp:lastPrinted>
  <dcterms:modified xsi:type="dcterms:W3CDTF">2025-07-01T01:51:28Z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eyJoZGlkIjoiNjFlNTNmYWFmODk2ZTcxYzYyOThmNTllMTYzYmNhODQifQ==</vt:lpwstr>
  </property>
</Properties>
</file>