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FC3A9">
      <w:pPr>
        <w:keepNext w:val="0"/>
        <w:keepLines w:val="0"/>
        <w:pageBreakBefore w:val="0"/>
        <w:widowControl w:val="0"/>
        <w:kinsoku/>
        <w:topLinePunct w:val="0"/>
        <w:autoSpaceDE/>
        <w:autoSpaceDN/>
        <w:bidi w:val="0"/>
        <w:adjustRightInd w:val="0"/>
        <w:snapToGrid w:val="0"/>
        <w:spacing w:line="600" w:lineRule="exact"/>
        <w:ind w:firstLine="0" w:firstLineChars="0"/>
        <w:jc w:val="both"/>
        <w:textAlignment w:val="auto"/>
        <w:rPr>
          <w:rFonts w:ascii="方正小标宋_GBK" w:hAnsi="方正小标宋_GBK" w:eastAsia="方正小标宋_GBK" w:cs="方正小标宋_GBK"/>
          <w:i w:val="0"/>
          <w:iCs w:val="0"/>
          <w:caps w:val="0"/>
          <w:color w:val="333333"/>
          <w:spacing w:val="0"/>
          <w:sz w:val="44"/>
          <w:szCs w:val="44"/>
          <w:shd w:val="clear" w:fill="FFFFFF"/>
        </w:rPr>
      </w:pPr>
      <w:bookmarkStart w:id="0" w:name="_Toc25634"/>
      <w:bookmarkStart w:id="1" w:name="_Toc20769"/>
      <w:bookmarkStart w:id="2" w:name="_Toc9661"/>
      <w:bookmarkStart w:id="3" w:name="_Toc18563"/>
      <w:bookmarkStart w:id="4" w:name="_Toc19153"/>
      <w:bookmarkStart w:id="5" w:name="_Toc9686"/>
      <w:bookmarkStart w:id="6" w:name="_Toc8937"/>
      <w:bookmarkStart w:id="7" w:name="_Toc22884"/>
      <w:bookmarkStart w:id="8" w:name="_Toc8286"/>
      <w:bookmarkStart w:id="9" w:name="_Toc7606"/>
      <w:bookmarkStart w:id="10" w:name="_Toc17490"/>
      <w:bookmarkStart w:id="11" w:name="_Toc7274"/>
      <w:bookmarkStart w:id="12" w:name="_Toc21566"/>
      <w:bookmarkStart w:id="931" w:name="_GoBack"/>
      <w:bookmarkEnd w:id="931"/>
    </w:p>
    <w:p w14:paraId="0DB917B5">
      <w:pPr>
        <w:keepNext w:val="0"/>
        <w:keepLines w:val="0"/>
        <w:pageBreakBefore w:val="0"/>
        <w:widowControl w:val="0"/>
        <w:kinsoku/>
        <w:topLinePunct w:val="0"/>
        <w:autoSpaceDE/>
        <w:autoSpaceDN/>
        <w:bidi w:val="0"/>
        <w:adjustRightInd w:val="0"/>
        <w:snapToGrid w:val="0"/>
        <w:spacing w:line="600" w:lineRule="exact"/>
        <w:ind w:firstLine="0" w:firstLineChars="0"/>
        <w:jc w:val="both"/>
        <w:textAlignment w:val="auto"/>
        <w:rPr>
          <w:rFonts w:ascii="方正小标宋_GBK" w:hAnsi="方正小标宋_GBK" w:eastAsia="方正小标宋_GBK" w:cs="方正小标宋_GBK"/>
          <w:i w:val="0"/>
          <w:iCs w:val="0"/>
          <w:caps w:val="0"/>
          <w:color w:val="333333"/>
          <w:spacing w:val="0"/>
          <w:sz w:val="44"/>
          <w:szCs w:val="44"/>
          <w:shd w:val="clear" w:fill="FFFFFF"/>
        </w:rPr>
      </w:pPr>
    </w:p>
    <w:p w14:paraId="76A1F88C">
      <w:pPr>
        <w:keepNext w:val="0"/>
        <w:keepLines w:val="0"/>
        <w:pageBreakBefore w:val="0"/>
        <w:widowControl w:val="0"/>
        <w:kinsoku/>
        <w:topLinePunct w:val="0"/>
        <w:autoSpaceDE/>
        <w:autoSpaceDN/>
        <w:bidi w:val="0"/>
        <w:adjustRightInd w:val="0"/>
        <w:snapToGrid w:val="0"/>
        <w:spacing w:line="600" w:lineRule="exact"/>
        <w:ind w:firstLine="0" w:firstLineChars="0"/>
        <w:jc w:val="both"/>
        <w:textAlignment w:val="auto"/>
        <w:rPr>
          <w:rFonts w:ascii="方正小标宋_GBK" w:hAnsi="方正小标宋_GBK" w:eastAsia="方正小标宋_GBK" w:cs="方正小标宋_GBK"/>
          <w:i w:val="0"/>
          <w:iCs w:val="0"/>
          <w:caps w:val="0"/>
          <w:color w:val="333333"/>
          <w:spacing w:val="0"/>
          <w:sz w:val="44"/>
          <w:szCs w:val="44"/>
          <w:shd w:val="clear" w:fill="FFFFFF"/>
        </w:rPr>
      </w:pPr>
    </w:p>
    <w:p w14:paraId="6DB78605">
      <w:pPr>
        <w:keepNext w:val="0"/>
        <w:keepLines w:val="0"/>
        <w:pageBreakBefore w:val="0"/>
        <w:widowControl w:val="0"/>
        <w:kinsoku/>
        <w:topLinePunct w:val="0"/>
        <w:autoSpaceDE/>
        <w:autoSpaceDN/>
        <w:bidi w:val="0"/>
        <w:adjustRightInd w:val="0"/>
        <w:snapToGrid w:val="0"/>
        <w:spacing w:line="600" w:lineRule="exact"/>
        <w:ind w:firstLine="0" w:firstLineChars="0"/>
        <w:jc w:val="both"/>
        <w:textAlignment w:val="auto"/>
        <w:rPr>
          <w:rFonts w:ascii="方正小标宋_GBK" w:hAnsi="方正小标宋_GBK" w:eastAsia="方正小标宋_GBK" w:cs="方正小标宋_GBK"/>
          <w:i w:val="0"/>
          <w:iCs w:val="0"/>
          <w:caps w:val="0"/>
          <w:color w:val="333333"/>
          <w:spacing w:val="0"/>
          <w:sz w:val="44"/>
          <w:szCs w:val="44"/>
          <w:shd w:val="clear" w:fill="FFFFFF"/>
        </w:rPr>
      </w:pPr>
    </w:p>
    <w:p w14:paraId="6959617A">
      <w:pPr>
        <w:keepNext w:val="0"/>
        <w:keepLines w:val="0"/>
        <w:pageBreakBefore w:val="0"/>
        <w:widowControl w:val="0"/>
        <w:kinsoku/>
        <w:topLinePunct w:val="0"/>
        <w:autoSpaceDE/>
        <w:autoSpaceDN/>
        <w:bidi w:val="0"/>
        <w:adjustRightInd w:val="0"/>
        <w:snapToGrid w:val="0"/>
        <w:spacing w:line="600" w:lineRule="exact"/>
        <w:ind w:firstLine="0" w:firstLineChars="0"/>
        <w:jc w:val="both"/>
        <w:textAlignment w:val="auto"/>
        <w:rPr>
          <w:rFonts w:ascii="方正小标宋_GBK" w:hAnsi="方正小标宋_GBK" w:eastAsia="方正小标宋_GBK" w:cs="方正小标宋_GBK"/>
          <w:i w:val="0"/>
          <w:iCs w:val="0"/>
          <w:caps w:val="0"/>
          <w:color w:val="333333"/>
          <w:spacing w:val="0"/>
          <w:sz w:val="44"/>
          <w:szCs w:val="44"/>
          <w:shd w:val="clear" w:fill="FFFFFF"/>
        </w:rPr>
      </w:pPr>
    </w:p>
    <w:p w14:paraId="60D26513">
      <w:pPr>
        <w:keepNext w:val="0"/>
        <w:keepLines w:val="0"/>
        <w:pageBreakBefore w:val="0"/>
        <w:widowControl w:val="0"/>
        <w:kinsoku/>
        <w:topLinePunct w:val="0"/>
        <w:autoSpaceDE/>
        <w:autoSpaceDN/>
        <w:bidi w:val="0"/>
        <w:adjustRightInd w:val="0"/>
        <w:snapToGrid w:val="0"/>
        <w:spacing w:line="600" w:lineRule="exact"/>
        <w:ind w:firstLine="0" w:firstLineChars="0"/>
        <w:jc w:val="both"/>
        <w:textAlignment w:val="auto"/>
        <w:rPr>
          <w:rFonts w:ascii="方正小标宋_GBK" w:hAnsi="方正小标宋_GBK" w:eastAsia="方正小标宋_GBK" w:cs="方正小标宋_GBK"/>
          <w:i w:val="0"/>
          <w:iCs w:val="0"/>
          <w:caps w:val="0"/>
          <w:color w:val="333333"/>
          <w:spacing w:val="0"/>
          <w:sz w:val="44"/>
          <w:szCs w:val="44"/>
          <w:shd w:val="clear" w:fill="FFFFFF"/>
        </w:rPr>
      </w:pPr>
    </w:p>
    <w:p w14:paraId="6466A5E2">
      <w:pPr>
        <w:keepNext w:val="0"/>
        <w:keepLines w:val="0"/>
        <w:pageBreakBefore w:val="0"/>
        <w:widowControl w:val="0"/>
        <w:kinsoku/>
        <w:topLinePunct w:val="0"/>
        <w:autoSpaceDE/>
        <w:autoSpaceDN/>
        <w:bidi w:val="0"/>
        <w:adjustRightInd w:val="0"/>
        <w:snapToGrid w:val="0"/>
        <w:spacing w:line="600" w:lineRule="exact"/>
        <w:ind w:firstLine="0" w:firstLineChars="0"/>
        <w:jc w:val="both"/>
        <w:textAlignment w:val="auto"/>
        <w:rPr>
          <w:rFonts w:ascii="方正小标宋_GBK" w:hAnsi="方正小标宋_GBK" w:eastAsia="方正小标宋_GBK" w:cs="方正小标宋_GBK"/>
          <w:i w:val="0"/>
          <w:iCs w:val="0"/>
          <w:caps w:val="0"/>
          <w:color w:val="333333"/>
          <w:spacing w:val="0"/>
          <w:sz w:val="44"/>
          <w:szCs w:val="44"/>
          <w:shd w:val="clear" w:fill="FFFFFF"/>
        </w:rPr>
      </w:pPr>
    </w:p>
    <w:p w14:paraId="7F7271FC">
      <w:pPr>
        <w:keepNext w:val="0"/>
        <w:keepLines w:val="0"/>
        <w:pageBreakBefore w:val="0"/>
        <w:widowControl w:val="0"/>
        <w:kinsoku/>
        <w:topLinePunct w:val="0"/>
        <w:autoSpaceDE/>
        <w:autoSpaceDN/>
        <w:bidi w:val="0"/>
        <w:adjustRightInd w:val="0"/>
        <w:snapToGrid w:val="0"/>
        <w:spacing w:line="600" w:lineRule="exact"/>
        <w:ind w:firstLine="0" w:firstLineChars="0"/>
        <w:jc w:val="center"/>
        <w:textAlignment w:val="auto"/>
        <w:rPr>
          <w:rFonts w:ascii="方正小标宋_GBK" w:hAnsi="方正小标宋_GBK" w:eastAsia="方正小标宋_GBK" w:cs="方正小标宋_GBK"/>
          <w:i w:val="0"/>
          <w:iCs w:val="0"/>
          <w:caps w:val="0"/>
          <w:color w:val="333333"/>
          <w:spacing w:val="0"/>
          <w:sz w:val="44"/>
          <w:szCs w:val="44"/>
          <w:shd w:val="clear" w:fill="FFFFFF"/>
        </w:rPr>
      </w:pPr>
      <w:r>
        <w:rPr>
          <w:rFonts w:hint="eastAsia" w:ascii="Times New Roman" w:hAnsi="Times New Roman" w:eastAsia="方正仿宋_GBK" w:cs="黑体"/>
          <w:bCs/>
          <w:color w:val="000000"/>
          <w:kern w:val="32"/>
          <w:sz w:val="32"/>
          <w:szCs w:val="32"/>
        </w:rPr>
        <w:t>渝高新发</w:t>
      </w:r>
      <w:r>
        <w:rPr>
          <w:rFonts w:hint="eastAsia" w:ascii="Times New Roman" w:hAnsi="Times New Roman" w:eastAsia="方正仿宋_GBK" w:cs="Times New Roman"/>
          <w:bCs/>
          <w:color w:val="000000"/>
          <w:kern w:val="32"/>
          <w:sz w:val="32"/>
          <w:szCs w:val="32"/>
        </w:rPr>
        <w:t>〔</w:t>
      </w:r>
      <w:r>
        <w:rPr>
          <w:rFonts w:ascii="Times New Roman" w:hAnsi="Times New Roman" w:eastAsia="方正仿宋_GBK" w:cs="Times New Roman"/>
          <w:bCs/>
          <w:color w:val="000000"/>
          <w:kern w:val="32"/>
          <w:sz w:val="32"/>
          <w:szCs w:val="32"/>
        </w:rPr>
        <w:t>202</w:t>
      </w:r>
      <w:r>
        <w:rPr>
          <w:rFonts w:hint="eastAsia" w:ascii="Times New Roman" w:hAnsi="Times New Roman" w:eastAsia="方正仿宋_GBK" w:cs="Times New Roman"/>
          <w:bCs/>
          <w:color w:val="000000"/>
          <w:kern w:val="32"/>
          <w:sz w:val="32"/>
          <w:szCs w:val="32"/>
          <w:lang w:val="en-US" w:eastAsia="zh-CN"/>
        </w:rPr>
        <w:t>6</w:t>
      </w:r>
      <w:r>
        <w:rPr>
          <w:rFonts w:hint="eastAsia" w:ascii="Times New Roman" w:hAnsi="Times New Roman" w:eastAsia="方正仿宋_GBK" w:cs="Times New Roman"/>
          <w:bCs/>
          <w:color w:val="000000"/>
          <w:kern w:val="32"/>
          <w:sz w:val="32"/>
          <w:szCs w:val="32"/>
        </w:rPr>
        <w:t>〕</w:t>
      </w:r>
      <w:r>
        <w:rPr>
          <w:rFonts w:hint="eastAsia" w:ascii="Times New Roman" w:hAnsi="Times New Roman" w:eastAsia="方正仿宋_GBK" w:cs="Times New Roman"/>
          <w:bCs/>
          <w:color w:val="000000"/>
          <w:kern w:val="32"/>
          <w:sz w:val="32"/>
          <w:szCs w:val="32"/>
          <w:lang w:val="en-US" w:eastAsia="zh-CN"/>
        </w:rPr>
        <w:t>11</w:t>
      </w:r>
      <w:r>
        <w:rPr>
          <w:rFonts w:hint="eastAsia" w:ascii="Times New Roman" w:hAnsi="Times New Roman" w:eastAsia="方正仿宋_GBK" w:cs="黑体"/>
          <w:bCs/>
          <w:color w:val="000000"/>
          <w:kern w:val="32"/>
          <w:sz w:val="32"/>
          <w:szCs w:val="32"/>
        </w:rPr>
        <w:t>号</w:t>
      </w:r>
    </w:p>
    <w:p w14:paraId="018F7023">
      <w:pPr>
        <w:keepNext w:val="0"/>
        <w:keepLines w:val="0"/>
        <w:pageBreakBefore w:val="0"/>
        <w:widowControl w:val="0"/>
        <w:kinsoku/>
        <w:topLinePunct w:val="0"/>
        <w:autoSpaceDE/>
        <w:autoSpaceDN/>
        <w:bidi w:val="0"/>
        <w:adjustRightInd w:val="0"/>
        <w:snapToGrid w:val="0"/>
        <w:spacing w:line="600" w:lineRule="exact"/>
        <w:ind w:firstLine="0" w:firstLineChars="0"/>
        <w:jc w:val="both"/>
        <w:textAlignment w:val="auto"/>
        <w:rPr>
          <w:rFonts w:ascii="方正小标宋_GBK" w:hAnsi="方正小标宋_GBK" w:eastAsia="方正小标宋_GBK" w:cs="方正小标宋_GBK"/>
          <w:i w:val="0"/>
          <w:iCs w:val="0"/>
          <w:caps w:val="0"/>
          <w:color w:val="333333"/>
          <w:spacing w:val="0"/>
          <w:sz w:val="44"/>
          <w:szCs w:val="44"/>
          <w:shd w:val="clear" w:fill="FFFFFF"/>
        </w:rPr>
      </w:pPr>
    </w:p>
    <w:p w14:paraId="59A79C83">
      <w:pPr>
        <w:keepNext w:val="0"/>
        <w:keepLines w:val="0"/>
        <w:pageBreakBefore w:val="0"/>
        <w:widowControl w:val="0"/>
        <w:kinsoku/>
        <w:topLinePunct w:val="0"/>
        <w:autoSpaceDE/>
        <w:autoSpaceDN/>
        <w:bidi w:val="0"/>
        <w:adjustRightInd w:val="0"/>
        <w:snapToGrid w:val="0"/>
        <w:spacing w:line="600" w:lineRule="exact"/>
        <w:ind w:firstLine="0" w:firstLineChars="0"/>
        <w:jc w:val="both"/>
        <w:textAlignment w:val="auto"/>
        <w:rPr>
          <w:rFonts w:ascii="方正小标宋_GBK" w:hAnsi="方正小标宋_GBK" w:eastAsia="方正小标宋_GBK" w:cs="方正小标宋_GBK"/>
          <w:i w:val="0"/>
          <w:iCs w:val="0"/>
          <w:caps w:val="0"/>
          <w:color w:val="333333"/>
          <w:spacing w:val="0"/>
          <w:sz w:val="44"/>
          <w:szCs w:val="44"/>
          <w:shd w:val="clear" w:fill="FFFFFF"/>
        </w:rPr>
      </w:pPr>
    </w:p>
    <w:p w14:paraId="45893070">
      <w:pPr>
        <w:keepNext w:val="0"/>
        <w:keepLines w:val="0"/>
        <w:pageBreakBefore w:val="0"/>
        <w:widowControl w:val="0"/>
        <w:kinsoku/>
        <w:topLinePunct w:val="0"/>
        <w:autoSpaceDE/>
        <w:autoSpaceDN/>
        <w:bidi w:val="0"/>
        <w:adjustRightInd w:val="0"/>
        <w:snapToGrid w:val="0"/>
        <w:spacing w:line="600" w:lineRule="exact"/>
        <w:ind w:firstLine="0" w:firstLineChars="0"/>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i w:val="0"/>
          <w:iCs w:val="0"/>
          <w:caps w:val="0"/>
          <w:color w:val="333333"/>
          <w:spacing w:val="0"/>
          <w:sz w:val="44"/>
          <w:szCs w:val="44"/>
          <w:shd w:val="clear" w:fill="FFFFFF"/>
        </w:rPr>
        <w:t>重庆高新区管委会</w:t>
      </w:r>
    </w:p>
    <w:p w14:paraId="471B21B6">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right="0" w:rightChars="0" w:firstLine="0" w:firstLine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关于</w:t>
      </w:r>
      <w:r>
        <w:rPr>
          <w:rFonts w:hint="eastAsia" w:ascii="方正小标宋_GBK" w:hAnsi="方正小标宋_GBK" w:eastAsia="方正小标宋_GBK" w:cs="方正小标宋_GBK"/>
          <w:sz w:val="44"/>
          <w:szCs w:val="44"/>
          <w:lang w:eastAsia="zh-CN"/>
        </w:rPr>
        <w:t>印发《重庆高新区国民经济和社会发展</w:t>
      </w:r>
    </w:p>
    <w:p w14:paraId="40416F86">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right="0" w:rightChars="0" w:firstLine="0" w:firstLineChars="0"/>
        <w:jc w:val="center"/>
        <w:textAlignment w:val="auto"/>
        <w:outlineLvl w:val="9"/>
        <w:rPr>
          <w:rFonts w:hint="eastAsia" w:ascii="Times New Roman" w:hAnsi="Times New Roman" w:eastAsia="方正小标宋_GBK" w:cs="Times New Roman"/>
          <w:color w:val="auto"/>
          <w:w w:val="100"/>
          <w:kern w:val="0"/>
          <w:sz w:val="44"/>
          <w:szCs w:val="44"/>
          <w:highlight w:val="none"/>
          <w:u w:val="none"/>
          <w:lang w:val="en-US" w:eastAsia="zh-CN"/>
        </w:rPr>
      </w:pPr>
      <w:r>
        <w:rPr>
          <w:rFonts w:hint="eastAsia" w:ascii="方正小标宋_GBK" w:hAnsi="方正小标宋_GBK" w:eastAsia="方正小标宋_GBK" w:cs="方正小标宋_GBK"/>
          <w:sz w:val="44"/>
          <w:szCs w:val="44"/>
          <w:lang w:eastAsia="zh-CN"/>
        </w:rPr>
        <w:t>第十五个五年规划纲要》</w:t>
      </w:r>
      <w:r>
        <w:rPr>
          <w:rFonts w:hint="eastAsia" w:ascii="方正小标宋_GBK" w:hAnsi="方正小标宋_GBK" w:eastAsia="方正小标宋_GBK" w:cs="方正小标宋_GBK"/>
          <w:sz w:val="44"/>
          <w:szCs w:val="44"/>
        </w:rPr>
        <w:t>的通知</w:t>
      </w:r>
    </w:p>
    <w:p w14:paraId="353C1712">
      <w:pPr>
        <w:keepNext w:val="0"/>
        <w:keepLines w:val="0"/>
        <w:pageBreakBefore w:val="0"/>
        <w:widowControl w:val="0"/>
        <w:kinsoku/>
        <w:topLinePunct w:val="0"/>
        <w:autoSpaceDE/>
        <w:autoSpaceDN/>
        <w:bidi w:val="0"/>
        <w:adjustRightInd w:val="0"/>
        <w:snapToGrid w:val="0"/>
        <w:spacing w:line="600" w:lineRule="exact"/>
        <w:ind w:firstLine="0" w:firstLineChars="0"/>
        <w:textAlignment w:val="auto"/>
        <w:outlineLvl w:val="0"/>
        <w:rPr>
          <w:rFonts w:hint="eastAsia" w:ascii="Times New Roman" w:hAnsi="Times New Roman" w:eastAsia="方正仿宋_GBK" w:cs="Times New Roman"/>
          <w:sz w:val="32"/>
          <w:szCs w:val="32"/>
          <w:lang w:eastAsia="zh-CN"/>
        </w:rPr>
      </w:pPr>
      <w:bookmarkStart w:id="13" w:name="zs"/>
      <w:bookmarkEnd w:id="13"/>
    </w:p>
    <w:p w14:paraId="74B2D572">
      <w:pPr>
        <w:keepNext w:val="0"/>
        <w:keepLines w:val="0"/>
        <w:pageBreakBefore w:val="0"/>
        <w:widowControl w:val="0"/>
        <w:kinsoku/>
        <w:topLinePunct w:val="0"/>
        <w:autoSpaceDE/>
        <w:autoSpaceDN/>
        <w:bidi w:val="0"/>
        <w:adjustRightInd w:val="0"/>
        <w:snapToGrid w:val="0"/>
        <w:spacing w:line="600" w:lineRule="exact"/>
        <w:ind w:firstLine="0" w:firstLineChars="0"/>
        <w:textAlignment w:val="auto"/>
        <w:outlineLvl w:val="0"/>
        <w:rPr>
          <w:rFonts w:hint="eastAsia" w:ascii="方正小标宋_GBK" w:hAnsi="微软雅黑" w:eastAsia="方正小标宋_GBK" w:cs="Times New Roman"/>
          <w:color w:val="auto"/>
          <w:sz w:val="44"/>
          <w:szCs w:val="44"/>
        </w:rPr>
      </w:pPr>
      <w:r>
        <w:rPr>
          <w:rFonts w:ascii="方正仿宋_GBK" w:hAnsi="方正仿宋_GBK" w:eastAsia="方正仿宋_GBK" w:cs="方正仿宋_GBK"/>
          <w:i w:val="0"/>
          <w:iCs w:val="0"/>
          <w:caps w:val="0"/>
          <w:color w:val="auto"/>
          <w:spacing w:val="0"/>
          <w:sz w:val="32"/>
          <w:szCs w:val="32"/>
          <w:shd w:val="clear" w:fill="FFFFFF"/>
        </w:rPr>
        <w:t>各镇人民政府、各街道办事处，管委会各部门、各直属企事业单位，市驻高新区部门，有关单位</w:t>
      </w:r>
      <w:r>
        <w:rPr>
          <w:rFonts w:hint="eastAsia" w:ascii="Times New Roman" w:hAnsi="Times New Roman" w:eastAsia="方正仿宋_GBK" w:cs="Times New Roman"/>
          <w:color w:val="auto"/>
          <w:sz w:val="32"/>
          <w:szCs w:val="32"/>
        </w:rPr>
        <w:t>：</w:t>
      </w:r>
    </w:p>
    <w:p w14:paraId="3BC7CFDC">
      <w:pPr>
        <w:keepNext w:val="0"/>
        <w:keepLines w:val="0"/>
        <w:pageBreakBefore w:val="0"/>
        <w:widowControl w:val="0"/>
        <w:kinsoku/>
        <w:wordWrap w:val="0"/>
        <w:overflowPunct/>
        <w:topLinePunct w:val="0"/>
        <w:autoSpaceDE/>
        <w:autoSpaceDN/>
        <w:bidi w:val="0"/>
        <w:adjustRightInd w:val="0"/>
        <w:snapToGrid w:val="0"/>
        <w:spacing w:line="600" w:lineRule="exact"/>
        <w:ind w:firstLine="640" w:firstLineChars="200"/>
        <w:jc w:val="both"/>
        <w:textAlignment w:val="auto"/>
        <w:rPr>
          <w:rFonts w:hint="eastAsia" w:ascii="方正仿宋_GBK" w:hAnsi="方正仿宋_GBK" w:eastAsia="方正仿宋_GBK" w:cs="方正仿宋_GBK"/>
          <w:i w:val="0"/>
          <w:iCs w:val="0"/>
          <w:caps w:val="0"/>
          <w:color w:val="171A1D"/>
          <w:spacing w:val="0"/>
          <w:sz w:val="32"/>
          <w:szCs w:val="32"/>
          <w:shd w:val="clear" w:fill="FFFFFF"/>
          <w:lang w:eastAsia="zh-CN"/>
        </w:rPr>
      </w:pPr>
      <w:r>
        <w:rPr>
          <w:rFonts w:hint="eastAsia" w:ascii="方正仿宋_GBK" w:hAnsi="方正仿宋_GBK" w:eastAsia="方正仿宋_GBK" w:cs="方正仿宋_GBK"/>
          <w:color w:val="auto"/>
          <w:sz w:val="32"/>
          <w:szCs w:val="32"/>
          <w:highlight w:val="none"/>
        </w:rPr>
        <w:t>《重庆高新区国民经济和社会发展第十五个五年规划纲要》</w:t>
      </w:r>
      <w:r>
        <w:rPr>
          <w:rFonts w:hint="eastAsia" w:ascii="方正仿宋_GBK" w:hAnsi="方正仿宋_GBK" w:eastAsia="方正仿宋_GBK" w:cs="方正仿宋_GBK"/>
          <w:color w:val="auto"/>
          <w:sz w:val="32"/>
          <w:szCs w:val="32"/>
          <w:highlight w:val="none"/>
          <w:lang w:eastAsia="zh-CN"/>
        </w:rPr>
        <w:t>已</w:t>
      </w:r>
      <w:r>
        <w:rPr>
          <w:rFonts w:hint="eastAsia" w:ascii="方正仿宋_GBK" w:hAnsi="方正仿宋_GBK" w:eastAsia="方正仿宋_GBK" w:cs="方正仿宋_GBK"/>
          <w:color w:val="auto"/>
          <w:sz w:val="32"/>
          <w:szCs w:val="32"/>
          <w:highlight w:val="none"/>
          <w:lang w:val="en-US" w:eastAsia="zh-CN"/>
        </w:rPr>
        <w:t>经重庆高新区</w:t>
      </w:r>
      <w:r>
        <w:rPr>
          <w:rFonts w:hint="default" w:ascii="Times New Roman" w:hAnsi="Times New Roman" w:eastAsia="方正仿宋_GBK" w:cs="Times New Roman"/>
          <w:color w:val="auto"/>
          <w:sz w:val="32"/>
          <w:szCs w:val="32"/>
          <w:highlight w:val="none"/>
          <w:lang w:val="en-US" w:eastAsia="zh-CN"/>
        </w:rPr>
        <w:t>2026年第7次党工委会议、2026年第7次</w:t>
      </w:r>
      <w:r>
        <w:rPr>
          <w:rFonts w:hint="eastAsia" w:ascii="方正仿宋_GBK" w:hAnsi="方正仿宋_GBK" w:eastAsia="方正仿宋_GBK" w:cs="方正仿宋_GBK"/>
          <w:color w:val="auto"/>
          <w:sz w:val="32"/>
          <w:szCs w:val="32"/>
          <w:highlight w:val="none"/>
          <w:lang w:val="en-US" w:eastAsia="zh-CN"/>
        </w:rPr>
        <w:t>管委会常务会议审议同意，</w:t>
      </w:r>
      <w:r>
        <w:rPr>
          <w:rFonts w:ascii="方正仿宋_GBK" w:hAnsi="方正仿宋_GBK" w:eastAsia="方正仿宋_GBK" w:cs="方正仿宋_GBK"/>
          <w:i w:val="0"/>
          <w:iCs w:val="0"/>
          <w:caps w:val="0"/>
          <w:color w:val="000000"/>
          <w:spacing w:val="0"/>
          <w:sz w:val="31"/>
          <w:szCs w:val="31"/>
          <w:shd w:val="clear" w:fill="FFFFFF"/>
        </w:rPr>
        <w:t>现印发给你们，请认真贯彻执行。</w:t>
      </w:r>
    </w:p>
    <w:p w14:paraId="09197FF3">
      <w:pPr>
        <w:keepNext w:val="0"/>
        <w:keepLines w:val="0"/>
        <w:pageBreakBefore w:val="0"/>
        <w:widowControl w:val="0"/>
        <w:kinsoku/>
        <w:wordWrap w:val="0"/>
        <w:overflowPunct/>
        <w:topLinePunct w:val="0"/>
        <w:autoSpaceDE/>
        <w:autoSpaceDN/>
        <w:bidi w:val="0"/>
        <w:adjustRightInd w:val="0"/>
        <w:snapToGrid w:val="0"/>
        <w:spacing w:line="600" w:lineRule="exact"/>
        <w:ind w:firstLine="640" w:firstLineChars="0"/>
        <w:jc w:val="both"/>
        <w:textAlignment w:val="auto"/>
        <w:outlineLvl w:val="9"/>
        <w:rPr>
          <w:rFonts w:ascii="方正仿宋_GBK" w:hAnsi="方正仿宋_GBK" w:eastAsia="方正仿宋_GBK" w:cs="方正仿宋_GBK"/>
          <w:i w:val="0"/>
          <w:iCs w:val="0"/>
          <w:caps w:val="0"/>
          <w:color w:val="333333"/>
          <w:spacing w:val="0"/>
          <w:sz w:val="32"/>
          <w:szCs w:val="32"/>
          <w:shd w:val="clear" w:fill="FFFFFF"/>
        </w:rPr>
      </w:pPr>
    </w:p>
    <w:p w14:paraId="4322B608">
      <w:pPr>
        <w:keepNext w:val="0"/>
        <w:keepLines w:val="0"/>
        <w:pageBreakBefore w:val="0"/>
        <w:widowControl w:val="0"/>
        <w:kinsoku/>
        <w:wordWrap w:val="0"/>
        <w:overflowPunct/>
        <w:topLinePunct w:val="0"/>
        <w:autoSpaceDE/>
        <w:autoSpaceDN/>
        <w:bidi w:val="0"/>
        <w:adjustRightInd w:val="0"/>
        <w:snapToGrid w:val="0"/>
        <w:spacing w:line="600" w:lineRule="exact"/>
        <w:ind w:left="1050" w:leftChars="500" w:firstLine="0" w:firstLineChars="0"/>
        <w:jc w:val="both"/>
        <w:textAlignment w:val="auto"/>
        <w:outlineLvl w:val="9"/>
        <w:rPr>
          <w:rFonts w:hint="eastAsia" w:ascii="Times New Roman" w:hAnsi="Times New Roman" w:eastAsia="方正仿宋_GBK" w:cs="方正仿宋_GBK"/>
          <w:color w:val="000000"/>
          <w:kern w:val="2"/>
          <w:sz w:val="32"/>
          <w:szCs w:val="32"/>
          <w:lang w:val="en-US" w:eastAsia="zh-CN" w:bidi="ar-SA"/>
        </w:rPr>
      </w:pPr>
    </w:p>
    <w:p w14:paraId="10804521">
      <w:pPr>
        <w:widowControl w:val="0"/>
        <w:adjustRightInd w:val="0"/>
        <w:snapToGrid w:val="0"/>
        <w:spacing w:after="0" w:line="600" w:lineRule="exact"/>
        <w:ind w:left="0" w:leftChars="0" w:right="0" w:rightChars="0" w:firstLine="640" w:firstLineChars="200"/>
        <w:jc w:val="left"/>
        <w:rPr>
          <w:rFonts w:hint="eastAsia" w:ascii="Times New Roman" w:hAnsi="Times New Roman" w:eastAsia="方正仿宋_GBK" w:cs="方正仿宋_GBK"/>
          <w:color w:val="000000"/>
          <w:kern w:val="2"/>
          <w:sz w:val="32"/>
          <w:szCs w:val="32"/>
          <w:lang w:val="en-US" w:eastAsia="zh-CN" w:bidi="ar-SA"/>
        </w:rPr>
      </w:pPr>
      <w:r>
        <w:rPr>
          <w:rFonts w:hint="eastAsia" w:eastAsia="方正仿宋_GBK" w:asciiTheme="minorAscii" w:hAnsiTheme="minorAscii" w:cstheme="minorBidi"/>
          <w:color w:val="000000"/>
          <w:kern w:val="2"/>
          <w:sz w:val="32"/>
          <w:szCs w:val="22"/>
          <w:lang w:val="en-US" w:eastAsia="zh-CN" w:bidi="ar-SA"/>
        </w:rPr>
        <w:t>（此页无正文）</w:t>
      </w:r>
    </w:p>
    <w:p w14:paraId="7CEFA185">
      <w:pPr>
        <w:widowControl w:val="0"/>
        <w:spacing w:line="600" w:lineRule="exact"/>
        <w:ind w:firstLine="0" w:firstLineChars="0"/>
        <w:jc w:val="both"/>
        <w:rPr>
          <w:rFonts w:hint="eastAsia" w:ascii="仿宋" w:hAnsi="仿宋" w:eastAsia="仿宋" w:cs="仿宋"/>
          <w:kern w:val="2"/>
          <w:sz w:val="34"/>
          <w:szCs w:val="34"/>
          <w:lang w:val="en-US" w:eastAsia="zh-CN" w:bidi="ar-SA"/>
        </w:rPr>
      </w:pPr>
    </w:p>
    <w:p w14:paraId="2004A6A6">
      <w:pPr>
        <w:keepNext w:val="0"/>
        <w:keepLines w:val="0"/>
        <w:pageBreakBefore w:val="0"/>
        <w:widowControl w:val="0"/>
        <w:kinsoku/>
        <w:wordWrap w:val="0"/>
        <w:overflowPunct/>
        <w:topLinePunct w:val="0"/>
        <w:autoSpaceDE/>
        <w:autoSpaceDN/>
        <w:bidi w:val="0"/>
        <w:adjustRightInd w:val="0"/>
        <w:snapToGrid w:val="0"/>
        <w:spacing w:line="600" w:lineRule="exact"/>
        <w:ind w:firstLine="6080" w:firstLineChars="1900"/>
        <w:jc w:val="both"/>
        <w:textAlignment w:val="auto"/>
        <w:outlineLvl w:val="9"/>
        <w:rPr>
          <w:rFonts w:hint="eastAsia" w:ascii="Times New Roman" w:hAnsi="Times New Roman" w:eastAsia="方正仿宋_GBK" w:cs="方正仿宋_GBK"/>
          <w:color w:val="000000"/>
          <w:sz w:val="32"/>
          <w:szCs w:val="32"/>
          <w:lang w:val="en-US" w:eastAsia="zh-CN"/>
        </w:rPr>
      </w:pPr>
    </w:p>
    <w:p w14:paraId="65EBF556">
      <w:pPr>
        <w:keepNext w:val="0"/>
        <w:keepLines w:val="0"/>
        <w:pageBreakBefore w:val="0"/>
        <w:widowControl w:val="0"/>
        <w:kinsoku/>
        <w:wordWrap w:val="0"/>
        <w:overflowPunct/>
        <w:topLinePunct w:val="0"/>
        <w:autoSpaceDE/>
        <w:autoSpaceDN/>
        <w:bidi w:val="0"/>
        <w:adjustRightInd w:val="0"/>
        <w:snapToGrid w:val="0"/>
        <w:spacing w:line="600" w:lineRule="exact"/>
        <w:ind w:firstLine="6080" w:firstLineChars="1900"/>
        <w:jc w:val="both"/>
        <w:textAlignment w:val="auto"/>
        <w:outlineLvl w:val="9"/>
        <w:rPr>
          <w:rFonts w:hint="eastAsia" w:ascii="Times New Roman" w:hAnsi="Times New Roman" w:eastAsia="方正仿宋_GBK" w:cs="方正仿宋_GBK"/>
          <w:color w:val="000000"/>
          <w:sz w:val="32"/>
          <w:szCs w:val="32"/>
          <w:lang w:val="en-US" w:eastAsia="zh-CN"/>
        </w:rPr>
      </w:pPr>
    </w:p>
    <w:p w14:paraId="7543E0DD">
      <w:pPr>
        <w:keepNext w:val="0"/>
        <w:keepLines w:val="0"/>
        <w:pageBreakBefore w:val="0"/>
        <w:widowControl w:val="0"/>
        <w:kinsoku/>
        <w:wordWrap w:val="0"/>
        <w:overflowPunct/>
        <w:topLinePunct w:val="0"/>
        <w:autoSpaceDE/>
        <w:autoSpaceDN/>
        <w:bidi w:val="0"/>
        <w:adjustRightInd w:val="0"/>
        <w:snapToGrid w:val="0"/>
        <w:spacing w:line="600" w:lineRule="exact"/>
        <w:ind w:firstLine="6080" w:firstLineChars="1900"/>
        <w:jc w:val="both"/>
        <w:textAlignment w:val="auto"/>
        <w:outlineLvl w:val="9"/>
        <w:rPr>
          <w:rFonts w:hint="default" w:ascii="Times New Roman" w:hAnsi="Times New Roman" w:eastAsia="方正仿宋_GBK" w:cs="方正仿宋_GBK"/>
          <w:color w:val="000000"/>
          <w:sz w:val="32"/>
          <w:szCs w:val="32"/>
          <w:lang w:val="en-US"/>
        </w:rPr>
      </w:pPr>
      <w:r>
        <w:rPr>
          <w:rFonts w:hint="eastAsia" w:ascii="Times New Roman" w:hAnsi="Times New Roman" w:eastAsia="方正仿宋_GBK" w:cs="方正仿宋_GBK"/>
          <w:color w:val="000000"/>
          <w:sz w:val="32"/>
          <w:szCs w:val="32"/>
          <w:lang w:val="en-US" w:eastAsia="zh-CN"/>
        </w:rPr>
        <w:t>重庆高新区管委会</w:t>
      </w:r>
    </w:p>
    <w:p w14:paraId="2C60236B">
      <w:pPr>
        <w:widowControl w:val="0"/>
        <w:spacing w:line="560" w:lineRule="exact"/>
        <w:ind w:firstLine="6080" w:firstLineChars="1900"/>
        <w:jc w:val="both"/>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20</w:t>
      </w:r>
      <w:r>
        <w:rPr>
          <w:rFonts w:hint="eastAsia" w:ascii="Times New Roman" w:hAnsi="Times New Roman" w:eastAsia="方正仿宋_GBK" w:cs="方正仿宋_GBK"/>
          <w:color w:val="000000"/>
          <w:sz w:val="32"/>
          <w:szCs w:val="32"/>
          <w:lang w:val="en-US" w:eastAsia="zh-CN"/>
        </w:rPr>
        <w:t>26</w:t>
      </w:r>
      <w:r>
        <w:rPr>
          <w:rFonts w:hint="eastAsia" w:ascii="Times New Roman" w:hAnsi="Times New Roman" w:eastAsia="方正仿宋_GBK" w:cs="方正仿宋_GBK"/>
          <w:color w:val="000000"/>
          <w:sz w:val="32"/>
          <w:szCs w:val="32"/>
        </w:rPr>
        <w:t>年</w:t>
      </w:r>
      <w:r>
        <w:rPr>
          <w:rFonts w:hint="eastAsia" w:ascii="Times New Roman" w:hAnsi="Times New Roman" w:eastAsia="方正仿宋_GBK" w:cs="方正仿宋_GBK"/>
          <w:color w:val="000000"/>
          <w:sz w:val="32"/>
          <w:szCs w:val="32"/>
          <w:lang w:val="en-US" w:eastAsia="zh-CN"/>
        </w:rPr>
        <w:t>7</w:t>
      </w:r>
      <w:r>
        <w:rPr>
          <w:rFonts w:hint="eastAsia" w:ascii="Times New Roman" w:hAnsi="Times New Roman" w:eastAsia="方正仿宋_GBK" w:cs="方正仿宋_GBK"/>
          <w:color w:val="000000"/>
          <w:sz w:val="32"/>
          <w:szCs w:val="32"/>
        </w:rPr>
        <w:t>月</w:t>
      </w:r>
      <w:r>
        <w:rPr>
          <w:rFonts w:hint="eastAsia" w:ascii="Times New Roman" w:hAnsi="Times New Roman" w:eastAsia="方正仿宋_GBK" w:cs="方正仿宋_GBK"/>
          <w:color w:val="000000"/>
          <w:sz w:val="32"/>
          <w:szCs w:val="32"/>
          <w:lang w:val="en-US" w:eastAsia="zh-CN"/>
        </w:rPr>
        <w:t>14</w:t>
      </w:r>
      <w:r>
        <w:rPr>
          <w:rFonts w:hint="eastAsia" w:ascii="Times New Roman" w:hAnsi="Times New Roman" w:eastAsia="方正仿宋_GBK" w:cs="方正仿宋_GBK"/>
          <w:color w:val="000000"/>
          <w:sz w:val="32"/>
          <w:szCs w:val="32"/>
        </w:rPr>
        <w:t>日</w:t>
      </w:r>
    </w:p>
    <w:p w14:paraId="51165456">
      <w:pPr>
        <w:widowControl w:val="0"/>
        <w:adjustRightInd w:val="0"/>
        <w:snapToGrid w:val="0"/>
        <w:spacing w:line="600" w:lineRule="exact"/>
        <w:ind w:firstLine="640" w:firstLineChars="200"/>
        <w:jc w:val="left"/>
        <w:rPr>
          <w:rFonts w:hint="eastAsia" w:eastAsia="方正仿宋_GBK" w:asciiTheme="minorAscii" w:hAnsiTheme="minorAscii" w:cstheme="minorBidi"/>
          <w:color w:val="000000"/>
          <w:kern w:val="2"/>
          <w:sz w:val="32"/>
          <w:szCs w:val="22"/>
          <w:lang w:val="en-US" w:eastAsia="zh-CN" w:bidi="ar-SA"/>
        </w:rPr>
      </w:pPr>
      <w:r>
        <w:rPr>
          <w:rFonts w:hint="eastAsia" w:eastAsia="方正仿宋_GBK" w:asciiTheme="minorAscii" w:hAnsiTheme="minorAscii" w:cstheme="minorBidi"/>
          <w:color w:val="000000"/>
          <w:kern w:val="2"/>
          <w:sz w:val="32"/>
          <w:szCs w:val="22"/>
          <w:lang w:val="en-US" w:eastAsia="zh-CN" w:bidi="ar-SA"/>
        </w:rPr>
        <w:t>（</w:t>
      </w:r>
      <w:r>
        <w:rPr>
          <w:rFonts w:hint="eastAsia" w:eastAsia="方正仿宋_GBK" w:cstheme="minorBidi"/>
          <w:color w:val="000000"/>
          <w:kern w:val="2"/>
          <w:sz w:val="32"/>
          <w:szCs w:val="22"/>
          <w:lang w:val="en-US" w:eastAsia="zh-CN" w:bidi="ar-SA"/>
        </w:rPr>
        <w:t>本文有删减</w:t>
      </w:r>
      <w:r>
        <w:rPr>
          <w:rFonts w:hint="eastAsia" w:eastAsia="方正仿宋_GBK" w:asciiTheme="minorAscii" w:hAnsiTheme="minorAscii" w:cstheme="minorBidi"/>
          <w:color w:val="000000"/>
          <w:kern w:val="2"/>
          <w:sz w:val="32"/>
          <w:szCs w:val="22"/>
          <w:lang w:val="en-US" w:eastAsia="zh-CN" w:bidi="ar-SA"/>
        </w:rPr>
        <w:t>）</w:t>
      </w:r>
    </w:p>
    <w:p w14:paraId="5520CEC0">
      <w:pPr>
        <w:widowControl w:val="0"/>
        <w:adjustRightInd w:val="0"/>
        <w:snapToGrid w:val="0"/>
        <w:spacing w:line="600" w:lineRule="exact"/>
        <w:ind w:firstLine="640" w:firstLineChars="200"/>
        <w:jc w:val="left"/>
        <w:rPr>
          <w:rFonts w:hint="eastAsia" w:eastAsia="方正仿宋_GBK" w:asciiTheme="minorAscii" w:hAnsiTheme="minorAscii" w:cstheme="minorBidi"/>
          <w:color w:val="000000"/>
          <w:kern w:val="2"/>
          <w:sz w:val="32"/>
          <w:szCs w:val="22"/>
          <w:lang w:val="en-US" w:eastAsia="zh-CN" w:bidi="ar-SA"/>
        </w:rPr>
      </w:pPr>
      <w:r>
        <w:rPr>
          <w:rFonts w:hint="eastAsia" w:eastAsia="方正仿宋_GBK" w:asciiTheme="minorAscii" w:cstheme="minorBidi"/>
          <w:color w:val="000000"/>
          <w:kern w:val="2"/>
          <w:sz w:val="32"/>
          <w:szCs w:val="22"/>
          <w:lang w:val="en-US" w:eastAsia="zh-CN" w:bidi="ar-SA"/>
        </w:rPr>
        <w:t>（此件公开发布）</w:t>
      </w:r>
    </w:p>
    <w:p w14:paraId="7D6EEFD4">
      <w:pPr>
        <w:widowControl w:val="0"/>
        <w:spacing w:line="600" w:lineRule="exact"/>
        <w:ind w:firstLine="0" w:firstLineChars="0"/>
        <w:jc w:val="both"/>
        <w:rPr>
          <w:rFonts w:hint="eastAsia" w:ascii="仿宋" w:hAnsi="仿宋" w:eastAsia="仿宋" w:cs="仿宋"/>
          <w:kern w:val="2"/>
          <w:sz w:val="34"/>
          <w:szCs w:val="34"/>
          <w:highlight w:val="cyan"/>
          <w:lang w:val="en-US" w:eastAsia="zh-CN" w:bidi="ar-SA"/>
        </w:rPr>
      </w:pPr>
    </w:p>
    <w:p w14:paraId="05EF9664">
      <w:pPr>
        <w:widowControl w:val="0"/>
        <w:spacing w:line="360" w:lineRule="auto"/>
        <w:ind w:firstLine="480" w:firstLineChars="200"/>
        <w:jc w:val="both"/>
        <w:rPr>
          <w:rFonts w:hint="eastAsia" w:ascii="Times New Roman" w:eastAsia="方正仿宋_GBK" w:hAnsiTheme="minorAscii" w:cstheme="minorBidi"/>
          <w:kern w:val="2"/>
          <w:sz w:val="24"/>
          <w:szCs w:val="24"/>
          <w:lang w:val="en-US" w:eastAsia="zh-CN" w:bidi="ar-SA"/>
        </w:rPr>
      </w:pPr>
    </w:p>
    <w:p w14:paraId="6A2B6E28">
      <w:pPr>
        <w:widowControl w:val="0"/>
        <w:spacing w:line="600" w:lineRule="exact"/>
        <w:ind w:firstLine="0" w:firstLineChars="0"/>
        <w:jc w:val="both"/>
        <w:rPr>
          <w:rFonts w:hint="eastAsia" w:ascii="仿宋" w:hAnsi="仿宋" w:eastAsia="仿宋" w:cs="仿宋"/>
          <w:kern w:val="2"/>
          <w:sz w:val="34"/>
          <w:szCs w:val="34"/>
          <w:lang w:val="en-US" w:eastAsia="zh-CN" w:bidi="ar-SA"/>
        </w:rPr>
      </w:pPr>
    </w:p>
    <w:p w14:paraId="3ECC3EB5">
      <w:pPr>
        <w:widowControl w:val="0"/>
        <w:spacing w:line="360" w:lineRule="auto"/>
        <w:ind w:firstLine="480" w:firstLineChars="200"/>
        <w:jc w:val="both"/>
        <w:rPr>
          <w:rFonts w:hint="eastAsia" w:ascii="Times New Roman" w:eastAsia="方正仿宋_GBK" w:hAnsiTheme="minorAscii" w:cstheme="minorBidi"/>
          <w:kern w:val="2"/>
          <w:sz w:val="24"/>
          <w:szCs w:val="24"/>
          <w:lang w:val="en-US" w:eastAsia="zh-CN" w:bidi="ar-SA"/>
        </w:rPr>
      </w:pPr>
    </w:p>
    <w:p w14:paraId="3C3686B3">
      <w:pPr>
        <w:widowControl w:val="0"/>
        <w:spacing w:line="600" w:lineRule="exact"/>
        <w:ind w:firstLine="0" w:firstLineChars="0"/>
        <w:jc w:val="both"/>
        <w:rPr>
          <w:rFonts w:hint="eastAsia" w:ascii="仿宋" w:hAnsi="仿宋" w:eastAsia="仿宋" w:cs="仿宋"/>
          <w:kern w:val="2"/>
          <w:sz w:val="34"/>
          <w:szCs w:val="34"/>
          <w:lang w:val="en-US" w:eastAsia="zh-CN" w:bidi="ar-SA"/>
        </w:rPr>
      </w:pPr>
    </w:p>
    <w:p w14:paraId="7F53D1A9">
      <w:pPr>
        <w:widowControl w:val="0"/>
        <w:spacing w:line="360" w:lineRule="auto"/>
        <w:ind w:firstLine="480" w:firstLineChars="200"/>
        <w:jc w:val="both"/>
        <w:rPr>
          <w:rFonts w:hint="eastAsia" w:ascii="Times New Roman" w:eastAsia="方正仿宋_GBK" w:hAnsiTheme="minorAscii" w:cstheme="minorBidi"/>
          <w:kern w:val="2"/>
          <w:sz w:val="24"/>
          <w:szCs w:val="24"/>
          <w:lang w:val="en-US" w:eastAsia="zh-CN" w:bidi="ar-SA"/>
        </w:rPr>
      </w:pPr>
    </w:p>
    <w:p w14:paraId="1DF0D25A">
      <w:pPr>
        <w:widowControl w:val="0"/>
        <w:spacing w:line="600" w:lineRule="exact"/>
        <w:ind w:firstLine="0" w:firstLineChars="0"/>
        <w:jc w:val="both"/>
        <w:rPr>
          <w:rFonts w:hint="eastAsia" w:ascii="仿宋" w:hAnsi="仿宋" w:eastAsia="仿宋" w:cs="仿宋"/>
          <w:kern w:val="2"/>
          <w:sz w:val="34"/>
          <w:szCs w:val="34"/>
          <w:lang w:val="en-US" w:eastAsia="zh-CN" w:bidi="ar-SA"/>
        </w:rPr>
      </w:pPr>
    </w:p>
    <w:p w14:paraId="00FA6BF1">
      <w:pPr>
        <w:widowControl w:val="0"/>
        <w:spacing w:line="360" w:lineRule="auto"/>
        <w:ind w:firstLine="480" w:firstLineChars="200"/>
        <w:jc w:val="both"/>
        <w:rPr>
          <w:rFonts w:hint="eastAsia" w:ascii="Times New Roman" w:eastAsia="方正仿宋_GBK" w:hAnsiTheme="minorAscii" w:cstheme="minorBidi"/>
          <w:kern w:val="2"/>
          <w:sz w:val="24"/>
          <w:szCs w:val="24"/>
          <w:lang w:val="en-US" w:eastAsia="zh-CN" w:bidi="ar-SA"/>
        </w:rPr>
      </w:pPr>
    </w:p>
    <w:p w14:paraId="1E738E30">
      <w:pPr>
        <w:widowControl w:val="0"/>
        <w:spacing w:line="600" w:lineRule="exact"/>
        <w:ind w:firstLine="0" w:firstLineChars="0"/>
        <w:jc w:val="both"/>
        <w:rPr>
          <w:rFonts w:hint="eastAsia" w:ascii="仿宋" w:hAnsi="仿宋" w:eastAsia="仿宋" w:cs="仿宋"/>
          <w:kern w:val="2"/>
          <w:sz w:val="34"/>
          <w:szCs w:val="34"/>
          <w:lang w:val="en-US" w:eastAsia="zh-CN" w:bidi="ar-SA"/>
        </w:rPr>
      </w:pPr>
    </w:p>
    <w:p w14:paraId="24CD9C22">
      <w:pPr>
        <w:widowControl w:val="0"/>
        <w:spacing w:line="360" w:lineRule="auto"/>
        <w:ind w:firstLine="480" w:firstLineChars="200"/>
        <w:jc w:val="both"/>
        <w:rPr>
          <w:rFonts w:hint="eastAsia" w:ascii="Times New Roman" w:eastAsia="方正仿宋_GBK" w:hAnsiTheme="minorAscii" w:cstheme="minorBidi"/>
          <w:kern w:val="2"/>
          <w:sz w:val="24"/>
          <w:szCs w:val="24"/>
          <w:lang w:val="en-US" w:eastAsia="zh-CN" w:bidi="ar-SA"/>
        </w:rPr>
      </w:pPr>
    </w:p>
    <w:p w14:paraId="099118B1">
      <w:pPr>
        <w:widowControl w:val="0"/>
        <w:spacing w:line="600" w:lineRule="exact"/>
        <w:ind w:firstLine="0" w:firstLineChars="0"/>
        <w:jc w:val="both"/>
        <w:rPr>
          <w:rFonts w:hint="eastAsia" w:ascii="仿宋" w:hAnsi="仿宋" w:eastAsia="仿宋" w:cs="仿宋"/>
          <w:kern w:val="2"/>
          <w:sz w:val="34"/>
          <w:szCs w:val="34"/>
          <w:lang w:val="en-US" w:eastAsia="zh-CN" w:bidi="ar-SA"/>
        </w:rPr>
      </w:pPr>
    </w:p>
    <w:p w14:paraId="2F074856">
      <w:pPr>
        <w:widowControl w:val="0"/>
        <w:spacing w:line="360" w:lineRule="auto"/>
        <w:ind w:firstLine="480" w:firstLineChars="200"/>
        <w:jc w:val="both"/>
        <w:rPr>
          <w:rFonts w:hint="eastAsia" w:ascii="Times New Roman" w:eastAsia="方正仿宋_GBK" w:hAnsiTheme="minorAscii" w:cstheme="minorBidi"/>
          <w:kern w:val="2"/>
          <w:sz w:val="24"/>
          <w:szCs w:val="24"/>
          <w:lang w:val="en-US" w:eastAsia="zh-CN" w:bidi="ar-SA"/>
        </w:rPr>
      </w:pPr>
    </w:p>
    <w:p w14:paraId="7C1B548D">
      <w:pPr>
        <w:spacing w:line="560" w:lineRule="exact"/>
        <w:rPr>
          <w:rFonts w:ascii="Times New Roman" w:hAnsi="Times New Roman" w:eastAsia="方正黑体_GBK"/>
          <w:color w:val="000000" w:themeColor="text1"/>
          <w:kern w:val="0"/>
          <w:sz w:val="32"/>
          <w:szCs w:val="32"/>
          <w14:textFill>
            <w14:solidFill>
              <w14:schemeClr w14:val="tx1"/>
            </w14:solidFill>
          </w14:textFill>
        </w:rPr>
        <w:sectPr>
          <w:headerReference r:id="rId3" w:type="default"/>
          <w:footerReference r:id="rId4" w:type="default"/>
          <w:pgSz w:w="11906" w:h="16838"/>
          <w:pgMar w:top="2098" w:right="1417" w:bottom="1984"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0D62CF03">
      <w:pPr>
        <w:spacing w:line="560" w:lineRule="exact"/>
        <w:rPr>
          <w:rFonts w:ascii="Times New Roman" w:hAnsi="Times New Roman" w:eastAsia="方正黑体_GBK"/>
          <w:color w:val="000000" w:themeColor="text1"/>
          <w:kern w:val="0"/>
          <w:sz w:val="32"/>
          <w:szCs w:val="32"/>
          <w14:textFill>
            <w14:solidFill>
              <w14:schemeClr w14:val="tx1"/>
            </w14:solidFill>
          </w14:textFill>
        </w:rPr>
      </w:pPr>
    </w:p>
    <w:p w14:paraId="1272E55A">
      <w:pPr>
        <w:pStyle w:val="19"/>
        <w:overflowPunct w:val="0"/>
        <w:spacing w:beforeAutospacing="0" w:afterAutospacing="0" w:line="1000" w:lineRule="exact"/>
        <w:jc w:val="both"/>
        <w:rPr>
          <w:rFonts w:hint="eastAsia" w:ascii="方正黑体_GBK" w:hAnsi="方正黑体_GBK" w:eastAsia="方正黑体_GBK" w:cs="方正黑体_GBK"/>
          <w:color w:val="auto"/>
          <w:sz w:val="32"/>
          <w:szCs w:val="32"/>
          <w:highlight w:val="none"/>
          <w:lang w:val="en-US" w:eastAsia="zh-CN"/>
        </w:rPr>
      </w:pPr>
    </w:p>
    <w:p w14:paraId="395D272C">
      <w:pPr>
        <w:pStyle w:val="19"/>
        <w:overflowPunct w:val="0"/>
        <w:adjustRightInd w:val="0"/>
        <w:snapToGrid w:val="0"/>
        <w:spacing w:beforeAutospacing="0" w:afterAutospacing="0"/>
        <w:jc w:val="center"/>
        <w:rPr>
          <w:rFonts w:ascii="Times New Roman" w:hAnsi="Times New Roman" w:eastAsia="方正小标宋_GBK" w:cs="方正小标宋_GBK"/>
          <w:color w:val="auto"/>
          <w:sz w:val="52"/>
          <w:szCs w:val="52"/>
          <w:highlight w:val="none"/>
        </w:rPr>
      </w:pPr>
      <w:r>
        <w:rPr>
          <w:rFonts w:hint="eastAsia" w:ascii="Times New Roman" w:hAnsi="Times New Roman" w:eastAsia="方正小标宋_GBK" w:cs="方正小标宋_GBK"/>
          <w:color w:val="auto"/>
          <w:sz w:val="52"/>
          <w:szCs w:val="52"/>
          <w:highlight w:val="none"/>
        </w:rPr>
        <w:t>重庆高新区国民经济和社会发展</w:t>
      </w:r>
    </w:p>
    <w:p w14:paraId="1A5A2696">
      <w:pPr>
        <w:pStyle w:val="19"/>
        <w:overflowPunct w:val="0"/>
        <w:adjustRightInd w:val="0"/>
        <w:snapToGrid w:val="0"/>
        <w:spacing w:beforeAutospacing="0" w:afterAutospacing="0"/>
        <w:jc w:val="center"/>
        <w:rPr>
          <w:rFonts w:ascii="Times New Roman" w:hAnsi="Times New Roman" w:eastAsia="方正小标宋_GBK" w:cs="方正小标宋_GBK"/>
          <w:color w:val="auto"/>
          <w:sz w:val="52"/>
          <w:szCs w:val="52"/>
          <w:highlight w:val="none"/>
        </w:rPr>
      </w:pPr>
      <w:r>
        <w:rPr>
          <w:rFonts w:hint="eastAsia" w:ascii="Times New Roman" w:hAnsi="Times New Roman" w:eastAsia="方正小标宋_GBK" w:cs="方正小标宋_GBK"/>
          <w:color w:val="auto"/>
          <w:sz w:val="52"/>
          <w:szCs w:val="52"/>
          <w:highlight w:val="none"/>
        </w:rPr>
        <w:t>第十五个五年规划纲要</w:t>
      </w:r>
    </w:p>
    <w:p w14:paraId="67D4EF0B">
      <w:pPr>
        <w:pStyle w:val="19"/>
        <w:overflowPunct w:val="0"/>
        <w:adjustRightInd w:val="0"/>
        <w:snapToGrid w:val="0"/>
        <w:spacing w:beforeAutospacing="0" w:afterAutospacing="0"/>
        <w:jc w:val="center"/>
        <w:rPr>
          <w:rFonts w:hint="eastAsia" w:ascii="方正楷体_GBK" w:hAnsi="方正楷体_GBK" w:eastAsia="方正楷体_GBK" w:cs="方正楷体_GBK"/>
          <w:color w:val="auto"/>
          <w:sz w:val="36"/>
          <w:szCs w:val="36"/>
          <w:highlight w:val="none"/>
        </w:rPr>
      </w:pPr>
    </w:p>
    <w:p w14:paraId="3DA77966">
      <w:pPr>
        <w:pStyle w:val="19"/>
        <w:overflowPunct w:val="0"/>
        <w:spacing w:beforeAutospacing="0" w:afterAutospacing="0"/>
        <w:jc w:val="both"/>
        <w:rPr>
          <w:rFonts w:ascii="Times New Roman" w:hAnsi="Times New Roman" w:eastAsia="方正仿宋_GBK" w:cs="方正仿宋_GBK"/>
          <w:color w:val="auto"/>
          <w:sz w:val="32"/>
          <w:szCs w:val="32"/>
          <w:highlight w:val="none"/>
        </w:rPr>
      </w:pPr>
    </w:p>
    <w:p w14:paraId="6D2DA0D4">
      <w:pPr>
        <w:pStyle w:val="19"/>
        <w:overflowPunct w:val="0"/>
        <w:spacing w:beforeAutospacing="0" w:afterAutospacing="0"/>
        <w:jc w:val="both"/>
        <w:rPr>
          <w:rFonts w:ascii="Times New Roman" w:hAnsi="Times New Roman" w:eastAsia="方正仿宋_GBK" w:cs="方正仿宋_GBK"/>
          <w:color w:val="auto"/>
          <w:sz w:val="32"/>
          <w:szCs w:val="32"/>
          <w:highlight w:val="none"/>
        </w:rPr>
      </w:pPr>
    </w:p>
    <w:p w14:paraId="6120CBA0">
      <w:pPr>
        <w:pStyle w:val="19"/>
        <w:overflowPunct w:val="0"/>
        <w:spacing w:beforeAutospacing="0" w:afterAutospacing="0"/>
        <w:jc w:val="both"/>
        <w:rPr>
          <w:rFonts w:ascii="Times New Roman" w:hAnsi="Times New Roman" w:eastAsia="方正仿宋_GBK" w:cs="方正仿宋_GBK"/>
          <w:color w:val="auto"/>
          <w:sz w:val="32"/>
          <w:szCs w:val="32"/>
          <w:highlight w:val="none"/>
        </w:rPr>
      </w:pPr>
    </w:p>
    <w:p w14:paraId="4F2A47C6">
      <w:pPr>
        <w:pStyle w:val="19"/>
        <w:overflowPunct w:val="0"/>
        <w:spacing w:beforeAutospacing="0" w:afterAutospacing="0"/>
        <w:jc w:val="both"/>
        <w:rPr>
          <w:rFonts w:ascii="Times New Roman" w:hAnsi="Times New Roman" w:eastAsia="方正仿宋_GBK" w:cs="方正仿宋_GBK"/>
          <w:color w:val="auto"/>
          <w:sz w:val="32"/>
          <w:szCs w:val="32"/>
          <w:highlight w:val="none"/>
        </w:rPr>
      </w:pPr>
    </w:p>
    <w:p w14:paraId="653B488F">
      <w:pPr>
        <w:pStyle w:val="19"/>
        <w:overflowPunct w:val="0"/>
        <w:spacing w:beforeAutospacing="0" w:afterAutospacing="0"/>
        <w:jc w:val="both"/>
        <w:rPr>
          <w:rFonts w:ascii="Times New Roman" w:hAnsi="Times New Roman" w:eastAsia="方正仿宋_GBK" w:cs="方正仿宋_GBK"/>
          <w:color w:val="auto"/>
          <w:sz w:val="32"/>
          <w:szCs w:val="32"/>
          <w:highlight w:val="none"/>
        </w:rPr>
      </w:pPr>
    </w:p>
    <w:p w14:paraId="5B6DB238">
      <w:pPr>
        <w:pStyle w:val="19"/>
        <w:overflowPunct w:val="0"/>
        <w:spacing w:beforeAutospacing="0" w:afterAutospacing="0"/>
        <w:jc w:val="both"/>
        <w:rPr>
          <w:rFonts w:ascii="Times New Roman" w:hAnsi="Times New Roman" w:eastAsia="方正仿宋_GBK" w:cs="方正仿宋_GBK"/>
          <w:color w:val="auto"/>
          <w:sz w:val="32"/>
          <w:szCs w:val="32"/>
          <w:highlight w:val="none"/>
        </w:rPr>
      </w:pPr>
    </w:p>
    <w:p w14:paraId="4E8214AF">
      <w:pPr>
        <w:pStyle w:val="19"/>
        <w:overflowPunct w:val="0"/>
        <w:spacing w:beforeAutospacing="0" w:afterAutospacing="0"/>
        <w:jc w:val="both"/>
        <w:rPr>
          <w:rFonts w:ascii="Times New Roman" w:hAnsi="Times New Roman" w:eastAsia="方正仿宋_GBK" w:cs="方正仿宋_GBK"/>
          <w:color w:val="auto"/>
          <w:sz w:val="32"/>
          <w:szCs w:val="32"/>
          <w:highlight w:val="none"/>
        </w:rPr>
      </w:pPr>
    </w:p>
    <w:p w14:paraId="2B227D14">
      <w:pPr>
        <w:pStyle w:val="19"/>
        <w:tabs>
          <w:tab w:val="left" w:pos="6568"/>
        </w:tabs>
        <w:overflowPunct w:val="0"/>
        <w:spacing w:beforeAutospacing="0" w:afterAutospacing="0"/>
        <w:jc w:val="both"/>
        <w:rPr>
          <w:rFonts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ab/>
      </w:r>
    </w:p>
    <w:p w14:paraId="3AECA951">
      <w:pPr>
        <w:pStyle w:val="19"/>
        <w:tabs>
          <w:tab w:val="left" w:pos="6568"/>
        </w:tabs>
        <w:overflowPunct w:val="0"/>
        <w:spacing w:beforeAutospacing="0" w:afterAutospacing="0"/>
        <w:ind w:firstLine="3520" w:firstLineChars="1100"/>
        <w:jc w:val="both"/>
        <w:rPr>
          <w:rFonts w:hint="eastAsia" w:ascii="Times New Roman" w:hAnsi="Times New Roman" w:eastAsia="方正仿宋_GBK" w:cs="方正仿宋_GBK"/>
          <w:color w:val="auto"/>
          <w:sz w:val="32"/>
          <w:szCs w:val="32"/>
          <w:highlight w:val="none"/>
          <w:lang w:eastAsia="zh-CN"/>
        </w:rPr>
      </w:pPr>
    </w:p>
    <w:p w14:paraId="2E8EA949">
      <w:pPr>
        <w:pStyle w:val="19"/>
        <w:tabs>
          <w:tab w:val="left" w:pos="6568"/>
        </w:tabs>
        <w:overflowPunct w:val="0"/>
        <w:spacing w:beforeAutospacing="0" w:afterAutospacing="0"/>
        <w:ind w:firstLine="3520" w:firstLineChars="1100"/>
        <w:jc w:val="both"/>
        <w:rPr>
          <w:rFonts w:hint="eastAsia" w:ascii="Times New Roman" w:hAnsi="Times New Roman" w:eastAsia="方正仿宋_GBK" w:cs="方正仿宋_GBK"/>
          <w:color w:val="auto"/>
          <w:sz w:val="32"/>
          <w:szCs w:val="32"/>
          <w:highlight w:val="none"/>
          <w:lang w:eastAsia="zh-CN"/>
        </w:rPr>
      </w:pPr>
    </w:p>
    <w:p w14:paraId="76A9D22D">
      <w:pPr>
        <w:pStyle w:val="19"/>
        <w:tabs>
          <w:tab w:val="left" w:pos="6568"/>
        </w:tabs>
        <w:overflowPunct w:val="0"/>
        <w:spacing w:beforeAutospacing="0" w:afterAutospacing="0"/>
        <w:ind w:firstLine="3520" w:firstLineChars="1100"/>
        <w:jc w:val="both"/>
        <w:rPr>
          <w:rFonts w:hint="eastAsia" w:ascii="Times New Roman" w:hAnsi="Times New Roman" w:eastAsia="方正仿宋_GBK" w:cs="方正仿宋_GBK"/>
          <w:color w:val="auto"/>
          <w:sz w:val="32"/>
          <w:szCs w:val="32"/>
          <w:highlight w:val="none"/>
          <w:lang w:eastAsia="zh-CN"/>
        </w:rPr>
      </w:pPr>
    </w:p>
    <w:p w14:paraId="2D47C39E">
      <w:pPr>
        <w:pStyle w:val="19"/>
        <w:tabs>
          <w:tab w:val="left" w:pos="6568"/>
        </w:tabs>
        <w:overflowPunct w:val="0"/>
        <w:spacing w:beforeAutospacing="0" w:afterAutospacing="0"/>
        <w:ind w:firstLine="0" w:firstLineChars="0"/>
        <w:jc w:val="center"/>
        <w:rPr>
          <w:rFonts w:hint="eastAsia" w:ascii="方正楷体_GBK" w:hAnsi="方正楷体_GBK" w:eastAsia="方正楷体_GBK" w:cs="方正楷体_GBK"/>
          <w:color w:val="auto"/>
          <w:sz w:val="32"/>
          <w:szCs w:val="32"/>
          <w:highlight w:val="none"/>
          <w:lang w:eastAsia="zh-CN"/>
        </w:rPr>
      </w:pPr>
      <w:r>
        <w:rPr>
          <w:rFonts w:hint="eastAsia" w:ascii="方正楷体_GBK" w:hAnsi="方正楷体_GBK" w:eastAsia="方正楷体_GBK" w:cs="方正楷体_GBK"/>
          <w:color w:val="auto"/>
          <w:sz w:val="32"/>
          <w:szCs w:val="32"/>
          <w:highlight w:val="none"/>
          <w:lang w:eastAsia="zh-CN"/>
        </w:rPr>
        <w:t>重庆高新区管委会</w:t>
      </w:r>
    </w:p>
    <w:p w14:paraId="39428FAE">
      <w:pPr>
        <w:pStyle w:val="19"/>
        <w:tabs>
          <w:tab w:val="left" w:pos="6568"/>
        </w:tabs>
        <w:overflowPunct w:val="0"/>
        <w:spacing w:beforeAutospacing="0" w:afterAutospacing="0"/>
        <w:ind w:firstLine="0" w:firstLineChars="0"/>
        <w:jc w:val="center"/>
        <w:rPr>
          <w:rFonts w:hint="eastAsia" w:ascii="方正楷体_GBK" w:hAnsi="方正楷体_GBK" w:eastAsia="方正楷体_GBK" w:cs="方正楷体_GBK"/>
          <w:color w:val="auto"/>
          <w:sz w:val="32"/>
          <w:szCs w:val="32"/>
          <w:highlight w:val="none"/>
          <w:lang w:val="en-US" w:eastAsia="zh-CN"/>
        </w:rPr>
      </w:pPr>
      <w:r>
        <w:rPr>
          <w:rFonts w:hint="eastAsia" w:ascii="方正楷体_GBK" w:hAnsi="方正楷体_GBK" w:eastAsia="方正楷体_GBK" w:cs="方正楷体_GBK"/>
          <w:color w:val="auto"/>
          <w:sz w:val="32"/>
          <w:szCs w:val="32"/>
          <w:highlight w:val="none"/>
          <w:lang w:val="en-US" w:eastAsia="zh-CN"/>
        </w:rPr>
        <w:t>2026年7月</w:t>
      </w:r>
    </w:p>
    <w:p w14:paraId="1EE95B96">
      <w:pPr>
        <w:pStyle w:val="11"/>
        <w:overflowPunct w:val="0"/>
        <w:adjustRightInd w:val="0"/>
        <w:snapToGrid w:val="0"/>
        <w:spacing w:line="600" w:lineRule="exact"/>
        <w:ind w:firstLine="0"/>
        <w:jc w:val="center"/>
        <w:rPr>
          <w:rFonts w:ascii="Times New Roman" w:hAnsi="Times New Roman" w:eastAsia="方正楷体_GBK"/>
          <w:color w:val="auto"/>
          <w:kern w:val="0"/>
          <w:sz w:val="36"/>
          <w:szCs w:val="36"/>
          <w:highlight w:val="none"/>
        </w:rPr>
      </w:pPr>
    </w:p>
    <w:p w14:paraId="55810C56">
      <w:pPr>
        <w:jc w:val="center"/>
        <w:rPr>
          <w:rFonts w:ascii="Times New Roman" w:hAnsi="Times New Roman" w:eastAsia="方正小标宋_GBK"/>
          <w:color w:val="auto"/>
          <w:sz w:val="44"/>
          <w:szCs w:val="44"/>
          <w:highlight w:val="none"/>
        </w:rPr>
        <w:sectPr>
          <w:headerReference r:id="rId5" w:type="default"/>
          <w:footerReference r:id="rId6" w:type="default"/>
          <w:pgSz w:w="11906" w:h="16838"/>
          <w:pgMar w:top="2098" w:right="1417" w:bottom="1984"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sdt>
      <w:sdtPr>
        <w:rPr>
          <w:rFonts w:ascii="宋体" w:hAnsi="宋体" w:eastAsia="宋体" w:cs="Times New Roman"/>
          <w:color w:val="auto"/>
          <w:kern w:val="0"/>
          <w:sz w:val="24"/>
          <w:highlight w:val="none"/>
        </w:rPr>
        <w:id w:val="147473776"/>
        <w15:color w:val="DBDBDB"/>
        <w:docPartObj>
          <w:docPartGallery w:val="Table of Contents"/>
          <w:docPartUnique/>
        </w:docPartObj>
      </w:sdtPr>
      <w:sdtEndPr>
        <w:rPr>
          <w:rFonts w:hint="eastAsia" w:ascii="Times New Roman" w:hAnsi="Times New Roman" w:eastAsia="方正小标宋_GBK" w:cs="方正小标宋_GBK"/>
          <w:color w:val="auto"/>
          <w:kern w:val="0"/>
          <w:sz w:val="24"/>
          <w:szCs w:val="44"/>
          <w:highlight w:val="none"/>
          <w:lang w:bidi="ar"/>
        </w:rPr>
      </w:sdtEndPr>
      <w:sdtContent>
        <w:p w14:paraId="722E9183">
          <w:pPr>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 xml:space="preserve">目 </w:t>
          </w:r>
          <w:r>
            <w:rPr>
              <w:rFonts w:hint="eastAsia" w:ascii="方正小标宋_GBK" w:hAnsi="方正小标宋_GBK" w:eastAsia="方正小标宋_GBK" w:cs="方正小标宋_GBK"/>
              <w:color w:val="auto"/>
              <w:sz w:val="44"/>
              <w:szCs w:val="44"/>
              <w:highlight w:val="none"/>
              <w:lang w:val="en-US" w:eastAsia="zh-CN"/>
            </w:rPr>
            <w:t xml:space="preserve"> </w:t>
          </w:r>
          <w:r>
            <w:rPr>
              <w:rFonts w:hint="eastAsia" w:ascii="方正小标宋_GBK" w:hAnsi="方正小标宋_GBK" w:eastAsia="方正小标宋_GBK" w:cs="方正小标宋_GBK"/>
              <w:color w:val="auto"/>
              <w:sz w:val="44"/>
              <w:szCs w:val="44"/>
              <w:highlight w:val="none"/>
            </w:rPr>
            <w:t>录</w:t>
          </w:r>
        </w:p>
        <w:p w14:paraId="4163F388">
          <w:pPr>
            <w:pStyle w:val="15"/>
            <w:tabs>
              <w:tab w:val="right" w:leader="middleDot" w:pos="9072"/>
            </w:tabs>
            <w:rPr>
              <w:rFonts w:hint="eastAsia" w:ascii="Times New Roman" w:hAnsi="Times New Roman" w:eastAsia="方正小标宋_GBK"/>
              <w:sz w:val="32"/>
              <w:szCs w:val="32"/>
              <w:lang w:eastAsia="zh-CN"/>
            </w:rPr>
          </w:pPr>
          <w:r>
            <w:rPr>
              <w:rFonts w:hint="eastAsia" w:ascii="Times New Roman" w:hAnsi="Times New Roman" w:eastAsia="方正小标宋_GBK" w:cs="方正小标宋_GBK"/>
              <w:color w:val="auto"/>
              <w:sz w:val="32"/>
              <w:szCs w:val="32"/>
              <w:highlight w:val="none"/>
            </w:rPr>
            <w:fldChar w:fldCharType="begin"/>
          </w:r>
          <w:r>
            <w:rPr>
              <w:rFonts w:hint="eastAsia" w:ascii="Times New Roman" w:hAnsi="Times New Roman" w:eastAsia="方正小标宋_GBK" w:cs="方正小标宋_GBK"/>
              <w:color w:val="auto"/>
              <w:sz w:val="32"/>
              <w:szCs w:val="32"/>
              <w:highlight w:val="none"/>
            </w:rPr>
            <w:instrText xml:space="preserve">TOC \o "1-3" \h \u </w:instrText>
          </w:r>
          <w:r>
            <w:rPr>
              <w:rFonts w:hint="eastAsia" w:ascii="Times New Roman" w:hAnsi="Times New Roman" w:eastAsia="方正小标宋_GBK" w:cs="方正小标宋_GBK"/>
              <w:color w:val="auto"/>
              <w:sz w:val="32"/>
              <w:szCs w:val="32"/>
              <w:highlight w:val="none"/>
            </w:rPr>
            <w:fldChar w:fldCharType="separate"/>
          </w:r>
          <w:r>
            <w:rPr>
              <w:rFonts w:hint="eastAsia" w:ascii="Times New Roman" w:hAnsi="Times New Roman" w:eastAsia="方正小标宋_GBK" w:cs="方正小标宋_GBK"/>
              <w:color w:val="auto"/>
              <w:sz w:val="32"/>
              <w:szCs w:val="32"/>
              <w:highlight w:val="none"/>
            </w:rPr>
            <w:fldChar w:fldCharType="begin"/>
          </w:r>
          <w:r>
            <w:rPr>
              <w:rFonts w:hint="eastAsia" w:ascii="Times New Roman" w:hAnsi="Times New Roman" w:eastAsia="方正小标宋_GBK" w:cs="方正小标宋_GBK"/>
              <w:sz w:val="32"/>
              <w:szCs w:val="32"/>
              <w:highlight w:val="none"/>
            </w:rPr>
            <w:instrText xml:space="preserve"> HYPERLINK \l _Toc22913 </w:instrText>
          </w:r>
          <w:r>
            <w:rPr>
              <w:rFonts w:hint="eastAsia" w:ascii="Times New Roman" w:hAnsi="Times New Roman" w:eastAsia="方正小标宋_GBK" w:cs="方正小标宋_GBK"/>
              <w:sz w:val="32"/>
              <w:szCs w:val="32"/>
              <w:highlight w:val="none"/>
            </w:rPr>
            <w:fldChar w:fldCharType="separate"/>
          </w:r>
          <w:r>
            <w:rPr>
              <w:rFonts w:hint="eastAsia" w:ascii="Times New Roman" w:hAnsi="Times New Roman" w:eastAsia="方正黑体_GBK" w:cs="方正黑体_GBK"/>
              <w:sz w:val="32"/>
              <w:szCs w:val="32"/>
              <w:highlight w:val="none"/>
            </w:rPr>
            <w:t>第一篇 新时代新阶段新起点</w:t>
          </w:r>
          <w:r>
            <w:rPr>
              <w:rFonts w:hint="eastAsia" w:ascii="Times New Roman" w:hAnsi="Times New Roman" w:eastAsia="方正小标宋_GBK" w:cs="方正小标宋_GBK"/>
              <w:color w:val="auto"/>
              <w:sz w:val="32"/>
              <w:szCs w:val="32"/>
              <w:highlight w:val="none"/>
            </w:rPr>
            <w:fldChar w:fldCharType="end"/>
          </w:r>
          <w:r>
            <w:rPr>
              <w:rFonts w:hint="eastAsia" w:ascii="Times New Roman" w:hAnsi="Times New Roman" w:eastAsia="方正小标宋_GBK" w:cs="方正小标宋_GBK"/>
              <w:color w:val="auto"/>
              <w:sz w:val="32"/>
              <w:szCs w:val="32"/>
              <w:highlight w:val="none"/>
              <w:lang w:val="en-US" w:eastAsia="zh-CN"/>
            </w:rPr>
            <w:t xml:space="preserve"> </w:t>
          </w:r>
          <w:r>
            <w:rPr>
              <w:rFonts w:hint="eastAsia" w:ascii="Times New Roman" w:hAnsi="Times New Roman" w:eastAsia="方正小标宋_GBK" w:cs="方正小标宋_GBK"/>
              <w:color w:val="auto"/>
              <w:sz w:val="32"/>
              <w:szCs w:val="32"/>
              <w:highlight w:val="none"/>
            </w:rPr>
            <w:fldChar w:fldCharType="begin"/>
          </w:r>
          <w:r>
            <w:rPr>
              <w:rFonts w:hint="eastAsia" w:ascii="Times New Roman" w:hAnsi="Times New Roman" w:eastAsia="方正小标宋_GBK" w:cs="方正小标宋_GBK"/>
              <w:sz w:val="32"/>
              <w:szCs w:val="32"/>
              <w:highlight w:val="none"/>
            </w:rPr>
            <w:instrText xml:space="preserve"> HYPERLINK \l _Toc17348 </w:instrText>
          </w:r>
          <w:r>
            <w:rPr>
              <w:rFonts w:hint="eastAsia" w:ascii="Times New Roman" w:hAnsi="Times New Roman" w:eastAsia="方正小标宋_GBK" w:cs="方正小标宋_GBK"/>
              <w:sz w:val="32"/>
              <w:szCs w:val="32"/>
              <w:highlight w:val="none"/>
            </w:rPr>
            <w:fldChar w:fldCharType="separate"/>
          </w:r>
          <w:r>
            <w:rPr>
              <w:rFonts w:hint="eastAsia" w:ascii="Times New Roman" w:hAnsi="Times New Roman" w:eastAsia="方正黑体_GBK" w:cs="方正黑体_GBK"/>
              <w:sz w:val="32"/>
              <w:szCs w:val="32"/>
              <w:highlight w:val="none"/>
            </w:rPr>
            <w:t>全面提升服务全市发展大局的能力和贡献度</w:t>
          </w:r>
          <w:r>
            <w:rPr>
              <w:rFonts w:ascii="Times New Roman" w:hAnsi="Times New Roman"/>
              <w:sz w:val="32"/>
              <w:szCs w:val="32"/>
            </w:rPr>
            <w:tab/>
          </w:r>
          <w:r>
            <w:rPr>
              <w:rFonts w:hint="eastAsia" w:ascii="Times New Roman" w:hAnsi="Times New Roman" w:eastAsia="方正楷体_GBK"/>
              <w:sz w:val="32"/>
              <w:szCs w:val="32"/>
              <w:lang w:eastAsia="zh-CN"/>
            </w:rPr>
            <w:t>（</w:t>
          </w:r>
          <w:r>
            <w:rPr>
              <w:rFonts w:ascii="Times New Roman" w:hAnsi="Times New Roman"/>
              <w:sz w:val="32"/>
              <w:szCs w:val="32"/>
            </w:rPr>
            <w:fldChar w:fldCharType="begin"/>
          </w:r>
          <w:r>
            <w:rPr>
              <w:rFonts w:ascii="Times New Roman" w:hAnsi="Times New Roman"/>
              <w:sz w:val="32"/>
              <w:szCs w:val="32"/>
            </w:rPr>
            <w:instrText xml:space="preserve"> PAGEREF _Toc17348 \h </w:instrText>
          </w:r>
          <w:r>
            <w:rPr>
              <w:rFonts w:ascii="Times New Roman" w:hAnsi="Times New Roman"/>
              <w:sz w:val="32"/>
              <w:szCs w:val="32"/>
            </w:rPr>
            <w:fldChar w:fldCharType="separate"/>
          </w:r>
          <w:r>
            <w:rPr>
              <w:rFonts w:ascii="Times New Roman" w:hAnsi="Times New Roman"/>
              <w:sz w:val="32"/>
              <w:szCs w:val="32"/>
            </w:rPr>
            <w:t>1</w:t>
          </w:r>
          <w:r>
            <w:rPr>
              <w:rFonts w:ascii="Times New Roman" w:hAnsi="Times New Roman"/>
              <w:sz w:val="32"/>
              <w:szCs w:val="32"/>
            </w:rPr>
            <w:fldChar w:fldCharType="end"/>
          </w:r>
          <w:r>
            <w:rPr>
              <w:rFonts w:hint="eastAsia" w:ascii="Times New Roman" w:hAnsi="Times New Roman" w:eastAsia="方正小标宋_GBK" w:cs="方正小标宋_GBK"/>
              <w:color w:val="auto"/>
              <w:sz w:val="32"/>
              <w:szCs w:val="32"/>
              <w:highlight w:val="none"/>
            </w:rPr>
            <w:fldChar w:fldCharType="end"/>
          </w:r>
          <w:r>
            <w:rPr>
              <w:rFonts w:hint="eastAsia" w:ascii="Times New Roman" w:hAnsi="Times New Roman" w:eastAsia="方正楷体_GBK"/>
              <w:sz w:val="32"/>
              <w:szCs w:val="32"/>
              <w:lang w:eastAsia="zh-CN"/>
            </w:rPr>
            <w:t>）</w:t>
          </w:r>
        </w:p>
        <w:p w14:paraId="402E7A86">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_Toc19324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lang w:val="en-US" w:eastAsia="zh-CN"/>
            </w:rPr>
            <w:t xml:space="preserve">第一章 </w:t>
          </w:r>
          <w:r>
            <w:rPr>
              <w:rFonts w:hint="eastAsia" w:ascii="Times New Roman" w:hAnsi="Times New Roman" w:eastAsia="方正楷体_GBK"/>
              <w:sz w:val="32"/>
              <w:szCs w:val="32"/>
            </w:rPr>
            <w:t>“十四五”发展成效</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_Toc19324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2</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32982C73">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_Toc26814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lang w:val="en-US" w:eastAsia="zh-CN"/>
            </w:rPr>
            <w:t xml:space="preserve">第二章 </w:t>
          </w:r>
          <w:r>
            <w:rPr>
              <w:rFonts w:hint="eastAsia" w:ascii="Times New Roman" w:hAnsi="Times New Roman" w:eastAsia="方正楷体_GBK"/>
              <w:sz w:val="32"/>
              <w:szCs w:val="32"/>
            </w:rPr>
            <w:t>“十五五”发展形势</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_Toc26814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5</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56635588">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_Toc7139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第三章 总体要求</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_Toc7139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7</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3EB2F27B">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_Toc10532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指导思想</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_Toc10532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7</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46A95AC2">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_Toc30469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主要原则</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_Toc30469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8</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632F0FF2">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_Toc12132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发展目标</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_Toc12132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9</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58993623">
          <w:pPr>
            <w:pStyle w:val="15"/>
            <w:tabs>
              <w:tab w:val="right" w:leader="middleDot" w:pos="9072"/>
            </w:tabs>
            <w:rPr>
              <w:rFonts w:ascii="Times New Roman" w:hAnsi="Times New Roman"/>
              <w:sz w:val="32"/>
              <w:szCs w:val="32"/>
            </w:rPr>
          </w:pPr>
          <w:r>
            <w:rPr>
              <w:rFonts w:hint="eastAsia" w:ascii="Times New Roman" w:hAnsi="Times New Roman" w:eastAsia="方正小标宋_GBK" w:cs="方正小标宋_GBK"/>
              <w:color w:val="auto"/>
              <w:sz w:val="32"/>
              <w:szCs w:val="32"/>
              <w:highlight w:val="none"/>
            </w:rPr>
            <w:fldChar w:fldCharType="begin"/>
          </w:r>
          <w:r>
            <w:rPr>
              <w:rFonts w:hint="eastAsia" w:ascii="Times New Roman" w:hAnsi="Times New Roman" w:eastAsia="方正小标宋_GBK" w:cs="方正小标宋_GBK"/>
              <w:sz w:val="32"/>
              <w:szCs w:val="32"/>
              <w:highlight w:val="none"/>
            </w:rPr>
            <w:instrText xml:space="preserve"> HYPERLINK \l _Toc22380 </w:instrText>
          </w:r>
          <w:r>
            <w:rPr>
              <w:rFonts w:hint="eastAsia" w:ascii="Times New Roman" w:hAnsi="Times New Roman" w:eastAsia="方正小标宋_GBK" w:cs="方正小标宋_GBK"/>
              <w:sz w:val="32"/>
              <w:szCs w:val="32"/>
              <w:highlight w:val="none"/>
            </w:rPr>
            <w:fldChar w:fldCharType="separate"/>
          </w:r>
          <w:r>
            <w:rPr>
              <w:rFonts w:hint="eastAsia" w:ascii="Times New Roman" w:hAnsi="Times New Roman" w:eastAsia="方正黑体_GBK" w:cs="方正黑体_GBK"/>
              <w:sz w:val="32"/>
              <w:szCs w:val="32"/>
              <w:highlight w:val="none"/>
            </w:rPr>
            <w:t>第</w:t>
          </w:r>
          <w:r>
            <w:rPr>
              <w:rFonts w:hint="eastAsia" w:ascii="Times New Roman" w:hAnsi="Times New Roman" w:eastAsia="方正黑体_GBK" w:cs="方正黑体_GBK"/>
              <w:sz w:val="32"/>
              <w:szCs w:val="32"/>
              <w:highlight w:val="none"/>
              <w:lang w:val="en-US" w:eastAsia="zh-CN"/>
            </w:rPr>
            <w:t>二</w:t>
          </w:r>
          <w:r>
            <w:rPr>
              <w:rFonts w:hint="eastAsia" w:ascii="Times New Roman" w:hAnsi="Times New Roman" w:eastAsia="方正黑体_GBK" w:cs="方正黑体_GBK"/>
              <w:sz w:val="32"/>
              <w:szCs w:val="32"/>
              <w:highlight w:val="none"/>
            </w:rPr>
            <w:t>篇 建设引领全市、支撑成渝的高能级创新极核</w:t>
          </w:r>
          <w:r>
            <w:rPr>
              <w:rFonts w:ascii="Times New Roman" w:hAnsi="Times New Roman"/>
              <w:sz w:val="32"/>
              <w:szCs w:val="32"/>
            </w:rPr>
            <w:tab/>
          </w:r>
          <w:r>
            <w:rPr>
              <w:rFonts w:hint="eastAsia" w:ascii="Times New Roman" w:hAnsi="Times New Roman" w:eastAsia="方正楷体_GBK"/>
              <w:sz w:val="32"/>
              <w:szCs w:val="32"/>
              <w:lang w:eastAsia="zh-CN"/>
            </w:rPr>
            <w:t>（</w:t>
          </w:r>
          <w:r>
            <w:rPr>
              <w:rFonts w:ascii="Times New Roman" w:hAnsi="Times New Roman"/>
              <w:sz w:val="32"/>
              <w:szCs w:val="32"/>
            </w:rPr>
            <w:fldChar w:fldCharType="begin"/>
          </w:r>
          <w:r>
            <w:rPr>
              <w:rFonts w:ascii="Times New Roman" w:hAnsi="Times New Roman"/>
              <w:sz w:val="32"/>
              <w:szCs w:val="32"/>
            </w:rPr>
            <w:instrText xml:space="preserve"> PAGEREF _Toc22380 \h </w:instrText>
          </w:r>
          <w:r>
            <w:rPr>
              <w:rFonts w:ascii="Times New Roman" w:hAnsi="Times New Roman"/>
              <w:sz w:val="32"/>
              <w:szCs w:val="32"/>
            </w:rPr>
            <w:fldChar w:fldCharType="separate"/>
          </w:r>
          <w:r>
            <w:rPr>
              <w:rFonts w:ascii="Times New Roman" w:hAnsi="Times New Roman"/>
              <w:sz w:val="32"/>
              <w:szCs w:val="32"/>
            </w:rPr>
            <w:t>14</w:t>
          </w:r>
          <w:r>
            <w:rPr>
              <w:rFonts w:ascii="Times New Roman" w:hAnsi="Times New Roman"/>
              <w:sz w:val="32"/>
              <w:szCs w:val="32"/>
            </w:rPr>
            <w:fldChar w:fldCharType="end"/>
          </w:r>
          <w:r>
            <w:rPr>
              <w:rFonts w:hint="eastAsia" w:ascii="Times New Roman" w:hAnsi="Times New Roman" w:eastAsia="方正小标宋_GBK" w:cs="方正小标宋_GBK"/>
              <w:color w:val="auto"/>
              <w:sz w:val="32"/>
              <w:szCs w:val="32"/>
              <w:highlight w:val="none"/>
            </w:rPr>
            <w:fldChar w:fldCharType="end"/>
          </w:r>
          <w:r>
            <w:rPr>
              <w:rFonts w:hint="eastAsia" w:ascii="Times New Roman" w:hAnsi="Times New Roman" w:eastAsia="方正楷体_GBK"/>
              <w:sz w:val="32"/>
              <w:szCs w:val="32"/>
              <w:lang w:eastAsia="zh-CN"/>
            </w:rPr>
            <w:t>）</w:t>
          </w:r>
        </w:p>
        <w:p w14:paraId="05787876">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_Toc1626 </w:instrText>
          </w:r>
          <w:r>
            <w:rPr>
              <w:rFonts w:hint="eastAsia" w:ascii="Times New Roman" w:hAnsi="Times New Roman" w:eastAsia="方正楷体_GBK"/>
              <w:sz w:val="32"/>
              <w:szCs w:val="32"/>
            </w:rPr>
            <w:fldChar w:fldCharType="separate"/>
          </w:r>
          <w:r>
            <w:rPr>
              <w:rFonts w:ascii="Times New Roman" w:hAnsi="Times New Roman" w:eastAsia="方正楷体_GBK"/>
              <w:sz w:val="32"/>
              <w:szCs w:val="32"/>
            </w:rPr>
            <w:t>第</w:t>
          </w:r>
          <w:r>
            <w:rPr>
              <w:rFonts w:hint="eastAsia" w:ascii="Times New Roman" w:hAnsi="Times New Roman" w:eastAsia="方正楷体_GBK"/>
              <w:sz w:val="32"/>
              <w:szCs w:val="32"/>
            </w:rPr>
            <w:t>一章</w:t>
          </w:r>
          <w:r>
            <w:rPr>
              <w:rFonts w:ascii="Times New Roman" w:hAnsi="Times New Roman" w:eastAsia="方正楷体_GBK"/>
              <w:sz w:val="32"/>
              <w:szCs w:val="32"/>
            </w:rPr>
            <w:t xml:space="preserve"> </w:t>
          </w:r>
          <w:r>
            <w:rPr>
              <w:rFonts w:hint="eastAsia" w:ascii="Times New Roman" w:hAnsi="Times New Roman" w:eastAsia="方正楷体_GBK"/>
              <w:sz w:val="32"/>
              <w:szCs w:val="32"/>
            </w:rPr>
            <w:t>建设成渝（金凤）综合性科学中心为引领的区域科技创新体系</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_Toc1626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14</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39ED880B">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_Toc30001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建强两大重庆实验室</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_Toc30001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14</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6BE2E320">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_Toc9141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建设重大科技基础设施</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_Toc9141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16</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14955ED8">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_Toc7490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培育科技创新平台基地</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_Toc7490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16</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10A6DC15">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_Toc32449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第四节 打造N个标志性新型研发机构</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_Toc32449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18</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51A8F803">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_Toc6018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第二章 强化企业科技创新主体地位</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_Toc6018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18</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6D1B7BCB">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_Toc24182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培育创新型企业发展</w:t>
          </w:r>
          <w:r>
            <w:rPr>
              <w:rFonts w:hint="eastAsia" w:ascii="Times New Roman" w:hAnsi="Times New Roman" w:eastAsia="方正仿宋_GBK"/>
              <w:sz w:val="32"/>
              <w:szCs w:val="32"/>
              <w:lang w:val="en-US" w:eastAsia="zh-CN"/>
            </w:rPr>
            <w:t>群体</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_Toc24182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18</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4C26AD05">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_Toc15138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建强</w:t>
          </w:r>
          <w:r>
            <w:rPr>
              <w:rFonts w:hint="eastAsia" w:ascii="Times New Roman" w:hAnsi="Times New Roman" w:eastAsia="方正仿宋_GBK"/>
              <w:sz w:val="32"/>
              <w:szCs w:val="32"/>
              <w:lang w:val="en-US" w:eastAsia="zh-CN"/>
            </w:rPr>
            <w:t>以</w:t>
          </w:r>
          <w:r>
            <w:rPr>
              <w:rFonts w:hint="eastAsia" w:ascii="Times New Roman" w:hAnsi="Times New Roman" w:eastAsia="方正仿宋_GBK"/>
              <w:sz w:val="32"/>
              <w:szCs w:val="32"/>
            </w:rPr>
            <w:t>企业为主导的产业创新综合体</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_Toc15138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19</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41B96807">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_Toc8436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推动大中小企业协同创新融通发展</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_Toc8436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20</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245BBFDA">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_Toc2737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第三章 构建高水平成果转化为导向的科技攻关体系</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_Toc2737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21</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61DB9284">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_Toc4045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健全“产业出题、科技答题”攻关体系</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_Toc4045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21</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460B3AE9">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_Toc15791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培育概念验证及小试中试平台</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_Toc15791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23</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38426965">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_Toc12248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完善科技金融服务体系</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_Toc12248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23</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7382B267">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_Toc2979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lang w:val="en-US" w:eastAsia="zh-CN"/>
            </w:rPr>
            <w:t xml:space="preserve">第四章 </w:t>
          </w:r>
          <w:r>
            <w:rPr>
              <w:rFonts w:hint="eastAsia" w:ascii="Times New Roman" w:hAnsi="Times New Roman" w:eastAsia="方正楷体_GBK"/>
              <w:sz w:val="32"/>
              <w:szCs w:val="32"/>
            </w:rPr>
            <w:t>探索大学城科学城融合为特色的教育科技人才一体化改革示范</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_Toc2979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24</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0FE930DB">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_Toc12383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支持高校深化产教融合</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_Toc12383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24</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29424D68">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_Toc27913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支撑西部人才中心建设</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_Toc27913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25</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12786D76">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_Toc31965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深化</w:t>
          </w:r>
          <w:r>
            <w:rPr>
              <w:rFonts w:ascii="Times New Roman" w:hAnsi="Times New Roman" w:eastAsia="方正仿宋_GBK"/>
              <w:sz w:val="32"/>
              <w:szCs w:val="32"/>
            </w:rPr>
            <w:t>科技体制机制改革</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_Toc31965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26</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27F01B31">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_Toc26776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第五章 升级打造五大科创空间</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_Toc26776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27</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3EFAB1DB">
          <w:pPr>
            <w:pStyle w:val="15"/>
            <w:tabs>
              <w:tab w:val="right" w:leader="middleDot" w:pos="9072"/>
            </w:tabs>
            <w:rPr>
              <w:rFonts w:ascii="Times New Roman" w:hAnsi="Times New Roman"/>
              <w:sz w:val="32"/>
              <w:szCs w:val="32"/>
            </w:rPr>
          </w:pPr>
          <w:r>
            <w:rPr>
              <w:rFonts w:hint="eastAsia" w:ascii="Times New Roman" w:hAnsi="Times New Roman" w:eastAsia="方正小标宋_GBK" w:cs="方正小标宋_GBK"/>
              <w:color w:val="auto"/>
              <w:sz w:val="32"/>
              <w:szCs w:val="32"/>
              <w:highlight w:val="none"/>
            </w:rPr>
            <w:fldChar w:fldCharType="begin"/>
          </w:r>
          <w:r>
            <w:rPr>
              <w:rFonts w:hint="eastAsia" w:ascii="Times New Roman" w:hAnsi="Times New Roman" w:eastAsia="方正小标宋_GBK" w:cs="方正小标宋_GBK"/>
              <w:sz w:val="32"/>
              <w:szCs w:val="32"/>
              <w:highlight w:val="none"/>
            </w:rPr>
            <w:instrText xml:space="preserve"> HYPERLINK \l _Toc19893 </w:instrText>
          </w:r>
          <w:r>
            <w:rPr>
              <w:rFonts w:hint="eastAsia" w:ascii="Times New Roman" w:hAnsi="Times New Roman" w:eastAsia="方正小标宋_GBK" w:cs="方正小标宋_GBK"/>
              <w:sz w:val="32"/>
              <w:szCs w:val="32"/>
              <w:highlight w:val="none"/>
            </w:rPr>
            <w:fldChar w:fldCharType="separate"/>
          </w:r>
          <w:r>
            <w:rPr>
              <w:rFonts w:hint="eastAsia" w:ascii="Times New Roman" w:hAnsi="Times New Roman" w:eastAsia="方正黑体_GBK" w:cs="方正黑体_GBK"/>
              <w:sz w:val="32"/>
              <w:szCs w:val="32"/>
              <w:highlight w:val="none"/>
            </w:rPr>
            <w:t>第</w:t>
          </w:r>
          <w:r>
            <w:rPr>
              <w:rFonts w:hint="eastAsia" w:ascii="Times New Roman" w:hAnsi="Times New Roman" w:eastAsia="方正黑体_GBK" w:cs="方正黑体_GBK"/>
              <w:sz w:val="32"/>
              <w:szCs w:val="32"/>
              <w:highlight w:val="none"/>
              <w:lang w:val="en-US" w:eastAsia="zh-CN"/>
            </w:rPr>
            <w:t>三</w:t>
          </w:r>
          <w:r>
            <w:rPr>
              <w:rFonts w:hint="eastAsia" w:ascii="Times New Roman" w:hAnsi="Times New Roman" w:eastAsia="方正黑体_GBK" w:cs="方正黑体_GBK"/>
              <w:sz w:val="32"/>
              <w:szCs w:val="32"/>
              <w:highlight w:val="none"/>
            </w:rPr>
            <w:t>篇 建设全国领先、西部一流的高新技术产业园区</w:t>
          </w:r>
          <w:r>
            <w:rPr>
              <w:rFonts w:ascii="Times New Roman" w:hAnsi="Times New Roman"/>
              <w:sz w:val="32"/>
              <w:szCs w:val="32"/>
            </w:rPr>
            <w:tab/>
          </w:r>
          <w:r>
            <w:rPr>
              <w:rFonts w:hint="eastAsia" w:ascii="Times New Roman" w:hAnsi="Times New Roman" w:eastAsia="方正楷体_GBK"/>
              <w:sz w:val="32"/>
              <w:szCs w:val="32"/>
              <w:lang w:eastAsia="zh-CN"/>
            </w:rPr>
            <w:t>（</w:t>
          </w:r>
          <w:r>
            <w:rPr>
              <w:rFonts w:ascii="Times New Roman" w:hAnsi="Times New Roman"/>
              <w:sz w:val="32"/>
              <w:szCs w:val="32"/>
            </w:rPr>
            <w:fldChar w:fldCharType="begin"/>
          </w:r>
          <w:r>
            <w:rPr>
              <w:rFonts w:ascii="Times New Roman" w:hAnsi="Times New Roman"/>
              <w:sz w:val="32"/>
              <w:szCs w:val="32"/>
            </w:rPr>
            <w:instrText xml:space="preserve"> PAGEREF _Toc19893 \h </w:instrText>
          </w:r>
          <w:r>
            <w:rPr>
              <w:rFonts w:ascii="Times New Roman" w:hAnsi="Times New Roman"/>
              <w:sz w:val="32"/>
              <w:szCs w:val="32"/>
            </w:rPr>
            <w:fldChar w:fldCharType="separate"/>
          </w:r>
          <w:r>
            <w:rPr>
              <w:rFonts w:ascii="Times New Roman" w:hAnsi="Times New Roman"/>
              <w:sz w:val="32"/>
              <w:szCs w:val="32"/>
            </w:rPr>
            <w:t>30</w:t>
          </w:r>
          <w:r>
            <w:rPr>
              <w:rFonts w:ascii="Times New Roman" w:hAnsi="Times New Roman"/>
              <w:sz w:val="32"/>
              <w:szCs w:val="32"/>
            </w:rPr>
            <w:fldChar w:fldCharType="end"/>
          </w:r>
          <w:r>
            <w:rPr>
              <w:rFonts w:hint="eastAsia" w:ascii="Times New Roman" w:hAnsi="Times New Roman" w:eastAsia="方正小标宋_GBK" w:cs="方正小标宋_GBK"/>
              <w:color w:val="auto"/>
              <w:sz w:val="32"/>
              <w:szCs w:val="32"/>
              <w:highlight w:val="none"/>
            </w:rPr>
            <w:fldChar w:fldCharType="end"/>
          </w:r>
          <w:r>
            <w:rPr>
              <w:rFonts w:hint="eastAsia" w:ascii="Times New Roman" w:hAnsi="Times New Roman" w:eastAsia="方正楷体_GBK"/>
              <w:sz w:val="32"/>
              <w:szCs w:val="32"/>
              <w:lang w:eastAsia="zh-CN"/>
            </w:rPr>
            <w:t>）</w:t>
          </w:r>
        </w:p>
        <w:p w14:paraId="0C36501B">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_Toc30626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第一章 巩固提升</w:t>
          </w:r>
          <w:r>
            <w:rPr>
              <w:rFonts w:hint="eastAsia" w:ascii="Times New Roman" w:hAnsi="Times New Roman" w:eastAsia="方正楷体_GBK"/>
              <w:sz w:val="32"/>
              <w:szCs w:val="32"/>
              <w:lang w:val="en-US" w:eastAsia="zh-CN"/>
            </w:rPr>
            <w:t>现代</w:t>
          </w:r>
          <w:r>
            <w:rPr>
              <w:rFonts w:hint="eastAsia" w:ascii="Times New Roman" w:hAnsi="Times New Roman" w:eastAsia="方正楷体_GBK"/>
              <w:sz w:val="32"/>
              <w:szCs w:val="32"/>
            </w:rPr>
            <w:t>制造业集群优势</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_Toc30626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30</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440BBB60">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_Toc14208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lang w:val="en-US" w:eastAsia="zh-CN"/>
            </w:rPr>
            <w:t xml:space="preserve">第一节 </w:t>
          </w:r>
          <w:r>
            <w:rPr>
              <w:rFonts w:hint="eastAsia" w:ascii="Times New Roman" w:hAnsi="Times New Roman" w:eastAsia="方正仿宋_GBK"/>
              <w:sz w:val="32"/>
              <w:szCs w:val="32"/>
            </w:rPr>
            <w:t>全力打造全市集成电路产业主要集聚地</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_Toc14208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30</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0EBA5F41">
          <w:pPr>
            <w:pStyle w:val="10"/>
            <w:tabs>
              <w:tab w:val="right" w:leader="middleDot" w:pos="9072"/>
            </w:tabs>
            <w:rPr>
              <w:rFonts w:ascii="Times New Roman" w:hAnsi="Times New Roman" w:eastAsia="方正仿宋_GBK"/>
              <w:spacing w:val="0"/>
              <w:sz w:val="32"/>
              <w:szCs w:val="32"/>
            </w:rPr>
          </w:pPr>
          <w:r>
            <w:rPr>
              <w:rFonts w:hint="eastAsia" w:ascii="Times New Roman" w:hAnsi="Times New Roman" w:eastAsia="方正仿宋_GBK"/>
              <w:spacing w:val="0"/>
              <w:sz w:val="32"/>
              <w:szCs w:val="32"/>
            </w:rPr>
            <w:fldChar w:fldCharType="begin"/>
          </w:r>
          <w:r>
            <w:rPr>
              <w:rFonts w:hint="eastAsia" w:ascii="Times New Roman" w:hAnsi="Times New Roman" w:eastAsia="方正仿宋_GBK"/>
              <w:spacing w:val="0"/>
              <w:sz w:val="32"/>
              <w:szCs w:val="32"/>
            </w:rPr>
            <w:instrText xml:space="preserve"> HYPERLINK \l _Toc30180 </w:instrText>
          </w:r>
          <w:r>
            <w:rPr>
              <w:rFonts w:hint="eastAsia" w:ascii="Times New Roman" w:hAnsi="Times New Roman" w:eastAsia="方正仿宋_GBK"/>
              <w:spacing w:val="0"/>
              <w:sz w:val="32"/>
              <w:szCs w:val="32"/>
            </w:rPr>
            <w:fldChar w:fldCharType="separate"/>
          </w:r>
          <w:r>
            <w:rPr>
              <w:rFonts w:hint="eastAsia" w:ascii="Times New Roman" w:hAnsi="Times New Roman" w:eastAsia="方正仿宋_GBK"/>
              <w:spacing w:val="0"/>
              <w:sz w:val="32"/>
              <w:szCs w:val="32"/>
            </w:rPr>
            <w:t>第二节 支撑建设</w:t>
          </w:r>
          <w:r>
            <w:rPr>
              <w:rFonts w:ascii="Times New Roman" w:hAnsi="Times New Roman" w:eastAsia="方正仿宋_GBK"/>
              <w:spacing w:val="0"/>
              <w:sz w:val="32"/>
              <w:szCs w:val="32"/>
            </w:rPr>
            <w:t>智能网联新能源汽车及世界级摩托车产业之都</w:t>
          </w:r>
          <w:r>
            <w:rPr>
              <w:rFonts w:ascii="Times New Roman" w:hAnsi="Times New Roman" w:eastAsia="方正仿宋_GBK"/>
              <w:spacing w:val="0"/>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pacing w:val="0"/>
              <w:sz w:val="32"/>
              <w:szCs w:val="32"/>
            </w:rPr>
            <w:fldChar w:fldCharType="begin"/>
          </w:r>
          <w:r>
            <w:rPr>
              <w:rFonts w:ascii="Times New Roman" w:hAnsi="Times New Roman" w:eastAsia="方正仿宋_GBK"/>
              <w:spacing w:val="0"/>
              <w:sz w:val="32"/>
              <w:szCs w:val="32"/>
            </w:rPr>
            <w:instrText xml:space="preserve"> PAGEREF _Toc30180 \h </w:instrText>
          </w:r>
          <w:r>
            <w:rPr>
              <w:rFonts w:ascii="Times New Roman" w:hAnsi="Times New Roman" w:eastAsia="方正仿宋_GBK"/>
              <w:spacing w:val="0"/>
              <w:sz w:val="32"/>
              <w:szCs w:val="32"/>
            </w:rPr>
            <w:fldChar w:fldCharType="separate"/>
          </w:r>
          <w:r>
            <w:rPr>
              <w:rFonts w:ascii="Times New Roman" w:hAnsi="Times New Roman" w:eastAsia="方正仿宋_GBK"/>
              <w:spacing w:val="0"/>
              <w:sz w:val="32"/>
              <w:szCs w:val="32"/>
            </w:rPr>
            <w:t>32</w:t>
          </w:r>
          <w:r>
            <w:rPr>
              <w:rFonts w:ascii="Times New Roman" w:hAnsi="Times New Roman" w:eastAsia="方正仿宋_GBK"/>
              <w:spacing w:val="0"/>
              <w:sz w:val="32"/>
              <w:szCs w:val="32"/>
            </w:rPr>
            <w:fldChar w:fldCharType="end"/>
          </w:r>
          <w:r>
            <w:rPr>
              <w:rFonts w:hint="eastAsia" w:ascii="Times New Roman" w:hAnsi="Times New Roman" w:eastAsia="方正仿宋_GBK"/>
              <w:spacing w:val="0"/>
              <w:sz w:val="32"/>
              <w:szCs w:val="32"/>
            </w:rPr>
            <w:fldChar w:fldCharType="end"/>
          </w:r>
          <w:r>
            <w:rPr>
              <w:rFonts w:hint="eastAsia" w:ascii="Times New Roman" w:hAnsi="Times New Roman" w:eastAsia="方正楷体_GBK"/>
              <w:sz w:val="32"/>
              <w:szCs w:val="32"/>
              <w:lang w:eastAsia="zh-CN"/>
            </w:rPr>
            <w:t>）</w:t>
          </w:r>
        </w:p>
        <w:p w14:paraId="13933D7B">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_Toc16205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推动新型智能终端产业稳量提质</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_Toc16205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35</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0B1D3A5A">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_Toc22037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 xml:space="preserve">第四节 </w:t>
          </w:r>
          <w:r>
            <w:rPr>
              <w:rFonts w:hint="eastAsia" w:ascii="Times New Roman" w:hAnsi="Times New Roman" w:eastAsia="方正仿宋_GBK"/>
              <w:sz w:val="32"/>
              <w:szCs w:val="32"/>
              <w:lang w:eastAsia="zh-CN"/>
            </w:rPr>
            <w:t>打造西部药械创新转化加速区</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_Toc22037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35</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7C25B15D">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_Toc17254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第二章 前瞻布局未来产业</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_Toc17254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37</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56C6C917">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_Toc1645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大力发展空天信息及低空经济产业</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_Toc1645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37</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581225A2">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_Toc31896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 xml:space="preserve">第二节 </w:t>
          </w:r>
          <w:r>
            <w:rPr>
              <w:rFonts w:hint="eastAsia" w:ascii="Times New Roman" w:hAnsi="Times New Roman" w:eastAsia="方正仿宋_GBK"/>
              <w:sz w:val="32"/>
              <w:szCs w:val="32"/>
              <w:lang w:val="en-US" w:eastAsia="zh-CN"/>
            </w:rPr>
            <w:t>创新</w:t>
          </w:r>
          <w:r>
            <w:rPr>
              <w:rFonts w:hint="eastAsia" w:ascii="Times New Roman" w:hAnsi="Times New Roman" w:eastAsia="方正仿宋_GBK"/>
              <w:sz w:val="32"/>
              <w:szCs w:val="32"/>
            </w:rPr>
            <w:t>发展</w:t>
          </w:r>
          <w:r>
            <w:rPr>
              <w:rFonts w:hint="eastAsia" w:ascii="Times New Roman" w:hAnsi="Times New Roman" w:eastAsia="方正仿宋_GBK"/>
              <w:sz w:val="32"/>
              <w:szCs w:val="32"/>
              <w:lang w:val="en-US" w:eastAsia="zh-CN"/>
            </w:rPr>
            <w:t>人工</w:t>
          </w:r>
          <w:r>
            <w:rPr>
              <w:rFonts w:hint="eastAsia" w:ascii="Times New Roman" w:hAnsi="Times New Roman" w:eastAsia="方正仿宋_GBK"/>
              <w:sz w:val="32"/>
              <w:szCs w:val="32"/>
            </w:rPr>
            <w:t>智能产业</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_Toc31896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38</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1D592C98">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_Toc31683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培育发展新材料产业</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_Toc31683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39</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50A0AD9F">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_Toc15085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第三章 提质发展现代服务业</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_Toc15085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40</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13F71188">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_Toc25186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集聚</w:t>
          </w:r>
          <w:r>
            <w:rPr>
              <w:rFonts w:ascii="Times New Roman" w:hAnsi="Times New Roman" w:eastAsia="方正仿宋_GBK"/>
              <w:sz w:val="32"/>
              <w:szCs w:val="32"/>
            </w:rPr>
            <w:t>发展软件和信息服务产业</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_Toc25186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40</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3EFCAD7F">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_Toc11356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 xml:space="preserve">第二节 </w:t>
          </w:r>
          <w:r>
            <w:rPr>
              <w:rFonts w:hint="eastAsia" w:ascii="Times New Roman" w:hAnsi="Times New Roman" w:eastAsia="方正仿宋_GBK"/>
              <w:sz w:val="32"/>
              <w:szCs w:val="32"/>
              <w:lang w:eastAsia="zh-CN"/>
            </w:rPr>
            <w:t>聚力</w:t>
          </w:r>
          <w:r>
            <w:rPr>
              <w:rFonts w:hint="eastAsia" w:ascii="Times New Roman" w:hAnsi="Times New Roman" w:eastAsia="方正仿宋_GBK"/>
              <w:sz w:val="32"/>
              <w:szCs w:val="32"/>
            </w:rPr>
            <w:t>发展科技服务产业</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_Toc11356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41</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5F80720D">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_Toc32720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全力发展金融服务产业</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_Toc32720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42</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088555D6">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_Toc23037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第四节 提质发展商贸服务产业</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_Toc23037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43</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042022F2">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_Toc21450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第五节 提速发展跨境电商产业</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_Toc21450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44</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14ADA7FA">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_Toc31634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第四章 全力打造三大产业片区</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_Toc31634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46</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08736FB0">
          <w:pPr>
            <w:pStyle w:val="15"/>
            <w:tabs>
              <w:tab w:val="right" w:leader="middleDot" w:pos="9072"/>
            </w:tabs>
            <w:rPr>
              <w:rFonts w:ascii="Times New Roman" w:hAnsi="Times New Roman"/>
              <w:sz w:val="32"/>
              <w:szCs w:val="32"/>
            </w:rPr>
          </w:pPr>
          <w:r>
            <w:rPr>
              <w:rFonts w:hint="eastAsia" w:ascii="Times New Roman" w:hAnsi="Times New Roman" w:eastAsia="方正小标宋_GBK" w:cs="方正小标宋_GBK"/>
              <w:color w:val="auto"/>
              <w:sz w:val="32"/>
              <w:szCs w:val="32"/>
              <w:highlight w:val="none"/>
            </w:rPr>
            <w:fldChar w:fldCharType="begin"/>
          </w:r>
          <w:r>
            <w:rPr>
              <w:rFonts w:hint="eastAsia" w:ascii="Times New Roman" w:hAnsi="Times New Roman" w:eastAsia="方正小标宋_GBK" w:cs="方正小标宋_GBK"/>
              <w:sz w:val="32"/>
              <w:szCs w:val="32"/>
              <w:highlight w:val="none"/>
            </w:rPr>
            <w:instrText xml:space="preserve"> HYPERLINK \l _Toc31262 </w:instrText>
          </w:r>
          <w:r>
            <w:rPr>
              <w:rFonts w:hint="eastAsia" w:ascii="Times New Roman" w:hAnsi="Times New Roman" w:eastAsia="方正小标宋_GBK" w:cs="方正小标宋_GBK"/>
              <w:sz w:val="32"/>
              <w:szCs w:val="32"/>
              <w:highlight w:val="none"/>
            </w:rPr>
            <w:fldChar w:fldCharType="separate"/>
          </w:r>
          <w:r>
            <w:rPr>
              <w:rFonts w:hint="eastAsia" w:ascii="Times New Roman" w:hAnsi="Times New Roman" w:eastAsia="方正黑体_GBK" w:cs="方正黑体_GBK"/>
              <w:sz w:val="32"/>
              <w:szCs w:val="32"/>
              <w:highlight w:val="none"/>
            </w:rPr>
            <w:t>第</w:t>
          </w:r>
          <w:r>
            <w:rPr>
              <w:rFonts w:hint="eastAsia" w:ascii="Times New Roman" w:hAnsi="Times New Roman" w:eastAsia="方正黑体_GBK"/>
              <w:bCs/>
              <w:sz w:val="32"/>
              <w:szCs w:val="32"/>
              <w:highlight w:val="none"/>
            </w:rPr>
            <w:t>四</w:t>
          </w:r>
          <w:r>
            <w:rPr>
              <w:rFonts w:hint="eastAsia" w:ascii="Times New Roman" w:hAnsi="Times New Roman" w:eastAsia="方正黑体_GBK" w:cs="方正黑体_GBK"/>
              <w:sz w:val="32"/>
              <w:szCs w:val="32"/>
              <w:highlight w:val="none"/>
            </w:rPr>
            <w:t xml:space="preserve">篇 </w:t>
          </w:r>
          <w:r>
            <w:rPr>
              <w:rFonts w:hint="eastAsia" w:ascii="Times New Roman" w:hAnsi="Times New Roman" w:eastAsia="方正黑体_GBK"/>
              <w:bCs/>
              <w:sz w:val="32"/>
              <w:szCs w:val="32"/>
              <w:highlight w:val="none"/>
            </w:rPr>
            <w:t>建设宜学宜研、宜居宜业的现代化人民城市</w:t>
          </w:r>
          <w:r>
            <w:rPr>
              <w:rFonts w:ascii="Times New Roman" w:hAnsi="Times New Roman"/>
              <w:sz w:val="32"/>
              <w:szCs w:val="32"/>
            </w:rPr>
            <w:tab/>
          </w:r>
          <w:r>
            <w:rPr>
              <w:rFonts w:hint="eastAsia" w:ascii="Times New Roman" w:hAnsi="Times New Roman" w:eastAsia="方正楷体_GBK"/>
              <w:sz w:val="32"/>
              <w:szCs w:val="32"/>
              <w:lang w:eastAsia="zh-CN"/>
            </w:rPr>
            <w:t>（</w:t>
          </w:r>
          <w:r>
            <w:rPr>
              <w:rFonts w:ascii="Times New Roman" w:hAnsi="Times New Roman"/>
              <w:sz w:val="32"/>
              <w:szCs w:val="32"/>
            </w:rPr>
            <w:fldChar w:fldCharType="begin"/>
          </w:r>
          <w:r>
            <w:rPr>
              <w:rFonts w:ascii="Times New Roman" w:hAnsi="Times New Roman"/>
              <w:sz w:val="32"/>
              <w:szCs w:val="32"/>
            </w:rPr>
            <w:instrText xml:space="preserve"> PAGEREF _Toc31262 \h </w:instrText>
          </w:r>
          <w:r>
            <w:rPr>
              <w:rFonts w:ascii="Times New Roman" w:hAnsi="Times New Roman"/>
              <w:sz w:val="32"/>
              <w:szCs w:val="32"/>
            </w:rPr>
            <w:fldChar w:fldCharType="separate"/>
          </w:r>
          <w:r>
            <w:rPr>
              <w:rFonts w:ascii="Times New Roman" w:hAnsi="Times New Roman"/>
              <w:sz w:val="32"/>
              <w:szCs w:val="32"/>
            </w:rPr>
            <w:t>48</w:t>
          </w:r>
          <w:r>
            <w:rPr>
              <w:rFonts w:ascii="Times New Roman" w:hAnsi="Times New Roman"/>
              <w:sz w:val="32"/>
              <w:szCs w:val="32"/>
            </w:rPr>
            <w:fldChar w:fldCharType="end"/>
          </w:r>
          <w:r>
            <w:rPr>
              <w:rFonts w:hint="eastAsia" w:ascii="Times New Roman" w:hAnsi="Times New Roman" w:eastAsia="方正小标宋_GBK" w:cs="方正小标宋_GBK"/>
              <w:color w:val="auto"/>
              <w:sz w:val="32"/>
              <w:szCs w:val="32"/>
              <w:highlight w:val="none"/>
            </w:rPr>
            <w:fldChar w:fldCharType="end"/>
          </w:r>
          <w:r>
            <w:rPr>
              <w:rFonts w:hint="eastAsia" w:ascii="Times New Roman" w:hAnsi="Times New Roman" w:eastAsia="方正楷体_GBK"/>
              <w:sz w:val="32"/>
              <w:szCs w:val="32"/>
              <w:lang w:eastAsia="zh-CN"/>
            </w:rPr>
            <w:t>）</w:t>
          </w:r>
        </w:p>
        <w:p w14:paraId="715BD711">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_Toc15485 </w:instrText>
          </w:r>
          <w:r>
            <w:rPr>
              <w:rFonts w:hint="eastAsia" w:ascii="Times New Roman" w:hAnsi="Times New Roman" w:eastAsia="方正楷体_GBK"/>
              <w:sz w:val="32"/>
              <w:szCs w:val="32"/>
            </w:rPr>
            <w:fldChar w:fldCharType="separate"/>
          </w:r>
          <w:r>
            <w:rPr>
              <w:rFonts w:ascii="Times New Roman" w:hAnsi="Times New Roman" w:eastAsia="方正楷体_GBK"/>
              <w:sz w:val="32"/>
              <w:szCs w:val="32"/>
            </w:rPr>
            <w:t xml:space="preserve">第一章 </w:t>
          </w:r>
          <w:r>
            <w:rPr>
              <w:rFonts w:hint="eastAsia" w:ascii="Times New Roman" w:hAnsi="Times New Roman" w:eastAsia="方正楷体_GBK"/>
              <w:sz w:val="32"/>
              <w:szCs w:val="32"/>
            </w:rPr>
            <w:t>建设科产城融合发展示范区</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_Toc15485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49</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6A6656C9">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_Toc7239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优化构建“1236”</w:t>
          </w:r>
          <w:r>
            <w:rPr>
              <w:rFonts w:hint="eastAsia" w:ascii="Times New Roman" w:hAnsi="Times New Roman" w:eastAsia="方正仿宋_GBK"/>
              <w:sz w:val="32"/>
              <w:szCs w:val="32"/>
              <w:lang w:val="en-US" w:eastAsia="zh-CN"/>
            </w:rPr>
            <w:t>城市</w:t>
          </w:r>
          <w:r>
            <w:rPr>
              <w:rFonts w:hint="eastAsia" w:ascii="Times New Roman" w:hAnsi="Times New Roman" w:eastAsia="方正仿宋_GBK"/>
              <w:sz w:val="32"/>
              <w:szCs w:val="32"/>
            </w:rPr>
            <w:t>总体功能布局</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_Toc7239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49</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2B7E5AEF">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_Toc9576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高水平建设金凤城市中心</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_Toc9576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52</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77FF387A">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_Toc30966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lang w:val="en-US" w:eastAsia="zh-CN"/>
            </w:rPr>
            <w:t xml:space="preserve">第二章 </w:t>
          </w:r>
          <w:r>
            <w:rPr>
              <w:rFonts w:hint="default" w:ascii="Times New Roman" w:hAnsi="Times New Roman" w:eastAsia="方正楷体_GBK"/>
              <w:sz w:val="32"/>
              <w:szCs w:val="32"/>
            </w:rPr>
            <w:t>建设富有活力的创新城市</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_Toc30966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54</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72FD9DC9">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_Toc14375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推动存量空间提质增效</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_Toc14375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54</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1DA63031">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_Toc30613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实施全域城市更新</w:t>
          </w:r>
          <w:r>
            <w:rPr>
              <w:rFonts w:hint="eastAsia" w:ascii="Times New Roman" w:hAnsi="Times New Roman" w:eastAsia="方正仿宋_GBK"/>
              <w:sz w:val="32"/>
              <w:szCs w:val="32"/>
              <w:lang w:val="en-US" w:eastAsia="zh-CN"/>
            </w:rPr>
            <w:t>行动</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_Toc30613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55</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5EDE9BCF">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_Toc17413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w:t>
          </w:r>
          <w:r>
            <w:rPr>
              <w:rFonts w:hint="eastAsia" w:ascii="Times New Roman" w:hAnsi="Times New Roman" w:eastAsia="方正仿宋_GBK"/>
              <w:sz w:val="32"/>
              <w:szCs w:val="32"/>
              <w:lang w:val="en-US" w:eastAsia="zh-CN"/>
            </w:rPr>
            <w:t>三</w:t>
          </w:r>
          <w:r>
            <w:rPr>
              <w:rFonts w:hint="eastAsia" w:ascii="Times New Roman" w:hAnsi="Times New Roman" w:eastAsia="方正仿宋_GBK"/>
              <w:sz w:val="32"/>
              <w:szCs w:val="32"/>
            </w:rPr>
            <w:t>节 建设青年</w:t>
          </w:r>
          <w:r>
            <w:rPr>
              <w:rFonts w:hint="eastAsia" w:ascii="Times New Roman" w:hAnsi="Times New Roman" w:eastAsia="方正仿宋_GBK"/>
              <w:sz w:val="32"/>
              <w:szCs w:val="32"/>
              <w:lang w:val="en-US" w:eastAsia="zh-CN"/>
            </w:rPr>
            <w:t>创新创业</w:t>
          </w:r>
          <w:r>
            <w:rPr>
              <w:rFonts w:hint="eastAsia" w:ascii="Times New Roman" w:hAnsi="Times New Roman" w:eastAsia="方正仿宋_GBK"/>
              <w:sz w:val="32"/>
              <w:szCs w:val="32"/>
            </w:rPr>
            <w:t>友好型城市</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_Toc17413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57</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01F48846">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_Toc9089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lang w:val="en-US" w:eastAsia="zh-CN"/>
            </w:rPr>
            <w:t xml:space="preserve">第三章 </w:t>
          </w:r>
          <w:r>
            <w:rPr>
              <w:rFonts w:hint="default" w:ascii="Times New Roman" w:hAnsi="Times New Roman" w:eastAsia="方正楷体_GBK"/>
              <w:sz w:val="32"/>
              <w:szCs w:val="32"/>
            </w:rPr>
            <w:t>建设舒适便利的宜居</w:t>
          </w:r>
          <w:r>
            <w:rPr>
              <w:rFonts w:ascii="Times New Roman" w:hAnsi="Times New Roman" w:eastAsia="方正楷体_GBK"/>
              <w:sz w:val="32"/>
              <w:szCs w:val="32"/>
            </w:rPr>
            <w:t>城市</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_Toc9089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58</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6DA79CF3">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_Toc7575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构建现代化综合交通体系</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_Toc7575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58</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3180474D">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_Toc28905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建立多元优质公共服务体系</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_Toc28905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59</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586634C1">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_Toc20644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w:t>
          </w:r>
          <w:r>
            <w:rPr>
              <w:rFonts w:hint="eastAsia" w:ascii="Times New Roman" w:hAnsi="Times New Roman" w:eastAsia="方正仿宋_GBK"/>
              <w:sz w:val="32"/>
              <w:szCs w:val="32"/>
              <w:lang w:val="en-US" w:eastAsia="zh-CN"/>
            </w:rPr>
            <w:t>三</w:t>
          </w:r>
          <w:r>
            <w:rPr>
              <w:rFonts w:hint="eastAsia" w:ascii="Times New Roman" w:hAnsi="Times New Roman" w:eastAsia="方正仿宋_GBK"/>
              <w:sz w:val="32"/>
              <w:szCs w:val="32"/>
            </w:rPr>
            <w:t xml:space="preserve">节 </w:t>
          </w:r>
          <w:r>
            <w:rPr>
              <w:rFonts w:ascii="Times New Roman" w:hAnsi="Times New Roman" w:eastAsia="方正仿宋_GBK"/>
              <w:sz w:val="32"/>
              <w:szCs w:val="32"/>
            </w:rPr>
            <w:t>打造</w:t>
          </w:r>
          <w:r>
            <w:rPr>
              <w:rFonts w:hint="eastAsia" w:ascii="Times New Roman" w:hAnsi="Times New Roman" w:eastAsia="方正仿宋_GBK"/>
              <w:sz w:val="32"/>
              <w:szCs w:val="32"/>
            </w:rPr>
            <w:t>“3+N”</w:t>
          </w:r>
          <w:r>
            <w:rPr>
              <w:rFonts w:ascii="Times New Roman" w:hAnsi="Times New Roman" w:eastAsia="方正仿宋_GBK"/>
              <w:sz w:val="32"/>
              <w:szCs w:val="32"/>
            </w:rPr>
            <w:t>15分钟</w:t>
          </w:r>
          <w:r>
            <w:rPr>
              <w:rFonts w:hint="eastAsia" w:ascii="Times New Roman" w:hAnsi="Times New Roman" w:eastAsia="方正仿宋_GBK"/>
              <w:sz w:val="32"/>
              <w:szCs w:val="32"/>
            </w:rPr>
            <w:t>高品质</w:t>
          </w:r>
          <w:r>
            <w:rPr>
              <w:rFonts w:ascii="Times New Roman" w:hAnsi="Times New Roman" w:eastAsia="方正仿宋_GBK"/>
              <w:sz w:val="32"/>
              <w:szCs w:val="32"/>
            </w:rPr>
            <w:t>生活服务圈</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_Toc20644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60</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02AFB5BF">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_Toc2318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w:t>
          </w:r>
          <w:r>
            <w:rPr>
              <w:rFonts w:hint="eastAsia" w:ascii="Times New Roman" w:hAnsi="Times New Roman" w:eastAsia="方正仿宋_GBK"/>
              <w:sz w:val="32"/>
              <w:szCs w:val="32"/>
              <w:lang w:val="en-US" w:eastAsia="zh-CN"/>
            </w:rPr>
            <w:t>四</w:t>
          </w:r>
          <w:r>
            <w:rPr>
              <w:rFonts w:hint="eastAsia" w:ascii="Times New Roman" w:hAnsi="Times New Roman" w:eastAsia="方正仿宋_GBK"/>
              <w:sz w:val="32"/>
              <w:szCs w:val="32"/>
            </w:rPr>
            <w:t xml:space="preserve">节 </w:t>
          </w:r>
          <w:r>
            <w:rPr>
              <w:rFonts w:ascii="Times New Roman" w:hAnsi="Times New Roman" w:eastAsia="方正仿宋_GBK"/>
              <w:sz w:val="32"/>
              <w:szCs w:val="32"/>
            </w:rPr>
            <w:t>健全</w:t>
          </w:r>
          <w:r>
            <w:rPr>
              <w:rFonts w:hint="eastAsia" w:ascii="Times New Roman" w:hAnsi="Times New Roman" w:eastAsia="方正仿宋_GBK"/>
              <w:sz w:val="32"/>
              <w:szCs w:val="32"/>
            </w:rPr>
            <w:t>多层次</w:t>
          </w:r>
          <w:r>
            <w:rPr>
              <w:rFonts w:ascii="Times New Roman" w:hAnsi="Times New Roman" w:eastAsia="方正仿宋_GBK"/>
              <w:sz w:val="32"/>
              <w:szCs w:val="32"/>
            </w:rPr>
            <w:t>社会保障体系</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_Toc2318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61</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709258C4">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_Toc27374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lang w:val="en-US" w:eastAsia="zh-CN"/>
            </w:rPr>
            <w:t xml:space="preserve">第四章 </w:t>
          </w:r>
          <w:r>
            <w:rPr>
              <w:rFonts w:hint="default" w:ascii="Times New Roman" w:hAnsi="Times New Roman" w:eastAsia="方正楷体_GBK"/>
              <w:sz w:val="32"/>
              <w:szCs w:val="32"/>
            </w:rPr>
            <w:t>建设绿色低碳的美丽城市</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_Toc27374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64</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26864BB5">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_Toc11816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持续</w:t>
          </w:r>
          <w:r>
            <w:rPr>
              <w:rFonts w:ascii="Times New Roman" w:hAnsi="Times New Roman" w:eastAsia="方正仿宋_GBK"/>
              <w:sz w:val="32"/>
              <w:szCs w:val="32"/>
            </w:rPr>
            <w:t>改善生态环境质量</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_Toc11816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64</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1159F646">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_Toc19293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 xml:space="preserve">第二节 </w:t>
          </w:r>
          <w:r>
            <w:rPr>
              <w:rFonts w:ascii="Times New Roman" w:hAnsi="Times New Roman" w:eastAsia="方正仿宋_GBK"/>
              <w:sz w:val="32"/>
              <w:szCs w:val="32"/>
            </w:rPr>
            <w:t>提升生态系统稳定性</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_Toc19293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65</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72F7E156">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_Toc6853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全面推行绿色生产生活方式</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_Toc6853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66</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43668E9D">
          <w:pPr>
            <w:pStyle w:val="18"/>
            <w:tabs>
              <w:tab w:val="right" w:leader="middleDot" w:pos="9072"/>
            </w:tabs>
            <w:rPr>
              <w:rFonts w:ascii="Times New Roman" w:hAnsi="Times New Roman"/>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_Toc25704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lang w:val="en-US" w:eastAsia="zh-CN"/>
            </w:rPr>
            <w:t xml:space="preserve">第五章 </w:t>
          </w:r>
          <w:r>
            <w:rPr>
              <w:rFonts w:hint="default" w:ascii="Times New Roman" w:hAnsi="Times New Roman" w:eastAsia="方正楷体_GBK"/>
              <w:sz w:val="32"/>
              <w:szCs w:val="32"/>
            </w:rPr>
            <w:t>建设安全可靠的韧性城市</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_Toc25704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67</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568A09FE">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_Toc6424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完善新型能源基础设施</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_Toc6424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67</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0E90516D">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_Toc23210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加强</w:t>
          </w:r>
          <w:r>
            <w:rPr>
              <w:rFonts w:ascii="Times New Roman" w:hAnsi="Times New Roman" w:eastAsia="方正仿宋_GBK"/>
              <w:sz w:val="32"/>
              <w:szCs w:val="32"/>
            </w:rPr>
            <w:t>自然灾害防治</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_Toc23210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68</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41A89C85">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_Toc31170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强化城市防洪和内涝治理</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_Toc31170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69</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42D4C70F">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_Toc10498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lang w:val="en-US" w:eastAsia="zh-CN"/>
            </w:rPr>
            <w:t xml:space="preserve">第六章 </w:t>
          </w:r>
          <w:r>
            <w:rPr>
              <w:rFonts w:hint="default" w:ascii="Times New Roman" w:hAnsi="Times New Roman" w:eastAsia="方正楷体_GBK"/>
              <w:sz w:val="32"/>
              <w:szCs w:val="32"/>
            </w:rPr>
            <w:t>建设崇德向善的文明城市</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_Toc10498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70</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5D9417E8">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_Toc3545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塑造大美山水</w:t>
          </w:r>
          <w:r>
            <w:rPr>
              <w:rFonts w:hint="eastAsia" w:ascii="Times New Roman" w:hAnsi="Times New Roman" w:eastAsia="方正仿宋_GBK"/>
              <w:sz w:val="32"/>
              <w:szCs w:val="32"/>
              <w:lang w:val="en-US" w:eastAsia="zh-CN"/>
            </w:rPr>
            <w:t>城市</w:t>
          </w:r>
          <w:r>
            <w:rPr>
              <w:rFonts w:hint="eastAsia" w:ascii="Times New Roman" w:hAnsi="Times New Roman" w:eastAsia="方正仿宋_GBK"/>
              <w:sz w:val="32"/>
              <w:szCs w:val="32"/>
            </w:rPr>
            <w:t>风貌</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_Toc3545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70</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049AD804">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_Toc32511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加强历史文化保护传承</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_Toc32511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71</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0A8FCFFD">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_Toc9788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推动</w:t>
          </w:r>
          <w:r>
            <w:rPr>
              <w:rFonts w:hint="eastAsia" w:ascii="Times New Roman" w:hAnsi="Times New Roman" w:eastAsia="方正仿宋_GBK"/>
              <w:sz w:val="32"/>
              <w:szCs w:val="32"/>
              <w:lang w:val="en-US" w:eastAsia="zh-CN"/>
            </w:rPr>
            <w:t>文化</w:t>
          </w:r>
          <w:r>
            <w:rPr>
              <w:rFonts w:hint="eastAsia" w:ascii="Times New Roman" w:hAnsi="Times New Roman" w:eastAsia="方正仿宋_GBK"/>
              <w:sz w:val="32"/>
              <w:szCs w:val="32"/>
            </w:rPr>
            <w:t>体育事业</w:t>
          </w:r>
          <w:r>
            <w:rPr>
              <w:rFonts w:hint="eastAsia" w:ascii="Times New Roman" w:hAnsi="Times New Roman" w:eastAsia="方正仿宋_GBK"/>
              <w:sz w:val="32"/>
              <w:szCs w:val="32"/>
              <w:lang w:val="en-US" w:eastAsia="zh-CN"/>
            </w:rPr>
            <w:t>高质量</w:t>
          </w:r>
          <w:r>
            <w:rPr>
              <w:rFonts w:hint="eastAsia" w:ascii="Times New Roman" w:hAnsi="Times New Roman" w:eastAsia="方正仿宋_GBK"/>
              <w:sz w:val="32"/>
              <w:szCs w:val="32"/>
            </w:rPr>
            <w:t>发展</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_Toc9788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72</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280229E4">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_Toc29543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lang w:val="en-US" w:eastAsia="zh-CN"/>
            </w:rPr>
            <w:t xml:space="preserve">第七章 </w:t>
          </w:r>
          <w:r>
            <w:rPr>
              <w:rFonts w:hint="default" w:ascii="Times New Roman" w:hAnsi="Times New Roman" w:eastAsia="方正楷体_GBK"/>
              <w:sz w:val="32"/>
              <w:szCs w:val="32"/>
            </w:rPr>
            <w:t>建设便捷高效的智慧城市</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_Toc29543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73</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476BB276">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_Toc27253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强化新型数字基础设施建设</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_Toc27253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73</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224AF2B7">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_Toc13323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提升“大综合一体化”治理能力</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_Toc13323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73</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2D1EF564">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_Toc11191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迭代升级“AI+城市治理”模式</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_Toc11191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74</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307D6CD9">
          <w:pPr>
            <w:pStyle w:val="15"/>
            <w:tabs>
              <w:tab w:val="right" w:leader="middleDot" w:pos="9072"/>
            </w:tabs>
            <w:rPr>
              <w:rFonts w:ascii="Times New Roman" w:hAnsi="Times New Roman"/>
              <w:sz w:val="32"/>
              <w:szCs w:val="32"/>
            </w:rPr>
          </w:pPr>
          <w:r>
            <w:rPr>
              <w:rFonts w:hint="eastAsia" w:ascii="Times New Roman" w:hAnsi="Times New Roman" w:eastAsia="方正小标宋_GBK" w:cs="方正小标宋_GBK"/>
              <w:color w:val="auto"/>
              <w:sz w:val="32"/>
              <w:szCs w:val="32"/>
              <w:highlight w:val="none"/>
            </w:rPr>
            <w:fldChar w:fldCharType="begin"/>
          </w:r>
          <w:r>
            <w:rPr>
              <w:rFonts w:hint="eastAsia" w:ascii="Times New Roman" w:hAnsi="Times New Roman" w:eastAsia="方正小标宋_GBK" w:cs="方正小标宋_GBK"/>
              <w:sz w:val="32"/>
              <w:szCs w:val="32"/>
              <w:highlight w:val="none"/>
            </w:rPr>
            <w:instrText xml:space="preserve"> HYPERLINK \l _Toc25944 </w:instrText>
          </w:r>
          <w:r>
            <w:rPr>
              <w:rFonts w:hint="eastAsia" w:ascii="Times New Roman" w:hAnsi="Times New Roman" w:eastAsia="方正小标宋_GBK" w:cs="方正小标宋_GBK"/>
              <w:sz w:val="32"/>
              <w:szCs w:val="32"/>
              <w:highlight w:val="none"/>
            </w:rPr>
            <w:fldChar w:fldCharType="separate"/>
          </w:r>
          <w:r>
            <w:rPr>
              <w:rFonts w:hint="eastAsia" w:ascii="Times New Roman" w:hAnsi="Times New Roman" w:eastAsia="方正黑体_GBK" w:cs="方正黑体_GBK"/>
              <w:sz w:val="32"/>
              <w:szCs w:val="32"/>
              <w:highlight w:val="none"/>
            </w:rPr>
            <w:t>第</w:t>
          </w:r>
          <w:r>
            <w:rPr>
              <w:rFonts w:hint="eastAsia" w:ascii="Times New Roman" w:hAnsi="Times New Roman" w:eastAsia="方正黑体_GBK" w:cs="方正黑体_GBK"/>
              <w:sz w:val="32"/>
              <w:szCs w:val="32"/>
              <w:highlight w:val="none"/>
              <w:lang w:val="en-US" w:eastAsia="zh-CN"/>
            </w:rPr>
            <w:t>五</w:t>
          </w:r>
          <w:r>
            <w:rPr>
              <w:rFonts w:hint="eastAsia" w:ascii="Times New Roman" w:hAnsi="Times New Roman" w:eastAsia="方正黑体_GBK" w:cs="方正黑体_GBK"/>
              <w:sz w:val="32"/>
              <w:szCs w:val="32"/>
              <w:highlight w:val="none"/>
            </w:rPr>
            <w:t>篇 落实扩大内需战略 大力提振消费扩大有效投资</w:t>
          </w:r>
          <w:r>
            <w:rPr>
              <w:rFonts w:ascii="Times New Roman" w:hAnsi="Times New Roman"/>
              <w:sz w:val="32"/>
              <w:szCs w:val="32"/>
            </w:rPr>
            <w:tab/>
          </w:r>
          <w:r>
            <w:rPr>
              <w:rFonts w:hint="eastAsia" w:ascii="Times New Roman" w:hAnsi="Times New Roman" w:eastAsia="方正楷体_GBK"/>
              <w:sz w:val="32"/>
              <w:szCs w:val="32"/>
              <w:lang w:eastAsia="zh-CN"/>
            </w:rPr>
            <w:t>（</w:t>
          </w:r>
          <w:r>
            <w:rPr>
              <w:rFonts w:ascii="Times New Roman" w:hAnsi="Times New Roman"/>
              <w:sz w:val="32"/>
              <w:szCs w:val="32"/>
            </w:rPr>
            <w:fldChar w:fldCharType="begin"/>
          </w:r>
          <w:r>
            <w:rPr>
              <w:rFonts w:ascii="Times New Roman" w:hAnsi="Times New Roman"/>
              <w:sz w:val="32"/>
              <w:szCs w:val="32"/>
            </w:rPr>
            <w:instrText xml:space="preserve"> PAGEREF _Toc25944 \h </w:instrText>
          </w:r>
          <w:r>
            <w:rPr>
              <w:rFonts w:ascii="Times New Roman" w:hAnsi="Times New Roman"/>
              <w:sz w:val="32"/>
              <w:szCs w:val="32"/>
            </w:rPr>
            <w:fldChar w:fldCharType="separate"/>
          </w:r>
          <w:r>
            <w:rPr>
              <w:rFonts w:ascii="Times New Roman" w:hAnsi="Times New Roman"/>
              <w:sz w:val="32"/>
              <w:szCs w:val="32"/>
            </w:rPr>
            <w:t>75</w:t>
          </w:r>
          <w:r>
            <w:rPr>
              <w:rFonts w:ascii="Times New Roman" w:hAnsi="Times New Roman"/>
              <w:sz w:val="32"/>
              <w:szCs w:val="32"/>
            </w:rPr>
            <w:fldChar w:fldCharType="end"/>
          </w:r>
          <w:r>
            <w:rPr>
              <w:rFonts w:hint="eastAsia" w:ascii="Times New Roman" w:hAnsi="Times New Roman" w:eastAsia="方正小标宋_GBK" w:cs="方正小标宋_GBK"/>
              <w:color w:val="auto"/>
              <w:sz w:val="32"/>
              <w:szCs w:val="32"/>
              <w:highlight w:val="none"/>
            </w:rPr>
            <w:fldChar w:fldCharType="end"/>
          </w:r>
          <w:r>
            <w:rPr>
              <w:rFonts w:hint="eastAsia" w:ascii="Times New Roman" w:hAnsi="Times New Roman" w:eastAsia="方正楷体_GBK"/>
              <w:sz w:val="32"/>
              <w:szCs w:val="32"/>
              <w:lang w:eastAsia="zh-CN"/>
            </w:rPr>
            <w:t>）</w:t>
          </w:r>
        </w:p>
        <w:p w14:paraId="4DBAC387">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_Toc15544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lang w:val="en-US" w:eastAsia="zh-CN"/>
            </w:rPr>
            <w:t>第一章 支撑打造</w:t>
          </w:r>
          <w:r>
            <w:rPr>
              <w:rFonts w:hint="eastAsia" w:ascii="Times New Roman" w:hAnsi="Times New Roman" w:eastAsia="方正楷体_GBK"/>
              <w:sz w:val="32"/>
              <w:szCs w:val="32"/>
            </w:rPr>
            <w:t>国际消费中心城市</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_Toc15544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75</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2C49FCD0">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_Toc14140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lang w:val="en-US" w:eastAsia="zh-CN"/>
            </w:rPr>
            <w:t xml:space="preserve">第一节 </w:t>
          </w:r>
          <w:r>
            <w:rPr>
              <w:rFonts w:hint="eastAsia" w:ascii="Times New Roman" w:hAnsi="Times New Roman" w:eastAsia="方正仿宋_GBK"/>
              <w:sz w:val="32"/>
              <w:szCs w:val="32"/>
            </w:rPr>
            <w:t>打造“1+2+N”消费集聚区</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_Toc14140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75</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519FF86B">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_Toc23930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lang w:val="en-US" w:eastAsia="zh-CN"/>
            </w:rPr>
            <w:t>第二节 建设一批标志性城市打卡目的地</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_Toc23930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76</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13FCE61B">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_Toc8785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lang w:val="en-US" w:eastAsia="zh-CN"/>
            </w:rPr>
            <w:t xml:space="preserve">第三节 </w:t>
          </w:r>
          <w:r>
            <w:rPr>
              <w:rFonts w:hint="eastAsia" w:ascii="Times New Roman" w:hAnsi="Times New Roman" w:eastAsia="方正仿宋_GBK"/>
              <w:sz w:val="32"/>
              <w:szCs w:val="32"/>
            </w:rPr>
            <w:t>全面营造活力特色消费新场景</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_Toc8785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77</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727EB5DC">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_Toc578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lang w:val="en-US" w:eastAsia="zh-CN"/>
            </w:rPr>
            <w:t xml:space="preserve">第二章 </w:t>
          </w:r>
          <w:r>
            <w:rPr>
              <w:rFonts w:hint="eastAsia" w:ascii="Times New Roman" w:hAnsi="Times New Roman" w:eastAsia="方正楷体_GBK"/>
              <w:sz w:val="32"/>
              <w:szCs w:val="32"/>
            </w:rPr>
            <w:t>扩大有效投资</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_Toc578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78</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0805C9A8">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_Toc6017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加强科产城重点领域投资</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_Toc6017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78</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58C069E9">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_Toc14148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优化政府主导型投资模式</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_Toc14148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78</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0CA80DF5">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_Toc32106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w:t>
          </w:r>
          <w:r>
            <w:rPr>
              <w:rFonts w:hint="eastAsia" w:ascii="Times New Roman" w:hAnsi="Times New Roman" w:eastAsia="方正仿宋_GBK"/>
              <w:sz w:val="32"/>
              <w:szCs w:val="32"/>
              <w:lang w:val="en-US" w:eastAsia="zh-CN"/>
            </w:rPr>
            <w:t>三</w:t>
          </w:r>
          <w:r>
            <w:rPr>
              <w:rFonts w:hint="eastAsia" w:ascii="Times New Roman" w:hAnsi="Times New Roman" w:eastAsia="方正仿宋_GBK"/>
              <w:sz w:val="32"/>
              <w:szCs w:val="32"/>
            </w:rPr>
            <w:t>节 创新市场主导的有效投资内生增长机制</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_Toc32106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79</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668DE64A">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_Toc11994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lang w:val="en-US" w:eastAsia="zh-CN"/>
            </w:rPr>
            <w:t>第三章 深度融入全国统一大市场建设</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_Toc11994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80</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18C6F941">
          <w:pPr>
            <w:pStyle w:val="15"/>
            <w:tabs>
              <w:tab w:val="right" w:leader="middleDot" w:pos="9072"/>
            </w:tabs>
            <w:rPr>
              <w:rFonts w:ascii="Times New Roman" w:hAnsi="Times New Roman"/>
              <w:sz w:val="32"/>
              <w:szCs w:val="32"/>
            </w:rPr>
          </w:pPr>
          <w:r>
            <w:rPr>
              <w:rFonts w:hint="eastAsia" w:ascii="Times New Roman" w:hAnsi="Times New Roman" w:eastAsia="方正小标宋_GBK" w:cs="方正小标宋_GBK"/>
              <w:color w:val="auto"/>
              <w:sz w:val="32"/>
              <w:szCs w:val="32"/>
              <w:highlight w:val="none"/>
            </w:rPr>
            <w:fldChar w:fldCharType="begin"/>
          </w:r>
          <w:r>
            <w:rPr>
              <w:rFonts w:hint="eastAsia" w:ascii="Times New Roman" w:hAnsi="Times New Roman" w:eastAsia="方正小标宋_GBK" w:cs="方正小标宋_GBK"/>
              <w:sz w:val="32"/>
              <w:szCs w:val="32"/>
              <w:highlight w:val="none"/>
            </w:rPr>
            <w:instrText xml:space="preserve"> HYPERLINK \l _Toc29267 </w:instrText>
          </w:r>
          <w:r>
            <w:rPr>
              <w:rFonts w:hint="eastAsia" w:ascii="Times New Roman" w:hAnsi="Times New Roman" w:eastAsia="方正小标宋_GBK" w:cs="方正小标宋_GBK"/>
              <w:sz w:val="32"/>
              <w:szCs w:val="32"/>
              <w:highlight w:val="none"/>
            </w:rPr>
            <w:fldChar w:fldCharType="separate"/>
          </w:r>
          <w:r>
            <w:rPr>
              <w:rFonts w:hint="eastAsia" w:ascii="Times New Roman" w:hAnsi="Times New Roman" w:eastAsia="方正黑体_GBK" w:cs="方正黑体_GBK"/>
              <w:sz w:val="32"/>
              <w:szCs w:val="32"/>
              <w:highlight w:val="none"/>
            </w:rPr>
            <w:t>第</w:t>
          </w:r>
          <w:r>
            <w:rPr>
              <w:rFonts w:hint="eastAsia" w:ascii="Times New Roman" w:hAnsi="Times New Roman" w:eastAsia="方正黑体_GBK" w:cs="方正黑体_GBK"/>
              <w:sz w:val="32"/>
              <w:szCs w:val="32"/>
              <w:highlight w:val="none"/>
              <w:lang w:val="en-US" w:eastAsia="zh-CN"/>
            </w:rPr>
            <w:t>六</w:t>
          </w:r>
          <w:r>
            <w:rPr>
              <w:rFonts w:hint="eastAsia" w:ascii="Times New Roman" w:hAnsi="Times New Roman" w:eastAsia="方正黑体_GBK" w:cs="方正黑体_GBK"/>
              <w:sz w:val="32"/>
              <w:szCs w:val="32"/>
              <w:highlight w:val="none"/>
            </w:rPr>
            <w:t>篇 建设全面深化改革扩大开放的先行示范</w:t>
          </w:r>
          <w:r>
            <w:rPr>
              <w:rFonts w:ascii="Times New Roman" w:hAnsi="Times New Roman"/>
              <w:sz w:val="32"/>
              <w:szCs w:val="32"/>
            </w:rPr>
            <w:tab/>
          </w:r>
          <w:r>
            <w:rPr>
              <w:rFonts w:hint="eastAsia" w:ascii="Times New Roman" w:hAnsi="Times New Roman" w:eastAsia="方正楷体_GBK"/>
              <w:sz w:val="32"/>
              <w:szCs w:val="32"/>
              <w:lang w:eastAsia="zh-CN"/>
            </w:rPr>
            <w:t>（</w:t>
          </w:r>
          <w:r>
            <w:rPr>
              <w:rFonts w:ascii="Times New Roman" w:hAnsi="Times New Roman"/>
              <w:sz w:val="32"/>
              <w:szCs w:val="32"/>
            </w:rPr>
            <w:fldChar w:fldCharType="begin"/>
          </w:r>
          <w:r>
            <w:rPr>
              <w:rFonts w:ascii="Times New Roman" w:hAnsi="Times New Roman"/>
              <w:sz w:val="32"/>
              <w:szCs w:val="32"/>
            </w:rPr>
            <w:instrText xml:space="preserve"> PAGEREF _Toc29267 \h </w:instrText>
          </w:r>
          <w:r>
            <w:rPr>
              <w:rFonts w:ascii="Times New Roman" w:hAnsi="Times New Roman"/>
              <w:sz w:val="32"/>
              <w:szCs w:val="32"/>
            </w:rPr>
            <w:fldChar w:fldCharType="separate"/>
          </w:r>
          <w:r>
            <w:rPr>
              <w:rFonts w:ascii="Times New Roman" w:hAnsi="Times New Roman"/>
              <w:sz w:val="32"/>
              <w:szCs w:val="32"/>
            </w:rPr>
            <w:t>81</w:t>
          </w:r>
          <w:r>
            <w:rPr>
              <w:rFonts w:ascii="Times New Roman" w:hAnsi="Times New Roman"/>
              <w:sz w:val="32"/>
              <w:szCs w:val="32"/>
            </w:rPr>
            <w:fldChar w:fldCharType="end"/>
          </w:r>
          <w:r>
            <w:rPr>
              <w:rFonts w:hint="eastAsia" w:ascii="Times New Roman" w:hAnsi="Times New Roman" w:eastAsia="方正小标宋_GBK" w:cs="方正小标宋_GBK"/>
              <w:color w:val="auto"/>
              <w:sz w:val="32"/>
              <w:szCs w:val="32"/>
              <w:highlight w:val="none"/>
            </w:rPr>
            <w:fldChar w:fldCharType="end"/>
          </w:r>
          <w:r>
            <w:rPr>
              <w:rFonts w:hint="eastAsia" w:ascii="Times New Roman" w:hAnsi="Times New Roman" w:eastAsia="方正楷体_GBK"/>
              <w:sz w:val="32"/>
              <w:szCs w:val="32"/>
              <w:lang w:eastAsia="zh-CN"/>
            </w:rPr>
            <w:t>）</w:t>
          </w:r>
        </w:p>
        <w:p w14:paraId="69B663E3">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_Toc13883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第一章 以“一城多园”共建西部科学城</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_Toc13883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81</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22D84761">
          <w:pPr>
            <w:pStyle w:val="10"/>
            <w:tabs>
              <w:tab w:val="right" w:leader="middleDot" w:pos="9072"/>
            </w:tabs>
            <w:rPr>
              <w:rFonts w:ascii="Times New Roman" w:hAnsi="Times New Roman" w:eastAsia="方正仿宋_GBK"/>
              <w:spacing w:val="-11"/>
              <w:sz w:val="32"/>
              <w:szCs w:val="32"/>
            </w:rPr>
          </w:pPr>
          <w:r>
            <w:rPr>
              <w:rFonts w:hint="eastAsia" w:ascii="Times New Roman" w:hAnsi="Times New Roman" w:eastAsia="方正仿宋_GBK"/>
              <w:spacing w:val="-11"/>
              <w:sz w:val="32"/>
              <w:szCs w:val="32"/>
            </w:rPr>
            <w:fldChar w:fldCharType="begin"/>
          </w:r>
          <w:r>
            <w:rPr>
              <w:rFonts w:hint="eastAsia" w:ascii="Times New Roman" w:hAnsi="Times New Roman" w:eastAsia="方正仿宋_GBK"/>
              <w:spacing w:val="-11"/>
              <w:sz w:val="32"/>
              <w:szCs w:val="32"/>
            </w:rPr>
            <w:instrText xml:space="preserve"> HYPERLINK \l _Toc15995 </w:instrText>
          </w:r>
          <w:r>
            <w:rPr>
              <w:rFonts w:hint="eastAsia" w:ascii="Times New Roman" w:hAnsi="Times New Roman" w:eastAsia="方正仿宋_GBK"/>
              <w:spacing w:val="-11"/>
              <w:sz w:val="32"/>
              <w:szCs w:val="32"/>
            </w:rPr>
            <w:fldChar w:fldCharType="separate"/>
          </w:r>
          <w:r>
            <w:rPr>
              <w:rFonts w:hint="eastAsia" w:ascii="Times New Roman" w:hAnsi="Times New Roman" w:eastAsia="方正仿宋_GBK"/>
              <w:spacing w:val="-11"/>
              <w:sz w:val="32"/>
              <w:szCs w:val="32"/>
            </w:rPr>
            <w:t>第一节 推动与西部（成都）科学城、成都高新区联建</w:t>
          </w:r>
          <w:r>
            <w:rPr>
              <w:rFonts w:ascii="Times New Roman" w:hAnsi="Times New Roman" w:eastAsia="方正仿宋_GBK"/>
              <w:spacing w:val="-11"/>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pacing w:val="-11"/>
              <w:sz w:val="32"/>
              <w:szCs w:val="32"/>
            </w:rPr>
            <w:fldChar w:fldCharType="begin"/>
          </w:r>
          <w:r>
            <w:rPr>
              <w:rFonts w:ascii="Times New Roman" w:hAnsi="Times New Roman" w:eastAsia="方正仿宋_GBK"/>
              <w:spacing w:val="-11"/>
              <w:sz w:val="32"/>
              <w:szCs w:val="32"/>
            </w:rPr>
            <w:instrText xml:space="preserve"> PAGEREF _Toc15995 \h </w:instrText>
          </w:r>
          <w:r>
            <w:rPr>
              <w:rFonts w:ascii="Times New Roman" w:hAnsi="Times New Roman" w:eastAsia="方正仿宋_GBK"/>
              <w:spacing w:val="-11"/>
              <w:sz w:val="32"/>
              <w:szCs w:val="32"/>
            </w:rPr>
            <w:fldChar w:fldCharType="separate"/>
          </w:r>
          <w:r>
            <w:rPr>
              <w:rFonts w:ascii="Times New Roman" w:hAnsi="Times New Roman" w:eastAsia="方正仿宋_GBK"/>
              <w:spacing w:val="-11"/>
              <w:sz w:val="32"/>
              <w:szCs w:val="32"/>
            </w:rPr>
            <w:t>81</w:t>
          </w:r>
          <w:r>
            <w:rPr>
              <w:rFonts w:ascii="Times New Roman" w:hAnsi="Times New Roman" w:eastAsia="方正仿宋_GBK"/>
              <w:spacing w:val="-11"/>
              <w:sz w:val="32"/>
              <w:szCs w:val="32"/>
            </w:rPr>
            <w:fldChar w:fldCharType="end"/>
          </w:r>
          <w:r>
            <w:rPr>
              <w:rFonts w:hint="eastAsia" w:ascii="Times New Roman" w:hAnsi="Times New Roman" w:eastAsia="方正仿宋_GBK"/>
              <w:spacing w:val="-11"/>
              <w:sz w:val="32"/>
              <w:szCs w:val="32"/>
            </w:rPr>
            <w:fldChar w:fldCharType="end"/>
          </w:r>
          <w:r>
            <w:rPr>
              <w:rFonts w:hint="eastAsia" w:ascii="Times New Roman" w:hAnsi="Times New Roman" w:eastAsia="方正楷体_GBK"/>
              <w:sz w:val="32"/>
              <w:szCs w:val="32"/>
              <w:lang w:eastAsia="zh-CN"/>
            </w:rPr>
            <w:t>）</w:t>
          </w:r>
        </w:p>
        <w:p w14:paraId="791C5FDF">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_Toc27909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推动与绵阳科技城联动</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_Toc27909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82</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639D380D">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_Toc502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第二章 融入市域高质量发展新格局</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_Toc502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83</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4DE17F40">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_Toc15909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融入市域科创走廊建设</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_Toc15909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83</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1AB153D6">
          <w:pPr>
            <w:pStyle w:val="10"/>
            <w:tabs>
              <w:tab w:val="right" w:leader="middleDot" w:pos="9072"/>
            </w:tabs>
            <w:rPr>
              <w:rFonts w:ascii="Times New Roman" w:hAnsi="Times New Roman" w:eastAsia="方正仿宋_GBK"/>
              <w:spacing w:val="-17"/>
              <w:sz w:val="32"/>
              <w:szCs w:val="32"/>
            </w:rPr>
          </w:pPr>
          <w:r>
            <w:rPr>
              <w:rFonts w:hint="eastAsia" w:ascii="Times New Roman" w:hAnsi="Times New Roman" w:eastAsia="方正仿宋_GBK"/>
              <w:spacing w:val="-17"/>
              <w:sz w:val="32"/>
              <w:szCs w:val="32"/>
            </w:rPr>
            <w:fldChar w:fldCharType="begin"/>
          </w:r>
          <w:r>
            <w:rPr>
              <w:rFonts w:hint="eastAsia" w:ascii="Times New Roman" w:hAnsi="Times New Roman" w:eastAsia="方正仿宋_GBK"/>
              <w:spacing w:val="-17"/>
              <w:sz w:val="32"/>
              <w:szCs w:val="32"/>
            </w:rPr>
            <w:instrText xml:space="preserve"> HYPERLINK \l _Toc17027 </w:instrText>
          </w:r>
          <w:r>
            <w:rPr>
              <w:rFonts w:hint="eastAsia" w:ascii="Times New Roman" w:hAnsi="Times New Roman" w:eastAsia="方正仿宋_GBK"/>
              <w:spacing w:val="-17"/>
              <w:sz w:val="32"/>
              <w:szCs w:val="32"/>
            </w:rPr>
            <w:fldChar w:fldCharType="separate"/>
          </w:r>
          <w:r>
            <w:rPr>
              <w:rFonts w:hint="eastAsia" w:ascii="Times New Roman" w:hAnsi="Times New Roman" w:eastAsia="方正仿宋_GBK"/>
              <w:spacing w:val="-17"/>
              <w:sz w:val="32"/>
              <w:szCs w:val="32"/>
            </w:rPr>
            <w:t>第二节 推动西部（重庆）科学城“一核五区”一体化发展</w:t>
          </w:r>
          <w:r>
            <w:rPr>
              <w:rFonts w:ascii="Times New Roman" w:hAnsi="Times New Roman" w:eastAsia="方正仿宋_GBK"/>
              <w:spacing w:val="-17"/>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pacing w:val="-17"/>
              <w:sz w:val="32"/>
              <w:szCs w:val="32"/>
            </w:rPr>
            <w:fldChar w:fldCharType="begin"/>
          </w:r>
          <w:r>
            <w:rPr>
              <w:rFonts w:ascii="Times New Roman" w:hAnsi="Times New Roman" w:eastAsia="方正仿宋_GBK"/>
              <w:spacing w:val="-17"/>
              <w:sz w:val="32"/>
              <w:szCs w:val="32"/>
            </w:rPr>
            <w:instrText xml:space="preserve"> PAGEREF _Toc17027 \h </w:instrText>
          </w:r>
          <w:r>
            <w:rPr>
              <w:rFonts w:ascii="Times New Roman" w:hAnsi="Times New Roman" w:eastAsia="方正仿宋_GBK"/>
              <w:spacing w:val="-17"/>
              <w:sz w:val="32"/>
              <w:szCs w:val="32"/>
            </w:rPr>
            <w:fldChar w:fldCharType="separate"/>
          </w:r>
          <w:r>
            <w:rPr>
              <w:rFonts w:ascii="Times New Roman" w:hAnsi="Times New Roman" w:eastAsia="方正仿宋_GBK"/>
              <w:spacing w:val="-17"/>
              <w:sz w:val="32"/>
              <w:szCs w:val="32"/>
            </w:rPr>
            <w:t>84</w:t>
          </w:r>
          <w:r>
            <w:rPr>
              <w:rFonts w:ascii="Times New Roman" w:hAnsi="Times New Roman" w:eastAsia="方正仿宋_GBK"/>
              <w:spacing w:val="-17"/>
              <w:sz w:val="32"/>
              <w:szCs w:val="32"/>
            </w:rPr>
            <w:fldChar w:fldCharType="end"/>
          </w:r>
          <w:r>
            <w:rPr>
              <w:rFonts w:hint="eastAsia" w:ascii="Times New Roman" w:hAnsi="Times New Roman" w:eastAsia="方正仿宋_GBK"/>
              <w:spacing w:val="-17"/>
              <w:sz w:val="32"/>
              <w:szCs w:val="32"/>
            </w:rPr>
            <w:fldChar w:fldCharType="end"/>
          </w:r>
          <w:r>
            <w:rPr>
              <w:rFonts w:hint="eastAsia" w:ascii="Times New Roman" w:hAnsi="Times New Roman" w:eastAsia="方正楷体_GBK"/>
              <w:sz w:val="32"/>
              <w:szCs w:val="32"/>
              <w:lang w:eastAsia="zh-CN"/>
            </w:rPr>
            <w:t>）</w:t>
          </w:r>
        </w:p>
        <w:p w14:paraId="2A587302">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_Toc19671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深化区域对口协同发展</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_Toc19671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85</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1088FFFF">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_Toc24828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lang w:val="en-US" w:eastAsia="zh-CN"/>
            </w:rPr>
            <w:t xml:space="preserve">第三章 </w:t>
          </w:r>
          <w:r>
            <w:rPr>
              <w:rFonts w:hint="eastAsia" w:ascii="Times New Roman" w:hAnsi="Times New Roman" w:eastAsia="方正楷体_GBK"/>
              <w:sz w:val="32"/>
              <w:szCs w:val="32"/>
            </w:rPr>
            <w:t>全力建设重庆市物流枢纽经济区高新区功能区</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_Toc24828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86</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4C7547FF">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_Toc24282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第四章 提档建设西永综保区和自贸区西永片区</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_Toc24282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87</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01661038">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_Toc31563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推动西永综保区优化调整</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_Toc31563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87</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401692B5">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_Toc21770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提升自贸区西永片区发展能级</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_Toc21770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88</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2E04B63F">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_Toc9996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第五章 持续推动重点领域改革</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_Toc9996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89</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17A00AC6">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_Toc3577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构建优化协同高效的机构职能体系</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_Toc3577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89</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68303815">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_Toc4678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全面建成数字重庆体系能力</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_Toc4678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89</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6AFA7575">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_Toc10829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深入开展国资国企改革</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_Toc10829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90</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0DEED6BE">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_Toc17121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第四节 营造一流营商环境</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_Toc17121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91</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4A7EA77B">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_Toc10459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 xml:space="preserve">第五节 </w:t>
          </w:r>
          <w:r>
            <w:rPr>
              <w:rFonts w:hint="eastAsia" w:ascii="Times New Roman" w:hAnsi="Times New Roman" w:eastAsia="方正仿宋_GBK"/>
              <w:sz w:val="32"/>
              <w:szCs w:val="32"/>
              <w:lang w:val="en-US" w:eastAsia="zh-CN"/>
            </w:rPr>
            <w:t>强化</w:t>
          </w:r>
          <w:r>
            <w:rPr>
              <w:rFonts w:hint="eastAsia" w:ascii="Times New Roman" w:hAnsi="Times New Roman" w:eastAsia="方正仿宋_GBK"/>
              <w:sz w:val="32"/>
              <w:szCs w:val="32"/>
            </w:rPr>
            <w:t>建设发展的财政金融保障</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_Toc10459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92</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5C1E7872">
          <w:pPr>
            <w:pStyle w:val="15"/>
            <w:tabs>
              <w:tab w:val="right" w:leader="middleDot" w:pos="9072"/>
            </w:tabs>
            <w:rPr>
              <w:rFonts w:ascii="Times New Roman" w:hAnsi="Times New Roman"/>
              <w:sz w:val="32"/>
              <w:szCs w:val="32"/>
            </w:rPr>
          </w:pPr>
          <w:r>
            <w:rPr>
              <w:rFonts w:hint="eastAsia" w:ascii="Times New Roman" w:hAnsi="Times New Roman" w:eastAsia="方正小标宋_GBK" w:cs="方正小标宋_GBK"/>
              <w:color w:val="auto"/>
              <w:sz w:val="32"/>
              <w:szCs w:val="32"/>
              <w:highlight w:val="none"/>
            </w:rPr>
            <w:fldChar w:fldCharType="begin"/>
          </w:r>
          <w:r>
            <w:rPr>
              <w:rFonts w:hint="eastAsia" w:ascii="Times New Roman" w:hAnsi="Times New Roman" w:eastAsia="方正小标宋_GBK" w:cs="方正小标宋_GBK"/>
              <w:sz w:val="32"/>
              <w:szCs w:val="32"/>
              <w:highlight w:val="none"/>
            </w:rPr>
            <w:instrText xml:space="preserve"> HYPERLINK \l _Toc12988 </w:instrText>
          </w:r>
          <w:r>
            <w:rPr>
              <w:rFonts w:hint="eastAsia" w:ascii="Times New Roman" w:hAnsi="Times New Roman" w:eastAsia="方正小标宋_GBK" w:cs="方正小标宋_GBK"/>
              <w:sz w:val="32"/>
              <w:szCs w:val="32"/>
              <w:highlight w:val="none"/>
            </w:rPr>
            <w:fldChar w:fldCharType="separate"/>
          </w:r>
          <w:r>
            <w:rPr>
              <w:rFonts w:hint="eastAsia" w:ascii="Times New Roman" w:hAnsi="Times New Roman" w:eastAsia="方正黑体_GBK" w:cs="方正黑体_GBK"/>
              <w:sz w:val="32"/>
              <w:szCs w:val="32"/>
              <w:highlight w:val="none"/>
            </w:rPr>
            <w:t>第</w:t>
          </w:r>
          <w:r>
            <w:rPr>
              <w:rFonts w:hint="eastAsia" w:ascii="Times New Roman" w:hAnsi="Times New Roman" w:eastAsia="方正黑体_GBK" w:cs="方正黑体_GBK"/>
              <w:sz w:val="32"/>
              <w:szCs w:val="32"/>
              <w:highlight w:val="none"/>
              <w:lang w:val="en-US" w:eastAsia="zh-CN"/>
            </w:rPr>
            <w:t>七</w:t>
          </w:r>
          <w:r>
            <w:rPr>
              <w:rFonts w:hint="eastAsia" w:ascii="Times New Roman" w:hAnsi="Times New Roman" w:eastAsia="方正黑体_GBK" w:cs="方正黑体_GBK"/>
              <w:sz w:val="32"/>
              <w:szCs w:val="32"/>
              <w:highlight w:val="none"/>
            </w:rPr>
            <w:t>篇 统筹高质量发展和高水平安全</w:t>
          </w:r>
          <w:r>
            <w:rPr>
              <w:rFonts w:ascii="Times New Roman" w:hAnsi="Times New Roman"/>
              <w:sz w:val="32"/>
              <w:szCs w:val="32"/>
            </w:rPr>
            <w:tab/>
          </w:r>
          <w:r>
            <w:rPr>
              <w:rFonts w:hint="eastAsia" w:ascii="Times New Roman" w:hAnsi="Times New Roman" w:eastAsia="方正楷体_GBK"/>
              <w:sz w:val="32"/>
              <w:szCs w:val="32"/>
              <w:lang w:eastAsia="zh-CN"/>
            </w:rPr>
            <w:t>（</w:t>
          </w:r>
          <w:r>
            <w:rPr>
              <w:rFonts w:ascii="Times New Roman" w:hAnsi="Times New Roman"/>
              <w:sz w:val="32"/>
              <w:szCs w:val="32"/>
            </w:rPr>
            <w:fldChar w:fldCharType="begin"/>
          </w:r>
          <w:r>
            <w:rPr>
              <w:rFonts w:ascii="Times New Roman" w:hAnsi="Times New Roman"/>
              <w:sz w:val="32"/>
              <w:szCs w:val="32"/>
            </w:rPr>
            <w:instrText xml:space="preserve"> PAGEREF _Toc12988 \h </w:instrText>
          </w:r>
          <w:r>
            <w:rPr>
              <w:rFonts w:ascii="Times New Roman" w:hAnsi="Times New Roman"/>
              <w:sz w:val="32"/>
              <w:szCs w:val="32"/>
            </w:rPr>
            <w:fldChar w:fldCharType="separate"/>
          </w:r>
          <w:r>
            <w:rPr>
              <w:rFonts w:ascii="Times New Roman" w:hAnsi="Times New Roman"/>
              <w:sz w:val="32"/>
              <w:szCs w:val="32"/>
            </w:rPr>
            <w:t>94</w:t>
          </w:r>
          <w:r>
            <w:rPr>
              <w:rFonts w:ascii="Times New Roman" w:hAnsi="Times New Roman"/>
              <w:sz w:val="32"/>
              <w:szCs w:val="32"/>
            </w:rPr>
            <w:fldChar w:fldCharType="end"/>
          </w:r>
          <w:r>
            <w:rPr>
              <w:rFonts w:hint="eastAsia" w:ascii="Times New Roman" w:hAnsi="Times New Roman" w:eastAsia="方正小标宋_GBK" w:cs="方正小标宋_GBK"/>
              <w:color w:val="auto"/>
              <w:sz w:val="32"/>
              <w:szCs w:val="32"/>
              <w:highlight w:val="none"/>
            </w:rPr>
            <w:fldChar w:fldCharType="end"/>
          </w:r>
          <w:r>
            <w:rPr>
              <w:rFonts w:hint="eastAsia" w:ascii="Times New Roman" w:hAnsi="Times New Roman" w:eastAsia="方正楷体_GBK"/>
              <w:sz w:val="32"/>
              <w:szCs w:val="32"/>
              <w:lang w:eastAsia="zh-CN"/>
            </w:rPr>
            <w:t>）</w:t>
          </w:r>
        </w:p>
        <w:p w14:paraId="5C8FA043">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_Toc16606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第一章 加强维护国家安全体系和能力建设</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_Toc16606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94</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4A05CCDA">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_Toc13717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第二章 突出抓好经济安全</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_Toc13717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95</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549E9DF3">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_Toc21189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第三章 建设平安高新</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_Toc21189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96</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41198832">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_Toc16167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加强社会治安整体防控体系和能力建设</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_Toc16167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96</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20C429C3">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_Toc19547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持续打好安全生产保卫战</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_Toc19547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97</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7C96124F">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_Toc4896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保障食品药品安全</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_Toc4896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98</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24869836">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_Toc866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第四章 建设法治高新</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_Toc866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98</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5F3280D6">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_Toc30174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深化建设法治政府</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_Toc30174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99</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5006275E">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_Toc25046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加强公正高效权威司法</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_Toc25046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99</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0F8ADDB1">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_Toc27676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加强法治社会建设</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_Toc27676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99</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00A0DA8D">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_Toc22896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第五章 推进社会治理现代化</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_Toc22896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100</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15F89062">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_Toc18672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健全党建引领基层治理体系</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_Toc18672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100</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6FFBB16E">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_Toc39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提升基层社会治理水平</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_Toc39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101</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652E8B7F">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_Toc1227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提升社区治理服务效能</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_Toc1227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102</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098CE232">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_Toc1465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lang w:val="en-US" w:eastAsia="zh-CN"/>
            </w:rPr>
            <w:t>第六章 推动实现高水平城乡融合发展</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_Toc1465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102</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58A039D3">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_Toc27987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加强国土空间协同治理</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_Toc27987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103</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1D8A14CE">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_Toc29318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提升农业科技和安全水平</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_Toc29318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104</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3E4C993A">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_Toc32090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建设示范性和美乡村</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_Toc32090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105</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56322132">
          <w:pPr>
            <w:pStyle w:val="15"/>
            <w:tabs>
              <w:tab w:val="right" w:leader="middleDot" w:pos="9072"/>
            </w:tabs>
            <w:rPr>
              <w:rFonts w:ascii="Times New Roman" w:hAnsi="Times New Roman"/>
              <w:sz w:val="32"/>
              <w:szCs w:val="32"/>
            </w:rPr>
          </w:pPr>
          <w:r>
            <w:rPr>
              <w:rFonts w:hint="eastAsia" w:ascii="Times New Roman" w:hAnsi="Times New Roman" w:eastAsia="方正小标宋_GBK" w:cs="方正小标宋_GBK"/>
              <w:color w:val="auto"/>
              <w:sz w:val="32"/>
              <w:szCs w:val="32"/>
              <w:highlight w:val="none"/>
            </w:rPr>
            <w:fldChar w:fldCharType="begin"/>
          </w:r>
          <w:r>
            <w:rPr>
              <w:rFonts w:hint="eastAsia" w:ascii="Times New Roman" w:hAnsi="Times New Roman" w:eastAsia="方正小标宋_GBK" w:cs="方正小标宋_GBK"/>
              <w:sz w:val="32"/>
              <w:szCs w:val="32"/>
              <w:highlight w:val="none"/>
            </w:rPr>
            <w:instrText xml:space="preserve"> HYPERLINK \l _Toc25918 </w:instrText>
          </w:r>
          <w:r>
            <w:rPr>
              <w:rFonts w:hint="eastAsia" w:ascii="Times New Roman" w:hAnsi="Times New Roman" w:eastAsia="方正小标宋_GBK" w:cs="方正小标宋_GBK"/>
              <w:sz w:val="32"/>
              <w:szCs w:val="32"/>
              <w:highlight w:val="none"/>
            </w:rPr>
            <w:fldChar w:fldCharType="separate"/>
          </w:r>
          <w:r>
            <w:rPr>
              <w:rFonts w:hint="eastAsia" w:ascii="Times New Roman" w:hAnsi="Times New Roman" w:eastAsia="方正黑体_GBK" w:cs="方正黑体_GBK"/>
              <w:sz w:val="32"/>
              <w:szCs w:val="32"/>
              <w:highlight w:val="none"/>
            </w:rPr>
            <w:t>第</w:t>
          </w:r>
          <w:r>
            <w:rPr>
              <w:rFonts w:hint="eastAsia" w:ascii="Times New Roman" w:hAnsi="Times New Roman" w:eastAsia="方正黑体_GBK" w:cs="方正黑体_GBK"/>
              <w:sz w:val="32"/>
              <w:szCs w:val="32"/>
              <w:highlight w:val="none"/>
              <w:lang w:val="en-US" w:eastAsia="zh-CN"/>
            </w:rPr>
            <w:t>八</w:t>
          </w:r>
          <w:r>
            <w:rPr>
              <w:rFonts w:hint="eastAsia" w:ascii="Times New Roman" w:hAnsi="Times New Roman" w:eastAsia="方正黑体_GBK" w:cs="方正黑体_GBK"/>
              <w:sz w:val="32"/>
              <w:szCs w:val="32"/>
              <w:highlight w:val="none"/>
            </w:rPr>
            <w:t>篇 健全规划实施保障机制</w:t>
          </w:r>
          <w:r>
            <w:rPr>
              <w:rFonts w:ascii="Times New Roman" w:hAnsi="Times New Roman"/>
              <w:sz w:val="32"/>
              <w:szCs w:val="32"/>
            </w:rPr>
            <w:tab/>
          </w:r>
          <w:r>
            <w:rPr>
              <w:rFonts w:hint="eastAsia" w:ascii="Times New Roman" w:hAnsi="Times New Roman" w:eastAsia="方正楷体_GBK"/>
              <w:sz w:val="32"/>
              <w:szCs w:val="32"/>
              <w:lang w:eastAsia="zh-CN"/>
            </w:rPr>
            <w:t>（</w:t>
          </w:r>
          <w:r>
            <w:rPr>
              <w:rFonts w:ascii="Times New Roman" w:hAnsi="Times New Roman"/>
              <w:sz w:val="32"/>
              <w:szCs w:val="32"/>
            </w:rPr>
            <w:fldChar w:fldCharType="begin"/>
          </w:r>
          <w:r>
            <w:rPr>
              <w:rFonts w:ascii="Times New Roman" w:hAnsi="Times New Roman"/>
              <w:sz w:val="32"/>
              <w:szCs w:val="32"/>
            </w:rPr>
            <w:instrText xml:space="preserve"> PAGEREF _Toc25918 \h </w:instrText>
          </w:r>
          <w:r>
            <w:rPr>
              <w:rFonts w:ascii="Times New Roman" w:hAnsi="Times New Roman"/>
              <w:sz w:val="32"/>
              <w:szCs w:val="32"/>
            </w:rPr>
            <w:fldChar w:fldCharType="separate"/>
          </w:r>
          <w:r>
            <w:rPr>
              <w:rFonts w:ascii="Times New Roman" w:hAnsi="Times New Roman"/>
              <w:sz w:val="32"/>
              <w:szCs w:val="32"/>
            </w:rPr>
            <w:t>106</w:t>
          </w:r>
          <w:r>
            <w:rPr>
              <w:rFonts w:ascii="Times New Roman" w:hAnsi="Times New Roman"/>
              <w:sz w:val="32"/>
              <w:szCs w:val="32"/>
            </w:rPr>
            <w:fldChar w:fldCharType="end"/>
          </w:r>
          <w:r>
            <w:rPr>
              <w:rFonts w:hint="eastAsia" w:ascii="Times New Roman" w:hAnsi="Times New Roman" w:eastAsia="方正小标宋_GBK" w:cs="方正小标宋_GBK"/>
              <w:color w:val="auto"/>
              <w:sz w:val="32"/>
              <w:szCs w:val="32"/>
              <w:highlight w:val="none"/>
            </w:rPr>
            <w:fldChar w:fldCharType="end"/>
          </w:r>
          <w:r>
            <w:rPr>
              <w:rFonts w:hint="eastAsia" w:ascii="Times New Roman" w:hAnsi="Times New Roman" w:eastAsia="方正楷体_GBK"/>
              <w:sz w:val="32"/>
              <w:szCs w:val="32"/>
              <w:lang w:eastAsia="zh-CN"/>
            </w:rPr>
            <w:t>）</w:t>
          </w:r>
        </w:p>
        <w:p w14:paraId="05BBF90C">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_Toc16729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第一章 坚持党对经济社会发展的全面领导</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_Toc16729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106</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64AD5238">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_Toc20327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强化党对规划实施的全过程领导</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_Toc20327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106</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72DF8E42">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_Toc2510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全面提高干部现代化建设能力</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_Toc2510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106</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46691925">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_Toc2515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完善监督体系</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_Toc2515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107</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147CE353">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_Toc9546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第二章 广泛调动社会力量</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_Toc9546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108</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05BA3CA0">
          <w:pPr>
            <w:pStyle w:val="18"/>
            <w:tabs>
              <w:tab w:val="right" w:leader="middleDot" w:pos="9072"/>
            </w:tabs>
            <w:rPr>
              <w:rFonts w:ascii="Times New Roman" w:hAnsi="Times New Roman" w:eastAsia="方正楷体_GBK"/>
              <w:sz w:val="32"/>
              <w:szCs w:val="32"/>
            </w:rPr>
          </w:pPr>
          <w:r>
            <w:rPr>
              <w:rFonts w:hint="eastAsia" w:ascii="Times New Roman" w:hAnsi="Times New Roman" w:eastAsia="方正楷体_GBK"/>
              <w:sz w:val="32"/>
              <w:szCs w:val="32"/>
            </w:rPr>
            <w:fldChar w:fldCharType="begin"/>
          </w:r>
          <w:r>
            <w:rPr>
              <w:rFonts w:hint="eastAsia" w:ascii="Times New Roman" w:hAnsi="Times New Roman" w:eastAsia="方正楷体_GBK"/>
              <w:sz w:val="32"/>
              <w:szCs w:val="32"/>
            </w:rPr>
            <w:instrText xml:space="preserve"> HYPERLINK \l _Toc17602 </w:instrText>
          </w:r>
          <w:r>
            <w:rPr>
              <w:rFonts w:hint="eastAsia" w:ascii="Times New Roman" w:hAnsi="Times New Roman" w:eastAsia="方正楷体_GBK"/>
              <w:sz w:val="32"/>
              <w:szCs w:val="32"/>
            </w:rPr>
            <w:fldChar w:fldCharType="separate"/>
          </w:r>
          <w:r>
            <w:rPr>
              <w:rFonts w:hint="eastAsia" w:ascii="Times New Roman" w:hAnsi="Times New Roman" w:eastAsia="方正楷体_GBK"/>
              <w:sz w:val="32"/>
              <w:szCs w:val="32"/>
            </w:rPr>
            <w:t>第三章 加强规划组织实施</w:t>
          </w:r>
          <w:r>
            <w:rPr>
              <w:rFonts w:ascii="Times New Roman" w:hAnsi="Times New Roman" w:eastAsia="方正楷体_GBK"/>
              <w:sz w:val="32"/>
              <w:szCs w:val="32"/>
            </w:rPr>
            <w:tab/>
          </w:r>
          <w:r>
            <w:rPr>
              <w:rFonts w:hint="eastAsia" w:ascii="Times New Roman" w:hAnsi="Times New Roman" w:eastAsia="方正楷体_GBK"/>
              <w:sz w:val="32"/>
              <w:szCs w:val="32"/>
              <w:lang w:eastAsia="zh-CN"/>
            </w:rPr>
            <w:t>（</w:t>
          </w:r>
          <w:r>
            <w:rPr>
              <w:rFonts w:ascii="Times New Roman" w:hAnsi="Times New Roman" w:eastAsia="方正楷体_GBK"/>
              <w:sz w:val="32"/>
              <w:szCs w:val="32"/>
            </w:rPr>
            <w:fldChar w:fldCharType="begin"/>
          </w:r>
          <w:r>
            <w:rPr>
              <w:rFonts w:ascii="Times New Roman" w:hAnsi="Times New Roman" w:eastAsia="方正楷体_GBK"/>
              <w:sz w:val="32"/>
              <w:szCs w:val="32"/>
            </w:rPr>
            <w:instrText xml:space="preserve"> PAGEREF _Toc17602 \h </w:instrText>
          </w:r>
          <w:r>
            <w:rPr>
              <w:rFonts w:ascii="Times New Roman" w:hAnsi="Times New Roman" w:eastAsia="方正楷体_GBK"/>
              <w:sz w:val="32"/>
              <w:szCs w:val="32"/>
            </w:rPr>
            <w:fldChar w:fldCharType="separate"/>
          </w:r>
          <w:r>
            <w:rPr>
              <w:rFonts w:ascii="Times New Roman" w:hAnsi="Times New Roman" w:eastAsia="方正楷体_GBK"/>
              <w:sz w:val="32"/>
              <w:szCs w:val="32"/>
            </w:rPr>
            <w:t>108</w:t>
          </w:r>
          <w:r>
            <w:rPr>
              <w:rFonts w:ascii="Times New Roman" w:hAnsi="Times New Roman" w:eastAsia="方正楷体_GBK"/>
              <w:sz w:val="32"/>
              <w:szCs w:val="32"/>
            </w:rPr>
            <w:fldChar w:fldCharType="end"/>
          </w:r>
          <w:r>
            <w:rPr>
              <w:rFonts w:hint="eastAsia" w:ascii="Times New Roman" w:hAnsi="Times New Roman" w:eastAsia="方正楷体_GBK"/>
              <w:sz w:val="32"/>
              <w:szCs w:val="32"/>
            </w:rPr>
            <w:fldChar w:fldCharType="end"/>
          </w:r>
          <w:r>
            <w:rPr>
              <w:rFonts w:hint="eastAsia" w:ascii="Times New Roman" w:hAnsi="Times New Roman" w:eastAsia="方正楷体_GBK"/>
              <w:sz w:val="32"/>
              <w:szCs w:val="32"/>
              <w:lang w:eastAsia="zh-CN"/>
            </w:rPr>
            <w:t>）</w:t>
          </w:r>
        </w:p>
        <w:p w14:paraId="601938D6">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_Toc884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第一节 完善规划管理制度</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_Toc884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109</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68751334">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_Toc22529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第二节 强化“四个重大”支撑</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_Toc22529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109</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6645ADFA">
          <w:pPr>
            <w:pStyle w:val="10"/>
            <w:tabs>
              <w:tab w:val="right" w:leader="middleDot" w:pos="9072"/>
            </w:tabs>
            <w:rPr>
              <w:rFonts w:ascii="Times New Roman" w:hAnsi="Times New Roman" w:eastAsia="方正仿宋_GBK"/>
              <w:sz w:val="32"/>
              <w:szCs w:val="32"/>
            </w:rPr>
          </w:pPr>
          <w:r>
            <w:rPr>
              <w:rFonts w:hint="eastAsia" w:ascii="Times New Roman" w:hAnsi="Times New Roman" w:eastAsia="方正仿宋_GBK"/>
              <w:sz w:val="32"/>
              <w:szCs w:val="32"/>
            </w:rPr>
            <w:fldChar w:fldCharType="begin"/>
          </w:r>
          <w:r>
            <w:rPr>
              <w:rFonts w:hint="eastAsia" w:ascii="Times New Roman" w:hAnsi="Times New Roman" w:eastAsia="方正仿宋_GBK"/>
              <w:sz w:val="32"/>
              <w:szCs w:val="32"/>
            </w:rPr>
            <w:instrText xml:space="preserve"> HYPERLINK \l _Toc12445 </w:instrText>
          </w:r>
          <w:r>
            <w:rPr>
              <w:rFonts w:hint="eastAsia" w:ascii="Times New Roman" w:hAnsi="Times New Roman" w:eastAsia="方正仿宋_GBK"/>
              <w:sz w:val="32"/>
              <w:szCs w:val="32"/>
            </w:rPr>
            <w:fldChar w:fldCharType="separate"/>
          </w:r>
          <w:r>
            <w:rPr>
              <w:rFonts w:hint="eastAsia" w:ascii="Times New Roman" w:hAnsi="Times New Roman" w:eastAsia="方正仿宋_GBK"/>
              <w:sz w:val="32"/>
              <w:szCs w:val="32"/>
            </w:rPr>
            <w:t>第三节 加强规划实施监测评估</w:t>
          </w:r>
          <w:r>
            <w:rPr>
              <w:rFonts w:ascii="Times New Roman" w:hAnsi="Times New Roman" w:eastAsia="方正仿宋_GBK"/>
              <w:sz w:val="32"/>
              <w:szCs w:val="32"/>
            </w:rPr>
            <w:tab/>
          </w:r>
          <w:r>
            <w:rPr>
              <w:rFonts w:hint="eastAsia" w:ascii="Times New Roman" w:hAnsi="Times New Roman" w:eastAsia="方正楷体_GBK"/>
              <w:sz w:val="32"/>
              <w:szCs w:val="32"/>
              <w:lang w:eastAsia="zh-CN"/>
            </w:rPr>
            <w:t>（</w:t>
          </w:r>
          <w:r>
            <w:rPr>
              <w:rFonts w:ascii="Times New Roman" w:hAnsi="Times New Roman" w:eastAsia="方正仿宋_GBK"/>
              <w:sz w:val="32"/>
              <w:szCs w:val="32"/>
            </w:rPr>
            <w:fldChar w:fldCharType="begin"/>
          </w:r>
          <w:r>
            <w:rPr>
              <w:rFonts w:ascii="Times New Roman" w:hAnsi="Times New Roman" w:eastAsia="方正仿宋_GBK"/>
              <w:sz w:val="32"/>
              <w:szCs w:val="32"/>
            </w:rPr>
            <w:instrText xml:space="preserve"> PAGEREF _Toc12445 \h </w:instrText>
          </w:r>
          <w:r>
            <w:rPr>
              <w:rFonts w:ascii="Times New Roman" w:hAnsi="Times New Roman" w:eastAsia="方正仿宋_GBK"/>
              <w:sz w:val="32"/>
              <w:szCs w:val="32"/>
            </w:rPr>
            <w:fldChar w:fldCharType="separate"/>
          </w:r>
          <w:r>
            <w:rPr>
              <w:rFonts w:ascii="Times New Roman" w:hAnsi="Times New Roman" w:eastAsia="方正仿宋_GBK"/>
              <w:sz w:val="32"/>
              <w:szCs w:val="32"/>
            </w:rPr>
            <w:t>110</w:t>
          </w:r>
          <w:r>
            <w:rPr>
              <w:rFonts w:ascii="Times New Roman" w:hAnsi="Times New Roman" w:eastAsia="方正仿宋_GBK"/>
              <w:sz w:val="32"/>
              <w:szCs w:val="32"/>
            </w:rPr>
            <w:fldChar w:fldCharType="end"/>
          </w:r>
          <w:r>
            <w:rPr>
              <w:rFonts w:hint="eastAsia" w:ascii="Times New Roman" w:hAnsi="Times New Roman" w:eastAsia="方正仿宋_GBK"/>
              <w:sz w:val="32"/>
              <w:szCs w:val="32"/>
            </w:rPr>
            <w:fldChar w:fldCharType="end"/>
          </w:r>
          <w:r>
            <w:rPr>
              <w:rFonts w:hint="eastAsia" w:ascii="Times New Roman" w:hAnsi="Times New Roman" w:eastAsia="方正楷体_GBK"/>
              <w:sz w:val="32"/>
              <w:szCs w:val="32"/>
              <w:lang w:eastAsia="zh-CN"/>
            </w:rPr>
            <w:t>）</w:t>
          </w:r>
        </w:p>
        <w:p w14:paraId="14F56B0F">
          <w:pPr>
            <w:pStyle w:val="19"/>
            <w:overflowPunct w:val="0"/>
            <w:adjustRightInd w:val="0"/>
            <w:snapToGrid w:val="0"/>
            <w:spacing w:beforeAutospacing="0" w:afterAutospacing="0" w:line="305" w:lineRule="auto"/>
            <w:jc w:val="both"/>
            <w:rPr>
              <w:rFonts w:ascii="Times New Roman" w:hAnsi="Times New Roman" w:eastAsia="方正小标宋_GBK" w:cs="方正小标宋_GBK"/>
              <w:color w:val="auto"/>
              <w:szCs w:val="44"/>
              <w:highlight w:val="none"/>
              <w:lang w:bidi="ar"/>
            </w:rPr>
            <w:sectPr>
              <w:footerReference r:id="rId7" w:type="default"/>
              <w:pgSz w:w="11906" w:h="16838"/>
              <w:pgMar w:top="2098" w:right="1417" w:bottom="1984"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eastAsia" w:ascii="Times New Roman" w:hAnsi="Times New Roman" w:eastAsia="方正小标宋_GBK" w:cs="方正小标宋_GBK"/>
              <w:color w:val="auto"/>
              <w:sz w:val="32"/>
              <w:szCs w:val="32"/>
              <w:highlight w:val="none"/>
            </w:rPr>
            <w:fldChar w:fldCharType="end"/>
          </w:r>
        </w:p>
      </w:sdtContent>
    </w:sdt>
    <w:p w14:paraId="0874CDD5">
      <w:pPr>
        <w:pStyle w:val="19"/>
        <w:overflowPunct w:val="0"/>
        <w:adjustRightInd w:val="0"/>
        <w:snapToGrid w:val="0"/>
        <w:spacing w:beforeAutospacing="0" w:afterAutospacing="0" w:line="600" w:lineRule="exact"/>
        <w:jc w:val="center"/>
        <w:rPr>
          <w:rFonts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rPr>
        <w:t>重庆高新区国民经济和社会发展</w:t>
      </w:r>
    </w:p>
    <w:p w14:paraId="202E93C9">
      <w:pPr>
        <w:pStyle w:val="19"/>
        <w:overflowPunct w:val="0"/>
        <w:adjustRightInd w:val="0"/>
        <w:snapToGrid w:val="0"/>
        <w:spacing w:beforeAutospacing="0" w:afterAutospacing="0" w:line="600" w:lineRule="exact"/>
        <w:jc w:val="center"/>
        <w:rPr>
          <w:rFonts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rPr>
        <w:t>第十五个五年规划纲要</w:t>
      </w:r>
    </w:p>
    <w:p w14:paraId="57683AA0">
      <w:pPr>
        <w:widowControl/>
        <w:numPr>
          <w:ilvl w:val="-1"/>
          <w:numId w:val="0"/>
        </w:numPr>
        <w:adjustRightInd w:val="0"/>
        <w:spacing w:line="600" w:lineRule="exact"/>
        <w:ind w:firstLine="640" w:firstLineChars="200"/>
        <w:jc w:val="left"/>
        <w:rPr>
          <w:rFonts w:hint="default" w:ascii="Times New Roman" w:hAnsi="Times New Roman" w:eastAsia="方正仿宋_GBK" w:cs="Times New Roman"/>
          <w:color w:val="auto"/>
          <w:sz w:val="32"/>
          <w:szCs w:val="20"/>
          <w:highlight w:val="none"/>
          <w:lang w:eastAsia="zh-CN"/>
        </w:rPr>
      </w:pPr>
    </w:p>
    <w:p w14:paraId="066D7525">
      <w:pPr>
        <w:widowControl/>
        <w:numPr>
          <w:ilvl w:val="255"/>
          <w:numId w:val="0"/>
        </w:numPr>
        <w:adjustRightInd w:val="0"/>
        <w:spacing w:line="600" w:lineRule="exact"/>
        <w:ind w:firstLine="640" w:firstLineChars="200"/>
        <w:jc w:val="left"/>
        <w:rPr>
          <w:rFonts w:ascii="Times New Roman" w:hAnsi="Times New Roman" w:eastAsia="方正仿宋_GBK" w:cs="Times New Roman"/>
          <w:color w:val="auto"/>
          <w:sz w:val="32"/>
          <w:szCs w:val="20"/>
          <w:highlight w:val="none"/>
        </w:rPr>
      </w:pPr>
      <w:r>
        <w:rPr>
          <w:rFonts w:ascii="Times New Roman" w:hAnsi="Times New Roman" w:eastAsia="方正仿宋_GBK" w:cs="Times New Roman"/>
          <w:color w:val="auto"/>
          <w:sz w:val="32"/>
          <w:szCs w:val="20"/>
          <w:highlight w:val="none"/>
        </w:rPr>
        <w:t>重庆高新区国民经济和社会发展第十五个五年</w:t>
      </w:r>
      <w:r>
        <w:rPr>
          <w:rFonts w:hint="eastAsia" w:ascii="Times New Roman" w:hAnsi="Times New Roman" w:eastAsia="方正仿宋_GBK" w:cs="Times New Roman"/>
          <w:color w:val="auto"/>
          <w:sz w:val="32"/>
          <w:szCs w:val="20"/>
          <w:highlight w:val="none"/>
        </w:rPr>
        <w:t>（2026—2030年）</w:t>
      </w:r>
      <w:r>
        <w:rPr>
          <w:rFonts w:ascii="Times New Roman" w:hAnsi="Times New Roman" w:eastAsia="方正仿宋_GBK" w:cs="Times New Roman"/>
          <w:color w:val="auto"/>
          <w:sz w:val="32"/>
          <w:szCs w:val="20"/>
          <w:highlight w:val="none"/>
        </w:rPr>
        <w:t>规划纲要</w:t>
      </w:r>
      <w:r>
        <w:rPr>
          <w:rFonts w:hint="eastAsia" w:ascii="Times New Roman" w:hAnsi="Times New Roman" w:eastAsia="方正仿宋_GBK" w:cs="Times New Roman"/>
          <w:color w:val="auto"/>
          <w:sz w:val="32"/>
          <w:szCs w:val="20"/>
          <w:highlight w:val="none"/>
        </w:rPr>
        <w:t>，根据《中华人民共和国国民经济和社会发展第十五个五年规划纲要》《重庆市国民经济和社会发展第十五个五年规划纲要》制定，主要阐明“十五五”时期重庆高新区的发展思路、主要目标、重点任务等，是</w:t>
      </w:r>
      <w:r>
        <w:rPr>
          <w:rFonts w:hint="eastAsia" w:ascii="Times New Roman" w:hAnsi="Times New Roman" w:eastAsia="方正仿宋_GBK" w:cs="Times New Roman"/>
          <w:color w:val="auto"/>
          <w:sz w:val="32"/>
          <w:szCs w:val="20"/>
          <w:highlight w:val="none"/>
          <w:lang w:val="en-US" w:eastAsia="zh-CN"/>
        </w:rPr>
        <w:t>重庆</w:t>
      </w:r>
      <w:r>
        <w:rPr>
          <w:rFonts w:hint="eastAsia" w:ascii="Times New Roman" w:hAnsi="Times New Roman" w:eastAsia="方正仿宋_GBK" w:cs="Times New Roman"/>
          <w:color w:val="auto"/>
          <w:sz w:val="32"/>
          <w:szCs w:val="20"/>
          <w:highlight w:val="none"/>
        </w:rPr>
        <w:t>高新区发展的宏伟蓝图，是</w:t>
      </w:r>
      <w:r>
        <w:rPr>
          <w:rFonts w:hint="eastAsia" w:ascii="Times New Roman" w:hAnsi="Times New Roman" w:eastAsia="方正仿宋_GBK" w:cs="Times New Roman"/>
          <w:color w:val="auto"/>
          <w:sz w:val="32"/>
          <w:szCs w:val="20"/>
          <w:highlight w:val="none"/>
          <w:lang w:val="en-US" w:eastAsia="zh-CN"/>
        </w:rPr>
        <w:t>重庆</w:t>
      </w:r>
      <w:r>
        <w:rPr>
          <w:rFonts w:hint="eastAsia" w:ascii="Times New Roman" w:hAnsi="Times New Roman" w:eastAsia="方正仿宋_GBK" w:cs="Times New Roman"/>
          <w:color w:val="auto"/>
          <w:sz w:val="32"/>
          <w:szCs w:val="20"/>
          <w:highlight w:val="none"/>
        </w:rPr>
        <w:t>高新区人民的共同愿景。</w:t>
      </w:r>
    </w:p>
    <w:bookmarkEnd w:id="0"/>
    <w:bookmarkEnd w:id="1"/>
    <w:bookmarkEnd w:id="2"/>
    <w:bookmarkEnd w:id="3"/>
    <w:bookmarkEnd w:id="4"/>
    <w:bookmarkEnd w:id="5"/>
    <w:bookmarkEnd w:id="6"/>
    <w:bookmarkEnd w:id="7"/>
    <w:bookmarkEnd w:id="8"/>
    <w:bookmarkEnd w:id="9"/>
    <w:bookmarkEnd w:id="10"/>
    <w:bookmarkEnd w:id="11"/>
    <w:bookmarkEnd w:id="12"/>
    <w:p w14:paraId="6B52616F">
      <w:pPr>
        <w:widowControl/>
        <w:adjustRightInd w:val="0"/>
        <w:spacing w:line="600" w:lineRule="exact"/>
        <w:ind w:firstLine="640" w:firstLineChars="200"/>
        <w:jc w:val="left"/>
        <w:rPr>
          <w:rFonts w:ascii="Times New Roman" w:hAnsi="Times New Roman" w:eastAsia="方正仿宋_GBK" w:cs="Times New Roman"/>
          <w:color w:val="auto"/>
          <w:sz w:val="32"/>
          <w:szCs w:val="20"/>
          <w:highlight w:val="none"/>
        </w:rPr>
      </w:pPr>
      <w:bookmarkStart w:id="14" w:name="_Toc12580"/>
      <w:bookmarkStart w:id="15" w:name="_Toc15440"/>
      <w:bookmarkStart w:id="16" w:name="_Toc17210"/>
      <w:bookmarkStart w:id="17" w:name="_Toc16622"/>
      <w:bookmarkStart w:id="18" w:name="_Toc19299"/>
      <w:bookmarkStart w:id="19" w:name="_Toc32767"/>
      <w:bookmarkStart w:id="20" w:name="_Toc10032"/>
      <w:bookmarkStart w:id="21" w:name="_Toc5834"/>
      <w:bookmarkStart w:id="22" w:name="_Toc1086"/>
      <w:bookmarkStart w:id="23" w:name="_Toc18521"/>
      <w:bookmarkStart w:id="24" w:name="_Toc10796"/>
      <w:bookmarkStart w:id="25" w:name="_Toc21331"/>
    </w:p>
    <w:p w14:paraId="22B606F1">
      <w:pPr>
        <w:overflowPunct w:val="0"/>
        <w:adjustRightInd w:val="0"/>
        <w:snapToGrid w:val="0"/>
        <w:spacing w:line="600" w:lineRule="exact"/>
        <w:jc w:val="center"/>
        <w:outlineLvl w:val="0"/>
        <w:rPr>
          <w:rFonts w:ascii="Times New Roman" w:hAnsi="Times New Roman" w:eastAsia="方正黑体_GBK" w:cs="方正黑体_GBK"/>
          <w:color w:val="auto"/>
          <w:sz w:val="32"/>
          <w:szCs w:val="32"/>
          <w:highlight w:val="none"/>
        </w:rPr>
      </w:pPr>
      <w:bookmarkStart w:id="26" w:name="_Toc1016"/>
      <w:bookmarkStart w:id="27" w:name="_Toc1028997996"/>
      <w:bookmarkStart w:id="28" w:name="_Toc859347112"/>
      <w:bookmarkStart w:id="29" w:name="_Toc22913"/>
      <w:bookmarkStart w:id="30" w:name="_Toc25646"/>
      <w:r>
        <w:rPr>
          <w:rFonts w:hint="eastAsia" w:ascii="Times New Roman" w:hAnsi="Times New Roman" w:eastAsia="方正黑体_GBK" w:cs="方正黑体_GBK"/>
          <w:color w:val="auto"/>
          <w:sz w:val="32"/>
          <w:szCs w:val="32"/>
          <w:highlight w:val="none"/>
        </w:rPr>
        <w:t>第一篇 新时代新阶段新起点</w:t>
      </w:r>
      <w:bookmarkEnd w:id="26"/>
      <w:bookmarkEnd w:id="27"/>
      <w:bookmarkEnd w:id="28"/>
      <w:bookmarkEnd w:id="29"/>
      <w:bookmarkEnd w:id="30"/>
    </w:p>
    <w:p w14:paraId="058B3A99">
      <w:pPr>
        <w:overflowPunct w:val="0"/>
        <w:adjustRightInd w:val="0"/>
        <w:snapToGrid w:val="0"/>
        <w:spacing w:line="600" w:lineRule="exact"/>
        <w:jc w:val="center"/>
        <w:outlineLvl w:val="0"/>
        <w:rPr>
          <w:rFonts w:ascii="Times New Roman" w:hAnsi="Times New Roman" w:eastAsia="方正黑体_GBK" w:cs="方正黑体_GBK"/>
          <w:color w:val="auto"/>
          <w:sz w:val="32"/>
          <w:szCs w:val="32"/>
          <w:highlight w:val="none"/>
        </w:rPr>
      </w:pPr>
      <w:bookmarkStart w:id="31" w:name="_Toc292"/>
      <w:bookmarkStart w:id="32" w:name="_Toc17348"/>
      <w:bookmarkStart w:id="33" w:name="_Toc8669"/>
      <w:bookmarkStart w:id="34" w:name="_Toc1219385309"/>
      <w:bookmarkStart w:id="35" w:name="_Toc683509481"/>
      <w:r>
        <w:rPr>
          <w:rFonts w:hint="eastAsia" w:ascii="Times New Roman" w:hAnsi="Times New Roman" w:eastAsia="方正黑体_GBK" w:cs="方正黑体_GBK"/>
          <w:color w:val="auto"/>
          <w:sz w:val="32"/>
          <w:szCs w:val="32"/>
          <w:highlight w:val="none"/>
        </w:rPr>
        <w:t>全面提升服务全市发展大局的能力和贡献度</w:t>
      </w:r>
      <w:bookmarkEnd w:id="31"/>
      <w:bookmarkEnd w:id="32"/>
      <w:bookmarkEnd w:id="33"/>
      <w:bookmarkEnd w:id="34"/>
      <w:bookmarkEnd w:id="35"/>
    </w:p>
    <w:p w14:paraId="536AD873">
      <w:pPr>
        <w:pStyle w:val="19"/>
        <w:overflowPunct w:val="0"/>
        <w:adjustRightInd w:val="0"/>
        <w:spacing w:beforeAutospacing="0" w:afterAutospacing="0" w:line="600" w:lineRule="exact"/>
        <w:ind w:firstLine="640" w:firstLineChars="200"/>
        <w:jc w:val="both"/>
        <w:rPr>
          <w:rFonts w:ascii="Times New Roman" w:hAnsi="Times New Roman" w:eastAsia="方正仿宋_GBK" w:cs="方正仿宋_GBK"/>
          <w:color w:val="auto"/>
          <w:sz w:val="32"/>
          <w:szCs w:val="32"/>
          <w:highlight w:val="none"/>
        </w:rPr>
      </w:pPr>
    </w:p>
    <w:p w14:paraId="2F910C84">
      <w:pPr>
        <w:pStyle w:val="19"/>
        <w:overflowPunct w:val="0"/>
        <w:adjustRightInd w:val="0"/>
        <w:spacing w:beforeAutospacing="0" w:afterAutospacing="0" w:line="600" w:lineRule="exact"/>
        <w:ind w:firstLine="640" w:firstLineChars="200"/>
        <w:jc w:val="both"/>
        <w:rPr>
          <w:rFonts w:hint="eastAsia" w:ascii="Times New Roman" w:hAnsi="Times New Roman" w:eastAsia="方正仿宋_GBK"/>
          <w:color w:val="auto"/>
          <w:sz w:val="32"/>
          <w:szCs w:val="20"/>
          <w:highlight w:val="none"/>
        </w:rPr>
      </w:pPr>
      <w:r>
        <w:rPr>
          <w:rFonts w:hint="eastAsia" w:ascii="Times New Roman" w:hAnsi="Times New Roman" w:eastAsia="方正仿宋_GBK"/>
          <w:color w:val="auto"/>
          <w:sz w:val="32"/>
          <w:szCs w:val="20"/>
          <w:highlight w:val="none"/>
        </w:rPr>
        <w:t>“十五五”时期</w:t>
      </w:r>
      <w:r>
        <w:rPr>
          <w:rFonts w:hint="eastAsia" w:ascii="Times New Roman" w:hAnsi="Times New Roman" w:eastAsia="方正仿宋_GBK"/>
          <w:color w:val="auto"/>
          <w:sz w:val="32"/>
          <w:szCs w:val="20"/>
          <w:highlight w:val="none"/>
          <w:lang w:val="en-US" w:eastAsia="zh-CN"/>
        </w:rPr>
        <w:t>是</w:t>
      </w:r>
      <w:r>
        <w:rPr>
          <w:rFonts w:hint="eastAsia" w:ascii="Times New Roman" w:hAnsi="Times New Roman" w:eastAsia="方正仿宋_GBK"/>
          <w:color w:val="auto"/>
          <w:sz w:val="32"/>
          <w:szCs w:val="20"/>
          <w:highlight w:val="none"/>
        </w:rPr>
        <w:t>基本实现社会主义现代化夯实基础、全面发力的关键时期。重庆高新区必须紧抓现代化新重庆建设的重要引擎、具有全国影响力的科技创新中心核心承载区等机遇，以发展破难题、以改革增动力、以创新求突破，通过“十五五”培育提升、成长壮大，为2035年基本实现现代化奠定坚实基础。</w:t>
      </w:r>
    </w:p>
    <w:p w14:paraId="4164BE8C">
      <w:pPr>
        <w:numPr>
          <w:ilvl w:val="-1"/>
          <w:numId w:val="0"/>
        </w:numPr>
        <w:overflowPunct/>
        <w:adjustRightInd/>
        <w:spacing w:line="240" w:lineRule="auto"/>
        <w:jc w:val="left"/>
        <w:outlineLvl w:val="9"/>
        <w:rPr>
          <w:rFonts w:hint="eastAsia" w:ascii="Times New Roman" w:hAnsi="Times New Roman" w:eastAsia="方正黑体_GBK" w:cs="方正黑体_GBK"/>
          <w:color w:val="auto"/>
          <w:sz w:val="32"/>
          <w:szCs w:val="32"/>
          <w:highlight w:val="none"/>
          <w:lang w:val="en-US" w:eastAsia="zh-CN"/>
        </w:rPr>
      </w:pPr>
      <w:bookmarkStart w:id="36" w:name="_Toc19324"/>
      <w:bookmarkStart w:id="37" w:name="_Toc772445042"/>
      <w:bookmarkStart w:id="38" w:name="_Toc22778"/>
      <w:bookmarkStart w:id="39" w:name="_Toc32372"/>
      <w:bookmarkStart w:id="40" w:name="_Toc1201"/>
      <w:bookmarkStart w:id="41" w:name="_Toc17665"/>
      <w:bookmarkStart w:id="42" w:name="_Toc30024"/>
      <w:bookmarkStart w:id="43" w:name="_Toc7070"/>
      <w:bookmarkStart w:id="44" w:name="_Toc2945"/>
      <w:bookmarkStart w:id="45" w:name="_Toc32489"/>
      <w:bookmarkStart w:id="46" w:name="_Toc853819364"/>
      <w:r>
        <w:rPr>
          <w:rFonts w:hint="eastAsia" w:ascii="Times New Roman" w:hAnsi="Times New Roman" w:eastAsia="方正黑体_GBK" w:cs="方正黑体_GBK"/>
          <w:color w:val="auto"/>
          <w:sz w:val="32"/>
          <w:szCs w:val="32"/>
          <w:highlight w:val="none"/>
          <w:lang w:val="en-US" w:eastAsia="zh-CN"/>
        </w:rPr>
        <w:br w:type="page"/>
      </w:r>
    </w:p>
    <w:p w14:paraId="42823C94">
      <w:pPr>
        <w:numPr>
          <w:ilvl w:val="-1"/>
          <w:numId w:val="0"/>
        </w:numPr>
        <w:overflowPunct w:val="0"/>
        <w:adjustRightInd/>
        <w:spacing w:line="600" w:lineRule="exact"/>
        <w:jc w:val="center"/>
        <w:outlineLvl w:val="1"/>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lang w:val="en-US" w:eastAsia="zh-CN"/>
        </w:rPr>
        <w:t xml:space="preserve">第一章 </w:t>
      </w:r>
      <w:r>
        <w:rPr>
          <w:rFonts w:hint="eastAsia" w:ascii="Times New Roman" w:hAnsi="Times New Roman" w:eastAsia="方正黑体_GBK" w:cs="方正黑体_GBK"/>
          <w:color w:val="auto"/>
          <w:sz w:val="32"/>
          <w:szCs w:val="32"/>
          <w:highlight w:val="none"/>
        </w:rPr>
        <w:t>“十四五”发展成效</w:t>
      </w:r>
      <w:bookmarkEnd w:id="36"/>
      <w:bookmarkEnd w:id="37"/>
      <w:bookmarkEnd w:id="38"/>
      <w:bookmarkEnd w:id="39"/>
      <w:bookmarkEnd w:id="40"/>
      <w:bookmarkEnd w:id="41"/>
      <w:bookmarkEnd w:id="42"/>
      <w:bookmarkEnd w:id="43"/>
      <w:bookmarkEnd w:id="44"/>
      <w:bookmarkEnd w:id="45"/>
      <w:bookmarkEnd w:id="46"/>
    </w:p>
    <w:p w14:paraId="513AC753">
      <w:pPr>
        <w:adjustRightIn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五年来，重庆高新区坚持以习近平新时代中国特色社会主义思想为指导，全面贯彻习近平总书记视察重庆重要讲话重要指示精神和关于以“一城多园”模式合作共建西部科学城的</w:t>
      </w:r>
      <w:r>
        <w:rPr>
          <w:rFonts w:hint="eastAsia" w:ascii="Times New Roman" w:hAnsi="Times New Roman" w:eastAsia="方正仿宋_GBK" w:cs="Times New Roman"/>
          <w:color w:val="auto"/>
          <w:sz w:val="32"/>
          <w:szCs w:val="32"/>
          <w:highlight w:val="none"/>
          <w:lang w:val="en-US" w:eastAsia="zh-CN"/>
        </w:rPr>
        <w:t>战略要求</w:t>
      </w:r>
      <w:r>
        <w:rPr>
          <w:rFonts w:hint="eastAsia" w:ascii="Times New Roman" w:hAnsi="Times New Roman" w:eastAsia="方正仿宋_GBK" w:cs="Times New Roman"/>
          <w:color w:val="auto"/>
          <w:sz w:val="32"/>
          <w:szCs w:val="32"/>
          <w:highlight w:val="none"/>
        </w:rPr>
        <w:t>，抢抓成渝地区双城经济圈战略机遇，认真落实市委关于现代化新重庆建设的部署要求，紧扣市委赋予的“科产城融合发展功能片区”“科创极核”等使命任务，坚持以科产城融合发展为路径，聚焦科学主题“铸魂”，做强现代产业“固本”，面向未来发展“筑城”，深化改革开放“赋能”，推动科创核心承载区辨识度持续增强</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现代化新重庆的重要引擎作用日益彰显。</w:t>
      </w:r>
    </w:p>
    <w:p w14:paraId="575DB8B4">
      <w:pPr>
        <w:adjustRightInd w:val="0"/>
        <w:spacing w:line="600" w:lineRule="exact"/>
        <w:ind w:firstLine="640" w:firstLineChars="200"/>
        <w:textAlignment w:val="baseline"/>
        <w:rPr>
          <w:rFonts w:ascii="Times New Roman" w:hAnsi="Times New Roman" w:eastAsia="方正仿宋_GBK" w:cs="方正仿宋_GBK"/>
          <w:color w:val="auto"/>
          <w:sz w:val="32"/>
          <w:szCs w:val="32"/>
          <w:highlight w:val="none"/>
        </w:rPr>
      </w:pPr>
      <w:r>
        <w:rPr>
          <w:rFonts w:hint="eastAsia" w:ascii="Times New Roman" w:hAnsi="Times New Roman" w:eastAsia="方正仿宋_GBK" w:cs="Times New Roman"/>
          <w:color w:val="auto"/>
          <w:sz w:val="32"/>
          <w:szCs w:val="32"/>
          <w:highlight w:val="none"/>
        </w:rPr>
        <w:t>综合经济实</w:t>
      </w:r>
      <w:r>
        <w:rPr>
          <w:rFonts w:hint="eastAsia" w:ascii="Times New Roman" w:hAnsi="Times New Roman" w:eastAsia="方正仿宋_GBK" w:cs="方正仿宋_GBK"/>
          <w:color w:val="auto"/>
          <w:sz w:val="32"/>
          <w:szCs w:val="32"/>
          <w:highlight w:val="none"/>
        </w:rPr>
        <w:t>力稳步攀升。地区生产总值由2021年588.55亿元增至2025年912.5亿元，2025年增速达到6.8%。固定资产投资额由380亿元增至591.1亿元，年均增速13.93%，投资强度及密度全市第一，成为全市投资体量超过550亿元的</w:t>
      </w:r>
      <w:r>
        <w:rPr>
          <w:rFonts w:hint="eastAsia" w:ascii="Times New Roman" w:hAnsi="Times New Roman" w:eastAsia="方正仿宋_GBK" w:cs="方正仿宋_GBK"/>
          <w:color w:val="auto"/>
          <w:sz w:val="32"/>
          <w:szCs w:val="32"/>
          <w:highlight w:val="none"/>
          <w:lang w:val="en-US" w:eastAsia="zh-CN"/>
        </w:rPr>
        <w:t>六</w:t>
      </w:r>
      <w:r>
        <w:rPr>
          <w:rFonts w:hint="eastAsia" w:ascii="Times New Roman" w:hAnsi="Times New Roman" w:eastAsia="方正仿宋_GBK" w:cs="方正仿宋_GBK"/>
          <w:color w:val="auto"/>
          <w:sz w:val="32"/>
          <w:szCs w:val="32"/>
          <w:highlight w:val="none"/>
        </w:rPr>
        <w:t>区之一。新培育规上工业企业126家，规上工业产值达到2619.2亿元，规上工业增加值年均增长4.7%，</w:t>
      </w:r>
      <w:r>
        <w:rPr>
          <w:rFonts w:hint="eastAsia" w:ascii="方正仿宋_GBK" w:hAnsi="方正仿宋_GBK" w:eastAsia="方正仿宋_GBK" w:cs="方正仿宋_GBK"/>
          <w:color w:val="auto"/>
          <w:sz w:val="32"/>
          <w:szCs w:val="32"/>
          <w:highlight w:val="none"/>
        </w:rPr>
        <w:t>是全市工业规模超</w:t>
      </w:r>
      <w:r>
        <w:rPr>
          <w:rFonts w:hint="eastAsia" w:ascii="Times New Roman" w:hAnsi="Times New Roman" w:eastAsia="方正仿宋_GBK" w:cs="方正仿宋_GBK"/>
          <w:color w:val="auto"/>
          <w:sz w:val="32"/>
          <w:szCs w:val="32"/>
          <w:highlight w:val="none"/>
        </w:rPr>
        <w:t>2500</w:t>
      </w:r>
      <w:r>
        <w:rPr>
          <w:rFonts w:hint="eastAsia" w:ascii="方正仿宋_GBK" w:hAnsi="方正仿宋_GBK" w:eastAsia="方正仿宋_GBK" w:cs="方正仿宋_GBK"/>
          <w:color w:val="auto"/>
          <w:sz w:val="32"/>
          <w:szCs w:val="32"/>
          <w:highlight w:val="none"/>
        </w:rPr>
        <w:t>亿元的</w:t>
      </w:r>
      <w:r>
        <w:rPr>
          <w:rFonts w:hint="eastAsia" w:ascii="Times New Roman" w:hAnsi="Times New Roman" w:eastAsia="方正仿宋_GBK" w:cs="方正仿宋_GBK"/>
          <w:color w:val="auto"/>
          <w:sz w:val="32"/>
          <w:szCs w:val="32"/>
          <w:highlight w:val="none"/>
          <w:lang w:val="en-US" w:eastAsia="zh-CN"/>
        </w:rPr>
        <w:t>五</w:t>
      </w:r>
      <w:r>
        <w:rPr>
          <w:rFonts w:hint="eastAsia" w:ascii="方正仿宋_GBK" w:hAnsi="方正仿宋_GBK" w:eastAsia="方正仿宋_GBK" w:cs="方正仿宋_GBK"/>
          <w:color w:val="auto"/>
          <w:sz w:val="32"/>
          <w:szCs w:val="32"/>
          <w:highlight w:val="none"/>
        </w:rPr>
        <w:t>区之一。国家高新区综合排</w:t>
      </w:r>
      <w:r>
        <w:rPr>
          <w:rFonts w:ascii="Times New Roman" w:hAnsi="Times New Roman" w:eastAsia="方正仿宋_GBK" w:cs="Times New Roman"/>
          <w:color w:val="auto"/>
          <w:sz w:val="32"/>
          <w:szCs w:val="32"/>
          <w:highlight w:val="none"/>
        </w:rPr>
        <w:t>名由41位提升至2</w:t>
      </w:r>
      <w:r>
        <w:rPr>
          <w:rFonts w:hint="eastAsia" w:ascii="Times New Roman" w:hAnsi="Times New Roman" w:eastAsia="方正仿宋_GBK" w:cs="Times New Roman"/>
          <w:color w:val="auto"/>
          <w:sz w:val="32"/>
          <w:szCs w:val="32"/>
          <w:highlight w:val="none"/>
          <w:lang w:val="en-US" w:eastAsia="zh-CN"/>
        </w:rPr>
        <w:t>5</w:t>
      </w:r>
      <w:r>
        <w:rPr>
          <w:rFonts w:ascii="Times New Roman" w:hAnsi="Times New Roman" w:eastAsia="方正仿宋_GBK" w:cs="Times New Roman"/>
          <w:color w:val="auto"/>
          <w:sz w:val="32"/>
          <w:szCs w:val="32"/>
          <w:highlight w:val="none"/>
        </w:rPr>
        <w:t>位。</w:t>
      </w:r>
    </w:p>
    <w:p w14:paraId="0C39FC6F">
      <w:pPr>
        <w:adjustRightInd w:val="0"/>
        <w:spacing w:line="600" w:lineRule="exact"/>
        <w:ind w:firstLine="640" w:firstLineChars="200"/>
        <w:textAlignment w:val="baseline"/>
        <w:rPr>
          <w:rFonts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创新动能加速积蓄。紧扣全市“416”科技创新布局和市域科创走廊建设</w:t>
      </w:r>
      <w:r>
        <w:rPr>
          <w:rFonts w:hint="eastAsia" w:ascii="Times New Roman" w:hAnsi="Times New Roman" w:eastAsia="方正仿宋_GBK" w:cs="方正仿宋_GBK"/>
          <w:color w:val="auto"/>
          <w:sz w:val="32"/>
          <w:szCs w:val="32"/>
          <w:highlight w:val="none"/>
          <w:lang w:val="en-US" w:eastAsia="zh-CN"/>
        </w:rPr>
        <w:t>要求</w:t>
      </w:r>
      <w:r>
        <w:rPr>
          <w:rFonts w:hint="eastAsia" w:ascii="Times New Roman" w:hAnsi="Times New Roman" w:eastAsia="方正仿宋_GBK" w:cs="方正仿宋_GBK"/>
          <w:color w:val="auto"/>
          <w:sz w:val="32"/>
          <w:szCs w:val="32"/>
          <w:highlight w:val="none"/>
        </w:rPr>
        <w:t>，科技创新整体效能全面跃升。强化关键技术攻关，探索“企业出题、政府立题、高校答题、市场判题”产学研协同攻关新模式，承担市级科研重大专项50项、占全市总数35.2%。高端创新主体加速集聚，金凤实验室、嘉陵江实验室两大重庆实验室加快建设，累计建成市级以上科技创新平台基地290个、其中国家级12个，高新技术企业、科技型企业、专精特新企业数量分别增长260%、330%、1286%</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实施人才“兴城强区”行动，建成院士工作站6个，新重庆人才卡持卡人数增至3198名，企业研发人员达1.6万人，人才净增量2.1万人、增量连续3年居全市前列。</w:t>
      </w:r>
    </w:p>
    <w:p w14:paraId="16556DCE">
      <w:pPr>
        <w:adjustRightInd w:val="0"/>
        <w:spacing w:line="600" w:lineRule="exact"/>
        <w:ind w:firstLine="640" w:firstLineChars="200"/>
        <w:textAlignment w:val="baseline"/>
        <w:rPr>
          <w:rFonts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产业能级持续提升。围绕全市“33618”现代制造业集群体系，以产业链“链长制”为抓手，聚力打造集成电路、新型智能终端、新能源汽摩等5条</w:t>
      </w:r>
      <w:r>
        <w:rPr>
          <w:rFonts w:hint="eastAsia" w:ascii="Times New Roman" w:hAnsi="Times New Roman" w:eastAsia="方正仿宋_GBK" w:cs="方正仿宋_GBK"/>
          <w:color w:val="auto"/>
          <w:sz w:val="32"/>
          <w:szCs w:val="32"/>
          <w:highlight w:val="none"/>
          <w:lang w:val="en-US" w:eastAsia="zh-CN"/>
        </w:rPr>
        <w:t>现代</w:t>
      </w:r>
      <w:r>
        <w:rPr>
          <w:rFonts w:hint="eastAsia" w:ascii="Times New Roman" w:hAnsi="Times New Roman" w:eastAsia="方正仿宋_GBK" w:cs="方正仿宋_GBK"/>
          <w:color w:val="auto"/>
          <w:sz w:val="32"/>
          <w:szCs w:val="32"/>
          <w:highlight w:val="none"/>
        </w:rPr>
        <w:t>制造业产业链，软件和信息服务、科技服务等5条现代服务业产业链。制造业加速提档升级，功率半导体产量居西部第1、全国第3，笔电产能占全球1/4，电子信息产业产值占全市比重达30%</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摩托车整车年产能合计超100万台，2025年新能源汽摩产值较2021年增长超60%。国家药品和医疗器械审评检查西南分中心落地投用，打造全市首批智慧医疗装备产业发展集聚区。生产性服务业加快发展，规上软件和信息服务企业营收年均增长34.7%，打造全市首批跨境电子商务示范区，开通“重庆西永</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方正仿宋_GBK"/>
          <w:color w:val="auto"/>
          <w:sz w:val="32"/>
          <w:szCs w:val="32"/>
          <w:highlight w:val="none"/>
        </w:rPr>
        <w:t>广西</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方正仿宋_GBK"/>
          <w:color w:val="auto"/>
          <w:sz w:val="32"/>
          <w:szCs w:val="32"/>
          <w:highlight w:val="none"/>
        </w:rPr>
        <w:t>东盟”跨境专线。</w:t>
      </w:r>
    </w:p>
    <w:p w14:paraId="7C6D554C">
      <w:pPr>
        <w:adjustRightInd w:val="0"/>
        <w:spacing w:line="600" w:lineRule="exact"/>
        <w:ind w:firstLine="640" w:firstLineChars="200"/>
        <w:textAlignment w:val="baseline"/>
        <w:rPr>
          <w:rFonts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城市功能加快完善。紧盯科学家、企业家、创业者等各类人才需求，加快营造宜学宜研、宜居宜业</w:t>
      </w:r>
      <w:r>
        <w:rPr>
          <w:rFonts w:hint="eastAsia" w:ascii="Times New Roman" w:hAnsi="Times New Roman" w:eastAsia="方正仿宋_GBK" w:cs="方正仿宋_GBK"/>
          <w:color w:val="auto"/>
          <w:sz w:val="32"/>
          <w:szCs w:val="32"/>
          <w:highlight w:val="none"/>
          <w:lang w:val="en-US" w:eastAsia="zh-CN"/>
        </w:rPr>
        <w:t>城市</w:t>
      </w:r>
      <w:r>
        <w:rPr>
          <w:rFonts w:hint="eastAsia" w:ascii="Times New Roman" w:hAnsi="Times New Roman" w:eastAsia="方正仿宋_GBK" w:cs="方正仿宋_GBK"/>
          <w:color w:val="auto"/>
          <w:sz w:val="32"/>
          <w:szCs w:val="32"/>
          <w:highlight w:val="none"/>
        </w:rPr>
        <w:t>环境。强化城市功能匹配，规划城镇建设用地185平方公里，城镇建成区面积增长15.8%，城镇化率提高3个百分点、增速</w:t>
      </w:r>
      <w:r>
        <w:rPr>
          <w:rFonts w:hint="eastAsia" w:ascii="Times New Roman" w:hAnsi="Times New Roman" w:eastAsia="方正仿宋_GBK" w:cs="方正仿宋_GBK"/>
          <w:color w:val="auto"/>
          <w:sz w:val="32"/>
          <w:szCs w:val="32"/>
          <w:highlight w:val="none"/>
          <w:lang w:eastAsia="zh-CN"/>
        </w:rPr>
        <w:t>居中心</w:t>
      </w:r>
      <w:r>
        <w:rPr>
          <w:rFonts w:hint="eastAsia" w:ascii="Times New Roman" w:hAnsi="Times New Roman" w:eastAsia="方正仿宋_GBK" w:cs="方正仿宋_GBK"/>
          <w:color w:val="auto"/>
          <w:sz w:val="32"/>
          <w:szCs w:val="32"/>
          <w:highlight w:val="none"/>
        </w:rPr>
        <w:t>城区第1，新增道路里程</w:t>
      </w:r>
      <w:r>
        <w:rPr>
          <w:rFonts w:ascii="Times New Roman" w:hAnsi="Times New Roman" w:eastAsia="方正仿宋_GBK" w:cs="方正仿宋_GBK"/>
          <w:color w:val="auto"/>
          <w:sz w:val="32"/>
          <w:szCs w:val="32"/>
          <w:highlight w:val="none"/>
        </w:rPr>
        <w:t>186</w:t>
      </w:r>
      <w:r>
        <w:rPr>
          <w:rFonts w:hint="eastAsia" w:ascii="Times New Roman" w:hAnsi="Times New Roman" w:eastAsia="方正仿宋_GBK" w:cs="方正仿宋_GBK"/>
          <w:color w:val="auto"/>
          <w:sz w:val="32"/>
          <w:szCs w:val="32"/>
          <w:highlight w:val="none"/>
        </w:rPr>
        <w:t>公里，在建道路255公里、规模全市第1，在建轨道70.8公里、占全市31.6%。公共服务提质扩能，落地建设重庆大学附属肿瘤医院科学城院区、重庆市第四人民医院科学城院区等三甲医院，</w:t>
      </w:r>
      <w:r>
        <w:rPr>
          <w:rFonts w:hint="eastAsia" w:ascii="Times New Roman" w:hAnsi="Times New Roman" w:eastAsia="方正仿宋_GBK" w:cs="方正仿宋_GBK"/>
          <w:color w:val="auto"/>
          <w:sz w:val="32"/>
          <w:szCs w:val="32"/>
          <w:highlight w:val="none"/>
          <w:lang w:val="en-US" w:eastAsia="zh-CN"/>
        </w:rPr>
        <w:t>引进</w:t>
      </w:r>
      <w:r>
        <w:rPr>
          <w:rFonts w:hint="eastAsia" w:ascii="Times New Roman" w:hAnsi="Times New Roman" w:eastAsia="方正仿宋_GBK" w:cs="方正仿宋_GBK"/>
          <w:color w:val="auto"/>
          <w:sz w:val="32"/>
          <w:szCs w:val="32"/>
          <w:highlight w:val="none"/>
        </w:rPr>
        <w:t>华中师范大学重庆学校、北京师范大学重庆科学城实验学校等优质教育资源，义务教育质量监测综合排名全市领先，区域教育教学整体水平迈入全市第一方阵、位居最前列。新增绿化面积约464万平方米，人均公园绿地面积翻番，城市建成区海绵城市达标率58.4%，水气讯等8类管线矢量化率</w:t>
      </w:r>
      <w:r>
        <w:rPr>
          <w:rFonts w:hint="eastAsia" w:ascii="Times New Roman" w:hAnsi="Times New Roman" w:eastAsia="方正仿宋_GBK" w:cs="方正仿宋_GBK"/>
          <w:color w:val="auto"/>
          <w:sz w:val="32"/>
          <w:szCs w:val="32"/>
          <w:highlight w:val="none"/>
          <w:lang w:val="en-US" w:eastAsia="zh-CN"/>
        </w:rPr>
        <w:t>达到</w:t>
      </w:r>
      <w:r>
        <w:rPr>
          <w:rFonts w:hint="eastAsia" w:ascii="Times New Roman" w:hAnsi="Times New Roman" w:eastAsia="方正仿宋_GBK" w:cs="方正仿宋_GBK"/>
          <w:color w:val="auto"/>
          <w:sz w:val="32"/>
          <w:szCs w:val="32"/>
          <w:highlight w:val="none"/>
        </w:rPr>
        <w:t>100%。</w:t>
      </w:r>
    </w:p>
    <w:p w14:paraId="03F9E8AD">
      <w:pPr>
        <w:adjustRightInd w:val="0"/>
        <w:spacing w:line="600" w:lineRule="exact"/>
        <w:ind w:firstLine="640" w:firstLineChars="200"/>
        <w:textAlignment w:val="baseline"/>
        <w:rPr>
          <w:rFonts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改革开放纵深推进。深化“一城多园”合作共建西部科学城，与西部（成都）科学城、成都高新区、中国（绵阳）科技城建立合作机制，成渝综合性科学中心成为全国首个跨区域共建科创平台，获批川渝共建重点实验室9家、占全市约82%</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推动“四化”监管和商品条码应用试点等入选全国创新案例</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先行先试科技人才创业陪跑“四支队伍”工作机制，在中西部率先以“先股后投”方式支持科技成果转化试点，促成转化科技成果350项，疾病病理标准化、大气及海洋遥感2个高质量数据集入选国家数据局数据基础设施建设试点，知识产权市场化定价和交易机制等创新举措获评国家级最佳案例，全国中小学科学教育实验区、全国基础教育课程改革试验区获批国家级改革试点。</w:t>
      </w:r>
    </w:p>
    <w:p w14:paraId="4ECBB855">
      <w:pPr>
        <w:numPr>
          <w:ilvl w:val="-1"/>
          <w:numId w:val="0"/>
        </w:numPr>
        <w:overflowPunct w:val="0"/>
        <w:adjustRightInd/>
        <w:spacing w:line="600" w:lineRule="exact"/>
        <w:jc w:val="center"/>
        <w:outlineLvl w:val="1"/>
        <w:rPr>
          <w:rFonts w:ascii="Times New Roman" w:hAnsi="Times New Roman" w:eastAsia="方正黑体_GBK" w:cs="方正黑体_GBK"/>
          <w:color w:val="auto"/>
          <w:sz w:val="32"/>
          <w:szCs w:val="32"/>
          <w:highlight w:val="none"/>
        </w:rPr>
      </w:pPr>
      <w:bookmarkStart w:id="47" w:name="_Toc5219"/>
      <w:bookmarkStart w:id="48" w:name="_Toc8870"/>
      <w:bookmarkStart w:id="49" w:name="_Toc26987"/>
      <w:bookmarkStart w:id="50" w:name="_Toc945174779"/>
      <w:bookmarkStart w:id="51" w:name="_Toc7952"/>
      <w:bookmarkStart w:id="52" w:name="_Toc13602"/>
      <w:bookmarkStart w:id="53" w:name="_Toc656321494"/>
      <w:bookmarkStart w:id="54" w:name="_Toc14025"/>
      <w:bookmarkStart w:id="55" w:name="_Toc26814"/>
      <w:bookmarkStart w:id="56" w:name="_Toc2466"/>
      <w:bookmarkStart w:id="57" w:name="_Toc29650"/>
      <w:r>
        <w:rPr>
          <w:rFonts w:hint="eastAsia" w:ascii="Times New Roman" w:hAnsi="Times New Roman" w:eastAsia="方正黑体_GBK" w:cs="方正黑体_GBK"/>
          <w:color w:val="auto"/>
          <w:sz w:val="32"/>
          <w:szCs w:val="32"/>
          <w:highlight w:val="none"/>
          <w:lang w:val="en-US" w:eastAsia="zh-CN"/>
        </w:rPr>
        <w:t xml:space="preserve">第二章 </w:t>
      </w:r>
      <w:r>
        <w:rPr>
          <w:rFonts w:hint="eastAsia" w:ascii="Times New Roman" w:hAnsi="Times New Roman" w:eastAsia="方正黑体_GBK" w:cs="方正黑体_GBK"/>
          <w:color w:val="auto"/>
          <w:sz w:val="32"/>
          <w:szCs w:val="32"/>
          <w:highlight w:val="none"/>
        </w:rPr>
        <w:t>“十五五”发展形势</w:t>
      </w:r>
      <w:bookmarkEnd w:id="47"/>
      <w:bookmarkEnd w:id="48"/>
      <w:bookmarkEnd w:id="49"/>
      <w:bookmarkEnd w:id="50"/>
      <w:bookmarkEnd w:id="51"/>
      <w:bookmarkEnd w:id="52"/>
      <w:bookmarkEnd w:id="53"/>
      <w:bookmarkEnd w:id="54"/>
      <w:bookmarkEnd w:id="55"/>
      <w:bookmarkEnd w:id="56"/>
      <w:bookmarkEnd w:id="57"/>
    </w:p>
    <w:p w14:paraId="79396A24">
      <w:pPr>
        <w:pStyle w:val="19"/>
        <w:overflowPunct w:val="0"/>
        <w:adjustRightInd w:val="0"/>
        <w:spacing w:beforeAutospacing="0" w:afterAutospacing="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“十五五”时期，世界百年变局加速演进，大国博弈更趋复杂激烈，国际形势更加变乱交织，新一轮科技革命和产业革命加速突破，单边主义、保护主义抬头，国际经贸秩序</w:t>
      </w:r>
      <w:r>
        <w:rPr>
          <w:rFonts w:hint="eastAsia" w:ascii="Times New Roman" w:hAnsi="Times New Roman" w:eastAsia="方正仿宋_GBK"/>
          <w:color w:val="auto"/>
          <w:sz w:val="32"/>
          <w:szCs w:val="32"/>
          <w:highlight w:val="none"/>
          <w:lang w:val="en-US" w:eastAsia="zh-CN"/>
        </w:rPr>
        <w:t>受到严峻</w:t>
      </w:r>
      <w:r>
        <w:rPr>
          <w:rFonts w:hint="eastAsia" w:ascii="Times New Roman" w:hAnsi="Times New Roman" w:eastAsia="方正仿宋_GBK"/>
          <w:color w:val="auto"/>
          <w:sz w:val="32"/>
          <w:szCs w:val="32"/>
          <w:highlight w:val="none"/>
        </w:rPr>
        <w:t>挑战，</w:t>
      </w:r>
      <w:r>
        <w:rPr>
          <w:rFonts w:hint="eastAsia" w:ascii="Times New Roman" w:hAnsi="Times New Roman" w:eastAsia="方正仿宋_GBK"/>
          <w:color w:val="auto"/>
          <w:sz w:val="32"/>
          <w:szCs w:val="32"/>
          <w:highlight w:val="none"/>
          <w:lang w:val="en-US" w:eastAsia="zh-CN"/>
        </w:rPr>
        <w:t>世界</w:t>
      </w:r>
      <w:r>
        <w:rPr>
          <w:rFonts w:hint="eastAsia" w:ascii="Times New Roman" w:hAnsi="Times New Roman" w:eastAsia="方正仿宋_GBK"/>
          <w:color w:val="auto"/>
          <w:sz w:val="32"/>
          <w:szCs w:val="32"/>
          <w:highlight w:val="none"/>
        </w:rPr>
        <w:t>经济增长动能不足。我国处于战略机遇和风险挑战并存、不确定难预料因素增多的时期，但经济基础稳、优势多、韧性强、潜能大，长期向好的支撑条件和基本趋势没有改变，中国特色社会主义制度</w:t>
      </w:r>
      <w:r>
        <w:rPr>
          <w:rFonts w:hint="eastAsia" w:ascii="Times New Roman" w:hAnsi="Times New Roman" w:eastAsia="方正仿宋_GBK"/>
          <w:color w:val="auto"/>
          <w:sz w:val="32"/>
          <w:szCs w:val="32"/>
          <w:highlight w:val="none"/>
          <w:lang w:val="en-US" w:eastAsia="zh-CN"/>
        </w:rPr>
        <w:t>优势</w:t>
      </w:r>
      <w:r>
        <w:rPr>
          <w:rFonts w:hint="eastAsia" w:ascii="Times New Roman" w:hAnsi="Times New Roman" w:eastAsia="方正仿宋_GBK"/>
          <w:color w:val="auto"/>
          <w:sz w:val="32"/>
          <w:szCs w:val="32"/>
          <w:highlight w:val="none"/>
        </w:rPr>
        <w:t>、超大规模市场</w:t>
      </w:r>
      <w:r>
        <w:rPr>
          <w:rFonts w:hint="eastAsia" w:ascii="Times New Roman" w:hAnsi="Times New Roman" w:eastAsia="方正仿宋_GBK"/>
          <w:color w:val="auto"/>
          <w:sz w:val="32"/>
          <w:szCs w:val="32"/>
          <w:highlight w:val="none"/>
          <w:lang w:val="en-US" w:eastAsia="zh-CN"/>
        </w:rPr>
        <w:t>优势</w:t>
      </w:r>
      <w:r>
        <w:rPr>
          <w:rFonts w:hint="eastAsia" w:ascii="Times New Roman" w:hAnsi="Times New Roman" w:eastAsia="方正仿宋_GBK"/>
          <w:color w:val="auto"/>
          <w:sz w:val="32"/>
          <w:szCs w:val="32"/>
          <w:highlight w:val="none"/>
        </w:rPr>
        <w:t>、完整产业体系</w:t>
      </w:r>
      <w:r>
        <w:rPr>
          <w:rFonts w:hint="eastAsia" w:ascii="Times New Roman" w:hAnsi="Times New Roman" w:eastAsia="方正仿宋_GBK"/>
          <w:color w:val="auto"/>
          <w:sz w:val="32"/>
          <w:szCs w:val="32"/>
          <w:highlight w:val="none"/>
          <w:lang w:val="en-US" w:eastAsia="zh-CN"/>
        </w:rPr>
        <w:t>优势</w:t>
      </w:r>
      <w:r>
        <w:rPr>
          <w:rFonts w:hint="eastAsia" w:ascii="Times New Roman" w:hAnsi="Times New Roman" w:eastAsia="方正仿宋_GBK"/>
          <w:color w:val="auto"/>
          <w:sz w:val="32"/>
          <w:szCs w:val="32"/>
          <w:highlight w:val="none"/>
        </w:rPr>
        <w:t>、丰富人才资源优势</w:t>
      </w:r>
      <w:r>
        <w:rPr>
          <w:rFonts w:hint="eastAsia" w:ascii="Times New Roman" w:hAnsi="Times New Roman" w:eastAsia="方正仿宋_GBK"/>
          <w:color w:val="auto"/>
          <w:sz w:val="32"/>
          <w:szCs w:val="32"/>
          <w:highlight w:val="none"/>
          <w:lang w:val="en-US" w:eastAsia="zh-CN"/>
        </w:rPr>
        <w:t>将</w:t>
      </w:r>
      <w:r>
        <w:rPr>
          <w:rFonts w:hint="eastAsia" w:ascii="Times New Roman" w:hAnsi="Times New Roman" w:eastAsia="方正仿宋_GBK"/>
          <w:color w:val="auto"/>
          <w:sz w:val="32"/>
          <w:szCs w:val="32"/>
          <w:highlight w:val="none"/>
        </w:rPr>
        <w:t>持续彰显。</w:t>
      </w:r>
    </w:p>
    <w:p w14:paraId="1D8544DA">
      <w:pPr>
        <w:pStyle w:val="19"/>
        <w:overflowPunct w:val="0"/>
        <w:adjustRightInd w:val="0"/>
        <w:spacing w:beforeAutospacing="0" w:afterAutospacing="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lang w:val="en-US" w:eastAsia="zh-CN"/>
        </w:rPr>
        <w:t>十五五”时期，</w:t>
      </w:r>
      <w:r>
        <w:rPr>
          <w:rFonts w:hint="eastAsia" w:ascii="Times New Roman" w:hAnsi="Times New Roman" w:eastAsia="方正仿宋_GBK"/>
          <w:color w:val="auto"/>
          <w:sz w:val="32"/>
          <w:szCs w:val="32"/>
          <w:highlight w:val="none"/>
        </w:rPr>
        <w:t>我市将迎来直辖30周年、西部大开发战略实施30周年、成渝地区双城经济圈建设10周年，进入做实“两大定位”、发挥“三个作用”厚植新优势、跨越新关口、开创新局面的重要战略窗口期，发展动能、开放格局、治理模式、民生保障、人口发展均进入全面转型升级新阶段。多重国家战略叠加赋能，区位、产业、交通枢纽、科技创新等比较优势和后发优势凸显。同时，我市也面临产业能级不高、科技创新能力不强、城乡融合发展不足、投融资模式亟待转型等现实挑战。</w:t>
      </w:r>
    </w:p>
    <w:p w14:paraId="12041E50">
      <w:pPr>
        <w:pStyle w:val="19"/>
        <w:overflowPunct w:val="0"/>
        <w:adjustRightInd w:val="0"/>
        <w:spacing w:beforeAutospacing="0" w:afterAutospacing="0" w:line="600" w:lineRule="exact"/>
        <w:ind w:firstLine="640" w:firstLineChars="200"/>
        <w:rPr>
          <w:rFonts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“十五五”时期，是重庆高新区进位升级、跨越赶超的重要五年。一方面，困难挑战明显增多。经济体量不够</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lang w:val="en-US" w:eastAsia="zh-CN"/>
        </w:rPr>
        <w:t>产业能级不高</w:t>
      </w:r>
      <w:r>
        <w:rPr>
          <w:rFonts w:hint="eastAsia" w:ascii="Times New Roman" w:hAnsi="Times New Roman" w:eastAsia="方正仿宋_GBK"/>
          <w:color w:val="auto"/>
          <w:sz w:val="32"/>
          <w:szCs w:val="32"/>
          <w:highlight w:val="none"/>
        </w:rPr>
        <w:t>，在全国高新区大盘中显示度</w:t>
      </w:r>
      <w:r>
        <w:rPr>
          <w:rFonts w:hint="eastAsia" w:ascii="Times New Roman" w:hAnsi="Times New Roman" w:eastAsia="方正仿宋_GBK"/>
          <w:color w:val="auto"/>
          <w:sz w:val="32"/>
          <w:szCs w:val="32"/>
          <w:highlight w:val="none"/>
          <w:lang w:val="en-US" w:eastAsia="zh-CN"/>
        </w:rPr>
        <w:t>和全市贡献度仍显不足</w:t>
      </w:r>
      <w:r>
        <w:rPr>
          <w:rFonts w:hint="eastAsia" w:ascii="Times New Roman" w:hAnsi="Times New Roman" w:eastAsia="方正仿宋_GBK"/>
          <w:color w:val="auto"/>
          <w:sz w:val="32"/>
          <w:szCs w:val="32"/>
          <w:highlight w:val="none"/>
        </w:rPr>
        <w:t>。复杂国际经贸形势下产业转型升级持续承压，多点支撑的现代化产业体系仍需加力构建</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重大科技基础设施、大院大所等战略科技力量</w:t>
      </w:r>
      <w:r>
        <w:rPr>
          <w:rFonts w:hint="eastAsia" w:ascii="Times New Roman" w:hAnsi="Times New Roman" w:eastAsia="方正仿宋_GBK"/>
          <w:color w:val="auto"/>
          <w:sz w:val="32"/>
          <w:szCs w:val="32"/>
          <w:highlight w:val="none"/>
          <w:lang w:val="en-US" w:eastAsia="zh-CN"/>
        </w:rPr>
        <w:t>薄弱</w:t>
      </w:r>
      <w:r>
        <w:rPr>
          <w:rFonts w:hint="eastAsia" w:ascii="Times New Roman" w:hAnsi="Times New Roman" w:eastAsia="方正仿宋_GBK"/>
          <w:color w:val="auto"/>
          <w:sz w:val="32"/>
          <w:szCs w:val="32"/>
          <w:highlight w:val="none"/>
        </w:rPr>
        <w:t>，科创赋能产业能力不</w:t>
      </w:r>
      <w:r>
        <w:rPr>
          <w:rFonts w:hint="eastAsia" w:ascii="Times New Roman" w:hAnsi="Times New Roman" w:eastAsia="方正仿宋_GBK"/>
          <w:color w:val="auto"/>
          <w:sz w:val="32"/>
          <w:szCs w:val="32"/>
          <w:highlight w:val="none"/>
          <w:lang w:val="en-US" w:eastAsia="zh-CN"/>
        </w:rPr>
        <w:t>强</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开发建设资金压力较大，统筹发展和化债仍需加力</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推动产城融合存在短板，基础设施、交通、商业配套、公共服务等</w:t>
      </w:r>
      <w:r>
        <w:rPr>
          <w:rFonts w:hint="default" w:ascii="Times New Roman" w:hAnsi="Times New Roman" w:eastAsia="方正仿宋_GBK"/>
          <w:color w:val="auto"/>
          <w:sz w:val="32"/>
          <w:szCs w:val="32"/>
          <w:highlight w:val="none"/>
          <w:lang w:val="en-US"/>
        </w:rPr>
        <w:t>领域</w:t>
      </w:r>
      <w:r>
        <w:rPr>
          <w:rFonts w:hint="eastAsia" w:ascii="Times New Roman" w:hAnsi="Times New Roman" w:eastAsia="方正仿宋_GBK"/>
          <w:color w:val="auto"/>
          <w:sz w:val="32"/>
          <w:szCs w:val="32"/>
          <w:highlight w:val="none"/>
        </w:rPr>
        <w:t>还有待完善。另一方面，发展机遇前所未有。市委明确提出“提质建设西部（重庆）科学城”，赋予建设市域科创走廊极核等重要任务，为争取战略科技力量、重大产业项目、先行先试政策等资源倾斜布局，</w:t>
      </w:r>
      <w:r>
        <w:rPr>
          <w:rFonts w:hint="eastAsia" w:ascii="Times New Roman" w:hAnsi="Times New Roman" w:eastAsia="方正仿宋_GBK"/>
          <w:color w:val="auto"/>
          <w:sz w:val="32"/>
          <w:szCs w:val="32"/>
          <w:highlight w:val="none"/>
          <w:lang w:val="en-US" w:eastAsia="zh-CN"/>
        </w:rPr>
        <w:t>为</w:t>
      </w:r>
      <w:r>
        <w:rPr>
          <w:rFonts w:hint="eastAsia" w:ascii="Times New Roman" w:hAnsi="Times New Roman" w:eastAsia="方正仿宋_GBK"/>
          <w:color w:val="auto"/>
          <w:sz w:val="32"/>
          <w:szCs w:val="32"/>
          <w:highlight w:val="none"/>
        </w:rPr>
        <w:t>服务全市打造全国高质量发展重要增长极提供了广阔前景。“十四五”时期体制机制和政策红利加速释放，“四梁八柱”稳步构建，</w:t>
      </w:r>
      <w:r>
        <w:rPr>
          <w:rFonts w:hint="eastAsia" w:ascii="Times New Roman" w:hAnsi="Times New Roman" w:eastAsia="方正仿宋_GBK"/>
          <w:color w:val="auto"/>
          <w:sz w:val="32"/>
          <w:szCs w:val="32"/>
          <w:highlight w:val="none"/>
          <w:lang w:val="en-US" w:eastAsia="zh-CN"/>
        </w:rPr>
        <w:t>叠加</w:t>
      </w:r>
      <w:r>
        <w:rPr>
          <w:rFonts w:hint="eastAsia" w:ascii="Times New Roman" w:hAnsi="Times New Roman" w:eastAsia="方正仿宋_GBK"/>
          <w:color w:val="auto"/>
          <w:sz w:val="32"/>
          <w:szCs w:val="32"/>
          <w:highlight w:val="none"/>
        </w:rPr>
        <w:t>科学城、大学城、高新区、综保区、自贸区等多个开发开放平台合一优势，高校集聚、人才汇聚，产业和创新承载空间较大，承接重大生产力布局、推动教育科技人才一体化、打造陆港枢纽经济区等条件较好，为奋斗“十五五”、奋进新征程创造了有利条件。</w:t>
      </w:r>
    </w:p>
    <w:p w14:paraId="13AA548F">
      <w:pPr>
        <w:pStyle w:val="19"/>
        <w:overflowPunct w:val="0"/>
        <w:adjustRightInd w:val="0"/>
        <w:spacing w:beforeAutospacing="0" w:afterAutospacing="0" w:line="600" w:lineRule="exact"/>
        <w:ind w:firstLine="640" w:firstLineChars="200"/>
        <w:jc w:val="both"/>
        <w:rPr>
          <w:rFonts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综合研判，“十五五”时期，重庆高新区发展机遇更具可塑性、挑战更具复杂性，建设现代化新重庆的重要引擎进入积厚成势、整体跃升的关键阶段。要始终胸怀两个大局，乘势而上、唯实争先，努力在国家高新区高质量发展版图中争创新地位，在服务构建新发展格局中拓展新优势，在创造高品质生活促进共同富裕中取得新成效，在高水平统筹发展和安全推进治理现代化中形成新范式，不断推动现代化新重庆建设迈上新台阶。</w:t>
      </w:r>
    </w:p>
    <w:p w14:paraId="55F02A5F">
      <w:pPr>
        <w:adjustRightInd w:val="0"/>
        <w:spacing w:line="600" w:lineRule="exact"/>
        <w:ind w:firstLine="640" w:firstLineChars="200"/>
        <w:jc w:val="left"/>
        <w:textAlignment w:val="baseline"/>
        <w:rPr>
          <w:rFonts w:ascii="Times New Roman" w:hAnsi="Times New Roman" w:eastAsia="方正仿宋_GBK" w:cs="方正仿宋_GBK"/>
          <w:color w:val="auto"/>
          <w:sz w:val="32"/>
          <w:szCs w:val="32"/>
          <w:highlight w:val="none"/>
        </w:rPr>
      </w:pPr>
      <w:bookmarkStart w:id="58" w:name="_Toc20704"/>
      <w:bookmarkStart w:id="59" w:name="_Toc25863"/>
      <w:bookmarkStart w:id="60" w:name="_Toc25659"/>
      <w:bookmarkStart w:id="61" w:name="_Toc17823"/>
      <w:bookmarkStart w:id="62" w:name="_Toc21836"/>
      <w:bookmarkStart w:id="63" w:name="_Toc16529"/>
    </w:p>
    <w:p w14:paraId="3C49BE40">
      <w:pPr>
        <w:overflowPunct w:val="0"/>
        <w:adjustRightInd w:val="0"/>
        <w:spacing w:line="600" w:lineRule="exact"/>
        <w:jc w:val="center"/>
        <w:outlineLvl w:val="1"/>
        <w:rPr>
          <w:rFonts w:ascii="Times New Roman" w:hAnsi="Times New Roman" w:eastAsia="方正黑体_GBK" w:cs="方正黑体_GBK"/>
          <w:color w:val="auto"/>
          <w:sz w:val="32"/>
          <w:szCs w:val="32"/>
          <w:highlight w:val="none"/>
        </w:rPr>
      </w:pPr>
      <w:bookmarkStart w:id="64" w:name="_Toc1319338666"/>
      <w:bookmarkStart w:id="65" w:name="_Toc4269"/>
      <w:bookmarkStart w:id="66" w:name="_Toc615973794"/>
      <w:bookmarkStart w:id="67" w:name="_Toc7139"/>
      <w:bookmarkStart w:id="68" w:name="_Toc10695"/>
      <w:r>
        <w:rPr>
          <w:rFonts w:hint="eastAsia" w:ascii="Times New Roman" w:hAnsi="Times New Roman" w:eastAsia="方正黑体_GBK" w:cs="方正黑体_GBK"/>
          <w:color w:val="auto"/>
          <w:sz w:val="32"/>
          <w:szCs w:val="32"/>
          <w:highlight w:val="none"/>
        </w:rPr>
        <w:t>第三章 总体要求</w:t>
      </w:r>
      <w:bookmarkEnd w:id="58"/>
      <w:bookmarkEnd w:id="59"/>
      <w:bookmarkEnd w:id="60"/>
      <w:bookmarkEnd w:id="61"/>
      <w:bookmarkEnd w:id="62"/>
      <w:bookmarkEnd w:id="63"/>
      <w:bookmarkEnd w:id="64"/>
      <w:bookmarkEnd w:id="65"/>
      <w:bookmarkEnd w:id="66"/>
      <w:bookmarkEnd w:id="67"/>
      <w:bookmarkEnd w:id="68"/>
    </w:p>
    <w:p w14:paraId="237BAE58">
      <w:pPr>
        <w:overflowPunct/>
        <w:adjustRightInd w:val="0"/>
        <w:spacing w:line="600" w:lineRule="exact"/>
        <w:ind w:firstLine="640" w:firstLineChars="200"/>
        <w:jc w:val="left"/>
        <w:textAlignment w:val="baseline"/>
        <w:outlineLvl w:val="9"/>
        <w:rPr>
          <w:rFonts w:hint="eastAsia" w:ascii="Times New Roman" w:hAnsi="Times New Roman" w:eastAsia="方正楷体_GBK" w:cs="方正楷体_GBK"/>
          <w:color w:val="auto"/>
          <w:sz w:val="32"/>
          <w:szCs w:val="32"/>
          <w:highlight w:val="none"/>
        </w:rPr>
      </w:pPr>
      <w:r>
        <w:rPr>
          <w:rFonts w:hint="eastAsia" w:ascii="Times New Roman" w:hAnsi="Times New Roman" w:eastAsia="方正仿宋_GBK" w:cs="Times New Roman"/>
          <w:color w:val="auto"/>
          <w:sz w:val="32"/>
          <w:szCs w:val="32"/>
          <w:highlight w:val="none"/>
        </w:rPr>
        <w:t>强化责任感使命感紧迫感，紧扣全市“十五五”中心任务，进一步明确目标定位，在全市打造西部地区高质量发展先行区中彰显新作为，不断培育壮大新质生产力，推动经济实现质的有效提升和量的合理增长，全面提升服务全市发展大局的能力和贡献度。</w:t>
      </w:r>
      <w:bookmarkStart w:id="69" w:name="_Toc25391"/>
      <w:bookmarkStart w:id="70" w:name="_Toc14007"/>
      <w:bookmarkStart w:id="71" w:name="_Toc21345"/>
      <w:bookmarkStart w:id="72" w:name="_Toc1356304187"/>
      <w:bookmarkStart w:id="73" w:name="_Toc10690"/>
      <w:bookmarkStart w:id="74" w:name="_Toc29384"/>
      <w:bookmarkStart w:id="75" w:name="_Toc11103"/>
      <w:bookmarkStart w:id="76" w:name="_Toc18675"/>
      <w:bookmarkStart w:id="77" w:name="_Toc1800377218"/>
    </w:p>
    <w:p w14:paraId="5B426D11">
      <w:pPr>
        <w:overflowPunct w:val="0"/>
        <w:adjustRightInd w:val="0"/>
        <w:spacing w:line="600" w:lineRule="exact"/>
        <w:jc w:val="center"/>
        <w:outlineLvl w:val="2"/>
        <w:rPr>
          <w:rFonts w:ascii="Times New Roman" w:hAnsi="Times New Roman" w:eastAsia="方正楷体_GBK" w:cs="方正楷体_GBK"/>
          <w:color w:val="auto"/>
          <w:sz w:val="32"/>
          <w:szCs w:val="32"/>
          <w:highlight w:val="none"/>
        </w:rPr>
      </w:pPr>
      <w:bookmarkStart w:id="78" w:name="_Toc10532"/>
      <w:r>
        <w:rPr>
          <w:rFonts w:hint="eastAsia" w:ascii="Times New Roman" w:hAnsi="Times New Roman" w:eastAsia="方正楷体_GBK" w:cs="方正楷体_GBK"/>
          <w:color w:val="auto"/>
          <w:sz w:val="32"/>
          <w:szCs w:val="32"/>
          <w:highlight w:val="none"/>
        </w:rPr>
        <w:t>第一节 指导思想</w:t>
      </w:r>
      <w:bookmarkEnd w:id="69"/>
      <w:bookmarkEnd w:id="70"/>
      <w:bookmarkEnd w:id="71"/>
      <w:bookmarkEnd w:id="72"/>
      <w:bookmarkEnd w:id="73"/>
      <w:bookmarkEnd w:id="74"/>
      <w:bookmarkEnd w:id="75"/>
      <w:bookmarkEnd w:id="76"/>
      <w:bookmarkEnd w:id="77"/>
      <w:bookmarkEnd w:id="78"/>
    </w:p>
    <w:p w14:paraId="46C71D83">
      <w:pPr>
        <w:pStyle w:val="19"/>
        <w:overflowPunct w:val="0"/>
        <w:adjustRightInd w:val="0"/>
        <w:spacing w:beforeAutospacing="0" w:afterAutospacing="0" w:line="600" w:lineRule="exact"/>
        <w:ind w:firstLine="640" w:firstLineChars="200"/>
        <w:jc w:val="both"/>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坚持马克思列宁主义、毛泽东思想、邓小平理论、“三个代表”重要思想、科学发展观，全面贯彻习近平新时代中国特色社会主义思想，深入贯彻党的二十大和二十届历次全会精神，全面落实习近平总书记视察重庆重要讲话重要指示精神，深化落实中央经济工作会议精神，认真落实市委六届历次全会、提升成渝地区双城经济圈发展能级推进大会等系列部署要求，聚焦全市做实“两大定位”、发挥“三个作用”，紧扣市委赋予的使命任务，强化党建统领整体智治，完整准确全面贯彻新发展理念，加快融入新发展格局，坚持稳中求进工作总基调，坚持以经济建设为中心，以推动高质量发展为主题，以内需为主导，以改革、开放、创新和数智赋能为动力，</w:t>
      </w:r>
      <w:r>
        <w:rPr>
          <w:rFonts w:hint="eastAsia" w:ascii="方正仿宋_GBK" w:hAnsi="Calibri" w:eastAsia="方正仿宋_GBK" w:cs="Times New Roman"/>
          <w:bCs/>
          <w:color w:val="auto"/>
          <w:sz w:val="32"/>
          <w:szCs w:val="32"/>
          <w:highlight w:val="none"/>
          <w:u w:val="none" w:color="auto"/>
          <w:lang w:val="en-US" w:eastAsia="zh-CN"/>
        </w:rPr>
        <w:t>聚焦“科”“产”“城”抓融合增活力、抓改革强动力、抓环境激潜力，全力推动“以科促产、以产兴城、以城聚人”良性循环，不断培育壮大新质生产力，</w:t>
      </w:r>
      <w:r>
        <w:rPr>
          <w:rFonts w:hint="eastAsia" w:ascii="Times New Roman" w:hAnsi="Times New Roman" w:eastAsia="方正仿宋_GBK"/>
          <w:color w:val="auto"/>
          <w:sz w:val="32"/>
          <w:szCs w:val="32"/>
          <w:highlight w:val="none"/>
        </w:rPr>
        <w:t>以建设成渝地区区域科技创新中心核心承载区为总体愿景，加快建设</w:t>
      </w:r>
      <w:r>
        <w:rPr>
          <w:rFonts w:hint="eastAsia" w:ascii="Times New Roman" w:hAnsi="Times New Roman" w:eastAsia="方正仿宋_GBK" w:cs="方正仿宋_GBK"/>
          <w:color w:val="auto"/>
          <w:sz w:val="32"/>
          <w:szCs w:val="32"/>
          <w:highlight w:val="none"/>
          <w:lang w:val="en-US" w:eastAsia="zh-CN"/>
        </w:rPr>
        <w:t>引领全市支撑成渝</w:t>
      </w:r>
      <w:r>
        <w:rPr>
          <w:rFonts w:hint="eastAsia" w:ascii="Times New Roman" w:hAnsi="Times New Roman" w:eastAsia="方正仿宋_GBK"/>
          <w:color w:val="auto"/>
          <w:sz w:val="32"/>
          <w:szCs w:val="32"/>
          <w:highlight w:val="none"/>
        </w:rPr>
        <w:t>的高能级创新极核、全国领先西部一流的高新技术产业园区、重庆建设现代化人民城市的品质样板、全面深化改革扩大开放的先行示范，打造全市科技创新的主引擎、培育壮大新质生产力的排头兵、未来高质量发展的动力源。</w:t>
      </w:r>
      <w:bookmarkStart w:id="79" w:name="_Toc20804"/>
      <w:bookmarkStart w:id="80" w:name="_Toc21460"/>
      <w:bookmarkStart w:id="81" w:name="_Toc22912"/>
      <w:bookmarkStart w:id="82" w:name="_Toc1906"/>
      <w:bookmarkStart w:id="83" w:name="_Toc18321"/>
      <w:bookmarkStart w:id="84" w:name="_Toc32161"/>
      <w:bookmarkStart w:id="85" w:name="_Toc30647"/>
      <w:bookmarkStart w:id="86" w:name="_Toc2013041651"/>
      <w:bookmarkStart w:id="87" w:name="_Toc895316696"/>
    </w:p>
    <w:p w14:paraId="3F4390BB">
      <w:pPr>
        <w:overflowPunct w:val="0"/>
        <w:adjustRightInd w:val="0"/>
        <w:spacing w:line="600" w:lineRule="exact"/>
        <w:jc w:val="center"/>
        <w:outlineLvl w:val="2"/>
        <w:rPr>
          <w:rFonts w:ascii="Times New Roman" w:hAnsi="Times New Roman" w:eastAsia="方正楷体_GBK" w:cs="方正楷体_GBK"/>
          <w:color w:val="auto"/>
          <w:sz w:val="32"/>
          <w:szCs w:val="32"/>
          <w:highlight w:val="none"/>
        </w:rPr>
      </w:pPr>
      <w:bookmarkStart w:id="88" w:name="_Toc30469"/>
      <w:r>
        <w:rPr>
          <w:rFonts w:hint="eastAsia" w:ascii="Times New Roman" w:hAnsi="Times New Roman" w:eastAsia="方正楷体_GBK" w:cs="方正楷体_GBK"/>
          <w:color w:val="auto"/>
          <w:sz w:val="32"/>
          <w:szCs w:val="32"/>
          <w:highlight w:val="none"/>
        </w:rPr>
        <w:t>第二节 主要原则</w:t>
      </w:r>
      <w:bookmarkEnd w:id="79"/>
      <w:bookmarkEnd w:id="80"/>
      <w:bookmarkEnd w:id="81"/>
      <w:bookmarkEnd w:id="82"/>
      <w:bookmarkEnd w:id="83"/>
      <w:bookmarkEnd w:id="84"/>
      <w:bookmarkEnd w:id="85"/>
      <w:bookmarkEnd w:id="86"/>
      <w:bookmarkEnd w:id="87"/>
      <w:bookmarkEnd w:id="88"/>
    </w:p>
    <w:p w14:paraId="637E229C">
      <w:pPr>
        <w:widowControl/>
        <w:overflowPunct w:val="0"/>
        <w:adjustRightInd w:val="0"/>
        <w:spacing w:line="600" w:lineRule="exact"/>
        <w:ind w:firstLine="640" w:firstLineChars="200"/>
        <w:jc w:val="left"/>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坚持党的全面领导。坚决维护党中央权威和集中统一领导，深刻领悟“两个确立”的决定性意义，把坚决做到“两个维护”融入</w:t>
      </w:r>
      <w:r>
        <w:rPr>
          <w:rFonts w:hint="eastAsia" w:ascii="Times New Roman" w:hAnsi="Times New Roman" w:eastAsia="方正仿宋_GBK" w:cs="Times New Roman"/>
          <w:color w:val="auto"/>
          <w:sz w:val="32"/>
          <w:szCs w:val="32"/>
          <w:highlight w:val="none"/>
          <w:lang w:val="en-US" w:eastAsia="zh-CN"/>
        </w:rPr>
        <w:t>重庆高新区</w:t>
      </w:r>
      <w:r>
        <w:rPr>
          <w:rFonts w:hint="eastAsia" w:ascii="Times New Roman" w:hAnsi="Times New Roman" w:eastAsia="方正仿宋_GBK" w:cs="Times New Roman"/>
          <w:color w:val="auto"/>
          <w:sz w:val="32"/>
          <w:szCs w:val="32"/>
          <w:highlight w:val="none"/>
        </w:rPr>
        <w:t>建设各方面全过程，完善抓党建带全局工作体系，推动习近平总书记重要指示批示和党中央重大决策部署在重庆高新区细化量化、落实落地，</w:t>
      </w:r>
      <w:r>
        <w:rPr>
          <w:rFonts w:hint="eastAsia" w:ascii="Times New Roman" w:hAnsi="Times New Roman" w:eastAsia="方正仿宋_GBK" w:cs="Times New Roman"/>
          <w:i w:val="0"/>
          <w:iCs w:val="0"/>
          <w:caps w:val="0"/>
          <w:color w:val="auto"/>
          <w:spacing w:val="0"/>
          <w:kern w:val="2"/>
          <w:sz w:val="32"/>
          <w:szCs w:val="32"/>
          <w:highlight w:val="none"/>
          <w:shd w:val="clear" w:fill="auto"/>
          <w:lang w:val="en-US" w:eastAsia="zh-CN" w:bidi="ar"/>
        </w:rPr>
        <w:t>确保“总书记有号令、党中央有部署，重庆见行动”在科学城高新区一贯到底。</w:t>
      </w:r>
    </w:p>
    <w:p w14:paraId="2E538C63">
      <w:pPr>
        <w:overflowPunct w:val="0"/>
        <w:adjustRightIn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坚持人民至上。深入践行“中国式现代化，民生为大”理念，注重在发展中保障和改善民生，在满足民生需求中拓展发展空间，扎实办好群众可感可及民生实事，解决好群众和企业急难愁盼问题，推动经济和社会协调发展、物质文明和精神文明相得益彰，让社会主义现代化建设成果更多更公平惠及全体人民。</w:t>
      </w:r>
    </w:p>
    <w:p w14:paraId="404BD18D">
      <w:pPr>
        <w:overflowPunct w:val="0"/>
        <w:adjustRightInd w:val="0"/>
        <w:spacing w:line="600" w:lineRule="exact"/>
        <w:ind w:firstLine="640" w:firstLineChars="200"/>
        <w:textAlignment w:val="baseline"/>
        <w:rPr>
          <w:rFonts w:ascii="Times New Roman" w:hAnsi="Times New Roman"/>
          <w:color w:val="auto"/>
          <w:sz w:val="32"/>
          <w:szCs w:val="32"/>
          <w:highlight w:val="none"/>
        </w:rPr>
      </w:pPr>
      <w:r>
        <w:rPr>
          <w:rFonts w:hint="eastAsia" w:ascii="Times New Roman" w:hAnsi="Times New Roman" w:eastAsia="方正仿宋_GBK" w:cs="Times New Roman"/>
          <w:color w:val="auto"/>
          <w:sz w:val="32"/>
          <w:szCs w:val="32"/>
          <w:highlight w:val="none"/>
        </w:rPr>
        <w:t>坚持高质量发展。以新发展理念引领发展，因地制宜发展新质生产力，把科技创新引领构建现代化产业体系、激发新动能作为高质量发展的战略根基和核心引擎，以超常规举措推动发展模式全面转入创新驱动发展轨道，促进经济结构优化升级，加快形成市场主导、效益导向的内涵式高质量发展新模式，推动经济持续健康发展和社会全面进步。</w:t>
      </w:r>
    </w:p>
    <w:p w14:paraId="4646CB10">
      <w:pPr>
        <w:overflowPunct w:val="0"/>
        <w:adjustRightIn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坚持全面深化改革。积极探索首创性改革、引领性开放，将数智化的理念方法手段融入改革全过程各方面，全面释放人工智能和数字重庆双向赋能产生的溢出效应，引领推动经济发展模式、社会治理方式、政府管理机制变革重塑，持续增强发展动力和社会活力，更好服务成渝地区双城经济圈建设、西部大开发战略和长江经济带发展。</w:t>
      </w:r>
    </w:p>
    <w:p w14:paraId="6DF99CC4">
      <w:pPr>
        <w:overflowPunct w:val="0"/>
        <w:adjustRightIn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坚持有效市场和有为政府相结合。充分发挥市场在资源配置中的决定性作用，更好发挥政府作用，服务构建全国统一大市场，建设法治经济、信用经济，打造市场化、法治化、国际化一流营商环境，促进资源配置效率最优化、效率最大化。</w:t>
      </w:r>
    </w:p>
    <w:p w14:paraId="50BB6E46">
      <w:pPr>
        <w:pStyle w:val="19"/>
        <w:overflowPunct w:val="0"/>
        <w:adjustRightInd w:val="0"/>
        <w:spacing w:beforeAutospacing="0" w:afterAutospacing="0" w:line="600" w:lineRule="exact"/>
        <w:ind w:firstLine="640" w:firstLineChars="200"/>
        <w:jc w:val="both"/>
        <w:rPr>
          <w:rFonts w:ascii="Times New Roman" w:hAnsi="Times New Roman" w:eastAsia="方正仿宋_GBK" w:cs="方正仿宋_GBK"/>
          <w:color w:val="auto"/>
          <w:sz w:val="32"/>
          <w:szCs w:val="32"/>
          <w:highlight w:val="none"/>
        </w:rPr>
      </w:pPr>
      <w:r>
        <w:rPr>
          <w:rFonts w:hint="eastAsia" w:ascii="Times New Roman" w:hAnsi="Times New Roman" w:eastAsia="方正仿宋_GBK"/>
          <w:color w:val="auto"/>
          <w:sz w:val="32"/>
          <w:szCs w:val="32"/>
          <w:highlight w:val="none"/>
        </w:rPr>
        <w:t>坚持统筹发展和安全。深入贯彻总体国家安全观，强化底线思维、极限思维，深化多跨协同、整体智治，一体推进政治安全、经济金融、网络舆情、社会民生、平安稳定等各领域风险隐患全量全过程闭环管控，实现高质量发展和高水平安全良性互动。</w:t>
      </w:r>
    </w:p>
    <w:p w14:paraId="183118E0">
      <w:pPr>
        <w:overflowPunct w:val="0"/>
        <w:adjustRightInd w:val="0"/>
        <w:spacing w:line="600" w:lineRule="exact"/>
        <w:jc w:val="center"/>
        <w:outlineLvl w:val="2"/>
        <w:rPr>
          <w:rFonts w:ascii="Times New Roman" w:hAnsi="Times New Roman" w:eastAsia="方正楷体_GBK" w:cs="方正楷体_GBK"/>
          <w:color w:val="auto"/>
          <w:sz w:val="32"/>
          <w:szCs w:val="32"/>
          <w:highlight w:val="none"/>
        </w:rPr>
      </w:pPr>
      <w:bookmarkStart w:id="89" w:name="_Toc25732"/>
      <w:bookmarkStart w:id="90" w:name="_Toc1733653519"/>
      <w:bookmarkStart w:id="91" w:name="_Toc17961"/>
      <w:bookmarkStart w:id="92" w:name="_Toc7792"/>
      <w:bookmarkStart w:id="93" w:name="_Toc22149"/>
      <w:bookmarkStart w:id="94" w:name="_Toc169795143"/>
      <w:bookmarkStart w:id="95" w:name="_Toc23997"/>
      <w:bookmarkStart w:id="96" w:name="_Toc2243"/>
      <w:bookmarkStart w:id="97" w:name="_Toc12132"/>
      <w:bookmarkStart w:id="98" w:name="_Toc14258"/>
      <w:r>
        <w:rPr>
          <w:rFonts w:hint="eastAsia" w:ascii="Times New Roman" w:hAnsi="Times New Roman" w:eastAsia="方正楷体_GBK" w:cs="方正楷体_GBK"/>
          <w:color w:val="auto"/>
          <w:sz w:val="32"/>
          <w:szCs w:val="32"/>
          <w:highlight w:val="none"/>
        </w:rPr>
        <w:t>第三节 发展目标</w:t>
      </w:r>
      <w:bookmarkEnd w:id="89"/>
      <w:bookmarkEnd w:id="90"/>
      <w:bookmarkEnd w:id="91"/>
      <w:bookmarkEnd w:id="92"/>
      <w:bookmarkEnd w:id="93"/>
      <w:bookmarkEnd w:id="94"/>
      <w:bookmarkEnd w:id="95"/>
      <w:bookmarkEnd w:id="96"/>
      <w:bookmarkEnd w:id="97"/>
      <w:bookmarkEnd w:id="98"/>
    </w:p>
    <w:p w14:paraId="1182BEEF">
      <w:pPr>
        <w:adjustRightIn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黑体_GBK" w:cs="方正黑体_GBK"/>
          <w:color w:val="auto"/>
          <w:sz w:val="32"/>
          <w:szCs w:val="32"/>
          <w:highlight w:val="none"/>
        </w:rPr>
        <w:t>到2027年</w:t>
      </w:r>
      <w:r>
        <w:rPr>
          <w:rFonts w:hint="eastAsia" w:ascii="Times New Roman" w:hAnsi="Times New Roman" w:eastAsia="方正仿宋_GBK" w:cs="Times New Roman"/>
          <w:color w:val="auto"/>
          <w:sz w:val="32"/>
          <w:szCs w:val="32"/>
          <w:highlight w:val="none"/>
        </w:rPr>
        <w:t>，具有全国影响力的科技创新中心核心承载区加快建设，现代化产业体系初具规模，城市综合承载力持续提升，GDP迈上1000亿元台阶，研发投入强度达到5.8%，现代制造业集群产值达到3000亿元，常住人口规模达到</w:t>
      </w:r>
      <w:r>
        <w:rPr>
          <w:rFonts w:hint="default" w:ascii="Times New Roman" w:hAnsi="Times New Roman" w:eastAsia="方正仿宋_GBK" w:cs="Times New Roman"/>
          <w:color w:val="auto"/>
          <w:sz w:val="32"/>
          <w:szCs w:val="32"/>
          <w:highlight w:val="none"/>
          <w:lang w:val="en-US"/>
        </w:rPr>
        <w:t>70</w:t>
      </w:r>
      <w:r>
        <w:rPr>
          <w:rFonts w:hint="eastAsia" w:ascii="Times New Roman" w:hAnsi="Times New Roman" w:eastAsia="方正仿宋_GBK" w:cs="Times New Roman"/>
          <w:color w:val="auto"/>
          <w:sz w:val="32"/>
          <w:szCs w:val="32"/>
          <w:highlight w:val="none"/>
        </w:rPr>
        <w:t>万人。</w:t>
      </w:r>
    </w:p>
    <w:p w14:paraId="03C79151">
      <w:pPr>
        <w:widowControl/>
        <w:adjustRightIn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黑体_GBK" w:cs="方正黑体_GBK"/>
          <w:color w:val="auto"/>
          <w:sz w:val="32"/>
          <w:szCs w:val="32"/>
          <w:highlight w:val="none"/>
        </w:rPr>
        <w:t>到2030年</w:t>
      </w:r>
      <w:r>
        <w:rPr>
          <w:rFonts w:hint="eastAsia" w:ascii="Times New Roman" w:hAnsi="Times New Roman" w:eastAsia="方正仿宋_GBK" w:cs="Times New Roman"/>
          <w:color w:val="auto"/>
          <w:sz w:val="32"/>
          <w:szCs w:val="32"/>
          <w:highlight w:val="none"/>
        </w:rPr>
        <w:t>，具有全国影响力的科技创新中心核心承载区基本建成，现代化产业体系全面构建，城市综合承载力整体跃升，GDP</w:t>
      </w:r>
      <w:r>
        <w:rPr>
          <w:rFonts w:hint="eastAsia" w:ascii="Times New Roman" w:hAnsi="Times New Roman" w:eastAsia="方正仿宋_GBK" w:cs="Times New Roman"/>
          <w:color w:val="auto"/>
          <w:sz w:val="32"/>
          <w:szCs w:val="32"/>
          <w:highlight w:val="none"/>
          <w:lang w:val="en-US" w:eastAsia="zh-CN"/>
        </w:rPr>
        <w:t>迈上</w:t>
      </w:r>
      <w:r>
        <w:rPr>
          <w:rFonts w:hint="eastAsia" w:ascii="Times New Roman" w:hAnsi="Times New Roman" w:eastAsia="方正仿宋_GBK" w:cs="Times New Roman"/>
          <w:color w:val="auto"/>
          <w:sz w:val="32"/>
          <w:szCs w:val="32"/>
          <w:highlight w:val="none"/>
        </w:rPr>
        <w:t>1300亿元</w:t>
      </w:r>
      <w:r>
        <w:rPr>
          <w:rFonts w:hint="eastAsia" w:ascii="Times New Roman" w:hAnsi="Times New Roman" w:eastAsia="方正仿宋_GBK" w:cs="Times New Roman"/>
          <w:color w:val="auto"/>
          <w:sz w:val="32"/>
          <w:szCs w:val="32"/>
          <w:highlight w:val="none"/>
          <w:lang w:val="en-US" w:eastAsia="zh-CN"/>
        </w:rPr>
        <w:t>台阶</w:t>
      </w:r>
      <w:r>
        <w:rPr>
          <w:rFonts w:hint="eastAsia" w:ascii="Times New Roman" w:hAnsi="Times New Roman" w:eastAsia="方正仿宋_GBK" w:cs="Times New Roman"/>
          <w:color w:val="auto"/>
          <w:sz w:val="32"/>
          <w:szCs w:val="32"/>
          <w:highlight w:val="none"/>
        </w:rPr>
        <w:t>，研发投入强度达到6%，现代制造业集群产值达到3500亿元</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常住人口规模达到</w:t>
      </w:r>
      <w:r>
        <w:rPr>
          <w:rFonts w:hint="default" w:ascii="Times New Roman" w:hAnsi="Times New Roman" w:eastAsia="方正仿宋_GBK" w:cs="Times New Roman"/>
          <w:color w:val="auto"/>
          <w:sz w:val="32"/>
          <w:szCs w:val="32"/>
          <w:highlight w:val="none"/>
          <w:lang w:val="en-US"/>
        </w:rPr>
        <w:t>90</w:t>
      </w:r>
      <w:r>
        <w:rPr>
          <w:rFonts w:hint="eastAsia" w:ascii="Times New Roman" w:hAnsi="Times New Roman" w:eastAsia="方正仿宋_GBK" w:cs="Times New Roman"/>
          <w:color w:val="auto"/>
          <w:sz w:val="32"/>
          <w:szCs w:val="32"/>
          <w:highlight w:val="none"/>
        </w:rPr>
        <w:t>万人</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集聚新重庆人才7900名，国家高新区综合评价排名进入全国前20、中西部前5。</w:t>
      </w:r>
      <w:r>
        <w:rPr>
          <w:rFonts w:hint="eastAsia" w:ascii="Times New Roman" w:hAnsi="Times New Roman" w:eastAsia="方正仿宋_GBK" w:cs="Times New Roman"/>
          <w:color w:val="auto"/>
          <w:sz w:val="32"/>
          <w:szCs w:val="32"/>
          <w:highlight w:val="none"/>
        </w:rPr>
        <w:t>具体实现四个方面目标：</w:t>
      </w:r>
    </w:p>
    <w:p w14:paraId="08074515">
      <w:pPr>
        <w:adjustRightInd w:val="0"/>
        <w:spacing w:line="600" w:lineRule="exact"/>
        <w:ind w:firstLine="643" w:firstLineChars="200"/>
        <w:textAlignment w:val="baseline"/>
        <w:rPr>
          <w:rFonts w:ascii="Times New Roman" w:hAnsi="Times New Roman" w:eastAsia="方正仿宋_GBK" w:cs="Times New Roman"/>
          <w:b/>
          <w:bCs/>
          <w:color w:val="auto"/>
          <w:sz w:val="32"/>
          <w:szCs w:val="32"/>
          <w:highlight w:val="none"/>
        </w:rPr>
      </w:pPr>
      <w:r>
        <w:rPr>
          <w:rFonts w:hint="eastAsia" w:ascii="Times New Roman" w:hAnsi="Times New Roman" w:eastAsia="方正仿宋_GBK" w:cs="Times New Roman"/>
          <w:b/>
          <w:bCs/>
          <w:color w:val="auto"/>
          <w:sz w:val="32"/>
          <w:szCs w:val="32"/>
          <w:highlight w:val="none"/>
        </w:rPr>
        <w:t>——</w:t>
      </w:r>
      <w:r>
        <w:rPr>
          <w:rFonts w:hint="eastAsia" w:ascii="Times New Roman" w:hAnsi="Times New Roman" w:eastAsia="方正仿宋_GBK" w:cs="Times New Roman"/>
          <w:b/>
          <w:bCs/>
          <w:color w:val="auto"/>
          <w:sz w:val="32"/>
          <w:szCs w:val="32"/>
          <w:highlight w:val="none"/>
          <w:lang w:val="en-US" w:eastAsia="zh-CN"/>
        </w:rPr>
        <w:t>引领全市、支撑成渝</w:t>
      </w:r>
      <w:r>
        <w:rPr>
          <w:rFonts w:hint="eastAsia" w:ascii="Times New Roman" w:hAnsi="Times New Roman" w:eastAsia="方正仿宋_GBK" w:cs="Times New Roman"/>
          <w:b/>
          <w:bCs/>
          <w:color w:val="auto"/>
          <w:sz w:val="32"/>
          <w:szCs w:val="32"/>
          <w:highlight w:val="none"/>
        </w:rPr>
        <w:t>的高能级创新极核作用凸显</w:t>
      </w:r>
      <w:r>
        <w:rPr>
          <w:rFonts w:hint="eastAsia" w:ascii="Times New Roman" w:hAnsi="Times New Roman" w:eastAsia="方正仿宋_GBK" w:cs="Times New Roman"/>
          <w:color w:val="auto"/>
          <w:sz w:val="32"/>
          <w:szCs w:val="32"/>
          <w:highlight w:val="none"/>
        </w:rPr>
        <w:t>。服务全市科创走廊建设的极核作用持续显现，创新策源、要素配置、集聚转化、辐射带动功能显著增强，大学城和科学城融合发展体制机制日趋完善，“基础研究—技术攻关—成果转化—产业升级”全链条创新示范体系全面构建，全社会研发投入强度达到6%，市级以上科技创新平台基地增至320家，高新技术企业、独角兽企业、专精特新“小巨人”企业分别增至1200家、</w:t>
      </w:r>
      <w:r>
        <w:rPr>
          <w:rFonts w:hint="eastAsia" w:ascii="Times New Roman" w:hAnsi="Times New Roman" w:eastAsia="方正仿宋_GBK" w:cs="Times New Roman"/>
          <w:color w:val="auto"/>
          <w:sz w:val="32"/>
          <w:szCs w:val="32"/>
          <w:highlight w:val="none"/>
          <w:lang w:val="en-US" w:eastAsia="zh-CN"/>
        </w:rPr>
        <w:t>5</w:t>
      </w:r>
      <w:r>
        <w:rPr>
          <w:rFonts w:hint="eastAsia" w:ascii="Times New Roman" w:hAnsi="Times New Roman" w:eastAsia="方正仿宋_GBK" w:cs="Times New Roman"/>
          <w:color w:val="auto"/>
          <w:sz w:val="32"/>
          <w:szCs w:val="32"/>
          <w:highlight w:val="none"/>
        </w:rPr>
        <w:t>家、33家。</w:t>
      </w:r>
    </w:p>
    <w:p w14:paraId="766C23F8">
      <w:pPr>
        <w:adjustRightInd w:val="0"/>
        <w:spacing w:line="600" w:lineRule="exact"/>
        <w:ind w:firstLine="643"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b/>
          <w:bCs/>
          <w:color w:val="auto"/>
          <w:sz w:val="32"/>
          <w:szCs w:val="32"/>
          <w:highlight w:val="none"/>
        </w:rPr>
        <w:t>——全国领先、西部一流的高新技术产业园区基本建成</w:t>
      </w:r>
      <w:r>
        <w:rPr>
          <w:rFonts w:hint="eastAsia" w:ascii="Times New Roman" w:hAnsi="Times New Roman" w:eastAsia="方正仿宋_GBK" w:cs="Times New Roman"/>
          <w:color w:val="auto"/>
          <w:sz w:val="32"/>
          <w:szCs w:val="32"/>
          <w:highlight w:val="none"/>
        </w:rPr>
        <w:t>。产业链“链长制”高效运行，</w:t>
      </w:r>
      <w:r>
        <w:rPr>
          <w:rFonts w:hint="eastAsia" w:ascii="Times New Roman" w:hAnsi="Times New Roman" w:eastAsia="方正仿宋_GBK" w:cs="Times New Roman"/>
          <w:color w:val="auto"/>
          <w:sz w:val="32"/>
          <w:szCs w:val="32"/>
          <w:highlight w:val="none"/>
          <w:lang w:val="en-US" w:eastAsia="zh-CN"/>
        </w:rPr>
        <w:t>现代</w:t>
      </w:r>
      <w:r>
        <w:rPr>
          <w:rFonts w:hint="eastAsia" w:ascii="Times New Roman" w:hAnsi="Times New Roman" w:eastAsia="方正仿宋_GBK" w:cs="Times New Roman"/>
          <w:color w:val="auto"/>
          <w:sz w:val="32"/>
          <w:szCs w:val="32"/>
          <w:highlight w:val="none"/>
        </w:rPr>
        <w:t>制造业产业集群提质升级，现代服务业迈向价值链中高端，新兴产业、未来产业形成有效支撑，现代制造业集群产业规模达到3500亿元，规上工业增加值增速达到6.5%，战略性新兴产业产值占规上工业总产值比重</w:t>
      </w:r>
      <w:r>
        <w:rPr>
          <w:rFonts w:hint="eastAsia" w:ascii="Times New Roman" w:hAnsi="Times New Roman" w:eastAsia="方正仿宋_GBK" w:cs="Times New Roman"/>
          <w:color w:val="auto"/>
          <w:sz w:val="32"/>
          <w:szCs w:val="32"/>
          <w:highlight w:val="none"/>
          <w:lang w:val="en-US" w:eastAsia="zh-CN"/>
        </w:rPr>
        <w:t>达到</w:t>
      </w:r>
      <w:r>
        <w:rPr>
          <w:rFonts w:hint="eastAsia" w:ascii="Times New Roman" w:hAnsi="Times New Roman" w:eastAsia="方正仿宋_GBK" w:cs="Times New Roman"/>
          <w:color w:val="auto"/>
          <w:sz w:val="32"/>
          <w:szCs w:val="32"/>
          <w:highlight w:val="none"/>
        </w:rPr>
        <w:t>85%，现代服务业营收规模达到500亿元。</w:t>
      </w:r>
    </w:p>
    <w:p w14:paraId="7F1048A6">
      <w:pPr>
        <w:adjustRightInd w:val="0"/>
        <w:spacing w:line="600" w:lineRule="exact"/>
        <w:ind w:firstLine="643"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b/>
          <w:bCs/>
          <w:color w:val="auto"/>
          <w:sz w:val="32"/>
          <w:szCs w:val="32"/>
          <w:highlight w:val="none"/>
        </w:rPr>
        <w:t>——重庆建设现代化人民城市的品质样板初步成型</w:t>
      </w:r>
      <w:r>
        <w:rPr>
          <w:rFonts w:hint="eastAsia" w:ascii="Times New Roman" w:hAnsi="Times New Roman" w:eastAsia="方正仿宋_GBK" w:cs="Times New Roman"/>
          <w:color w:val="auto"/>
          <w:sz w:val="32"/>
          <w:szCs w:val="32"/>
          <w:highlight w:val="none"/>
        </w:rPr>
        <w:t>。“1236”城市总体发展格局加快形成，宜学宜研、宜居宜业水平持续提升，绿色生产生活方式基本形成，碳达峰目标如期实现，成功创建全国义务教育优质均衡发展区、全国学前教育普及普惠区，金凤城市中心建成约</w:t>
      </w:r>
      <w:r>
        <w:rPr>
          <w:rFonts w:hint="eastAsia" w:ascii="Times New Roman" w:hAnsi="Times New Roman" w:eastAsia="方正仿宋_GBK" w:cs="Times New Roman"/>
          <w:color w:val="auto"/>
          <w:sz w:val="32"/>
          <w:szCs w:val="32"/>
          <w:highlight w:val="none"/>
          <w:lang w:val="en-US" w:eastAsia="zh-CN"/>
        </w:rPr>
        <w:t>7.8</w:t>
      </w:r>
      <w:r>
        <w:rPr>
          <w:rFonts w:hint="eastAsia" w:ascii="Times New Roman" w:hAnsi="Times New Roman" w:eastAsia="方正仿宋_GBK" w:cs="Times New Roman"/>
          <w:color w:val="auto"/>
          <w:sz w:val="32"/>
          <w:szCs w:val="32"/>
          <w:highlight w:val="none"/>
        </w:rPr>
        <w:t>平方公里，路网密度增至5.5千米/平方千米，建成区绿地率达</w:t>
      </w:r>
      <w:r>
        <w:rPr>
          <w:rFonts w:hint="eastAsia" w:ascii="Times New Roman" w:hAnsi="Times New Roman" w:eastAsia="方正仿宋_GBK" w:cs="Times New Roman"/>
          <w:color w:val="auto"/>
          <w:sz w:val="32"/>
          <w:szCs w:val="32"/>
          <w:highlight w:val="none"/>
          <w:lang w:val="en-US" w:eastAsia="zh-CN"/>
        </w:rPr>
        <w:t>38</w:t>
      </w:r>
      <w:r>
        <w:rPr>
          <w:rFonts w:hint="eastAsia" w:ascii="Times New Roman" w:hAnsi="Times New Roman" w:eastAsia="方正仿宋_GBK" w:cs="Times New Roman"/>
          <w:color w:val="auto"/>
          <w:sz w:val="32"/>
          <w:szCs w:val="32"/>
          <w:highlight w:val="none"/>
        </w:rPr>
        <w:t>%，常住人口规模达到90万人</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集聚新重庆人才7900名</w:t>
      </w:r>
      <w:r>
        <w:rPr>
          <w:rFonts w:hint="eastAsia" w:ascii="Times New Roman" w:hAnsi="Times New Roman" w:eastAsia="方正仿宋_GBK" w:cs="Times New Roman"/>
          <w:color w:val="auto"/>
          <w:sz w:val="32"/>
          <w:szCs w:val="32"/>
          <w:highlight w:val="none"/>
        </w:rPr>
        <w:t>。</w:t>
      </w:r>
    </w:p>
    <w:p w14:paraId="64582EED">
      <w:pPr>
        <w:adjustRightInd w:val="0"/>
        <w:spacing w:line="600" w:lineRule="exact"/>
        <w:ind w:firstLine="643"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b/>
          <w:bCs/>
          <w:color w:val="auto"/>
          <w:sz w:val="32"/>
          <w:szCs w:val="32"/>
          <w:highlight w:val="none"/>
        </w:rPr>
        <w:t>——全面深化改革扩大开放的先行示范加快形成。</w:t>
      </w:r>
      <w:r>
        <w:rPr>
          <w:rFonts w:hint="eastAsia" w:ascii="Times New Roman" w:hAnsi="Times New Roman" w:eastAsia="方正仿宋_GBK" w:cs="Times New Roman"/>
          <w:color w:val="auto"/>
          <w:sz w:val="32"/>
          <w:szCs w:val="32"/>
          <w:highlight w:val="none"/>
        </w:rPr>
        <w:t>对内对外开放高效联动，“一城多园”核心引擎作用充分彰显，重庆市物流枢纽经济区高新区功能区加快建成，综保区、自贸区等开放平台能级整体跃升，高端要素配置能力显著增强，高水平对外开放体制机制更加完善，制度型开放稳步扩大，以经济体制改革为牵引的重点领域和关键环节改革取得新的重大突破，国资国企创新力竞争力全面提升，营商环境持续优化，西永综保区排名进入全国前10，进出口总额达到3</w:t>
      </w:r>
      <w:r>
        <w:rPr>
          <w:rFonts w:hint="eastAsia" w:ascii="Times New Roman" w:hAnsi="Times New Roman" w:eastAsia="方正仿宋_GBK" w:cs="Times New Roman"/>
          <w:color w:val="auto"/>
          <w:sz w:val="32"/>
          <w:szCs w:val="32"/>
          <w:highlight w:val="none"/>
          <w:lang w:val="en-US" w:eastAsia="zh-CN"/>
        </w:rPr>
        <w:t>5</w:t>
      </w:r>
      <w:r>
        <w:rPr>
          <w:rFonts w:hint="eastAsia" w:ascii="Times New Roman" w:hAnsi="Times New Roman" w:eastAsia="方正仿宋_GBK" w:cs="Times New Roman"/>
          <w:color w:val="auto"/>
          <w:sz w:val="32"/>
          <w:szCs w:val="32"/>
          <w:highlight w:val="none"/>
        </w:rPr>
        <w:t>00亿元。</w:t>
      </w:r>
    </w:p>
    <w:p w14:paraId="57A37DD2">
      <w:pPr>
        <w:adjustRightInd w:val="0"/>
        <w:spacing w:line="600" w:lineRule="exact"/>
        <w:ind w:firstLine="640" w:firstLineChars="200"/>
        <w:textAlignment w:val="baseline"/>
        <w:rPr>
          <w:rFonts w:hint="eastAsia" w:ascii="Times New Roman" w:hAnsi="Times New Roman" w:eastAsia="方正仿宋_GBK" w:cs="Times New Roman"/>
          <w:color w:val="auto"/>
          <w:sz w:val="32"/>
          <w:szCs w:val="32"/>
          <w:highlight w:val="none"/>
        </w:rPr>
      </w:pPr>
      <w:r>
        <w:rPr>
          <w:rFonts w:hint="eastAsia" w:ascii="Times New Roman" w:hAnsi="Times New Roman" w:eastAsia="方正黑体_GBK" w:cs="方正黑体_GBK"/>
          <w:color w:val="auto"/>
          <w:sz w:val="32"/>
          <w:szCs w:val="32"/>
          <w:highlight w:val="none"/>
        </w:rPr>
        <w:t>到2035年</w:t>
      </w:r>
      <w:r>
        <w:rPr>
          <w:rFonts w:hint="eastAsia" w:ascii="Times New Roman" w:hAnsi="Times New Roman" w:eastAsia="方正仿宋_GBK" w:cs="Times New Roman"/>
          <w:color w:val="auto"/>
          <w:sz w:val="32"/>
          <w:szCs w:val="32"/>
          <w:highlight w:val="none"/>
        </w:rPr>
        <w:t>，全面建成具有全国影响力的科技创新中心核心承载区，科技创新生态成熟，现代化产业集群体系完备，现代化人民城市品质样板成型，深化改革与制度型开放先行示范作用全面凸显，国家高新区综合排名稳居中西部前列，全面建成现代化新重庆的重要引擎，成为创新活力迸发、高端人才汇聚、产城人文深度融合的知名科学城。</w:t>
      </w:r>
    </w:p>
    <w:p w14:paraId="7B0E839F">
      <w:pPr>
        <w:adjustRightInd/>
        <w:spacing w:line="240" w:lineRule="auto"/>
        <w:ind w:firstLine="0" w:firstLineChars="0"/>
        <w:textAlignment w:val="auto"/>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br w:type="page"/>
      </w:r>
    </w:p>
    <w:p w14:paraId="59C77EDA">
      <w:pPr>
        <w:overflowPunct/>
        <w:adjustRightInd w:val="0"/>
        <w:spacing w:before="0" w:beforeLines="0" w:after="0" w:afterLines="0" w:line="312" w:lineRule="atLeast"/>
        <w:jc w:val="center"/>
        <w:textAlignment w:val="baseline"/>
        <w:rPr>
          <w:rFonts w:hint="eastAsia" w:ascii="Times New Roman" w:hAnsi="Times New Roman" w:eastAsia="方正黑体_GBK" w:cs="方正黑体_GBK"/>
          <w:color w:val="auto"/>
          <w:kern w:val="0"/>
          <w:sz w:val="32"/>
          <w:szCs w:val="32"/>
          <w:highlight w:val="none"/>
          <w:u w:val="none"/>
        </w:rPr>
      </w:pPr>
      <w:r>
        <w:rPr>
          <w:rFonts w:hint="eastAsia" w:ascii="Times New Roman" w:hAnsi="Times New Roman" w:eastAsia="方正黑体_GBK" w:cs="方正黑体_GBK"/>
          <w:color w:val="auto"/>
          <w:kern w:val="0"/>
          <w:sz w:val="32"/>
          <w:szCs w:val="32"/>
          <w:highlight w:val="none"/>
          <w:u w:val="none"/>
        </w:rPr>
        <w:t>专栏1 重庆高新区“十五五”经济社会发展主要指标</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3463"/>
        <w:gridCol w:w="1110"/>
        <w:gridCol w:w="1286"/>
        <w:gridCol w:w="1226"/>
        <w:gridCol w:w="1219"/>
      </w:tblGrid>
      <w:tr w14:paraId="79F4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2E675398">
            <w:pPr>
              <w:snapToGrid w:val="0"/>
              <w:spacing w:line="264" w:lineRule="auto"/>
              <w:jc w:val="center"/>
              <w:rPr>
                <w:rFonts w:ascii="Times New Roman" w:hAnsi="Times New Roman" w:eastAsia="方正黑体_GBK" w:cs="方正黑体_GBK"/>
                <w:color w:val="auto"/>
                <w:sz w:val="24"/>
                <w:highlight w:val="none"/>
              </w:rPr>
            </w:pPr>
            <w:r>
              <w:rPr>
                <w:rFonts w:ascii="Times New Roman" w:hAnsi="Times New Roman" w:eastAsia="方正黑体_GBK" w:cs="方正黑体_GBK"/>
                <w:color w:val="auto"/>
                <w:sz w:val="24"/>
                <w:highlight w:val="none"/>
              </w:rPr>
              <w:t>序号</w:t>
            </w:r>
          </w:p>
        </w:tc>
        <w:tc>
          <w:tcPr>
            <w:tcW w:w="1913" w:type="pct"/>
            <w:vAlign w:val="center"/>
          </w:tcPr>
          <w:p w14:paraId="007CEA2F">
            <w:pPr>
              <w:snapToGrid w:val="0"/>
              <w:spacing w:line="264" w:lineRule="auto"/>
              <w:jc w:val="center"/>
              <w:rPr>
                <w:rFonts w:ascii="Times New Roman" w:hAnsi="Times New Roman" w:eastAsia="方正黑体_GBK" w:cs="方正黑体_GBK"/>
                <w:color w:val="auto"/>
                <w:sz w:val="24"/>
                <w:highlight w:val="none"/>
              </w:rPr>
            </w:pPr>
            <w:r>
              <w:rPr>
                <w:rFonts w:ascii="Times New Roman" w:hAnsi="Times New Roman" w:eastAsia="方正黑体_GBK" w:cs="方正黑体_GBK"/>
                <w:color w:val="auto"/>
                <w:sz w:val="24"/>
                <w:highlight w:val="none"/>
              </w:rPr>
              <w:t>指标名称</w:t>
            </w:r>
          </w:p>
        </w:tc>
        <w:tc>
          <w:tcPr>
            <w:tcW w:w="613" w:type="pct"/>
            <w:vAlign w:val="center"/>
          </w:tcPr>
          <w:p w14:paraId="7E31837F">
            <w:pPr>
              <w:snapToGrid w:val="0"/>
              <w:spacing w:line="264" w:lineRule="auto"/>
              <w:jc w:val="center"/>
              <w:rPr>
                <w:rFonts w:ascii="Times New Roman" w:hAnsi="Times New Roman" w:eastAsia="方正黑体_GBK" w:cs="方正黑体_GBK"/>
                <w:color w:val="auto"/>
                <w:sz w:val="24"/>
                <w:highlight w:val="none"/>
              </w:rPr>
            </w:pPr>
            <w:r>
              <w:rPr>
                <w:rFonts w:ascii="Times New Roman" w:hAnsi="Times New Roman" w:eastAsia="方正黑体_GBK" w:cs="方正黑体_GBK"/>
                <w:color w:val="auto"/>
                <w:sz w:val="24"/>
                <w:highlight w:val="none"/>
              </w:rPr>
              <w:t>2025年</w:t>
            </w:r>
          </w:p>
        </w:tc>
        <w:tc>
          <w:tcPr>
            <w:tcW w:w="710" w:type="pct"/>
            <w:vAlign w:val="center"/>
          </w:tcPr>
          <w:p w14:paraId="30FBCF89">
            <w:pPr>
              <w:snapToGrid w:val="0"/>
              <w:spacing w:line="240" w:lineRule="auto"/>
              <w:jc w:val="center"/>
              <w:rPr>
                <w:rFonts w:ascii="Times New Roman" w:hAnsi="Times New Roman" w:eastAsia="方正黑体_GBK" w:cs="方正黑体_GBK"/>
                <w:color w:val="auto"/>
                <w:sz w:val="24"/>
                <w:highlight w:val="none"/>
              </w:rPr>
            </w:pPr>
            <w:r>
              <w:rPr>
                <w:rFonts w:ascii="Times New Roman" w:hAnsi="Times New Roman" w:eastAsia="方正黑体_GBK" w:cs="方正黑体_GBK"/>
                <w:color w:val="auto"/>
                <w:sz w:val="24"/>
                <w:highlight w:val="none"/>
              </w:rPr>
              <w:t>2027年</w:t>
            </w:r>
          </w:p>
          <w:p w14:paraId="49E9E762">
            <w:pPr>
              <w:snapToGrid w:val="0"/>
              <w:spacing w:line="240" w:lineRule="auto"/>
              <w:jc w:val="center"/>
              <w:rPr>
                <w:rFonts w:ascii="Times New Roman" w:hAnsi="Times New Roman" w:eastAsia="方正黑体_GBK" w:cs="方正黑体_GBK"/>
                <w:color w:val="auto"/>
                <w:sz w:val="24"/>
                <w:highlight w:val="none"/>
              </w:rPr>
            </w:pPr>
            <w:r>
              <w:rPr>
                <w:rFonts w:ascii="Times New Roman" w:hAnsi="Times New Roman" w:eastAsia="方正黑体_GBK" w:cs="方正黑体_GBK"/>
                <w:color w:val="auto"/>
                <w:sz w:val="24"/>
                <w:highlight w:val="none"/>
              </w:rPr>
              <w:t>目标</w:t>
            </w:r>
          </w:p>
        </w:tc>
        <w:tc>
          <w:tcPr>
            <w:tcW w:w="677" w:type="pct"/>
            <w:vAlign w:val="center"/>
          </w:tcPr>
          <w:p w14:paraId="458D0288">
            <w:pPr>
              <w:snapToGrid w:val="0"/>
              <w:spacing w:line="240" w:lineRule="auto"/>
              <w:jc w:val="center"/>
              <w:rPr>
                <w:rFonts w:ascii="Times New Roman" w:hAnsi="Times New Roman" w:eastAsia="方正黑体_GBK" w:cs="方正黑体_GBK"/>
                <w:color w:val="auto"/>
                <w:sz w:val="24"/>
                <w:highlight w:val="none"/>
              </w:rPr>
            </w:pPr>
            <w:r>
              <w:rPr>
                <w:rFonts w:ascii="Times New Roman" w:hAnsi="Times New Roman" w:eastAsia="方正黑体_GBK" w:cs="方正黑体_GBK"/>
                <w:color w:val="auto"/>
                <w:sz w:val="24"/>
                <w:highlight w:val="none"/>
              </w:rPr>
              <w:t>2030年</w:t>
            </w:r>
          </w:p>
          <w:p w14:paraId="037F7C1E">
            <w:pPr>
              <w:snapToGrid w:val="0"/>
              <w:spacing w:line="240" w:lineRule="auto"/>
              <w:jc w:val="center"/>
              <w:rPr>
                <w:rFonts w:ascii="Times New Roman" w:hAnsi="Times New Roman" w:eastAsia="方正黑体_GBK" w:cs="方正黑体_GBK"/>
                <w:color w:val="auto"/>
                <w:sz w:val="24"/>
                <w:highlight w:val="none"/>
              </w:rPr>
            </w:pPr>
            <w:r>
              <w:rPr>
                <w:rFonts w:ascii="Times New Roman" w:hAnsi="Times New Roman" w:eastAsia="方正黑体_GBK" w:cs="方正黑体_GBK"/>
                <w:color w:val="auto"/>
                <w:sz w:val="24"/>
                <w:highlight w:val="none"/>
              </w:rPr>
              <w:t>目标</w:t>
            </w:r>
          </w:p>
        </w:tc>
        <w:tc>
          <w:tcPr>
            <w:tcW w:w="672" w:type="pct"/>
            <w:vAlign w:val="center"/>
          </w:tcPr>
          <w:p w14:paraId="7F79B265">
            <w:pPr>
              <w:snapToGrid w:val="0"/>
              <w:spacing w:line="264" w:lineRule="auto"/>
              <w:jc w:val="center"/>
              <w:rPr>
                <w:rFonts w:ascii="Times New Roman" w:hAnsi="Times New Roman" w:eastAsia="方正黑体_GBK" w:cs="方正黑体_GBK"/>
                <w:color w:val="auto"/>
                <w:sz w:val="24"/>
                <w:highlight w:val="none"/>
              </w:rPr>
            </w:pPr>
            <w:r>
              <w:rPr>
                <w:rFonts w:ascii="Times New Roman" w:hAnsi="Times New Roman" w:eastAsia="方正黑体_GBK" w:cs="方正黑体_GBK"/>
                <w:color w:val="auto"/>
                <w:sz w:val="24"/>
                <w:highlight w:val="none"/>
              </w:rPr>
              <w:t>属性</w:t>
            </w:r>
          </w:p>
        </w:tc>
      </w:tr>
      <w:tr w14:paraId="143C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6"/>
            <w:vAlign w:val="center"/>
          </w:tcPr>
          <w:p w14:paraId="3CABF3AE">
            <w:pPr>
              <w:snapToGrid w:val="0"/>
              <w:spacing w:line="264" w:lineRule="auto"/>
              <w:jc w:val="left"/>
              <w:rPr>
                <w:rFonts w:ascii="Times New Roman" w:hAnsi="Times New Roman" w:eastAsia="方正仿宋_GBK" w:cs="Times New Roman"/>
                <w:color w:val="auto"/>
                <w:sz w:val="24"/>
                <w:highlight w:val="none"/>
              </w:rPr>
            </w:pPr>
            <w:r>
              <w:rPr>
                <w:rFonts w:hint="eastAsia" w:ascii="Times New Roman" w:hAnsi="Times New Roman" w:eastAsia="方正黑体_GBK" w:cs="方正黑体_GBK"/>
                <w:color w:val="auto"/>
                <w:kern w:val="0"/>
                <w:sz w:val="24"/>
                <w:highlight w:val="none"/>
                <w:u w:val="none"/>
              </w:rPr>
              <w:t>一、综合实力</w:t>
            </w:r>
          </w:p>
        </w:tc>
      </w:tr>
      <w:tr w14:paraId="33D8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05747E83">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1</w:t>
            </w:r>
          </w:p>
        </w:tc>
        <w:tc>
          <w:tcPr>
            <w:tcW w:w="1913" w:type="pct"/>
            <w:vAlign w:val="center"/>
          </w:tcPr>
          <w:p w14:paraId="62CAC6F9">
            <w:pPr>
              <w:adjustRightInd w:val="0"/>
              <w:snapToGrid w:val="0"/>
              <w:spacing w:line="264" w:lineRule="auto"/>
              <w:jc w:val="left"/>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地区生产总值（亿元）</w:t>
            </w:r>
          </w:p>
        </w:tc>
        <w:tc>
          <w:tcPr>
            <w:tcW w:w="613" w:type="pct"/>
            <w:vAlign w:val="center"/>
          </w:tcPr>
          <w:p w14:paraId="2F637354">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912.5</w:t>
            </w:r>
          </w:p>
        </w:tc>
        <w:tc>
          <w:tcPr>
            <w:tcW w:w="710" w:type="pct"/>
            <w:vAlign w:val="center"/>
          </w:tcPr>
          <w:p w14:paraId="2C75AE0B">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1000</w:t>
            </w:r>
          </w:p>
        </w:tc>
        <w:tc>
          <w:tcPr>
            <w:tcW w:w="677" w:type="pct"/>
            <w:vAlign w:val="center"/>
          </w:tcPr>
          <w:p w14:paraId="7A595127">
            <w:pPr>
              <w:adjustRightInd w:val="0"/>
              <w:snapToGrid w:val="0"/>
              <w:spacing w:line="264" w:lineRule="auto"/>
              <w:jc w:val="center"/>
              <w:textAlignment w:val="baseline"/>
              <w:rPr>
                <w:rFonts w:hint="default" w:ascii="Times New Roman" w:hAnsi="Times New Roman" w:eastAsia="方正书宋_GBK" w:cs="方正书宋_GBK"/>
                <w:color w:val="auto"/>
                <w:kern w:val="0"/>
                <w:sz w:val="24"/>
                <w:highlight w:val="none"/>
                <w:u w:val="none"/>
                <w:lang w:val="en-US" w:eastAsia="zh-CN"/>
              </w:rPr>
            </w:pPr>
            <w:r>
              <w:rPr>
                <w:rFonts w:hint="eastAsia" w:ascii="Times New Roman" w:hAnsi="Times New Roman" w:eastAsia="方正书宋_GBK" w:cs="方正书宋_GBK"/>
                <w:color w:val="auto"/>
                <w:kern w:val="0"/>
                <w:sz w:val="24"/>
                <w:highlight w:val="none"/>
                <w:u w:val="none"/>
                <w:lang w:val="en-US" w:eastAsia="zh-CN"/>
              </w:rPr>
              <w:t>1300</w:t>
            </w:r>
          </w:p>
        </w:tc>
        <w:tc>
          <w:tcPr>
            <w:tcW w:w="672" w:type="pct"/>
            <w:vAlign w:val="center"/>
          </w:tcPr>
          <w:p w14:paraId="0546F422">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预期性</w:t>
            </w:r>
          </w:p>
        </w:tc>
      </w:tr>
      <w:tr w14:paraId="3AD3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62EBA44A">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2</w:t>
            </w:r>
          </w:p>
        </w:tc>
        <w:tc>
          <w:tcPr>
            <w:tcW w:w="1913" w:type="pct"/>
            <w:vAlign w:val="center"/>
          </w:tcPr>
          <w:p w14:paraId="068F9ACC">
            <w:pPr>
              <w:adjustRightInd w:val="0"/>
              <w:snapToGrid w:val="0"/>
              <w:spacing w:line="264" w:lineRule="auto"/>
              <w:jc w:val="left"/>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国家高新区全国排名</w:t>
            </w:r>
          </w:p>
        </w:tc>
        <w:tc>
          <w:tcPr>
            <w:tcW w:w="613" w:type="pct"/>
            <w:vAlign w:val="center"/>
          </w:tcPr>
          <w:p w14:paraId="06A2BA8D">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lang w:val="en-US" w:eastAsia="zh-CN"/>
              </w:rPr>
              <w:t>25</w:t>
            </w:r>
          </w:p>
        </w:tc>
        <w:tc>
          <w:tcPr>
            <w:tcW w:w="710" w:type="pct"/>
            <w:vAlign w:val="center"/>
          </w:tcPr>
          <w:p w14:paraId="6A54467F">
            <w:pPr>
              <w:adjustRightInd w:val="0"/>
              <w:snapToGrid w:val="0"/>
              <w:spacing w:line="264" w:lineRule="auto"/>
              <w:jc w:val="center"/>
              <w:textAlignment w:val="baseline"/>
              <w:rPr>
                <w:rFonts w:hint="default" w:ascii="Times New Roman" w:hAnsi="Times New Roman" w:eastAsia="方正书宋_GBK" w:cs="方正书宋_GBK"/>
                <w:color w:val="auto"/>
                <w:kern w:val="0"/>
                <w:sz w:val="24"/>
                <w:highlight w:val="none"/>
                <w:u w:val="none"/>
                <w:lang w:val="en-US" w:eastAsia="zh-CN"/>
              </w:rPr>
            </w:pPr>
            <w:r>
              <w:rPr>
                <w:rFonts w:hint="default" w:ascii="Times New Roman" w:hAnsi="Times New Roman" w:eastAsia="方正书宋_GBK" w:cs="方正书宋_GBK"/>
                <w:color w:val="auto"/>
                <w:kern w:val="0"/>
                <w:sz w:val="24"/>
                <w:highlight w:val="none"/>
                <w:u w:val="none"/>
                <w:lang w:val="en-US"/>
              </w:rPr>
              <w:t>2</w:t>
            </w:r>
            <w:r>
              <w:rPr>
                <w:rFonts w:hint="eastAsia" w:ascii="Times New Roman" w:hAnsi="Times New Roman" w:eastAsia="方正书宋_GBK" w:cs="方正书宋_GBK"/>
                <w:color w:val="auto"/>
                <w:kern w:val="0"/>
                <w:sz w:val="24"/>
                <w:highlight w:val="none"/>
                <w:u w:val="none"/>
                <w:lang w:val="en-US" w:eastAsia="zh-CN"/>
              </w:rPr>
              <w:t>3</w:t>
            </w:r>
          </w:p>
        </w:tc>
        <w:tc>
          <w:tcPr>
            <w:tcW w:w="677" w:type="pct"/>
            <w:vAlign w:val="center"/>
          </w:tcPr>
          <w:p w14:paraId="77A42910">
            <w:pPr>
              <w:adjustRightInd w:val="0"/>
              <w:snapToGrid w:val="0"/>
              <w:spacing w:line="264" w:lineRule="auto"/>
              <w:jc w:val="center"/>
              <w:textAlignment w:val="baseline"/>
              <w:rPr>
                <w:rFonts w:hint="default" w:ascii="Times New Roman" w:hAnsi="Times New Roman" w:eastAsia="方正书宋_GBK" w:cs="方正书宋_GBK"/>
                <w:color w:val="auto"/>
                <w:kern w:val="0"/>
                <w:sz w:val="24"/>
                <w:highlight w:val="none"/>
                <w:u w:val="none"/>
                <w:lang w:val="en-US" w:eastAsia="zh-CN"/>
              </w:rPr>
            </w:pPr>
            <w:r>
              <w:rPr>
                <w:rFonts w:hint="default" w:ascii="Times New Roman" w:hAnsi="Times New Roman" w:eastAsia="方正书宋_GBK" w:cs="方正书宋_GBK"/>
                <w:color w:val="auto"/>
                <w:kern w:val="0"/>
                <w:sz w:val="24"/>
                <w:highlight w:val="none"/>
                <w:u w:val="none"/>
                <w:lang w:val="en-US"/>
              </w:rPr>
              <w:t>2</w:t>
            </w:r>
            <w:r>
              <w:rPr>
                <w:rFonts w:hint="eastAsia" w:ascii="Times New Roman" w:hAnsi="Times New Roman" w:eastAsia="方正书宋_GBK" w:cs="方正书宋_GBK"/>
                <w:color w:val="auto"/>
                <w:kern w:val="0"/>
                <w:sz w:val="24"/>
                <w:highlight w:val="none"/>
                <w:u w:val="none"/>
                <w:lang w:val="en-US" w:eastAsia="zh-CN"/>
              </w:rPr>
              <w:t>0</w:t>
            </w:r>
          </w:p>
        </w:tc>
        <w:tc>
          <w:tcPr>
            <w:tcW w:w="672" w:type="pct"/>
            <w:vAlign w:val="center"/>
          </w:tcPr>
          <w:p w14:paraId="33544A5C">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预期性</w:t>
            </w:r>
          </w:p>
        </w:tc>
      </w:tr>
      <w:tr w14:paraId="6914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7D09C62F">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3</w:t>
            </w:r>
          </w:p>
        </w:tc>
        <w:tc>
          <w:tcPr>
            <w:tcW w:w="1913" w:type="pct"/>
            <w:vAlign w:val="center"/>
          </w:tcPr>
          <w:p w14:paraId="619D2F1E">
            <w:pPr>
              <w:adjustRightInd w:val="0"/>
              <w:snapToGrid w:val="0"/>
              <w:spacing w:line="264" w:lineRule="auto"/>
              <w:jc w:val="left"/>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西永综保区全国排名</w:t>
            </w:r>
          </w:p>
        </w:tc>
        <w:tc>
          <w:tcPr>
            <w:tcW w:w="613" w:type="pct"/>
            <w:vAlign w:val="center"/>
          </w:tcPr>
          <w:p w14:paraId="1F17E229">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17</w:t>
            </w:r>
          </w:p>
        </w:tc>
        <w:tc>
          <w:tcPr>
            <w:tcW w:w="710" w:type="pct"/>
            <w:vAlign w:val="center"/>
          </w:tcPr>
          <w:p w14:paraId="1B7F7217">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力争前15</w:t>
            </w:r>
          </w:p>
        </w:tc>
        <w:tc>
          <w:tcPr>
            <w:tcW w:w="677" w:type="pct"/>
            <w:vAlign w:val="center"/>
          </w:tcPr>
          <w:p w14:paraId="50C07E96">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力争前10</w:t>
            </w:r>
          </w:p>
        </w:tc>
        <w:tc>
          <w:tcPr>
            <w:tcW w:w="672" w:type="pct"/>
            <w:vAlign w:val="center"/>
          </w:tcPr>
          <w:p w14:paraId="7AB2C7B7">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预期性</w:t>
            </w:r>
          </w:p>
        </w:tc>
      </w:tr>
      <w:tr w14:paraId="3953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6"/>
            <w:vAlign w:val="center"/>
          </w:tcPr>
          <w:p w14:paraId="42E7CA48">
            <w:pPr>
              <w:snapToGrid w:val="0"/>
              <w:spacing w:line="264" w:lineRule="auto"/>
              <w:jc w:val="left"/>
              <w:rPr>
                <w:rFonts w:hint="default" w:ascii="Times New Roman" w:hAnsi="Times New Roman" w:eastAsia="方正仿宋_GBK" w:cs="Times New Roman"/>
                <w:color w:val="auto"/>
                <w:sz w:val="24"/>
                <w:highlight w:val="none"/>
                <w:lang w:val="en-US" w:eastAsia="zh-CN"/>
              </w:rPr>
            </w:pPr>
            <w:r>
              <w:rPr>
                <w:rFonts w:hint="eastAsia" w:ascii="Times New Roman" w:hAnsi="Times New Roman" w:eastAsia="方正黑体_GBK" w:cs="方正黑体_GBK"/>
                <w:color w:val="auto"/>
                <w:kern w:val="0"/>
                <w:sz w:val="24"/>
                <w:highlight w:val="none"/>
                <w:u w:val="none"/>
                <w:lang w:val="en-US" w:eastAsia="zh-CN"/>
              </w:rPr>
              <w:t>二</w:t>
            </w:r>
            <w:r>
              <w:rPr>
                <w:rFonts w:hint="eastAsia" w:ascii="Times New Roman" w:hAnsi="Times New Roman" w:eastAsia="方正黑体_GBK" w:cs="方正黑体_GBK"/>
                <w:color w:val="auto"/>
                <w:kern w:val="0"/>
                <w:sz w:val="24"/>
                <w:highlight w:val="none"/>
                <w:u w:val="none"/>
              </w:rPr>
              <w:t>、</w:t>
            </w:r>
            <w:r>
              <w:rPr>
                <w:rFonts w:hint="eastAsia" w:ascii="Times New Roman" w:hAnsi="Times New Roman" w:eastAsia="方正黑体_GBK" w:cs="方正黑体_GBK"/>
                <w:color w:val="auto"/>
                <w:kern w:val="0"/>
                <w:sz w:val="24"/>
                <w:highlight w:val="none"/>
                <w:u w:val="none"/>
                <w:lang w:val="en-US" w:eastAsia="zh-CN"/>
              </w:rPr>
              <w:t>科技创新</w:t>
            </w:r>
          </w:p>
        </w:tc>
      </w:tr>
      <w:tr w14:paraId="557A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54483CF5">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4</w:t>
            </w:r>
          </w:p>
        </w:tc>
        <w:tc>
          <w:tcPr>
            <w:tcW w:w="1913" w:type="pct"/>
            <w:vAlign w:val="center"/>
          </w:tcPr>
          <w:p w14:paraId="5C9E71BD">
            <w:pPr>
              <w:adjustRightInd w:val="0"/>
              <w:snapToGrid w:val="0"/>
              <w:spacing w:line="264" w:lineRule="auto"/>
              <w:jc w:val="left"/>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研发经费投入强度（%）</w:t>
            </w:r>
          </w:p>
        </w:tc>
        <w:tc>
          <w:tcPr>
            <w:tcW w:w="613" w:type="pct"/>
            <w:vAlign w:val="center"/>
          </w:tcPr>
          <w:p w14:paraId="6F443FE0">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5.5</w:t>
            </w:r>
          </w:p>
        </w:tc>
        <w:tc>
          <w:tcPr>
            <w:tcW w:w="710" w:type="pct"/>
            <w:vAlign w:val="center"/>
          </w:tcPr>
          <w:p w14:paraId="208D76EE">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5.8</w:t>
            </w:r>
          </w:p>
        </w:tc>
        <w:tc>
          <w:tcPr>
            <w:tcW w:w="677" w:type="pct"/>
            <w:vAlign w:val="center"/>
          </w:tcPr>
          <w:p w14:paraId="6C5A44BC">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6</w:t>
            </w:r>
          </w:p>
        </w:tc>
        <w:tc>
          <w:tcPr>
            <w:tcW w:w="672" w:type="pct"/>
            <w:vAlign w:val="center"/>
          </w:tcPr>
          <w:p w14:paraId="32C549D9">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预期性</w:t>
            </w:r>
          </w:p>
        </w:tc>
      </w:tr>
      <w:tr w14:paraId="1B3C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53BEDE03">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5</w:t>
            </w:r>
          </w:p>
        </w:tc>
        <w:tc>
          <w:tcPr>
            <w:tcW w:w="1913" w:type="pct"/>
            <w:vAlign w:val="center"/>
          </w:tcPr>
          <w:p w14:paraId="1EA7D318">
            <w:pPr>
              <w:adjustRightInd w:val="0"/>
              <w:snapToGrid w:val="0"/>
              <w:spacing w:line="264" w:lineRule="auto"/>
              <w:jc w:val="left"/>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市级以上科技创新平台基地数量（个）</w:t>
            </w:r>
          </w:p>
        </w:tc>
        <w:tc>
          <w:tcPr>
            <w:tcW w:w="613" w:type="pct"/>
            <w:vAlign w:val="center"/>
          </w:tcPr>
          <w:p w14:paraId="267C9D77">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290</w:t>
            </w:r>
          </w:p>
        </w:tc>
        <w:tc>
          <w:tcPr>
            <w:tcW w:w="710" w:type="pct"/>
            <w:vAlign w:val="center"/>
          </w:tcPr>
          <w:p w14:paraId="2F836A21">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300</w:t>
            </w:r>
          </w:p>
        </w:tc>
        <w:tc>
          <w:tcPr>
            <w:tcW w:w="677" w:type="pct"/>
            <w:vAlign w:val="center"/>
          </w:tcPr>
          <w:p w14:paraId="42098691">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320</w:t>
            </w:r>
          </w:p>
        </w:tc>
        <w:tc>
          <w:tcPr>
            <w:tcW w:w="672" w:type="pct"/>
            <w:vAlign w:val="center"/>
          </w:tcPr>
          <w:p w14:paraId="24C84ABC">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预期性</w:t>
            </w:r>
          </w:p>
        </w:tc>
      </w:tr>
      <w:tr w14:paraId="14A1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53F8E715">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6</w:t>
            </w:r>
          </w:p>
        </w:tc>
        <w:tc>
          <w:tcPr>
            <w:tcW w:w="1913" w:type="pct"/>
            <w:vAlign w:val="center"/>
          </w:tcPr>
          <w:p w14:paraId="525385C7">
            <w:pPr>
              <w:adjustRightInd w:val="0"/>
              <w:snapToGrid w:val="0"/>
              <w:spacing w:line="264" w:lineRule="auto"/>
              <w:jc w:val="left"/>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每万人口高价值发明专利拥有量（件）</w:t>
            </w:r>
          </w:p>
        </w:tc>
        <w:tc>
          <w:tcPr>
            <w:tcW w:w="613" w:type="pct"/>
            <w:vAlign w:val="center"/>
          </w:tcPr>
          <w:p w14:paraId="66A97F23">
            <w:pPr>
              <w:adjustRightInd w:val="0"/>
              <w:snapToGrid w:val="0"/>
              <w:spacing w:line="264" w:lineRule="auto"/>
              <w:jc w:val="center"/>
              <w:textAlignment w:val="baseline"/>
              <w:rPr>
                <w:rFonts w:hint="default"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30.11</w:t>
            </w:r>
          </w:p>
        </w:tc>
        <w:tc>
          <w:tcPr>
            <w:tcW w:w="710" w:type="pct"/>
            <w:vAlign w:val="center"/>
          </w:tcPr>
          <w:p w14:paraId="3A825C36">
            <w:pPr>
              <w:adjustRightInd w:val="0"/>
              <w:snapToGrid w:val="0"/>
              <w:spacing w:line="264" w:lineRule="auto"/>
              <w:jc w:val="center"/>
              <w:textAlignment w:val="baseline"/>
              <w:rPr>
                <w:rFonts w:hint="default"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31</w:t>
            </w:r>
          </w:p>
        </w:tc>
        <w:tc>
          <w:tcPr>
            <w:tcW w:w="677" w:type="pct"/>
            <w:vAlign w:val="center"/>
          </w:tcPr>
          <w:p w14:paraId="0239D39C">
            <w:pPr>
              <w:adjustRightInd w:val="0"/>
              <w:snapToGrid w:val="0"/>
              <w:spacing w:line="264" w:lineRule="auto"/>
              <w:jc w:val="center"/>
              <w:textAlignment w:val="baseline"/>
              <w:rPr>
                <w:rFonts w:hint="default"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33</w:t>
            </w:r>
          </w:p>
        </w:tc>
        <w:tc>
          <w:tcPr>
            <w:tcW w:w="672" w:type="pct"/>
            <w:vAlign w:val="center"/>
          </w:tcPr>
          <w:p w14:paraId="2BF5AC6D">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预期性</w:t>
            </w:r>
          </w:p>
        </w:tc>
      </w:tr>
      <w:tr w14:paraId="3670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16D986A9">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7</w:t>
            </w:r>
          </w:p>
        </w:tc>
        <w:tc>
          <w:tcPr>
            <w:tcW w:w="1913" w:type="pct"/>
            <w:vAlign w:val="center"/>
          </w:tcPr>
          <w:p w14:paraId="3B2FA95B">
            <w:pPr>
              <w:adjustRightInd w:val="0"/>
              <w:snapToGrid w:val="0"/>
              <w:spacing w:line="264" w:lineRule="auto"/>
              <w:jc w:val="left"/>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高新技术企业数（家）</w:t>
            </w:r>
          </w:p>
        </w:tc>
        <w:tc>
          <w:tcPr>
            <w:tcW w:w="613" w:type="pct"/>
            <w:vAlign w:val="center"/>
          </w:tcPr>
          <w:p w14:paraId="5CE3BA98">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70</w:t>
            </w:r>
            <w:r>
              <w:rPr>
                <w:rFonts w:hint="eastAsia" w:ascii="Times New Roman" w:hAnsi="Times New Roman" w:eastAsia="方正书宋_GBK" w:cs="方正书宋_GBK"/>
                <w:color w:val="auto"/>
                <w:kern w:val="0"/>
                <w:sz w:val="24"/>
                <w:highlight w:val="none"/>
                <w:u w:val="none"/>
                <w:lang w:val="en-US" w:eastAsia="zh-CN"/>
              </w:rPr>
              <w:t>1</w:t>
            </w:r>
          </w:p>
        </w:tc>
        <w:tc>
          <w:tcPr>
            <w:tcW w:w="710" w:type="pct"/>
            <w:vAlign w:val="center"/>
          </w:tcPr>
          <w:p w14:paraId="00B943C2">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900</w:t>
            </w:r>
          </w:p>
        </w:tc>
        <w:tc>
          <w:tcPr>
            <w:tcW w:w="677" w:type="pct"/>
            <w:vAlign w:val="center"/>
          </w:tcPr>
          <w:p w14:paraId="29992070">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1200</w:t>
            </w:r>
          </w:p>
        </w:tc>
        <w:tc>
          <w:tcPr>
            <w:tcW w:w="672" w:type="pct"/>
            <w:vAlign w:val="center"/>
          </w:tcPr>
          <w:p w14:paraId="0121F286">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预期性</w:t>
            </w:r>
          </w:p>
        </w:tc>
      </w:tr>
      <w:tr w14:paraId="536F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26373234">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8</w:t>
            </w:r>
          </w:p>
        </w:tc>
        <w:tc>
          <w:tcPr>
            <w:tcW w:w="1913" w:type="pct"/>
            <w:vAlign w:val="center"/>
          </w:tcPr>
          <w:p w14:paraId="11C915AB">
            <w:pPr>
              <w:adjustRightInd w:val="0"/>
              <w:snapToGrid w:val="0"/>
              <w:spacing w:line="264" w:lineRule="auto"/>
              <w:jc w:val="left"/>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独角兽企业数（家）</w:t>
            </w:r>
          </w:p>
        </w:tc>
        <w:tc>
          <w:tcPr>
            <w:tcW w:w="613" w:type="pct"/>
            <w:vAlign w:val="center"/>
          </w:tcPr>
          <w:p w14:paraId="35F5D032">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2</w:t>
            </w:r>
          </w:p>
        </w:tc>
        <w:tc>
          <w:tcPr>
            <w:tcW w:w="710" w:type="pct"/>
            <w:vAlign w:val="center"/>
          </w:tcPr>
          <w:p w14:paraId="4E3044DB">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3</w:t>
            </w:r>
          </w:p>
        </w:tc>
        <w:tc>
          <w:tcPr>
            <w:tcW w:w="677" w:type="pct"/>
            <w:vAlign w:val="center"/>
          </w:tcPr>
          <w:p w14:paraId="079F0F45">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5</w:t>
            </w:r>
          </w:p>
        </w:tc>
        <w:tc>
          <w:tcPr>
            <w:tcW w:w="672" w:type="pct"/>
            <w:vAlign w:val="center"/>
          </w:tcPr>
          <w:p w14:paraId="5AA1C206">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预期性</w:t>
            </w:r>
          </w:p>
        </w:tc>
      </w:tr>
      <w:tr w14:paraId="2682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3C419856">
            <w:pPr>
              <w:adjustRightInd w:val="0"/>
              <w:snapToGrid w:val="0"/>
              <w:spacing w:line="264" w:lineRule="auto"/>
              <w:jc w:val="center"/>
              <w:textAlignment w:val="baseline"/>
              <w:rPr>
                <w:rFonts w:hint="default"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9</w:t>
            </w:r>
          </w:p>
        </w:tc>
        <w:tc>
          <w:tcPr>
            <w:tcW w:w="1913" w:type="pct"/>
            <w:vAlign w:val="center"/>
          </w:tcPr>
          <w:p w14:paraId="7E901A0E">
            <w:pPr>
              <w:adjustRightInd w:val="0"/>
              <w:snapToGrid w:val="0"/>
              <w:spacing w:line="264" w:lineRule="auto"/>
              <w:jc w:val="left"/>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专精特新“小巨人”企业数（家）</w:t>
            </w:r>
          </w:p>
        </w:tc>
        <w:tc>
          <w:tcPr>
            <w:tcW w:w="613" w:type="pct"/>
            <w:vAlign w:val="center"/>
          </w:tcPr>
          <w:p w14:paraId="41A8C97E">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28</w:t>
            </w:r>
          </w:p>
        </w:tc>
        <w:tc>
          <w:tcPr>
            <w:tcW w:w="710" w:type="pct"/>
            <w:vAlign w:val="center"/>
          </w:tcPr>
          <w:p w14:paraId="12E953DA">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30</w:t>
            </w:r>
          </w:p>
        </w:tc>
        <w:tc>
          <w:tcPr>
            <w:tcW w:w="677" w:type="pct"/>
            <w:vAlign w:val="center"/>
          </w:tcPr>
          <w:p w14:paraId="2A897A04">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33</w:t>
            </w:r>
          </w:p>
        </w:tc>
        <w:tc>
          <w:tcPr>
            <w:tcW w:w="672" w:type="pct"/>
            <w:vAlign w:val="center"/>
          </w:tcPr>
          <w:p w14:paraId="74F651DD">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预期性</w:t>
            </w:r>
          </w:p>
        </w:tc>
      </w:tr>
      <w:tr w14:paraId="74A5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6"/>
            <w:shd w:val="clear" w:color="auto" w:fill="auto"/>
            <w:vAlign w:val="center"/>
          </w:tcPr>
          <w:p w14:paraId="1A902B48">
            <w:pPr>
              <w:adjustRightInd w:val="0"/>
              <w:snapToGrid w:val="0"/>
              <w:spacing w:line="264" w:lineRule="auto"/>
              <w:jc w:val="left"/>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黑体_GBK" w:cs="方正黑体_GBK"/>
                <w:color w:val="auto"/>
                <w:kern w:val="0"/>
                <w:sz w:val="24"/>
                <w:highlight w:val="none"/>
                <w:u w:val="none"/>
                <w:lang w:val="en-US" w:eastAsia="zh-CN"/>
              </w:rPr>
              <w:t>三</w:t>
            </w:r>
            <w:r>
              <w:rPr>
                <w:rFonts w:hint="eastAsia" w:ascii="Times New Roman" w:hAnsi="Times New Roman" w:eastAsia="方正黑体_GBK" w:cs="方正黑体_GBK"/>
                <w:color w:val="auto"/>
                <w:kern w:val="0"/>
                <w:sz w:val="24"/>
                <w:highlight w:val="none"/>
                <w:u w:val="none"/>
              </w:rPr>
              <w:t>、</w:t>
            </w:r>
            <w:r>
              <w:rPr>
                <w:rFonts w:hint="eastAsia" w:ascii="Times New Roman" w:hAnsi="Times New Roman" w:eastAsia="方正黑体_GBK" w:cs="方正黑体_GBK"/>
                <w:color w:val="auto"/>
                <w:kern w:val="0"/>
                <w:sz w:val="24"/>
                <w:highlight w:val="none"/>
                <w:u w:val="none"/>
                <w:lang w:val="en-US" w:eastAsia="zh-CN"/>
              </w:rPr>
              <w:t>产业发展</w:t>
            </w:r>
          </w:p>
        </w:tc>
      </w:tr>
      <w:tr w14:paraId="16B7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shd w:val="clear" w:color="auto" w:fill="auto"/>
            <w:vAlign w:val="center"/>
          </w:tcPr>
          <w:p w14:paraId="40115DE0">
            <w:pPr>
              <w:adjustRightInd w:val="0"/>
              <w:snapToGrid w:val="0"/>
              <w:spacing w:line="264" w:lineRule="auto"/>
              <w:jc w:val="center"/>
              <w:textAlignment w:val="baseline"/>
              <w:rPr>
                <w:rFonts w:hint="default"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10</w:t>
            </w:r>
          </w:p>
        </w:tc>
        <w:tc>
          <w:tcPr>
            <w:tcW w:w="1913" w:type="pct"/>
            <w:shd w:val="clear" w:color="auto" w:fill="auto"/>
            <w:vAlign w:val="center"/>
          </w:tcPr>
          <w:p w14:paraId="210F1D83">
            <w:pPr>
              <w:adjustRightInd w:val="0"/>
              <w:snapToGrid w:val="0"/>
              <w:spacing w:line="264" w:lineRule="auto"/>
              <w:jc w:val="left"/>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规上工业增加值增速（%）</w:t>
            </w:r>
          </w:p>
        </w:tc>
        <w:tc>
          <w:tcPr>
            <w:tcW w:w="613" w:type="pct"/>
            <w:shd w:val="clear" w:color="auto" w:fill="auto"/>
            <w:vAlign w:val="center"/>
          </w:tcPr>
          <w:p w14:paraId="40D53658">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5.9</w:t>
            </w:r>
          </w:p>
        </w:tc>
        <w:tc>
          <w:tcPr>
            <w:tcW w:w="710" w:type="pct"/>
            <w:shd w:val="clear" w:color="auto" w:fill="auto"/>
            <w:vAlign w:val="center"/>
          </w:tcPr>
          <w:p w14:paraId="1091AB14">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6.5</w:t>
            </w:r>
          </w:p>
        </w:tc>
        <w:tc>
          <w:tcPr>
            <w:tcW w:w="677" w:type="pct"/>
            <w:shd w:val="clear" w:color="auto" w:fill="auto"/>
            <w:vAlign w:val="center"/>
          </w:tcPr>
          <w:p w14:paraId="3EFDD130">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6.5</w:t>
            </w:r>
          </w:p>
        </w:tc>
        <w:tc>
          <w:tcPr>
            <w:tcW w:w="672" w:type="pct"/>
            <w:shd w:val="clear" w:color="auto" w:fill="auto"/>
            <w:vAlign w:val="center"/>
          </w:tcPr>
          <w:p w14:paraId="1C8181D0">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预期性</w:t>
            </w:r>
          </w:p>
        </w:tc>
      </w:tr>
      <w:tr w14:paraId="7288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shd w:val="clear" w:color="auto" w:fill="auto"/>
            <w:vAlign w:val="center"/>
          </w:tcPr>
          <w:p w14:paraId="4C3CB347">
            <w:pPr>
              <w:adjustRightInd w:val="0"/>
              <w:snapToGrid w:val="0"/>
              <w:spacing w:line="264" w:lineRule="auto"/>
              <w:jc w:val="center"/>
              <w:textAlignment w:val="baseline"/>
              <w:rPr>
                <w:rFonts w:hint="default"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11</w:t>
            </w:r>
          </w:p>
        </w:tc>
        <w:tc>
          <w:tcPr>
            <w:tcW w:w="1913" w:type="pct"/>
            <w:shd w:val="clear" w:color="auto" w:fill="auto"/>
            <w:vAlign w:val="center"/>
          </w:tcPr>
          <w:p w14:paraId="23BED8F7">
            <w:pPr>
              <w:adjustRightInd w:val="0"/>
              <w:snapToGrid w:val="0"/>
              <w:spacing w:line="264" w:lineRule="auto"/>
              <w:jc w:val="left"/>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战略性新兴产业产值占规模以上工业总产值比重（%）</w:t>
            </w:r>
          </w:p>
        </w:tc>
        <w:tc>
          <w:tcPr>
            <w:tcW w:w="613" w:type="pct"/>
            <w:shd w:val="clear" w:color="auto" w:fill="auto"/>
            <w:vAlign w:val="center"/>
          </w:tcPr>
          <w:p w14:paraId="1D4F9983">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80</w:t>
            </w:r>
          </w:p>
        </w:tc>
        <w:tc>
          <w:tcPr>
            <w:tcW w:w="710" w:type="pct"/>
            <w:shd w:val="clear" w:color="auto" w:fill="auto"/>
            <w:vAlign w:val="center"/>
          </w:tcPr>
          <w:p w14:paraId="1FF2B340">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83</w:t>
            </w:r>
          </w:p>
        </w:tc>
        <w:tc>
          <w:tcPr>
            <w:tcW w:w="677" w:type="pct"/>
            <w:shd w:val="clear" w:color="auto" w:fill="auto"/>
            <w:vAlign w:val="center"/>
          </w:tcPr>
          <w:p w14:paraId="3F8EEC96">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85</w:t>
            </w:r>
          </w:p>
        </w:tc>
        <w:tc>
          <w:tcPr>
            <w:tcW w:w="672" w:type="pct"/>
            <w:shd w:val="clear" w:color="auto" w:fill="auto"/>
            <w:vAlign w:val="center"/>
          </w:tcPr>
          <w:p w14:paraId="6A8FDC0C">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预期性</w:t>
            </w:r>
          </w:p>
        </w:tc>
      </w:tr>
      <w:tr w14:paraId="5F76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shd w:val="clear" w:color="auto" w:fill="auto"/>
            <w:vAlign w:val="center"/>
          </w:tcPr>
          <w:p w14:paraId="51F813D7">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12</w:t>
            </w:r>
          </w:p>
        </w:tc>
        <w:tc>
          <w:tcPr>
            <w:tcW w:w="1913" w:type="pct"/>
            <w:shd w:val="clear" w:color="auto" w:fill="auto"/>
            <w:vAlign w:val="center"/>
          </w:tcPr>
          <w:p w14:paraId="4C3264D2">
            <w:pPr>
              <w:adjustRightInd w:val="0"/>
              <w:snapToGrid w:val="0"/>
              <w:spacing w:line="264" w:lineRule="auto"/>
              <w:jc w:val="left"/>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数字经济核心产业增加值占地区生产总值比重（%）</w:t>
            </w:r>
          </w:p>
        </w:tc>
        <w:tc>
          <w:tcPr>
            <w:tcW w:w="613" w:type="pct"/>
            <w:shd w:val="clear" w:color="auto" w:fill="auto"/>
            <w:vAlign w:val="center"/>
          </w:tcPr>
          <w:p w14:paraId="4FA1A2B2">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17.5</w:t>
            </w:r>
          </w:p>
        </w:tc>
        <w:tc>
          <w:tcPr>
            <w:tcW w:w="710" w:type="pct"/>
            <w:shd w:val="clear" w:color="auto" w:fill="auto"/>
            <w:vAlign w:val="center"/>
          </w:tcPr>
          <w:p w14:paraId="695A4B1A">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18</w:t>
            </w:r>
          </w:p>
        </w:tc>
        <w:tc>
          <w:tcPr>
            <w:tcW w:w="677" w:type="pct"/>
            <w:shd w:val="clear" w:color="auto" w:fill="auto"/>
            <w:vAlign w:val="center"/>
          </w:tcPr>
          <w:p w14:paraId="6BC9FAAE">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18</w:t>
            </w:r>
          </w:p>
        </w:tc>
        <w:tc>
          <w:tcPr>
            <w:tcW w:w="672" w:type="pct"/>
            <w:shd w:val="clear" w:color="auto" w:fill="auto"/>
            <w:vAlign w:val="center"/>
          </w:tcPr>
          <w:p w14:paraId="612ADEE7">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预期性</w:t>
            </w:r>
          </w:p>
        </w:tc>
      </w:tr>
      <w:tr w14:paraId="215B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shd w:val="clear" w:color="auto" w:fill="auto"/>
            <w:vAlign w:val="center"/>
          </w:tcPr>
          <w:p w14:paraId="48988E08">
            <w:pPr>
              <w:adjustRightInd w:val="0"/>
              <w:snapToGrid w:val="0"/>
              <w:spacing w:line="264" w:lineRule="auto"/>
              <w:jc w:val="center"/>
              <w:textAlignment w:val="baseline"/>
              <w:rPr>
                <w:rFonts w:hint="default"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szCs w:val="24"/>
                <w:highlight w:val="none"/>
                <w:u w:val="none"/>
                <w:lang w:val="en-US" w:eastAsia="zh-CN" w:bidi="ar-SA"/>
              </w:rPr>
              <w:t>13</w:t>
            </w:r>
          </w:p>
        </w:tc>
        <w:tc>
          <w:tcPr>
            <w:tcW w:w="1913" w:type="pct"/>
            <w:shd w:val="clear" w:color="auto" w:fill="auto"/>
            <w:vAlign w:val="center"/>
          </w:tcPr>
          <w:p w14:paraId="50E3FE1D">
            <w:pPr>
              <w:adjustRightInd w:val="0"/>
              <w:snapToGrid w:val="0"/>
              <w:spacing w:line="264" w:lineRule="auto"/>
              <w:jc w:val="left"/>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规模以上工业企业数字化改造率（%）</w:t>
            </w:r>
          </w:p>
        </w:tc>
        <w:tc>
          <w:tcPr>
            <w:tcW w:w="613" w:type="pct"/>
            <w:shd w:val="clear" w:color="auto" w:fill="auto"/>
            <w:vAlign w:val="center"/>
          </w:tcPr>
          <w:p w14:paraId="2D4941BD">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80</w:t>
            </w:r>
          </w:p>
        </w:tc>
        <w:tc>
          <w:tcPr>
            <w:tcW w:w="710" w:type="pct"/>
            <w:shd w:val="clear" w:color="auto" w:fill="auto"/>
            <w:vAlign w:val="center"/>
          </w:tcPr>
          <w:p w14:paraId="39055E06">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100</w:t>
            </w:r>
          </w:p>
        </w:tc>
        <w:tc>
          <w:tcPr>
            <w:tcW w:w="677" w:type="pct"/>
            <w:shd w:val="clear" w:color="auto" w:fill="auto"/>
            <w:vAlign w:val="center"/>
          </w:tcPr>
          <w:p w14:paraId="29F5FC51">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100</w:t>
            </w:r>
          </w:p>
        </w:tc>
        <w:tc>
          <w:tcPr>
            <w:tcW w:w="672" w:type="pct"/>
            <w:shd w:val="clear" w:color="auto" w:fill="auto"/>
            <w:vAlign w:val="center"/>
          </w:tcPr>
          <w:p w14:paraId="46195978">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预期性</w:t>
            </w:r>
          </w:p>
        </w:tc>
      </w:tr>
      <w:tr w14:paraId="3583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shd w:val="clear" w:color="auto" w:fill="auto"/>
            <w:vAlign w:val="center"/>
          </w:tcPr>
          <w:p w14:paraId="71FF7401">
            <w:pPr>
              <w:adjustRightInd w:val="0"/>
              <w:snapToGrid w:val="0"/>
              <w:spacing w:line="264" w:lineRule="auto"/>
              <w:jc w:val="center"/>
              <w:textAlignment w:val="baseline"/>
              <w:rPr>
                <w:rFonts w:hint="default"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lang w:val="en-US" w:eastAsia="zh-CN"/>
              </w:rPr>
              <w:t>14</w:t>
            </w:r>
          </w:p>
        </w:tc>
        <w:tc>
          <w:tcPr>
            <w:tcW w:w="1913" w:type="pct"/>
            <w:shd w:val="clear" w:color="auto" w:fill="auto"/>
            <w:vAlign w:val="center"/>
          </w:tcPr>
          <w:p w14:paraId="7A248A06">
            <w:pPr>
              <w:adjustRightInd w:val="0"/>
              <w:snapToGrid w:val="0"/>
              <w:spacing w:line="264" w:lineRule="auto"/>
              <w:jc w:val="left"/>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规上工业亩均税收增速（%）</w:t>
            </w:r>
          </w:p>
        </w:tc>
        <w:tc>
          <w:tcPr>
            <w:tcW w:w="613" w:type="pct"/>
            <w:shd w:val="clear" w:color="auto" w:fill="auto"/>
            <w:vAlign w:val="center"/>
          </w:tcPr>
          <w:p w14:paraId="73C152BB">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10</w:t>
            </w:r>
          </w:p>
        </w:tc>
        <w:tc>
          <w:tcPr>
            <w:tcW w:w="710" w:type="pct"/>
            <w:shd w:val="clear" w:color="auto" w:fill="auto"/>
            <w:vAlign w:val="center"/>
          </w:tcPr>
          <w:p w14:paraId="2AE3C7FA">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市级下达</w:t>
            </w:r>
          </w:p>
        </w:tc>
        <w:tc>
          <w:tcPr>
            <w:tcW w:w="677" w:type="pct"/>
            <w:shd w:val="clear" w:color="auto" w:fill="auto"/>
            <w:vAlign w:val="center"/>
          </w:tcPr>
          <w:p w14:paraId="0D83CC11">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市级下达</w:t>
            </w:r>
          </w:p>
        </w:tc>
        <w:tc>
          <w:tcPr>
            <w:tcW w:w="672" w:type="pct"/>
            <w:shd w:val="clear" w:color="auto" w:fill="auto"/>
            <w:vAlign w:val="center"/>
          </w:tcPr>
          <w:p w14:paraId="38696A81">
            <w:pPr>
              <w:adjustRightInd w:val="0"/>
              <w:snapToGrid w:val="0"/>
              <w:spacing w:line="264" w:lineRule="auto"/>
              <w:jc w:val="center"/>
              <w:textAlignment w:val="baseline"/>
              <w:rPr>
                <w:rFonts w:hint="eastAsia" w:ascii="Times New Roman" w:hAnsi="Times New Roman" w:eastAsia="方正书宋_GBK" w:cs="方正书宋_GBK"/>
                <w:color w:val="auto"/>
                <w:kern w:val="0"/>
                <w:sz w:val="24"/>
                <w:szCs w:val="24"/>
                <w:highlight w:val="none"/>
                <w:u w:val="none"/>
                <w:lang w:val="en-US" w:eastAsia="zh-CN" w:bidi="ar-SA"/>
              </w:rPr>
            </w:pPr>
            <w:r>
              <w:rPr>
                <w:rFonts w:hint="eastAsia" w:ascii="Times New Roman" w:hAnsi="Times New Roman" w:eastAsia="方正书宋_GBK" w:cs="方正书宋_GBK"/>
                <w:color w:val="auto"/>
                <w:kern w:val="0"/>
                <w:sz w:val="24"/>
                <w:highlight w:val="none"/>
                <w:u w:val="none"/>
              </w:rPr>
              <w:t>预期性</w:t>
            </w:r>
          </w:p>
        </w:tc>
      </w:tr>
      <w:tr w14:paraId="3F11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6"/>
            <w:vAlign w:val="center"/>
          </w:tcPr>
          <w:p w14:paraId="52157FF6">
            <w:pPr>
              <w:snapToGrid w:val="0"/>
              <w:spacing w:line="264" w:lineRule="auto"/>
              <w:jc w:val="left"/>
              <w:rPr>
                <w:rFonts w:ascii="Times New Roman" w:hAnsi="Times New Roman" w:eastAsia="方正仿宋_GBK" w:cs="Times New Roman"/>
                <w:color w:val="auto"/>
                <w:sz w:val="24"/>
                <w:highlight w:val="none"/>
              </w:rPr>
            </w:pPr>
            <w:r>
              <w:rPr>
                <w:rFonts w:hint="eastAsia" w:ascii="Times New Roman" w:hAnsi="Times New Roman" w:eastAsia="方正黑体_GBK" w:cs="方正黑体_GBK"/>
                <w:color w:val="auto"/>
                <w:kern w:val="0"/>
                <w:sz w:val="24"/>
                <w:highlight w:val="none"/>
                <w:u w:val="none"/>
              </w:rPr>
              <w:t>四、城市建设</w:t>
            </w:r>
          </w:p>
        </w:tc>
      </w:tr>
      <w:tr w14:paraId="35160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181A3745">
            <w:pPr>
              <w:adjustRightInd w:val="0"/>
              <w:snapToGrid w:val="0"/>
              <w:spacing w:line="264" w:lineRule="auto"/>
              <w:jc w:val="center"/>
              <w:textAlignment w:val="baseline"/>
              <w:rPr>
                <w:rFonts w:hint="default" w:ascii="Times New Roman" w:hAnsi="Times New Roman" w:eastAsia="方正书宋_GBK" w:cs="方正书宋_GBK"/>
                <w:color w:val="auto"/>
                <w:kern w:val="0"/>
                <w:sz w:val="24"/>
                <w:highlight w:val="none"/>
                <w:u w:val="none"/>
                <w:lang w:val="en-US" w:eastAsia="zh-CN"/>
              </w:rPr>
            </w:pPr>
            <w:r>
              <w:rPr>
                <w:rFonts w:hint="eastAsia" w:ascii="Times New Roman" w:hAnsi="Times New Roman" w:eastAsia="方正书宋_GBK" w:cs="方正书宋_GBK"/>
                <w:color w:val="auto"/>
                <w:kern w:val="0"/>
                <w:sz w:val="24"/>
                <w:highlight w:val="none"/>
                <w:u w:val="none"/>
                <w:lang w:val="en-US" w:eastAsia="zh-CN"/>
              </w:rPr>
              <w:t>15</w:t>
            </w:r>
          </w:p>
        </w:tc>
        <w:tc>
          <w:tcPr>
            <w:tcW w:w="1913" w:type="pct"/>
            <w:vAlign w:val="center"/>
          </w:tcPr>
          <w:p w14:paraId="3E7BE8E0">
            <w:pPr>
              <w:keepNext w:val="0"/>
              <w:keepLines w:val="0"/>
              <w:pageBreakBefore w:val="0"/>
              <w:widowControl w:val="0"/>
              <w:kinsoku/>
              <w:wordWrap/>
              <w:overflowPunct/>
              <w:topLinePunct w:val="0"/>
              <w:autoSpaceDE/>
              <w:autoSpaceDN/>
              <w:bidi w:val="0"/>
              <w:adjustRightInd/>
              <w:snapToGrid w:val="0"/>
              <w:spacing w:line="264" w:lineRule="auto"/>
              <w:jc w:val="left"/>
              <w:textAlignment w:val="auto"/>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sz w:val="24"/>
                <w:szCs w:val="24"/>
                <w:highlight w:val="none"/>
                <w:u w:val="none"/>
                <w:lang w:val="en-US" w:eastAsia="zh-CN"/>
              </w:rPr>
              <w:t>居民人均可支配收入（万元）</w:t>
            </w:r>
          </w:p>
        </w:tc>
        <w:tc>
          <w:tcPr>
            <w:tcW w:w="613" w:type="pct"/>
            <w:vAlign w:val="center"/>
          </w:tcPr>
          <w:p w14:paraId="704F581E">
            <w:pPr>
              <w:keepNext w:val="0"/>
              <w:keepLines w:val="0"/>
              <w:pageBreakBefore w:val="0"/>
              <w:widowControl w:val="0"/>
              <w:kinsoku/>
              <w:wordWrap/>
              <w:overflowPunct/>
              <w:topLinePunct w:val="0"/>
              <w:autoSpaceDE/>
              <w:autoSpaceDN/>
              <w:bidi w:val="0"/>
              <w:adjustRightInd/>
              <w:snapToGrid w:val="0"/>
              <w:spacing w:line="264" w:lineRule="auto"/>
              <w:jc w:val="center"/>
              <w:textAlignment w:val="auto"/>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sz w:val="24"/>
                <w:szCs w:val="24"/>
                <w:highlight w:val="none"/>
                <w:u w:val="none"/>
                <w:lang w:val="en-US" w:eastAsia="zh-CN"/>
              </w:rPr>
              <w:t>4.7</w:t>
            </w:r>
          </w:p>
        </w:tc>
        <w:tc>
          <w:tcPr>
            <w:tcW w:w="710" w:type="pct"/>
            <w:vAlign w:val="center"/>
          </w:tcPr>
          <w:p w14:paraId="60CBD98F">
            <w:pPr>
              <w:keepNext w:val="0"/>
              <w:keepLines w:val="0"/>
              <w:pageBreakBefore w:val="0"/>
              <w:widowControl w:val="0"/>
              <w:kinsoku/>
              <w:wordWrap/>
              <w:overflowPunct/>
              <w:topLinePunct w:val="0"/>
              <w:autoSpaceDE/>
              <w:autoSpaceDN/>
              <w:bidi w:val="0"/>
              <w:adjustRightInd/>
              <w:snapToGrid w:val="0"/>
              <w:spacing w:line="264" w:lineRule="auto"/>
              <w:jc w:val="center"/>
              <w:textAlignment w:val="auto"/>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sz w:val="24"/>
                <w:szCs w:val="24"/>
                <w:highlight w:val="none"/>
                <w:u w:val="none"/>
                <w:lang w:val="en-US" w:eastAsia="zh-CN"/>
              </w:rPr>
              <w:t>4.8</w:t>
            </w:r>
          </w:p>
        </w:tc>
        <w:tc>
          <w:tcPr>
            <w:tcW w:w="677" w:type="pct"/>
            <w:vAlign w:val="center"/>
          </w:tcPr>
          <w:p w14:paraId="6122B942">
            <w:pPr>
              <w:keepNext w:val="0"/>
              <w:keepLines w:val="0"/>
              <w:pageBreakBefore w:val="0"/>
              <w:widowControl w:val="0"/>
              <w:kinsoku/>
              <w:wordWrap/>
              <w:overflowPunct/>
              <w:topLinePunct w:val="0"/>
              <w:autoSpaceDE/>
              <w:autoSpaceDN/>
              <w:bidi w:val="0"/>
              <w:adjustRightInd/>
              <w:snapToGrid w:val="0"/>
              <w:spacing w:line="264" w:lineRule="auto"/>
              <w:jc w:val="center"/>
              <w:textAlignment w:val="auto"/>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sz w:val="24"/>
                <w:szCs w:val="24"/>
                <w:highlight w:val="none"/>
                <w:u w:val="none"/>
                <w:lang w:val="en-US" w:eastAsia="zh-CN"/>
              </w:rPr>
              <w:t>5</w:t>
            </w:r>
          </w:p>
        </w:tc>
        <w:tc>
          <w:tcPr>
            <w:tcW w:w="672" w:type="pct"/>
            <w:vAlign w:val="center"/>
          </w:tcPr>
          <w:p w14:paraId="45A83E7A">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预期性</w:t>
            </w:r>
          </w:p>
        </w:tc>
      </w:tr>
      <w:tr w14:paraId="50E6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36918A0C">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lang w:eastAsia="zh-CN"/>
              </w:rPr>
            </w:pPr>
            <w:r>
              <w:rPr>
                <w:rFonts w:hint="eastAsia" w:ascii="Times New Roman" w:hAnsi="Times New Roman" w:eastAsia="方正书宋_GBK" w:cs="方正书宋_GBK"/>
                <w:color w:val="auto"/>
                <w:kern w:val="0"/>
                <w:sz w:val="24"/>
                <w:highlight w:val="none"/>
                <w:u w:val="none"/>
              </w:rPr>
              <w:t>1</w:t>
            </w:r>
            <w:r>
              <w:rPr>
                <w:rFonts w:hint="eastAsia" w:ascii="Times New Roman" w:hAnsi="Times New Roman" w:eastAsia="方正书宋_GBK" w:cs="方正书宋_GBK"/>
                <w:color w:val="auto"/>
                <w:kern w:val="0"/>
                <w:sz w:val="24"/>
                <w:highlight w:val="none"/>
                <w:u w:val="none"/>
                <w:lang w:val="en-US" w:eastAsia="zh-CN"/>
              </w:rPr>
              <w:t>6</w:t>
            </w:r>
          </w:p>
        </w:tc>
        <w:tc>
          <w:tcPr>
            <w:tcW w:w="1913" w:type="pct"/>
            <w:vAlign w:val="center"/>
          </w:tcPr>
          <w:p w14:paraId="21F2FAB4">
            <w:pPr>
              <w:adjustRightInd w:val="0"/>
              <w:snapToGrid w:val="0"/>
              <w:spacing w:line="264" w:lineRule="auto"/>
              <w:jc w:val="left"/>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道路网密度（千米/平方千米）</w:t>
            </w:r>
          </w:p>
        </w:tc>
        <w:tc>
          <w:tcPr>
            <w:tcW w:w="613" w:type="pct"/>
            <w:vAlign w:val="center"/>
          </w:tcPr>
          <w:p w14:paraId="760BBFE1">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4.9</w:t>
            </w:r>
          </w:p>
        </w:tc>
        <w:tc>
          <w:tcPr>
            <w:tcW w:w="710" w:type="pct"/>
            <w:vAlign w:val="center"/>
          </w:tcPr>
          <w:p w14:paraId="01B58977">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5.2</w:t>
            </w:r>
          </w:p>
        </w:tc>
        <w:tc>
          <w:tcPr>
            <w:tcW w:w="677" w:type="pct"/>
            <w:vAlign w:val="center"/>
          </w:tcPr>
          <w:p w14:paraId="63463C49">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5.5</w:t>
            </w:r>
          </w:p>
        </w:tc>
        <w:tc>
          <w:tcPr>
            <w:tcW w:w="672" w:type="pct"/>
            <w:vAlign w:val="center"/>
          </w:tcPr>
          <w:p w14:paraId="64FFBD24">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预期性</w:t>
            </w:r>
          </w:p>
        </w:tc>
      </w:tr>
      <w:tr w14:paraId="2462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46D9D124">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lang w:eastAsia="zh-CN"/>
              </w:rPr>
            </w:pPr>
            <w:r>
              <w:rPr>
                <w:rFonts w:hint="eastAsia" w:ascii="Times New Roman" w:hAnsi="Times New Roman" w:eastAsia="方正书宋_GBK" w:cs="方正书宋_GBK"/>
                <w:color w:val="auto"/>
                <w:kern w:val="0"/>
                <w:sz w:val="24"/>
                <w:highlight w:val="none"/>
                <w:u w:val="none"/>
              </w:rPr>
              <w:t>1</w:t>
            </w:r>
            <w:r>
              <w:rPr>
                <w:rFonts w:hint="eastAsia" w:ascii="Times New Roman" w:hAnsi="Times New Roman" w:eastAsia="方正书宋_GBK" w:cs="方正书宋_GBK"/>
                <w:color w:val="auto"/>
                <w:kern w:val="0"/>
                <w:sz w:val="24"/>
                <w:highlight w:val="none"/>
                <w:u w:val="none"/>
                <w:lang w:val="en-US" w:eastAsia="zh-CN"/>
              </w:rPr>
              <w:t>7</w:t>
            </w:r>
          </w:p>
        </w:tc>
        <w:tc>
          <w:tcPr>
            <w:tcW w:w="1913" w:type="pct"/>
            <w:vAlign w:val="center"/>
          </w:tcPr>
          <w:p w14:paraId="3EF11C85">
            <w:pPr>
              <w:adjustRightInd w:val="0"/>
              <w:snapToGrid w:val="0"/>
              <w:spacing w:line="264" w:lineRule="auto"/>
              <w:jc w:val="left"/>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轨道通车里程（公里）</w:t>
            </w:r>
          </w:p>
        </w:tc>
        <w:tc>
          <w:tcPr>
            <w:tcW w:w="613" w:type="pct"/>
            <w:vAlign w:val="center"/>
          </w:tcPr>
          <w:p w14:paraId="25DFD130">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17.6</w:t>
            </w:r>
          </w:p>
        </w:tc>
        <w:tc>
          <w:tcPr>
            <w:tcW w:w="710" w:type="pct"/>
            <w:vAlign w:val="center"/>
          </w:tcPr>
          <w:p w14:paraId="693DCD93">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52</w:t>
            </w:r>
          </w:p>
        </w:tc>
        <w:tc>
          <w:tcPr>
            <w:tcW w:w="677" w:type="pct"/>
            <w:vAlign w:val="center"/>
          </w:tcPr>
          <w:p w14:paraId="778A851E">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72</w:t>
            </w:r>
          </w:p>
        </w:tc>
        <w:tc>
          <w:tcPr>
            <w:tcW w:w="672" w:type="pct"/>
            <w:vAlign w:val="center"/>
          </w:tcPr>
          <w:p w14:paraId="1534B8D1">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预期性</w:t>
            </w:r>
          </w:p>
        </w:tc>
      </w:tr>
      <w:tr w14:paraId="49AC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5103A182">
            <w:pPr>
              <w:adjustRightInd w:val="0"/>
              <w:snapToGrid w:val="0"/>
              <w:spacing w:line="264" w:lineRule="auto"/>
              <w:jc w:val="center"/>
              <w:textAlignment w:val="baseline"/>
              <w:rPr>
                <w:rFonts w:hint="default" w:ascii="Times New Roman" w:hAnsi="Times New Roman" w:eastAsia="方正书宋_GBK" w:cs="方正书宋_GBK"/>
                <w:color w:val="auto"/>
                <w:kern w:val="0"/>
                <w:sz w:val="24"/>
                <w:highlight w:val="none"/>
                <w:u w:val="none"/>
                <w:lang w:val="en-US" w:eastAsia="zh-CN"/>
              </w:rPr>
            </w:pPr>
            <w:r>
              <w:rPr>
                <w:rFonts w:hint="eastAsia" w:ascii="Times New Roman" w:hAnsi="Times New Roman" w:eastAsia="方正书宋_GBK" w:cs="方正书宋_GBK"/>
                <w:color w:val="auto"/>
                <w:kern w:val="0"/>
                <w:sz w:val="24"/>
                <w:highlight w:val="none"/>
                <w:u w:val="none"/>
                <w:lang w:val="en-US" w:eastAsia="zh-CN"/>
              </w:rPr>
              <w:t>18</w:t>
            </w:r>
          </w:p>
        </w:tc>
        <w:tc>
          <w:tcPr>
            <w:tcW w:w="1913" w:type="pct"/>
            <w:vAlign w:val="center"/>
          </w:tcPr>
          <w:p w14:paraId="0CBD1139">
            <w:pPr>
              <w:adjustRightInd w:val="0"/>
              <w:snapToGrid w:val="0"/>
              <w:spacing w:line="264" w:lineRule="auto"/>
              <w:jc w:val="left"/>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建成区绿地率（%）</w:t>
            </w:r>
          </w:p>
        </w:tc>
        <w:tc>
          <w:tcPr>
            <w:tcW w:w="613" w:type="pct"/>
            <w:vAlign w:val="center"/>
          </w:tcPr>
          <w:p w14:paraId="4B9B5B71">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37</w:t>
            </w:r>
          </w:p>
        </w:tc>
        <w:tc>
          <w:tcPr>
            <w:tcW w:w="710" w:type="pct"/>
            <w:vAlign w:val="center"/>
          </w:tcPr>
          <w:p w14:paraId="1D43B2D9">
            <w:pPr>
              <w:adjustRightInd w:val="0"/>
              <w:snapToGrid w:val="0"/>
              <w:spacing w:line="264" w:lineRule="auto"/>
              <w:jc w:val="center"/>
              <w:textAlignment w:val="baseline"/>
              <w:rPr>
                <w:rFonts w:hint="default" w:ascii="Times New Roman" w:hAnsi="Times New Roman" w:eastAsia="方正书宋_GBK" w:cs="方正书宋_GBK"/>
                <w:color w:val="auto"/>
                <w:kern w:val="0"/>
                <w:sz w:val="24"/>
                <w:highlight w:val="none"/>
                <w:u w:val="none"/>
                <w:lang w:val="en-US" w:eastAsia="zh-CN"/>
              </w:rPr>
            </w:pPr>
            <w:r>
              <w:rPr>
                <w:rFonts w:hint="eastAsia" w:ascii="Times New Roman" w:hAnsi="Times New Roman" w:eastAsia="方正书宋_GBK" w:cs="方正书宋_GBK"/>
                <w:color w:val="auto"/>
                <w:kern w:val="0"/>
                <w:sz w:val="24"/>
                <w:highlight w:val="none"/>
                <w:u w:val="none"/>
                <w:lang w:val="en-US" w:eastAsia="zh-CN"/>
              </w:rPr>
              <w:t>37</w:t>
            </w:r>
          </w:p>
        </w:tc>
        <w:tc>
          <w:tcPr>
            <w:tcW w:w="677" w:type="pct"/>
            <w:vAlign w:val="center"/>
          </w:tcPr>
          <w:p w14:paraId="7D316F5F">
            <w:pPr>
              <w:adjustRightInd w:val="0"/>
              <w:snapToGrid w:val="0"/>
              <w:spacing w:line="264" w:lineRule="auto"/>
              <w:jc w:val="center"/>
              <w:textAlignment w:val="baseline"/>
              <w:rPr>
                <w:rFonts w:hint="default" w:ascii="Times New Roman" w:hAnsi="Times New Roman" w:eastAsia="方正书宋_GBK" w:cs="方正书宋_GBK"/>
                <w:color w:val="auto"/>
                <w:kern w:val="0"/>
                <w:sz w:val="24"/>
                <w:highlight w:val="none"/>
                <w:u w:val="none"/>
                <w:lang w:val="en-US" w:eastAsia="zh-CN"/>
              </w:rPr>
            </w:pPr>
            <w:r>
              <w:rPr>
                <w:rFonts w:hint="eastAsia" w:ascii="Times New Roman" w:hAnsi="Times New Roman" w:eastAsia="方正书宋_GBK" w:cs="方正书宋_GBK"/>
                <w:color w:val="auto"/>
                <w:kern w:val="0"/>
                <w:sz w:val="24"/>
                <w:highlight w:val="none"/>
                <w:u w:val="none"/>
                <w:lang w:val="en-US" w:eastAsia="zh-CN"/>
              </w:rPr>
              <w:t>38</w:t>
            </w:r>
          </w:p>
        </w:tc>
        <w:tc>
          <w:tcPr>
            <w:tcW w:w="672" w:type="pct"/>
            <w:vAlign w:val="center"/>
          </w:tcPr>
          <w:p w14:paraId="10FDDABF">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预期性</w:t>
            </w:r>
          </w:p>
        </w:tc>
      </w:tr>
      <w:tr w14:paraId="1DCC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155F4869">
            <w:pPr>
              <w:adjustRightInd w:val="0"/>
              <w:snapToGrid w:val="0"/>
              <w:spacing w:line="264" w:lineRule="auto"/>
              <w:jc w:val="center"/>
              <w:textAlignment w:val="baseline"/>
              <w:rPr>
                <w:rFonts w:hint="default" w:ascii="Times New Roman" w:hAnsi="Times New Roman" w:eastAsia="方正书宋_GBK" w:cs="方正书宋_GBK"/>
                <w:color w:val="auto"/>
                <w:kern w:val="0"/>
                <w:sz w:val="24"/>
                <w:highlight w:val="none"/>
                <w:u w:val="none"/>
                <w:lang w:val="en-US" w:eastAsia="zh-CN"/>
              </w:rPr>
            </w:pPr>
            <w:r>
              <w:rPr>
                <w:rFonts w:hint="eastAsia" w:ascii="Times New Roman" w:hAnsi="Times New Roman" w:eastAsia="方正书宋_GBK" w:cs="方正书宋_GBK"/>
                <w:color w:val="auto"/>
                <w:kern w:val="0"/>
                <w:sz w:val="24"/>
                <w:highlight w:val="none"/>
                <w:u w:val="none"/>
                <w:lang w:val="en-US" w:eastAsia="zh-CN"/>
              </w:rPr>
              <w:t>19</w:t>
            </w:r>
          </w:p>
        </w:tc>
        <w:tc>
          <w:tcPr>
            <w:tcW w:w="1913" w:type="pct"/>
            <w:vAlign w:val="center"/>
          </w:tcPr>
          <w:p w14:paraId="63E7BF16">
            <w:pPr>
              <w:adjustRightInd w:val="0"/>
              <w:snapToGrid w:val="0"/>
              <w:spacing w:line="264" w:lineRule="auto"/>
              <w:jc w:val="left"/>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单位地区生产总值二氧化碳排放降低（%）</w:t>
            </w:r>
          </w:p>
        </w:tc>
        <w:tc>
          <w:tcPr>
            <w:tcW w:w="613" w:type="pct"/>
            <w:vAlign w:val="center"/>
          </w:tcPr>
          <w:p w14:paraId="1D60896D">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lang w:eastAsia="zh-CN"/>
              </w:rPr>
            </w:pPr>
            <w:r>
              <w:rPr>
                <w:rFonts w:hint="eastAsia" w:ascii="Times New Roman" w:hAnsi="Times New Roman" w:eastAsia="方正书宋_GBK" w:cs="方正书宋_GBK"/>
                <w:color w:val="auto"/>
                <w:kern w:val="0"/>
                <w:sz w:val="24"/>
                <w:highlight w:val="none"/>
                <w:u w:val="none"/>
                <w:lang w:val="en-US" w:eastAsia="zh-CN"/>
              </w:rPr>
              <w:t>/</w:t>
            </w:r>
          </w:p>
        </w:tc>
        <w:tc>
          <w:tcPr>
            <w:tcW w:w="710" w:type="pct"/>
            <w:vAlign w:val="center"/>
          </w:tcPr>
          <w:p w14:paraId="473CD834">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市级下达</w:t>
            </w:r>
          </w:p>
        </w:tc>
        <w:tc>
          <w:tcPr>
            <w:tcW w:w="677" w:type="pct"/>
            <w:vAlign w:val="center"/>
          </w:tcPr>
          <w:p w14:paraId="5BD4792E">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市级下达</w:t>
            </w:r>
          </w:p>
        </w:tc>
        <w:tc>
          <w:tcPr>
            <w:tcW w:w="672" w:type="pct"/>
            <w:vAlign w:val="center"/>
          </w:tcPr>
          <w:p w14:paraId="2380D101">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约束性</w:t>
            </w:r>
          </w:p>
        </w:tc>
      </w:tr>
      <w:tr w14:paraId="29EB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1229E43D">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lang w:eastAsia="zh-CN"/>
              </w:rPr>
            </w:pPr>
            <w:r>
              <w:rPr>
                <w:rFonts w:hint="eastAsia" w:ascii="Times New Roman" w:hAnsi="Times New Roman" w:eastAsia="方正书宋_GBK" w:cs="方正书宋_GBK"/>
                <w:color w:val="auto"/>
                <w:kern w:val="0"/>
                <w:sz w:val="24"/>
                <w:highlight w:val="none"/>
                <w:u w:val="none"/>
              </w:rPr>
              <w:t>2</w:t>
            </w:r>
            <w:r>
              <w:rPr>
                <w:rFonts w:hint="eastAsia" w:ascii="Times New Roman" w:hAnsi="Times New Roman" w:eastAsia="方正书宋_GBK" w:cs="方正书宋_GBK"/>
                <w:color w:val="auto"/>
                <w:kern w:val="0"/>
                <w:sz w:val="24"/>
                <w:highlight w:val="none"/>
                <w:u w:val="none"/>
                <w:lang w:val="en-US" w:eastAsia="zh-CN"/>
              </w:rPr>
              <w:t>0</w:t>
            </w:r>
          </w:p>
        </w:tc>
        <w:tc>
          <w:tcPr>
            <w:tcW w:w="1913" w:type="pct"/>
            <w:vAlign w:val="center"/>
          </w:tcPr>
          <w:p w14:paraId="534763E9">
            <w:pPr>
              <w:adjustRightInd w:val="0"/>
              <w:snapToGrid w:val="0"/>
              <w:spacing w:line="264" w:lineRule="auto"/>
              <w:jc w:val="left"/>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细颗粒物（PM</w:t>
            </w:r>
            <w:r>
              <w:rPr>
                <w:rFonts w:hint="eastAsia" w:ascii="Times New Roman" w:hAnsi="Times New Roman" w:eastAsia="方正仿宋_GBK" w:cs="Times New Roman"/>
                <w:color w:val="auto"/>
                <w:sz w:val="32"/>
                <w:szCs w:val="32"/>
                <w:highlight w:val="none"/>
                <w:vertAlign w:val="subscript"/>
              </w:rPr>
              <w:t>2.5</w:t>
            </w:r>
            <w:r>
              <w:rPr>
                <w:rFonts w:hint="eastAsia" w:ascii="Times New Roman" w:hAnsi="Times New Roman" w:eastAsia="方正书宋_GBK" w:cs="方正书宋_GBK"/>
                <w:color w:val="auto"/>
                <w:kern w:val="0"/>
                <w:sz w:val="24"/>
                <w:highlight w:val="none"/>
                <w:u w:val="none"/>
              </w:rPr>
              <w:t>）浓度（微克/立方米）</w:t>
            </w:r>
          </w:p>
        </w:tc>
        <w:tc>
          <w:tcPr>
            <w:tcW w:w="613" w:type="pct"/>
            <w:vAlign w:val="center"/>
          </w:tcPr>
          <w:p w14:paraId="782F0AA1">
            <w:pPr>
              <w:adjustRightInd w:val="0"/>
              <w:snapToGrid w:val="0"/>
              <w:spacing w:line="264" w:lineRule="auto"/>
              <w:jc w:val="center"/>
              <w:textAlignment w:val="baseline"/>
              <w:rPr>
                <w:rFonts w:hint="default" w:ascii="Times New Roman" w:hAnsi="Times New Roman" w:eastAsia="方正书宋_GBK" w:cs="方正书宋_GBK"/>
                <w:color w:val="auto"/>
                <w:kern w:val="0"/>
                <w:sz w:val="24"/>
                <w:highlight w:val="none"/>
                <w:u w:val="none"/>
                <w:lang w:val="en-US" w:eastAsia="zh-CN"/>
              </w:rPr>
            </w:pPr>
            <w:r>
              <w:rPr>
                <w:rFonts w:hint="eastAsia" w:ascii="Times New Roman" w:hAnsi="Times New Roman" w:eastAsia="方正书宋_GBK" w:cs="方正书宋_GBK"/>
                <w:color w:val="auto"/>
                <w:kern w:val="0"/>
                <w:sz w:val="24"/>
                <w:highlight w:val="none"/>
                <w:u w:val="none"/>
                <w:lang w:val="en-US" w:eastAsia="zh-CN"/>
              </w:rPr>
              <w:t>29</w:t>
            </w:r>
          </w:p>
        </w:tc>
        <w:tc>
          <w:tcPr>
            <w:tcW w:w="710" w:type="pct"/>
            <w:vAlign w:val="center"/>
          </w:tcPr>
          <w:p w14:paraId="4E162644">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市级下达</w:t>
            </w:r>
          </w:p>
        </w:tc>
        <w:tc>
          <w:tcPr>
            <w:tcW w:w="677" w:type="pct"/>
            <w:vAlign w:val="center"/>
          </w:tcPr>
          <w:p w14:paraId="27249B7F">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市级下达</w:t>
            </w:r>
          </w:p>
        </w:tc>
        <w:tc>
          <w:tcPr>
            <w:tcW w:w="672" w:type="pct"/>
            <w:vAlign w:val="center"/>
          </w:tcPr>
          <w:p w14:paraId="6EE31DBB">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lang w:val="en-US" w:eastAsia="zh-CN"/>
              </w:rPr>
            </w:pPr>
            <w:r>
              <w:rPr>
                <w:rFonts w:hint="eastAsia" w:ascii="Times New Roman" w:hAnsi="Times New Roman" w:eastAsia="方正书宋_GBK" w:cs="方正书宋_GBK"/>
                <w:color w:val="auto"/>
                <w:kern w:val="0"/>
                <w:sz w:val="24"/>
                <w:highlight w:val="none"/>
                <w:u w:val="none"/>
                <w:lang w:val="en-US" w:eastAsia="zh-CN"/>
              </w:rPr>
              <w:t>约束性</w:t>
            </w:r>
          </w:p>
        </w:tc>
      </w:tr>
      <w:tr w14:paraId="7D4B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2CF2D7DE">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lang w:eastAsia="zh-CN"/>
              </w:rPr>
            </w:pPr>
            <w:r>
              <w:rPr>
                <w:rFonts w:hint="eastAsia" w:ascii="Times New Roman" w:hAnsi="Times New Roman" w:eastAsia="方正书宋_GBK" w:cs="方正书宋_GBK"/>
                <w:color w:val="auto"/>
                <w:kern w:val="0"/>
                <w:sz w:val="24"/>
                <w:highlight w:val="none"/>
                <w:u w:val="none"/>
              </w:rPr>
              <w:t>2</w:t>
            </w:r>
            <w:r>
              <w:rPr>
                <w:rFonts w:hint="eastAsia" w:ascii="Times New Roman" w:hAnsi="Times New Roman" w:eastAsia="方正书宋_GBK" w:cs="方正书宋_GBK"/>
                <w:color w:val="auto"/>
                <w:kern w:val="0"/>
                <w:sz w:val="24"/>
                <w:highlight w:val="none"/>
                <w:u w:val="none"/>
                <w:lang w:val="en-US" w:eastAsia="zh-CN"/>
              </w:rPr>
              <w:t>1</w:t>
            </w:r>
          </w:p>
        </w:tc>
        <w:tc>
          <w:tcPr>
            <w:tcW w:w="1913" w:type="pct"/>
            <w:vAlign w:val="center"/>
          </w:tcPr>
          <w:p w14:paraId="730565BA">
            <w:pPr>
              <w:adjustRightInd w:val="0"/>
              <w:snapToGrid w:val="0"/>
              <w:spacing w:line="264" w:lineRule="auto"/>
              <w:jc w:val="left"/>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纳入市级考核地表水断面达标率（%）</w:t>
            </w:r>
          </w:p>
        </w:tc>
        <w:tc>
          <w:tcPr>
            <w:tcW w:w="613" w:type="pct"/>
            <w:vAlign w:val="center"/>
          </w:tcPr>
          <w:p w14:paraId="1DAC0FED">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100</w:t>
            </w:r>
          </w:p>
        </w:tc>
        <w:tc>
          <w:tcPr>
            <w:tcW w:w="710" w:type="pct"/>
            <w:vAlign w:val="center"/>
          </w:tcPr>
          <w:p w14:paraId="5658BAC2">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100</w:t>
            </w:r>
          </w:p>
        </w:tc>
        <w:tc>
          <w:tcPr>
            <w:tcW w:w="677" w:type="pct"/>
            <w:vAlign w:val="center"/>
          </w:tcPr>
          <w:p w14:paraId="3175B36B">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100</w:t>
            </w:r>
          </w:p>
        </w:tc>
        <w:tc>
          <w:tcPr>
            <w:tcW w:w="672" w:type="pct"/>
            <w:vAlign w:val="center"/>
          </w:tcPr>
          <w:p w14:paraId="6D3486E9">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约束性</w:t>
            </w:r>
          </w:p>
        </w:tc>
      </w:tr>
      <w:tr w14:paraId="1DDB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19022D4C">
            <w:pPr>
              <w:adjustRightInd w:val="0"/>
              <w:snapToGrid w:val="0"/>
              <w:spacing w:line="264" w:lineRule="auto"/>
              <w:jc w:val="center"/>
              <w:textAlignment w:val="baseline"/>
              <w:rPr>
                <w:rFonts w:hint="default" w:ascii="Times New Roman" w:hAnsi="Times New Roman" w:eastAsia="方正书宋_GBK" w:cs="方正书宋_GBK"/>
                <w:color w:val="auto"/>
                <w:kern w:val="0"/>
                <w:sz w:val="24"/>
                <w:highlight w:val="none"/>
                <w:u w:val="none"/>
                <w:lang w:val="en-US" w:eastAsia="zh-CN"/>
              </w:rPr>
            </w:pPr>
            <w:r>
              <w:rPr>
                <w:rFonts w:hint="eastAsia" w:ascii="Times New Roman" w:hAnsi="Times New Roman" w:eastAsia="方正书宋_GBK" w:cs="方正书宋_GBK"/>
                <w:color w:val="auto"/>
                <w:kern w:val="0"/>
                <w:sz w:val="24"/>
                <w:highlight w:val="none"/>
                <w:u w:val="none"/>
              </w:rPr>
              <w:t>2</w:t>
            </w:r>
            <w:r>
              <w:rPr>
                <w:rFonts w:hint="eastAsia" w:ascii="Times New Roman" w:hAnsi="Times New Roman" w:eastAsia="方正书宋_GBK" w:cs="方正书宋_GBK"/>
                <w:color w:val="auto"/>
                <w:kern w:val="0"/>
                <w:sz w:val="24"/>
                <w:highlight w:val="none"/>
                <w:u w:val="none"/>
                <w:lang w:val="en-US" w:eastAsia="zh-CN"/>
              </w:rPr>
              <w:t>2</w:t>
            </w:r>
          </w:p>
        </w:tc>
        <w:tc>
          <w:tcPr>
            <w:tcW w:w="1913" w:type="pct"/>
            <w:vAlign w:val="center"/>
          </w:tcPr>
          <w:p w14:paraId="713209DC">
            <w:pPr>
              <w:adjustRightInd w:val="0"/>
              <w:snapToGrid w:val="0"/>
              <w:spacing w:line="264" w:lineRule="auto"/>
              <w:jc w:val="left"/>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每千人口基础教育设施用地面积（平方米）</w:t>
            </w:r>
          </w:p>
        </w:tc>
        <w:tc>
          <w:tcPr>
            <w:tcW w:w="613" w:type="pct"/>
            <w:vAlign w:val="center"/>
          </w:tcPr>
          <w:p w14:paraId="39EA6909">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2560</w:t>
            </w:r>
          </w:p>
        </w:tc>
        <w:tc>
          <w:tcPr>
            <w:tcW w:w="710" w:type="pct"/>
            <w:vAlign w:val="center"/>
          </w:tcPr>
          <w:p w14:paraId="122F09DB">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2750</w:t>
            </w:r>
          </w:p>
        </w:tc>
        <w:tc>
          <w:tcPr>
            <w:tcW w:w="677" w:type="pct"/>
            <w:vAlign w:val="center"/>
          </w:tcPr>
          <w:p w14:paraId="149677C2">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3050</w:t>
            </w:r>
          </w:p>
        </w:tc>
        <w:tc>
          <w:tcPr>
            <w:tcW w:w="672" w:type="pct"/>
            <w:vAlign w:val="center"/>
          </w:tcPr>
          <w:p w14:paraId="2B916282">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预期性</w:t>
            </w:r>
          </w:p>
        </w:tc>
      </w:tr>
      <w:tr w14:paraId="3EA8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vAlign w:val="center"/>
          </w:tcPr>
          <w:p w14:paraId="7E41211C">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lang w:eastAsia="zh-CN"/>
              </w:rPr>
            </w:pPr>
            <w:r>
              <w:rPr>
                <w:rFonts w:hint="eastAsia" w:ascii="Times New Roman" w:hAnsi="Times New Roman" w:eastAsia="方正书宋_GBK" w:cs="方正书宋_GBK"/>
                <w:color w:val="auto"/>
                <w:kern w:val="0"/>
                <w:sz w:val="24"/>
                <w:highlight w:val="none"/>
                <w:u w:val="none"/>
              </w:rPr>
              <w:t>2</w:t>
            </w:r>
            <w:r>
              <w:rPr>
                <w:rFonts w:hint="eastAsia" w:ascii="Times New Roman" w:hAnsi="Times New Roman" w:eastAsia="方正书宋_GBK" w:cs="方正书宋_GBK"/>
                <w:color w:val="auto"/>
                <w:kern w:val="0"/>
                <w:sz w:val="24"/>
                <w:highlight w:val="none"/>
                <w:u w:val="none"/>
                <w:lang w:val="en-US" w:eastAsia="zh-CN"/>
              </w:rPr>
              <w:t>3</w:t>
            </w:r>
          </w:p>
        </w:tc>
        <w:tc>
          <w:tcPr>
            <w:tcW w:w="1913" w:type="pct"/>
            <w:vAlign w:val="center"/>
          </w:tcPr>
          <w:p w14:paraId="44510E5B">
            <w:pPr>
              <w:adjustRightInd w:val="0"/>
              <w:snapToGrid w:val="0"/>
              <w:spacing w:line="264" w:lineRule="auto"/>
              <w:jc w:val="left"/>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每千人口拥有医疗卫生机构床位数（张）</w:t>
            </w:r>
          </w:p>
        </w:tc>
        <w:tc>
          <w:tcPr>
            <w:tcW w:w="613" w:type="pct"/>
            <w:vAlign w:val="center"/>
          </w:tcPr>
          <w:p w14:paraId="36F62F9C">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6.5</w:t>
            </w:r>
          </w:p>
        </w:tc>
        <w:tc>
          <w:tcPr>
            <w:tcW w:w="710" w:type="pct"/>
            <w:vAlign w:val="center"/>
          </w:tcPr>
          <w:p w14:paraId="21E30794">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8</w:t>
            </w:r>
          </w:p>
        </w:tc>
        <w:tc>
          <w:tcPr>
            <w:tcW w:w="677" w:type="pct"/>
            <w:vAlign w:val="center"/>
          </w:tcPr>
          <w:p w14:paraId="43E72E27">
            <w:pPr>
              <w:adjustRightInd w:val="0"/>
              <w:snapToGrid w:val="0"/>
              <w:spacing w:line="264" w:lineRule="auto"/>
              <w:jc w:val="center"/>
              <w:textAlignment w:val="baseline"/>
              <w:rPr>
                <w:rFonts w:hint="default" w:ascii="Times New Roman" w:hAnsi="Times New Roman" w:eastAsia="方正书宋_GBK" w:cs="方正书宋_GBK"/>
                <w:color w:val="auto"/>
                <w:kern w:val="0"/>
                <w:sz w:val="24"/>
                <w:highlight w:val="none"/>
                <w:u w:val="none"/>
                <w:lang w:val="en-US" w:eastAsia="zh-CN"/>
              </w:rPr>
            </w:pPr>
            <w:r>
              <w:rPr>
                <w:rFonts w:hint="eastAsia" w:ascii="Times New Roman" w:hAnsi="Times New Roman" w:eastAsia="方正书宋_GBK" w:cs="方正书宋_GBK"/>
                <w:color w:val="auto"/>
                <w:kern w:val="0"/>
                <w:sz w:val="24"/>
                <w:highlight w:val="none"/>
                <w:u w:val="none"/>
                <w:lang w:val="en-US" w:eastAsia="zh-CN"/>
              </w:rPr>
              <w:t>9.5</w:t>
            </w:r>
          </w:p>
        </w:tc>
        <w:tc>
          <w:tcPr>
            <w:tcW w:w="672" w:type="pct"/>
            <w:vAlign w:val="center"/>
          </w:tcPr>
          <w:p w14:paraId="6FAD7DF8">
            <w:pPr>
              <w:adjustRightInd w:val="0"/>
              <w:snapToGrid w:val="0"/>
              <w:spacing w:line="264" w:lineRule="auto"/>
              <w:jc w:val="center"/>
              <w:textAlignment w:val="baseline"/>
              <w:rPr>
                <w:rFonts w:hint="eastAsia" w:ascii="Times New Roman" w:hAnsi="Times New Roman" w:eastAsia="方正书宋_GBK" w:cs="方正书宋_GBK"/>
                <w:color w:val="auto"/>
                <w:kern w:val="0"/>
                <w:sz w:val="24"/>
                <w:highlight w:val="none"/>
                <w:u w:val="none"/>
              </w:rPr>
            </w:pPr>
            <w:r>
              <w:rPr>
                <w:rFonts w:hint="eastAsia" w:ascii="Times New Roman" w:hAnsi="Times New Roman" w:eastAsia="方正书宋_GBK" w:cs="方正书宋_GBK"/>
                <w:color w:val="auto"/>
                <w:kern w:val="0"/>
                <w:sz w:val="24"/>
                <w:highlight w:val="none"/>
                <w:u w:val="none"/>
              </w:rPr>
              <w:t>预期性</w:t>
            </w:r>
          </w:p>
        </w:tc>
      </w:tr>
    </w:tbl>
    <w:p w14:paraId="7A9C3BED">
      <w:pPr>
        <w:widowControl/>
        <w:jc w:val="left"/>
        <w:rPr>
          <w:rFonts w:ascii="Times New Roman" w:hAnsi="Times New Roman" w:eastAsia="方正仿宋_GBK" w:cs="Times New Roman"/>
          <w:color w:val="auto"/>
          <w:sz w:val="32"/>
          <w:szCs w:val="32"/>
          <w:highlight w:val="none"/>
        </w:rPr>
      </w:pPr>
      <w:r>
        <w:rPr>
          <w:rFonts w:hint="eastAsia" w:ascii="Times New Roman" w:hAnsi="Times New Roman" w:eastAsia="方正黑体_GBK" w:cs="方正黑体_GBK"/>
          <w:color w:val="auto"/>
          <w:sz w:val="32"/>
          <w:szCs w:val="32"/>
          <w:highlight w:val="none"/>
        </w:rPr>
        <w:br w:type="page"/>
      </w:r>
    </w:p>
    <w:p w14:paraId="1AED981B">
      <w:pPr>
        <w:overflowPunct w:val="0"/>
        <w:adjustRightInd w:val="0"/>
        <w:snapToGrid w:val="0"/>
        <w:spacing w:line="600" w:lineRule="exact"/>
        <w:jc w:val="center"/>
        <w:outlineLvl w:val="0"/>
        <w:rPr>
          <w:rFonts w:ascii="Times New Roman" w:hAnsi="Times New Roman" w:eastAsia="方正黑体_GBK" w:cs="方正黑体_GBK"/>
          <w:color w:val="auto"/>
          <w:sz w:val="32"/>
          <w:szCs w:val="32"/>
          <w:highlight w:val="none"/>
        </w:rPr>
      </w:pPr>
      <w:bookmarkStart w:id="99" w:name="_Toc1349827489"/>
      <w:bookmarkStart w:id="100" w:name="_Toc1320429762"/>
      <w:bookmarkStart w:id="101" w:name="_Toc22380"/>
      <w:bookmarkStart w:id="102" w:name="_Toc28634"/>
      <w:bookmarkStart w:id="103" w:name="_Toc32093"/>
      <w:bookmarkStart w:id="104" w:name="_Toc31660"/>
      <w:bookmarkStart w:id="105" w:name="_Toc25796"/>
      <w:bookmarkStart w:id="106" w:name="_Toc26914"/>
      <w:bookmarkStart w:id="107" w:name="_Toc1888685185"/>
      <w:bookmarkStart w:id="108" w:name="_Toc456571337"/>
      <w:r>
        <w:rPr>
          <w:rFonts w:hint="eastAsia" w:ascii="Times New Roman" w:hAnsi="Times New Roman" w:eastAsia="方正黑体_GBK" w:cs="方正黑体_GBK"/>
          <w:color w:val="auto"/>
          <w:sz w:val="32"/>
          <w:szCs w:val="32"/>
          <w:highlight w:val="none"/>
        </w:rPr>
        <w:t>第</w:t>
      </w:r>
      <w:r>
        <w:rPr>
          <w:rFonts w:hint="eastAsia" w:ascii="Times New Roman" w:hAnsi="Times New Roman" w:eastAsia="方正黑体_GBK" w:cs="方正黑体_GBK"/>
          <w:color w:val="auto"/>
          <w:sz w:val="32"/>
          <w:szCs w:val="32"/>
          <w:highlight w:val="none"/>
          <w:lang w:val="en-US" w:eastAsia="zh-CN"/>
        </w:rPr>
        <w:t>二</w:t>
      </w:r>
      <w:r>
        <w:rPr>
          <w:rFonts w:hint="eastAsia" w:ascii="Times New Roman" w:hAnsi="Times New Roman" w:eastAsia="方正黑体_GBK" w:cs="方正黑体_GBK"/>
          <w:color w:val="auto"/>
          <w:sz w:val="32"/>
          <w:szCs w:val="32"/>
          <w:highlight w:val="none"/>
        </w:rPr>
        <w:t>篇 建设引领全市、支撑成渝的高能级创新极核</w:t>
      </w:r>
      <w:bookmarkEnd w:id="99"/>
      <w:bookmarkEnd w:id="100"/>
      <w:bookmarkEnd w:id="101"/>
    </w:p>
    <w:p w14:paraId="0265E6B4">
      <w:pPr>
        <w:overflowPunct/>
        <w:adjustRightInd w:val="0"/>
        <w:snapToGrid/>
        <w:spacing w:line="600" w:lineRule="exact"/>
        <w:ind w:firstLine="640" w:firstLineChars="200"/>
        <w:jc w:val="left"/>
        <w:textAlignment w:val="baseline"/>
        <w:rPr>
          <w:rFonts w:hint="eastAsia" w:ascii="Times New Roman" w:hAnsi="Times New Roman" w:eastAsia="方正仿宋_GBK" w:cs="Times New Roman"/>
          <w:color w:val="auto"/>
          <w:sz w:val="32"/>
          <w:szCs w:val="32"/>
          <w:highlight w:val="none"/>
        </w:rPr>
      </w:pPr>
    </w:p>
    <w:p w14:paraId="433CB203">
      <w:pPr>
        <w:adjustRightInd w:val="0"/>
        <w:snapToGrid w:val="0"/>
        <w:spacing w:line="600" w:lineRule="exact"/>
        <w:ind w:firstLine="640" w:firstLineChars="200"/>
        <w:rPr>
          <w:rFonts w:hint="default" w:ascii="Times New Roman" w:hAnsi="Times New Roman" w:eastAsia="方正仿宋_GBK" w:cs="方正仿宋_GBK"/>
          <w:color w:val="auto"/>
          <w:sz w:val="32"/>
          <w:szCs w:val="32"/>
          <w:highlight w:val="none"/>
          <w:lang w:val="en-US" w:eastAsia="zh-CN"/>
        </w:rPr>
      </w:pPr>
      <w:r>
        <w:rPr>
          <w:rFonts w:hint="default" w:ascii="Times New Roman" w:hAnsi="Times New Roman" w:eastAsia="方正仿宋_GBK" w:cs="Times New Roman"/>
          <w:bCs/>
          <w:sz w:val="32"/>
          <w:szCs w:val="32"/>
          <w:highlight w:val="none"/>
          <w:u w:val="none" w:color="auto"/>
          <w:lang w:val="en-US" w:eastAsia="zh-CN"/>
        </w:rPr>
        <w:t>聚焦</w:t>
      </w:r>
      <w:r>
        <w:rPr>
          <w:rFonts w:hint="eastAsia" w:ascii="Times New Roman" w:hAnsi="Times New Roman" w:eastAsia="方正仿宋_GBK" w:cs="Times New Roman"/>
          <w:bCs/>
          <w:sz w:val="32"/>
          <w:szCs w:val="32"/>
          <w:highlight w:val="none"/>
          <w:u w:val="none" w:color="auto"/>
          <w:lang w:val="en-US" w:eastAsia="zh-CN"/>
        </w:rPr>
        <w:t>“</w:t>
      </w:r>
      <w:r>
        <w:rPr>
          <w:rFonts w:hint="default" w:ascii="Times New Roman" w:hAnsi="Times New Roman" w:eastAsia="方正仿宋_GBK" w:cs="Times New Roman"/>
          <w:bCs/>
          <w:sz w:val="32"/>
          <w:szCs w:val="32"/>
          <w:highlight w:val="none"/>
          <w:u w:val="none" w:color="auto"/>
          <w:lang w:val="en-US" w:eastAsia="zh-CN"/>
        </w:rPr>
        <w:t>416</w:t>
      </w:r>
      <w:r>
        <w:rPr>
          <w:rFonts w:hint="eastAsia" w:ascii="Times New Roman" w:hAnsi="Times New Roman" w:eastAsia="方正仿宋_GBK" w:cs="Times New Roman"/>
          <w:bCs/>
          <w:sz w:val="32"/>
          <w:szCs w:val="32"/>
          <w:highlight w:val="none"/>
          <w:u w:val="none" w:color="auto"/>
          <w:lang w:val="en-US" w:eastAsia="zh-CN"/>
        </w:rPr>
        <w:t>”</w:t>
      </w:r>
      <w:r>
        <w:rPr>
          <w:rFonts w:hint="default" w:ascii="Times New Roman" w:hAnsi="Times New Roman" w:eastAsia="方正仿宋_GBK" w:cs="Times New Roman"/>
          <w:bCs/>
          <w:sz w:val="32"/>
          <w:szCs w:val="32"/>
          <w:highlight w:val="none"/>
          <w:u w:val="none" w:color="auto"/>
          <w:lang w:val="en-US" w:eastAsia="zh-CN"/>
        </w:rPr>
        <w:t>科技创新布局，</w:t>
      </w:r>
      <w:r>
        <w:rPr>
          <w:rFonts w:hint="eastAsia" w:ascii="方正仿宋_GBK" w:hAnsi="Calibri" w:eastAsia="方正仿宋_GBK" w:cs="Times New Roman"/>
          <w:bCs/>
          <w:color w:val="auto"/>
          <w:sz w:val="32"/>
          <w:szCs w:val="32"/>
          <w:highlight w:val="none"/>
          <w:u w:val="none" w:color="auto"/>
          <w:lang w:val="en-US" w:eastAsia="zh-CN"/>
        </w:rPr>
        <w:t>放大大学城智力和科学城产业优势，</w:t>
      </w:r>
      <w:r>
        <w:rPr>
          <w:rFonts w:hint="eastAsia" w:ascii="方正仿宋_GBK" w:hAnsi="方正仿宋_GBK" w:eastAsia="方正仿宋_GBK" w:cs="方正仿宋_GBK"/>
          <w:b w:val="0"/>
          <w:bCs w:val="0"/>
          <w:color w:val="auto"/>
          <w:sz w:val="32"/>
          <w:szCs w:val="32"/>
          <w:highlight w:val="none"/>
          <w:u w:val="none" w:color="auto"/>
          <w:lang w:val="en-US" w:eastAsia="zh-CN"/>
        </w:rPr>
        <w:t>做实全市生命健康、数智科技两大科创高地的战略制高点</w:t>
      </w:r>
      <w:r>
        <w:rPr>
          <w:rFonts w:hint="eastAsia" w:ascii="方正仿宋_GBK" w:hAnsi="Calibri" w:eastAsia="方正仿宋_GBK" w:cs="Times New Roman"/>
          <w:bCs/>
          <w:color w:val="auto"/>
          <w:sz w:val="32"/>
          <w:szCs w:val="32"/>
          <w:highlight w:val="none"/>
          <w:u w:val="none" w:color="auto"/>
          <w:lang w:val="en-US" w:eastAsia="zh-CN"/>
        </w:rPr>
        <w:t>，</w:t>
      </w:r>
      <w:r>
        <w:rPr>
          <w:rFonts w:hint="eastAsia" w:ascii="方正仿宋_GBK" w:hAnsi="方正仿宋_GBK" w:eastAsia="方正仿宋_GBK" w:cs="方正仿宋_GBK"/>
          <w:color w:val="auto"/>
          <w:sz w:val="32"/>
          <w:szCs w:val="32"/>
          <w:highlight w:val="none"/>
        </w:rPr>
        <w:t>发挥西部（重庆）科学城、国家高新区、国家自主创新示范区、国家科技成果转移转化示范区平台叠加势能，</w:t>
      </w:r>
      <w:r>
        <w:rPr>
          <w:rFonts w:hint="eastAsia" w:ascii="方正仿宋_GBK" w:hAnsi="Calibri" w:eastAsia="方正仿宋_GBK" w:cs="Times New Roman"/>
          <w:bCs/>
          <w:sz w:val="32"/>
          <w:szCs w:val="32"/>
          <w:highlight w:val="none"/>
          <w:u w:val="none" w:color="auto"/>
          <w:lang w:val="en-US" w:eastAsia="zh-CN"/>
        </w:rPr>
        <w:t>增强创新策源、要素配置、集聚转化、辐射带动功能，</w:t>
      </w:r>
      <w:r>
        <w:rPr>
          <w:rFonts w:hint="eastAsia" w:ascii="方正仿宋_GBK" w:hAnsi="方正仿宋_GBK" w:eastAsia="方正仿宋_GBK" w:cs="方正仿宋_GBK"/>
          <w:color w:val="auto"/>
          <w:sz w:val="32"/>
          <w:szCs w:val="32"/>
          <w:highlight w:val="none"/>
        </w:rPr>
        <w:t>统筹推进教育科技人才一体发展，打造成渝绵“科技创新金三角”核心支撑、市域科创走廊创新极核。</w:t>
      </w:r>
      <w:r>
        <w:rPr>
          <w:rFonts w:hint="default" w:ascii="Times New Roman" w:hAnsi="Times New Roman" w:eastAsia="方正仿宋_GBK" w:cs="Times New Roman"/>
          <w:color w:val="auto"/>
          <w:sz w:val="32"/>
          <w:szCs w:val="32"/>
          <w:highlight w:val="none"/>
          <w:lang w:val="en-US" w:eastAsia="zh-CN"/>
        </w:rPr>
        <w:t>到2030年，研发投入强度、每万人高价值发明专利拥有量等关键指标跻身国家高新区第一梯队。</w:t>
      </w:r>
    </w:p>
    <w:p w14:paraId="0D81A7D3">
      <w:pPr>
        <w:overflowPunct/>
        <w:adjustRightInd w:val="0"/>
        <w:snapToGrid/>
        <w:spacing w:line="600" w:lineRule="exact"/>
        <w:ind w:firstLine="640" w:firstLineChars="200"/>
        <w:jc w:val="left"/>
        <w:textAlignment w:val="baseline"/>
        <w:rPr>
          <w:rFonts w:hint="eastAsia" w:ascii="Times New Roman" w:hAnsi="Times New Roman" w:eastAsia="方正仿宋_GBK" w:cs="Times New Roman"/>
          <w:color w:val="auto"/>
          <w:sz w:val="32"/>
          <w:szCs w:val="32"/>
          <w:highlight w:val="none"/>
        </w:rPr>
      </w:pPr>
    </w:p>
    <w:p w14:paraId="71922EEF">
      <w:pPr>
        <w:overflowPunct w:val="0"/>
        <w:adjustRightInd w:val="0"/>
        <w:snapToGrid w:val="0"/>
        <w:spacing w:line="600" w:lineRule="exact"/>
        <w:jc w:val="center"/>
        <w:outlineLvl w:val="1"/>
        <w:rPr>
          <w:rFonts w:ascii="Times New Roman" w:hAnsi="Times New Roman" w:eastAsia="方正黑体_GBK" w:cs="方正黑体_GBK"/>
          <w:color w:val="auto"/>
          <w:spacing w:val="-20"/>
          <w:sz w:val="32"/>
          <w:szCs w:val="32"/>
          <w:highlight w:val="none"/>
        </w:rPr>
      </w:pPr>
      <w:bookmarkStart w:id="109" w:name="_Toc367001836"/>
      <w:bookmarkStart w:id="110" w:name="_Toc533360715"/>
      <w:bookmarkStart w:id="111" w:name="_Toc1626"/>
      <w:r>
        <w:rPr>
          <w:rFonts w:ascii="Times New Roman" w:hAnsi="Times New Roman" w:eastAsia="方正黑体_GBK" w:cs="方正黑体_GBK"/>
          <w:color w:val="auto"/>
          <w:spacing w:val="-20"/>
          <w:sz w:val="32"/>
          <w:szCs w:val="32"/>
          <w:highlight w:val="none"/>
        </w:rPr>
        <w:t>第</w:t>
      </w:r>
      <w:r>
        <w:rPr>
          <w:rFonts w:hint="eastAsia" w:ascii="Times New Roman" w:hAnsi="Times New Roman" w:eastAsia="方正黑体_GBK" w:cs="方正黑体_GBK"/>
          <w:color w:val="auto"/>
          <w:spacing w:val="-20"/>
          <w:sz w:val="32"/>
          <w:szCs w:val="32"/>
          <w:highlight w:val="none"/>
        </w:rPr>
        <w:t>一章</w:t>
      </w:r>
      <w:r>
        <w:rPr>
          <w:rFonts w:ascii="Times New Roman" w:hAnsi="Times New Roman" w:eastAsia="方正黑体_GBK" w:cs="方正黑体_GBK"/>
          <w:color w:val="auto"/>
          <w:spacing w:val="-20"/>
          <w:sz w:val="32"/>
          <w:szCs w:val="32"/>
          <w:highlight w:val="none"/>
        </w:rPr>
        <w:t xml:space="preserve"> </w:t>
      </w:r>
      <w:r>
        <w:rPr>
          <w:rFonts w:hint="eastAsia" w:ascii="Times New Roman" w:hAnsi="Times New Roman" w:eastAsia="方正黑体_GBK" w:cs="方正黑体_GBK"/>
          <w:color w:val="auto"/>
          <w:spacing w:val="-20"/>
          <w:sz w:val="32"/>
          <w:szCs w:val="32"/>
          <w:highlight w:val="none"/>
        </w:rPr>
        <w:t>建设成渝（金凤）综合性科学中心为引领的区域科技</w:t>
      </w:r>
      <w:bookmarkEnd w:id="109"/>
      <w:bookmarkEnd w:id="110"/>
      <w:bookmarkStart w:id="112" w:name="_Toc626823468"/>
      <w:bookmarkStart w:id="113" w:name="_Toc596794427"/>
      <w:r>
        <w:rPr>
          <w:rFonts w:hint="eastAsia" w:ascii="Times New Roman" w:hAnsi="Times New Roman" w:eastAsia="方正黑体_GBK" w:cs="方正黑体_GBK"/>
          <w:color w:val="auto"/>
          <w:spacing w:val="-20"/>
          <w:sz w:val="32"/>
          <w:szCs w:val="32"/>
          <w:highlight w:val="none"/>
        </w:rPr>
        <w:t>创新体系</w:t>
      </w:r>
      <w:bookmarkEnd w:id="111"/>
      <w:bookmarkEnd w:id="112"/>
      <w:bookmarkEnd w:id="113"/>
    </w:p>
    <w:p w14:paraId="3A35BBCD">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方正仿宋_GBK"/>
          <w:color w:val="auto"/>
          <w:sz w:val="32"/>
          <w:szCs w:val="32"/>
          <w:highlight w:val="none"/>
        </w:rPr>
        <w:t>面向国家战略需求，</w:t>
      </w:r>
      <w:r>
        <w:rPr>
          <w:rFonts w:hint="eastAsia" w:ascii="Times New Roman" w:hAnsi="Times New Roman" w:eastAsia="方正仿宋_GBK" w:cs="Times New Roman"/>
          <w:color w:val="auto"/>
          <w:sz w:val="32"/>
          <w:szCs w:val="32"/>
          <w:highlight w:val="none"/>
        </w:rPr>
        <w:t>高水平建设成渝（金凤）综合性科学中心，</w:t>
      </w:r>
      <w:r>
        <w:rPr>
          <w:rFonts w:hint="eastAsia" w:ascii="Times New Roman" w:hAnsi="Times New Roman" w:eastAsia="方正仿宋_GBK" w:cs="Times New Roman"/>
          <w:color w:val="auto"/>
          <w:sz w:val="32"/>
          <w:szCs w:val="32"/>
          <w:highlight w:val="none"/>
          <w:lang w:val="en-US" w:eastAsia="zh-CN"/>
        </w:rPr>
        <w:t>构建</w:t>
      </w:r>
      <w:r>
        <w:rPr>
          <w:rFonts w:hint="eastAsia" w:ascii="Times New Roman" w:hAnsi="Times New Roman" w:eastAsia="方正仿宋_GBK" w:cs="Times New Roman"/>
          <w:color w:val="auto"/>
          <w:sz w:val="32"/>
          <w:szCs w:val="32"/>
          <w:highlight w:val="none"/>
        </w:rPr>
        <w:t>以重庆实验室为引领、科技基础设施为支撑的区域科技创新体系，加强原始创新、关键核心技术攻关和成果转化，打造产业创新高地。</w:t>
      </w:r>
    </w:p>
    <w:p w14:paraId="788C2DBD">
      <w:p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114" w:name="_Toc30001"/>
      <w:bookmarkStart w:id="115" w:name="_Toc1575303099"/>
      <w:bookmarkStart w:id="116" w:name="_Toc1614738141"/>
      <w:r>
        <w:rPr>
          <w:rFonts w:hint="eastAsia" w:ascii="Times New Roman" w:hAnsi="Times New Roman" w:eastAsia="方正楷体_GBK" w:cs="方正楷体_GBK"/>
          <w:color w:val="auto"/>
          <w:sz w:val="32"/>
          <w:szCs w:val="32"/>
          <w:highlight w:val="none"/>
        </w:rPr>
        <w:t>第一节 建强两大重庆实验室</w:t>
      </w:r>
      <w:bookmarkEnd w:id="114"/>
      <w:bookmarkEnd w:id="115"/>
      <w:bookmarkEnd w:id="116"/>
    </w:p>
    <w:p w14:paraId="6AB4AE59">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方正仿宋_GBK" w:hAnsi="方正仿宋_GBK" w:eastAsia="方正仿宋_GBK" w:cs="方正仿宋_GBK"/>
          <w:color w:val="auto"/>
          <w:sz w:val="32"/>
          <w:szCs w:val="32"/>
          <w:highlight w:val="none"/>
        </w:rPr>
        <w:t>坚持市区联动，优化重庆实验室运行机制和服务保障，构建“基础研究+应用开发+成果转化”全链条创新生态。提质建设金凤实验室。支持实验室深耕“重大疾病的下一代诊断”领域，主攻智慧病理、干细胞与衰老方向，开展病理机制和表型组学研究、智慧诊断关键技术原理攻关及微、无创诊疗一体化技术体系研究，加快干细胞质量控制与评估中心、类器官疾病模型库等公共平台建设，研发“</w:t>
      </w:r>
      <w:r>
        <w:rPr>
          <w:rFonts w:ascii="Times New Roman" w:hAnsi="Times New Roman" w:eastAsia="方正仿宋_GBK" w:cs="Times New Roman"/>
          <w:color w:val="auto"/>
          <w:sz w:val="32"/>
          <w:szCs w:val="32"/>
          <w:highlight w:val="none"/>
        </w:rPr>
        <w:t>AI+MDT</w:t>
      </w:r>
      <w:r>
        <w:rPr>
          <w:rFonts w:hint="eastAsia" w:ascii="方正仿宋_GBK" w:hAnsi="方正仿宋_GBK" w:eastAsia="方正仿宋_GBK" w:cs="方正仿宋_GBK"/>
          <w:color w:val="auto"/>
          <w:sz w:val="32"/>
          <w:szCs w:val="32"/>
          <w:highlight w:val="none"/>
        </w:rPr>
        <w:t>”远程会诊系统。到</w:t>
      </w:r>
      <w:r>
        <w:rPr>
          <w:rFonts w:hint="eastAsia" w:ascii="Times New Roman" w:hAnsi="Times New Roman" w:eastAsia="方正仿宋_GBK" w:cs="方正仿宋_GBK"/>
          <w:color w:val="auto"/>
          <w:sz w:val="32"/>
          <w:szCs w:val="32"/>
          <w:highlight w:val="none"/>
        </w:rPr>
        <w:t>2030</w:t>
      </w:r>
      <w:r>
        <w:rPr>
          <w:rFonts w:hint="eastAsia" w:ascii="方正仿宋_GBK" w:hAnsi="方正仿宋_GBK" w:eastAsia="方正仿宋_GBK" w:cs="方正仿宋_GBK"/>
          <w:color w:val="auto"/>
          <w:sz w:val="32"/>
          <w:szCs w:val="32"/>
          <w:highlight w:val="none"/>
        </w:rPr>
        <w:t>年，</w:t>
      </w:r>
      <w:r>
        <w:rPr>
          <w:rFonts w:hint="eastAsia" w:ascii="Times New Roman" w:hAnsi="Times New Roman" w:eastAsia="方正仿宋_GBK" w:cs="方正仿宋_GBK"/>
          <w:color w:val="auto"/>
          <w:sz w:val="32"/>
          <w:szCs w:val="32"/>
          <w:highlight w:val="none"/>
        </w:rPr>
        <w:t>建成</w:t>
      </w:r>
      <w:r>
        <w:rPr>
          <w:rFonts w:hint="eastAsia" w:ascii="方正仿宋_GBK" w:hAnsi="方正仿宋_GBK" w:eastAsia="方正仿宋_GBK" w:cs="方正仿宋_GBK"/>
          <w:color w:val="auto"/>
          <w:sz w:val="32"/>
          <w:szCs w:val="32"/>
          <w:highlight w:val="none"/>
        </w:rPr>
        <w:t>全球最大的病理性干细胞资源库，推出全国首创、行业公认的</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金凤</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疾病分型，</w:t>
      </w:r>
      <w:r>
        <w:rPr>
          <w:rFonts w:hint="default" w:ascii="Times New Roman" w:hAnsi="Times New Roman" w:eastAsia="方正仿宋_GBK" w:cs="Times New Roman"/>
          <w:color w:val="auto"/>
          <w:sz w:val="32"/>
          <w:szCs w:val="32"/>
          <w:highlight w:val="none"/>
        </w:rPr>
        <w:t>引育硬核科技企业20家</w:t>
      </w:r>
      <w:r>
        <w:rPr>
          <w:rFonts w:hint="eastAsia" w:ascii="Times New Roman" w:hAnsi="Times New Roman" w:eastAsia="方正仿宋_GBK" w:cs="Times New Roman"/>
          <w:color w:val="auto"/>
          <w:sz w:val="32"/>
          <w:szCs w:val="32"/>
          <w:highlight w:val="none"/>
          <w:lang w:val="en-US" w:eastAsia="zh-CN"/>
        </w:rPr>
        <w:t>以上</w:t>
      </w:r>
      <w:r>
        <w:rPr>
          <w:rFonts w:hint="default" w:ascii="Times New Roman" w:hAnsi="Times New Roman" w:eastAsia="方正仿宋_GBK" w:cs="Times New Roman"/>
          <w:color w:val="auto"/>
          <w:sz w:val="32"/>
          <w:szCs w:val="32"/>
          <w:highlight w:val="none"/>
        </w:rPr>
        <w:t>。</w:t>
      </w:r>
      <w:r>
        <w:rPr>
          <w:rFonts w:hint="eastAsia" w:ascii="方正仿宋_GBK" w:hAnsi="方正仿宋_GBK" w:eastAsia="方正仿宋_GBK" w:cs="方正仿宋_GBK"/>
          <w:color w:val="auto"/>
          <w:sz w:val="32"/>
          <w:szCs w:val="32"/>
          <w:highlight w:val="none"/>
        </w:rPr>
        <w:t>高水平建设嘉陵江实验室。支持实验室聚焦“数智+装备”融合</w:t>
      </w:r>
      <w:r>
        <w:rPr>
          <w:rFonts w:hint="eastAsia" w:ascii="方正仿宋_GBK" w:hAnsi="方正仿宋_GBK" w:eastAsia="方正仿宋_GBK" w:cs="方正仿宋_GBK"/>
          <w:color w:val="auto"/>
          <w:sz w:val="32"/>
          <w:szCs w:val="32"/>
          <w:highlight w:val="none"/>
          <w:lang w:val="en-US" w:eastAsia="zh-CN"/>
        </w:rPr>
        <w:t>领域</w:t>
      </w:r>
      <w:r>
        <w:rPr>
          <w:rFonts w:hint="eastAsia" w:ascii="方正仿宋_GBK" w:hAnsi="方正仿宋_GBK" w:eastAsia="方正仿宋_GBK" w:cs="方正仿宋_GBK"/>
          <w:color w:val="auto"/>
          <w:sz w:val="32"/>
          <w:szCs w:val="32"/>
          <w:highlight w:val="none"/>
        </w:rPr>
        <w:t>，主攻具身智能、智能传感与仪器等重点</w:t>
      </w:r>
      <w:r>
        <w:rPr>
          <w:rFonts w:hint="eastAsia" w:ascii="方正仿宋_GBK" w:hAnsi="方正仿宋_GBK" w:eastAsia="方正仿宋_GBK" w:cs="方正仿宋_GBK"/>
          <w:color w:val="auto"/>
          <w:sz w:val="32"/>
          <w:szCs w:val="32"/>
          <w:highlight w:val="none"/>
          <w:lang w:val="en-US" w:eastAsia="zh-CN"/>
        </w:rPr>
        <w:t>方向</w:t>
      </w:r>
      <w:r>
        <w:rPr>
          <w:rFonts w:hint="eastAsia" w:ascii="方正仿宋_GBK" w:hAnsi="方正仿宋_GBK" w:eastAsia="方正仿宋_GBK" w:cs="方正仿宋_GBK"/>
          <w:color w:val="auto"/>
          <w:sz w:val="32"/>
          <w:szCs w:val="32"/>
          <w:highlight w:val="none"/>
        </w:rPr>
        <w:t>，建设人形机器人研究中心、微纳器件及系统研究中心、智慧医疗装备研究院等科研平台，建设国家数智装备知识产权运营中心，布局重庆市具身智能创新中心、无人系统试验场等公共服务平台，</w:t>
      </w:r>
      <w:r>
        <w:rPr>
          <w:rFonts w:hint="eastAsia" w:ascii="方正仿宋_GBK" w:hAnsi="方正仿宋_GBK" w:eastAsia="方正仿宋_GBK" w:cs="方正仿宋_GBK"/>
          <w:color w:val="auto"/>
          <w:sz w:val="32"/>
          <w:szCs w:val="32"/>
          <w:highlight w:val="none"/>
          <w:lang w:val="en-US" w:eastAsia="zh-CN"/>
        </w:rPr>
        <w:t>建设</w:t>
      </w:r>
      <w:r>
        <w:rPr>
          <w:rFonts w:hint="eastAsia" w:ascii="方正仿宋_GBK" w:hAnsi="方正仿宋_GBK" w:eastAsia="方正仿宋_GBK" w:cs="方正仿宋_GBK"/>
          <w:color w:val="auto"/>
          <w:sz w:val="32"/>
          <w:szCs w:val="32"/>
          <w:highlight w:val="none"/>
        </w:rPr>
        <w:t>独具特色的科研攻关与验证场景</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培育</w:t>
      </w:r>
      <w:r>
        <w:rPr>
          <w:rFonts w:hint="eastAsia" w:ascii="方正仿宋_GBK" w:hAnsi="方正仿宋_GBK" w:eastAsia="方正仿宋_GBK" w:cs="方正仿宋_GBK"/>
          <w:b w:val="0"/>
          <w:bCs w:val="0"/>
          <w:color w:val="auto"/>
          <w:sz w:val="32"/>
          <w:szCs w:val="32"/>
          <w:highlight w:val="none"/>
          <w:u w:val="none" w:color="auto"/>
          <w:lang w:val="en-US" w:eastAsia="zh-CN"/>
        </w:rPr>
        <w:t>以概念验证、研发测试为核心的数智装备研究平台集群，</w:t>
      </w:r>
      <w:r>
        <w:rPr>
          <w:rFonts w:hint="eastAsia" w:ascii="方正仿宋_GBK" w:hAnsi="方正仿宋_GBK" w:eastAsia="方正仿宋_GBK" w:cs="方正仿宋_GBK"/>
          <w:color w:val="auto"/>
          <w:sz w:val="32"/>
          <w:szCs w:val="32"/>
          <w:highlight w:val="none"/>
          <w:lang w:eastAsia="zh-CN"/>
        </w:rPr>
        <w:t>打造全国具身智能装备的战略制高点和创新策源地</w:t>
      </w:r>
      <w:r>
        <w:rPr>
          <w:rFonts w:hint="eastAsia" w:ascii="方正仿宋_GBK" w:hAnsi="方正仿宋_GBK" w:eastAsia="方正仿宋_GBK" w:cs="方正仿宋_GBK"/>
          <w:color w:val="auto"/>
          <w:sz w:val="32"/>
          <w:szCs w:val="32"/>
          <w:highlight w:val="none"/>
        </w:rPr>
        <w:t>。到</w:t>
      </w:r>
      <w:r>
        <w:rPr>
          <w:rFonts w:hint="eastAsia" w:ascii="Times New Roman" w:hAnsi="Times New Roman" w:eastAsia="方正仿宋_GBK" w:cs="方正仿宋_GBK"/>
          <w:color w:val="auto"/>
          <w:sz w:val="32"/>
          <w:szCs w:val="32"/>
          <w:highlight w:val="none"/>
        </w:rPr>
        <w:t>2030</w:t>
      </w:r>
      <w:r>
        <w:rPr>
          <w:rFonts w:hint="eastAsia" w:ascii="方正仿宋_GBK" w:hAnsi="方正仿宋_GBK" w:eastAsia="方正仿宋_GBK" w:cs="方正仿宋_GBK"/>
          <w:color w:val="auto"/>
          <w:sz w:val="32"/>
          <w:szCs w:val="32"/>
          <w:highlight w:val="none"/>
        </w:rPr>
        <w:t>年，建成全国首个山地—地下复杂场景智能无人装备系统与综合试验场，</w:t>
      </w:r>
      <w:r>
        <w:rPr>
          <w:rFonts w:hint="default" w:ascii="Times New Roman" w:hAnsi="Times New Roman" w:eastAsia="方正仿宋_GBK" w:cs="Times New Roman"/>
          <w:color w:val="auto"/>
          <w:sz w:val="32"/>
          <w:szCs w:val="32"/>
          <w:highlight w:val="none"/>
        </w:rPr>
        <w:t>形成国家/行业标准5</w:t>
      </w:r>
      <w:r>
        <w:rPr>
          <w:rFonts w:hint="eastAsia" w:ascii="方正仿宋_GBK" w:hAnsi="方正仿宋_GBK" w:eastAsia="方正仿宋_GBK" w:cs="方正仿宋_GBK"/>
          <w:color w:val="auto"/>
          <w:sz w:val="32"/>
          <w:szCs w:val="32"/>
          <w:highlight w:val="none"/>
        </w:rPr>
        <w:t>—</w:t>
      </w:r>
      <w:r>
        <w:rPr>
          <w:rFonts w:hint="default" w:ascii="Times New Roman" w:hAnsi="Times New Roman" w:eastAsia="方正仿宋_GBK" w:cs="Times New Roman"/>
          <w:color w:val="auto"/>
          <w:sz w:val="32"/>
          <w:szCs w:val="32"/>
          <w:highlight w:val="none"/>
        </w:rPr>
        <w:t>8项，</w:t>
      </w:r>
      <w:r>
        <w:rPr>
          <w:rFonts w:hint="eastAsia" w:ascii="Times New Roman" w:hAnsi="Times New Roman" w:eastAsia="方正仿宋_GBK" w:cs="Times New Roman"/>
          <w:color w:val="auto"/>
          <w:sz w:val="32"/>
          <w:szCs w:val="32"/>
          <w:highlight w:val="none"/>
          <w:lang w:val="en-US" w:eastAsia="zh-CN"/>
        </w:rPr>
        <w:t>新增</w:t>
      </w:r>
      <w:r>
        <w:rPr>
          <w:rFonts w:hint="eastAsia" w:ascii="方正仿宋_GBK" w:hAnsi="方正仿宋_GBK" w:eastAsia="方正仿宋_GBK" w:cs="方正仿宋_GBK"/>
          <w:color w:val="auto"/>
          <w:sz w:val="32"/>
          <w:szCs w:val="32"/>
          <w:highlight w:val="none"/>
        </w:rPr>
        <w:t>上市后备企业</w:t>
      </w:r>
      <w:r>
        <w:rPr>
          <w:rFonts w:hint="default" w:ascii="Times New Roman" w:hAnsi="Times New Roman" w:eastAsia="方正仿宋_GBK" w:cs="Times New Roman"/>
          <w:color w:val="auto"/>
          <w:sz w:val="32"/>
          <w:szCs w:val="32"/>
          <w:highlight w:val="none"/>
        </w:rPr>
        <w:t>3</w:t>
      </w:r>
      <w:r>
        <w:rPr>
          <w:rFonts w:hint="eastAsia" w:ascii="Times New Roman" w:hAnsi="Times New Roman" w:eastAsia="方正仿宋_GBK" w:cs="Times New Roman"/>
          <w:color w:val="auto"/>
          <w:sz w:val="32"/>
          <w:szCs w:val="32"/>
          <w:highlight w:val="none"/>
          <w:lang w:val="en-US" w:eastAsia="zh-CN"/>
        </w:rPr>
        <w:t>家以上</w:t>
      </w:r>
      <w:r>
        <w:rPr>
          <w:rFonts w:hint="eastAsia" w:ascii="方正仿宋_GBK" w:hAnsi="方正仿宋_GBK" w:eastAsia="方正仿宋_GBK" w:cs="方正仿宋_GBK"/>
          <w:color w:val="auto"/>
          <w:sz w:val="32"/>
          <w:szCs w:val="32"/>
          <w:highlight w:val="none"/>
        </w:rPr>
        <w:t>。</w:t>
      </w:r>
      <w:r>
        <w:rPr>
          <w:rFonts w:hint="eastAsia" w:ascii="Times New Roman" w:hAnsi="Times New Roman" w:eastAsia="方正仿宋_GBK" w:cs="Times New Roman"/>
          <w:color w:val="auto"/>
          <w:sz w:val="32"/>
          <w:szCs w:val="32"/>
          <w:highlight w:val="none"/>
        </w:rPr>
        <w:t>主动对接国家重大战略需求，积极融入国家实验室体系</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加强与国家实验室、国家科研机构及高水平研究型大学的协同创新，全力培育建设国家实验室“预备队”。</w:t>
      </w:r>
    </w:p>
    <w:p w14:paraId="2676AC9A">
      <w:pPr>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2</w:t>
      </w:r>
      <w:r>
        <w:rPr>
          <w:rFonts w:hint="eastAsia" w:ascii="Times New Roman" w:hAnsi="Times New Roman" w:eastAsia="方正黑体_GBK" w:cs="方正黑体_GBK"/>
          <w:color w:val="auto"/>
          <w:kern w:val="0"/>
          <w:sz w:val="32"/>
          <w:szCs w:val="32"/>
          <w:highlight w:val="none"/>
          <w:u w:val="none"/>
          <w:lang w:bidi="ar"/>
        </w:rPr>
        <w:t xml:space="preserve"> 重庆实验室旗舰引领功能专项行动</w:t>
      </w:r>
    </w:p>
    <w:tbl>
      <w:tblPr>
        <w:tblStyle w:val="22"/>
        <w:tblW w:w="5000" w:type="pct"/>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05B8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0A5FF62">
            <w:pPr>
              <w:pStyle w:val="19"/>
              <w:overflowPunct w:val="0"/>
              <w:snapToGrid w:val="0"/>
              <w:spacing w:beforeAutospacing="0" w:afterAutospacing="0" w:line="380" w:lineRule="exact"/>
              <w:ind w:firstLine="480" w:firstLineChars="200"/>
              <w:jc w:val="both"/>
              <w:rPr>
                <w:rFonts w:hint="eastAsia" w:ascii="Times New Roman" w:hAnsi="Times New Roman" w:eastAsia="方正书宋_GBK" w:cs="Times New Roman"/>
                <w:color w:val="auto"/>
                <w:highlight w:val="none"/>
                <w:u w:val="none"/>
                <w:lang w:eastAsia="zh-CN"/>
              </w:rPr>
            </w:pPr>
            <w:r>
              <w:rPr>
                <w:rFonts w:hint="eastAsia" w:ascii="Times New Roman" w:hAnsi="Times New Roman" w:eastAsia="方正黑体_GBK" w:cs="方正黑体_GBK"/>
                <w:color w:val="auto"/>
                <w:highlight w:val="none"/>
                <w:u w:val="none"/>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金凤实验室。</w:t>
            </w:r>
            <w:r>
              <w:rPr>
                <w:rFonts w:hint="eastAsia" w:ascii="Times New Roman" w:hAnsi="Times New Roman" w:eastAsia="方正书宋_GBK" w:cs="Times New Roman"/>
                <w:color w:val="auto"/>
                <w:highlight w:val="none"/>
                <w:u w:val="none"/>
              </w:rPr>
              <w:t>深耕“重大疾病的下一代诊断”，推动“经验看病”向“智能算病”迭代取得突破性进展，打造中国病理研究“总平台”、诊断技术研发“总链长”、国际领先的病理科学研究中心。</w:t>
            </w:r>
          </w:p>
          <w:p w14:paraId="1E1A6913">
            <w:pPr>
              <w:pStyle w:val="19"/>
              <w:overflowPunct w:val="0"/>
              <w:snapToGrid w:val="0"/>
              <w:spacing w:beforeAutospacing="0" w:afterAutospacing="0" w:line="380" w:lineRule="exact"/>
              <w:ind w:firstLine="480" w:firstLineChars="200"/>
              <w:jc w:val="both"/>
              <w:rPr>
                <w:rFonts w:ascii="Times New Roman" w:hAnsi="Times New Roman"/>
                <w:color w:val="auto"/>
                <w:szCs w:val="20"/>
                <w:highlight w:val="none"/>
              </w:rPr>
            </w:pPr>
            <w:r>
              <w:rPr>
                <w:rFonts w:hint="eastAsia" w:ascii="Times New Roman" w:hAnsi="Times New Roman" w:eastAsia="方正黑体_GBK" w:cs="方正黑体_GBK"/>
                <w:color w:val="auto"/>
                <w:highlight w:val="none"/>
                <w:u w:val="none"/>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嘉陵江实验室。</w:t>
            </w:r>
            <w:r>
              <w:rPr>
                <w:rFonts w:hint="eastAsia" w:ascii="Times New Roman" w:hAnsi="Times New Roman" w:eastAsia="方正书宋_GBK" w:cs="Times New Roman"/>
                <w:color w:val="auto"/>
                <w:highlight w:val="none"/>
                <w:u w:val="none"/>
              </w:rPr>
              <w:t>聚焦具身智能、智慧装备，打造“数智基座—核心部件—系统集成—规模应用”垂直创新体系，着力攻克复杂环境下智能体的强鲁棒感知、协同决策与虚实迁移等关键技术，抢占复杂环境智能技术战略制高点。</w:t>
            </w:r>
          </w:p>
        </w:tc>
      </w:tr>
    </w:tbl>
    <w:p w14:paraId="2491AA79">
      <w:pPr>
        <w:overflowPunct w:val="0"/>
        <w:adjustRightInd w:val="0"/>
        <w:snapToGrid w:val="0"/>
        <w:spacing w:line="600" w:lineRule="exact"/>
        <w:jc w:val="center"/>
        <w:outlineLvl w:val="2"/>
        <w:rPr>
          <w:rFonts w:ascii="Times New Roman" w:hAnsi="Times New Roman" w:eastAsia="方正仿宋_GBK" w:cs="Times New Roman"/>
          <w:color w:val="auto"/>
          <w:sz w:val="32"/>
          <w:szCs w:val="32"/>
          <w:highlight w:val="none"/>
        </w:rPr>
      </w:pPr>
      <w:bookmarkStart w:id="117" w:name="_Toc1940784677"/>
      <w:bookmarkStart w:id="118" w:name="_Toc1153088648"/>
      <w:bookmarkStart w:id="119" w:name="_Toc9141"/>
      <w:r>
        <w:rPr>
          <w:rFonts w:hint="eastAsia" w:ascii="Times New Roman" w:hAnsi="Times New Roman" w:eastAsia="方正楷体_GBK" w:cs="方正楷体_GBK"/>
          <w:color w:val="auto"/>
          <w:sz w:val="32"/>
          <w:szCs w:val="32"/>
          <w:highlight w:val="none"/>
        </w:rPr>
        <w:t>第二节 建设重大科技基础设施</w:t>
      </w:r>
      <w:bookmarkEnd w:id="117"/>
      <w:bookmarkEnd w:id="118"/>
      <w:bookmarkEnd w:id="119"/>
    </w:p>
    <w:p w14:paraId="7FFAC93D">
      <w:pPr>
        <w:adjustRightInd w:val="0"/>
        <w:snapToGrid w:val="0"/>
        <w:spacing w:line="600" w:lineRule="exact"/>
        <w:ind w:firstLine="640" w:firstLineChars="200"/>
        <w:textAlignment w:val="baseline"/>
        <w:rPr>
          <w:rFonts w:hint="eastAsia" w:ascii="Times New Roman" w:hAnsi="Times New Roman" w:eastAsia="方正黑体_GBK" w:cs="方正黑体_GBK"/>
          <w:color w:val="auto"/>
          <w:sz w:val="28"/>
          <w:szCs w:val="28"/>
          <w:highlight w:val="none"/>
          <w:lang w:bidi="ar"/>
        </w:rPr>
      </w:pPr>
      <w:r>
        <w:rPr>
          <w:rFonts w:hint="eastAsia" w:ascii="方正仿宋_GBK" w:hAnsi="方正仿宋_GBK" w:eastAsia="方正仿宋_GBK" w:cs="方正仿宋_GBK"/>
          <w:color w:val="auto"/>
          <w:sz w:val="32"/>
          <w:szCs w:val="32"/>
          <w:highlight w:val="none"/>
        </w:rPr>
        <w:t>推动科技创新基础设施投用见效，拓展和深化校地协同创新合作，争取更多战略科技力量布局，</w:t>
      </w:r>
      <w:r>
        <w:rPr>
          <w:rFonts w:hint="eastAsia" w:ascii="Times New Roman" w:hAnsi="Times New Roman" w:eastAsia="方正仿宋_GBK" w:cs="方正仿宋_GBK"/>
          <w:color w:val="auto"/>
          <w:sz w:val="32"/>
          <w:szCs w:val="32"/>
          <w:highlight w:val="none"/>
        </w:rPr>
        <w:t>打造一批原理探索、关键技术攻关、工程验证等类型重大科技基础设施，</w:t>
      </w:r>
      <w:r>
        <w:rPr>
          <w:rFonts w:hint="eastAsia" w:ascii="方正仿宋_GBK" w:hAnsi="方正仿宋_GBK" w:eastAsia="方正仿宋_GBK" w:cs="方正仿宋_GBK"/>
          <w:color w:val="auto"/>
          <w:sz w:val="32"/>
          <w:szCs w:val="32"/>
          <w:highlight w:val="none"/>
        </w:rPr>
        <w:t>提升科技创新核心竞争力。</w:t>
      </w:r>
      <w:r>
        <w:rPr>
          <w:rFonts w:hint="eastAsia" w:ascii="Times New Roman" w:hAnsi="Times New Roman" w:eastAsia="方正仿宋_GBK" w:cs="Times New Roman"/>
          <w:color w:val="auto"/>
          <w:sz w:val="32"/>
          <w:szCs w:val="32"/>
          <w:highlight w:val="none"/>
        </w:rPr>
        <w:t>推动超瞬态实验装置预研项目加快建成投用，</w:t>
      </w:r>
      <w:r>
        <w:rPr>
          <w:rFonts w:hint="eastAsia" w:ascii="方正仿宋_GBK" w:hAnsi="Times New Roman" w:eastAsia="方正仿宋_GBK" w:cs="Times New Roman"/>
          <w:color w:val="auto"/>
          <w:kern w:val="0"/>
          <w:sz w:val="32"/>
          <w:szCs w:val="32"/>
          <w:highlight w:val="none"/>
        </w:rPr>
        <w:t>为物质、材料、生命等领域科学研究提供极限研究手段。</w:t>
      </w:r>
      <w:r>
        <w:rPr>
          <w:rFonts w:hint="eastAsia" w:ascii="Times New Roman" w:hAnsi="Times New Roman" w:eastAsia="方正仿宋_GBK" w:cs="Times New Roman"/>
          <w:color w:val="auto"/>
          <w:sz w:val="32"/>
          <w:szCs w:val="32"/>
          <w:highlight w:val="none"/>
        </w:rPr>
        <w:t>推动</w:t>
      </w:r>
      <w:r>
        <w:rPr>
          <w:rFonts w:hint="eastAsia" w:ascii="方正仿宋_GBK" w:hAnsi="方正仿宋_GBK" w:eastAsia="方正仿宋_GBK" w:cs="方正仿宋_GBK"/>
          <w:color w:val="auto"/>
          <w:sz w:val="32"/>
          <w:szCs w:val="32"/>
          <w:highlight w:val="none"/>
        </w:rPr>
        <w:t>中子源科学装置完成应用终端建设，</w:t>
      </w:r>
      <w:r>
        <w:rPr>
          <w:rFonts w:hint="eastAsia" w:ascii="Times New Roman" w:hAnsi="Times New Roman" w:eastAsia="方正仿宋_GBK" w:cs="Times New Roman"/>
          <w:color w:val="auto"/>
          <w:sz w:val="32"/>
          <w:szCs w:val="32"/>
          <w:highlight w:val="none"/>
        </w:rPr>
        <w:t>支持国家健康战略资源中心建设“三库、二平台、二基地”。</w:t>
      </w:r>
      <w:r>
        <w:rPr>
          <w:rFonts w:hint="eastAsia" w:ascii="方正仿宋_GBK" w:hAnsi="方正仿宋_GBK" w:eastAsia="方正仿宋_GBK" w:cs="方正仿宋_GBK"/>
          <w:color w:val="auto"/>
          <w:sz w:val="32"/>
          <w:szCs w:val="32"/>
          <w:highlight w:val="none"/>
        </w:rPr>
        <w:t>提档升级长江上游种质创制工程研究中心、精密机械检测技术与装备工程研究中心等市级科技基础设施，积极争取“两重”“两新”项目布局和中央科技创新引导专项资金支持</w:t>
      </w:r>
      <w:r>
        <w:rPr>
          <w:rFonts w:hint="eastAsia" w:ascii="Times New Roman" w:hAnsi="Times New Roman" w:eastAsia="方正仿宋_GBK" w:cs="Times New Roman"/>
          <w:color w:val="auto"/>
          <w:sz w:val="32"/>
          <w:szCs w:val="32"/>
          <w:highlight w:val="none"/>
        </w:rPr>
        <w:t>。</w:t>
      </w:r>
      <w:r>
        <w:rPr>
          <w:rFonts w:hint="eastAsia" w:ascii="方正仿宋_GBK" w:hAnsi="方正仿宋_GBK" w:eastAsia="方正仿宋_GBK" w:cs="方正仿宋_GBK"/>
          <w:color w:val="auto"/>
          <w:sz w:val="32"/>
          <w:szCs w:val="32"/>
          <w:highlight w:val="none"/>
        </w:rPr>
        <w:t>到</w:t>
      </w:r>
      <w:r>
        <w:rPr>
          <w:rFonts w:hint="eastAsia" w:ascii="Times New Roman" w:hAnsi="Times New Roman" w:eastAsia="方正仿宋_GBK" w:cs="方正仿宋_GBK"/>
          <w:color w:val="auto"/>
          <w:sz w:val="32"/>
          <w:szCs w:val="32"/>
          <w:highlight w:val="none"/>
        </w:rPr>
        <w:t>2030</w:t>
      </w:r>
      <w:r>
        <w:rPr>
          <w:rFonts w:hint="eastAsia" w:ascii="方正仿宋_GBK" w:hAnsi="方正仿宋_GBK" w:eastAsia="方正仿宋_GBK" w:cs="方正仿宋_GBK"/>
          <w:color w:val="auto"/>
          <w:sz w:val="32"/>
          <w:szCs w:val="32"/>
          <w:highlight w:val="none"/>
        </w:rPr>
        <w:t>年，培育</w:t>
      </w:r>
      <w:r>
        <w:rPr>
          <w:rFonts w:hint="eastAsia" w:ascii="Times New Roman" w:hAnsi="Times New Roman" w:eastAsia="方正仿宋_GBK" w:cs="方正仿宋_GBK"/>
          <w:color w:val="auto"/>
          <w:sz w:val="32"/>
          <w:szCs w:val="32"/>
          <w:highlight w:val="none"/>
        </w:rPr>
        <w:t>1</w:t>
      </w:r>
      <w:r>
        <w:rPr>
          <w:rFonts w:hint="eastAsia" w:ascii="方正仿宋_GBK" w:hAnsi="方正仿宋_GBK" w:eastAsia="方正仿宋_GBK" w:cs="方正仿宋_GBK"/>
          <w:color w:val="auto"/>
          <w:sz w:val="32"/>
          <w:szCs w:val="32"/>
          <w:highlight w:val="none"/>
        </w:rPr>
        <w:t>—</w:t>
      </w:r>
      <w:r>
        <w:rPr>
          <w:rFonts w:hint="eastAsia" w:ascii="Times New Roman" w:hAnsi="Times New Roman" w:eastAsia="方正仿宋_GBK" w:cs="方正仿宋_GBK"/>
          <w:color w:val="auto"/>
          <w:sz w:val="32"/>
          <w:szCs w:val="32"/>
          <w:highlight w:val="none"/>
        </w:rPr>
        <w:t>2</w:t>
      </w:r>
      <w:r>
        <w:rPr>
          <w:rFonts w:hint="eastAsia" w:ascii="方正仿宋_GBK" w:hAnsi="方正仿宋_GBK" w:eastAsia="方正仿宋_GBK" w:cs="方正仿宋_GBK"/>
          <w:color w:val="auto"/>
          <w:sz w:val="32"/>
          <w:szCs w:val="32"/>
          <w:highlight w:val="none"/>
        </w:rPr>
        <w:t>个市级以上重大科技基础设施。</w:t>
      </w:r>
    </w:p>
    <w:p w14:paraId="0EC6B761">
      <w:pPr>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3</w:t>
      </w:r>
      <w:r>
        <w:rPr>
          <w:rFonts w:hint="eastAsia" w:ascii="Times New Roman" w:hAnsi="Times New Roman" w:eastAsia="方正黑体_GBK" w:cs="方正黑体_GBK"/>
          <w:color w:val="auto"/>
          <w:kern w:val="0"/>
          <w:sz w:val="32"/>
          <w:szCs w:val="32"/>
          <w:highlight w:val="none"/>
          <w:u w:val="none"/>
          <w:lang w:bidi="ar"/>
        </w:rPr>
        <w:t xml:space="preserve"> 重大科技基础设施提质增效专项行动</w:t>
      </w:r>
    </w:p>
    <w:tbl>
      <w:tblPr>
        <w:tblStyle w:val="22"/>
        <w:tblW w:w="5000" w:type="pct"/>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49E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DCB1ACA">
            <w:pPr>
              <w:pStyle w:val="19"/>
              <w:overflowPunct w:val="0"/>
              <w:snapToGrid w:val="0"/>
              <w:spacing w:beforeAutospacing="0" w:afterAutospacing="0" w:line="380" w:lineRule="exact"/>
              <w:ind w:firstLine="480" w:firstLineChars="200"/>
              <w:jc w:val="both"/>
              <w:rPr>
                <w:rFonts w:hint="eastAsia" w:ascii="Times New Roman" w:hAnsi="Times New Roman" w:eastAsia="方正书宋_GBK" w:cs="Times New Roman"/>
                <w:color w:val="auto"/>
                <w:sz w:val="24"/>
                <w:szCs w:val="24"/>
                <w:highlight w:val="none"/>
                <w:u w:val="none"/>
              </w:rPr>
            </w:pPr>
            <w:r>
              <w:rPr>
                <w:rFonts w:hint="eastAsia" w:ascii="Times New Roman" w:hAnsi="Times New Roman" w:eastAsia="方正黑体_GBK" w:cs="方正黑体_GBK"/>
                <w:color w:val="auto"/>
                <w:sz w:val="24"/>
                <w:szCs w:val="24"/>
                <w:highlight w:val="none"/>
                <w:u w:val="none"/>
              </w:rPr>
              <w:t>1．超瞬态实验装置。</w:t>
            </w:r>
            <w:r>
              <w:rPr>
                <w:rFonts w:hint="eastAsia" w:ascii="Times New Roman" w:hAnsi="Times New Roman" w:eastAsia="方正书宋_GBK" w:cs="Times New Roman"/>
                <w:color w:val="auto"/>
                <w:sz w:val="24"/>
                <w:szCs w:val="24"/>
                <w:highlight w:val="none"/>
                <w:u w:val="none"/>
              </w:rPr>
              <w:t>推动超瞬态实验装置（一期）建成投用，完成电子能量500</w:t>
            </w:r>
            <w:r>
              <w:rPr>
                <w:rFonts w:hint="eastAsia" w:ascii="Times New Roman" w:hAnsi="Times New Roman" w:eastAsia="方正书宋_GBK" w:cs="Times New Roman"/>
                <w:color w:val="auto"/>
                <w:sz w:val="24"/>
                <w:szCs w:val="24"/>
                <w:highlight w:val="none"/>
                <w:u w:val="none"/>
                <w:lang w:val="en-US" w:eastAsia="zh-CN"/>
              </w:rPr>
              <w:t xml:space="preserve"> </w:t>
            </w:r>
            <w:r>
              <w:rPr>
                <w:rFonts w:hint="eastAsia" w:ascii="Times New Roman" w:hAnsi="Times New Roman" w:eastAsia="方正书宋_GBK" w:cs="Times New Roman"/>
                <w:color w:val="auto"/>
                <w:sz w:val="24"/>
                <w:szCs w:val="24"/>
                <w:highlight w:val="none"/>
                <w:u w:val="none"/>
              </w:rPr>
              <w:t>MeV的直线加速器、能量500MeV的储存环和4个先进实验平台建设。推动超瞬态实验装置（二期）建设，打造国际领先的高通量光子探针和电子束综合研究平台，实现50fs的时间分辨率</w:t>
            </w:r>
            <w:r>
              <w:rPr>
                <w:rFonts w:hint="eastAsia" w:ascii="Times New Roman" w:hAnsi="Times New Roman" w:eastAsia="方正书宋_GBK" w:cs="Times New Roman"/>
                <w:color w:val="auto"/>
                <w:sz w:val="24"/>
                <w:szCs w:val="24"/>
                <w:highlight w:val="none"/>
                <w:u w:val="none"/>
                <w:lang w:eastAsia="zh-CN"/>
              </w:rPr>
              <w:t>、</w:t>
            </w:r>
            <w:r>
              <w:rPr>
                <w:rFonts w:hint="eastAsia" w:ascii="Times New Roman" w:hAnsi="Times New Roman" w:eastAsia="方正书宋_GBK" w:cs="Times New Roman"/>
                <w:color w:val="auto"/>
                <w:sz w:val="24"/>
                <w:szCs w:val="24"/>
                <w:highlight w:val="none"/>
                <w:u w:val="none"/>
              </w:rPr>
              <w:t>0.5Å的空间分辨率和0.2meV的能量分辨率。</w:t>
            </w:r>
          </w:p>
          <w:p w14:paraId="12CB49DF">
            <w:pPr>
              <w:pStyle w:val="19"/>
              <w:overflowPunct w:val="0"/>
              <w:snapToGrid w:val="0"/>
              <w:spacing w:beforeAutospacing="0" w:afterAutospacing="0" w:line="380" w:lineRule="exact"/>
              <w:ind w:firstLine="480" w:firstLineChars="200"/>
              <w:jc w:val="both"/>
              <w:rPr>
                <w:rFonts w:hint="eastAsia" w:ascii="Times New Roman" w:hAnsi="Times New Roman" w:eastAsia="方正书宋_GBK" w:cs="Times New Roman"/>
                <w:color w:val="auto"/>
                <w:sz w:val="24"/>
                <w:szCs w:val="24"/>
                <w:highlight w:val="none"/>
                <w:u w:val="none"/>
              </w:rPr>
            </w:pPr>
            <w:r>
              <w:rPr>
                <w:rFonts w:hint="eastAsia" w:ascii="Times New Roman" w:hAnsi="Times New Roman" w:eastAsia="方正黑体_GBK" w:cs="方正黑体_GBK"/>
                <w:color w:val="auto"/>
                <w:sz w:val="24"/>
                <w:szCs w:val="24"/>
                <w:highlight w:val="none"/>
                <w:u w:val="none"/>
              </w:rPr>
              <w:t>2．中子源大科学装置。</w:t>
            </w:r>
            <w:r>
              <w:rPr>
                <w:rFonts w:hint="eastAsia" w:ascii="Times New Roman" w:hAnsi="Times New Roman" w:eastAsia="方正书宋_GBK" w:cs="Times New Roman"/>
                <w:color w:val="auto"/>
                <w:sz w:val="24"/>
                <w:szCs w:val="24"/>
                <w:highlight w:val="none"/>
                <w:u w:val="none"/>
              </w:rPr>
              <w:t>提供高流强标准单能中子场与构建特定中子辐照环境，重点开展中子技术在医疗、工业检测、医用同位素生产、中子能量转换利用等领域的应用技术研发验证。</w:t>
            </w:r>
          </w:p>
          <w:p w14:paraId="0DC35C9E">
            <w:pPr>
              <w:pStyle w:val="19"/>
              <w:overflowPunct w:val="0"/>
              <w:snapToGrid w:val="0"/>
              <w:spacing w:beforeAutospacing="0" w:afterAutospacing="0" w:line="380" w:lineRule="exact"/>
              <w:ind w:firstLine="480" w:firstLineChars="200"/>
              <w:jc w:val="both"/>
              <w:rPr>
                <w:rFonts w:ascii="Times New Roman" w:hAnsi="Times New Roman"/>
                <w:color w:val="auto"/>
                <w:sz w:val="24"/>
                <w:szCs w:val="24"/>
                <w:highlight w:val="none"/>
              </w:rPr>
            </w:pPr>
            <w:r>
              <w:rPr>
                <w:rFonts w:hint="eastAsia" w:ascii="Times New Roman" w:hAnsi="Times New Roman" w:eastAsia="方正黑体_GBK" w:cs="方正黑体_GBK"/>
                <w:color w:val="auto"/>
                <w:sz w:val="24"/>
                <w:szCs w:val="24"/>
                <w:highlight w:val="none"/>
                <w:u w:val="none"/>
              </w:rPr>
              <w:t>3．国家健康战略资源中心。</w:t>
            </w:r>
            <w:r>
              <w:rPr>
                <w:rFonts w:hint="eastAsia" w:ascii="Times New Roman" w:hAnsi="Times New Roman" w:eastAsia="方正书宋_GBK" w:cs="Times New Roman"/>
                <w:color w:val="auto"/>
                <w:sz w:val="24"/>
                <w:szCs w:val="24"/>
                <w:highlight w:val="none"/>
                <w:u w:val="none"/>
              </w:rPr>
              <w:t>打造百万量级中国自然人群队列、千万量级中国自然人群生物资源库、十万量级人群队列的基因组，构建用于精准健康研究与生物医药创新的生物样本与数据资源体系，实现国家健康资源在成渝地区战略储备。</w:t>
            </w:r>
          </w:p>
        </w:tc>
      </w:tr>
    </w:tbl>
    <w:p w14:paraId="0B65BD15">
      <w:pPr>
        <w:overflowPunct w:val="0"/>
        <w:adjustRightInd w:val="0"/>
        <w:snapToGrid w:val="0"/>
        <w:spacing w:line="600" w:lineRule="exact"/>
        <w:jc w:val="center"/>
        <w:outlineLvl w:val="2"/>
        <w:rPr>
          <w:rFonts w:ascii="Times New Roman" w:hAnsi="Times New Roman" w:eastAsia="方正楷体_GBK" w:cs="方正仿宋_GBK"/>
          <w:color w:val="auto"/>
          <w:sz w:val="32"/>
          <w:szCs w:val="32"/>
          <w:highlight w:val="none"/>
        </w:rPr>
      </w:pPr>
      <w:bookmarkStart w:id="120" w:name="_Toc1068476408"/>
      <w:bookmarkStart w:id="121" w:name="_Toc7490"/>
      <w:bookmarkStart w:id="122" w:name="_Toc638952056"/>
      <w:r>
        <w:rPr>
          <w:rFonts w:hint="eastAsia" w:ascii="Times New Roman" w:hAnsi="Times New Roman" w:eastAsia="方正楷体_GBK" w:cs="方正楷体_GBK"/>
          <w:color w:val="auto"/>
          <w:sz w:val="32"/>
          <w:szCs w:val="32"/>
          <w:highlight w:val="none"/>
        </w:rPr>
        <w:t>第三节 培育科技创新平台基地</w:t>
      </w:r>
      <w:bookmarkEnd w:id="120"/>
      <w:bookmarkEnd w:id="121"/>
      <w:bookmarkEnd w:id="122"/>
    </w:p>
    <w:p w14:paraId="2AACA8F8">
      <w:pPr>
        <w:overflowPunct/>
        <w:adjustRightInd w:val="0"/>
        <w:snapToGrid w:val="0"/>
        <w:spacing w:line="600" w:lineRule="exact"/>
        <w:ind w:firstLine="640" w:firstLineChars="200"/>
        <w:jc w:val="left"/>
        <w:textAlignment w:val="baseline"/>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仿宋_GBK" w:cs="Times New Roman"/>
          <w:color w:val="auto"/>
          <w:sz w:val="32"/>
          <w:szCs w:val="32"/>
          <w:highlight w:val="none"/>
        </w:rPr>
        <w:t>立足高等院校、科研院所、高新技术企业等创新资源</w:t>
      </w:r>
      <w:r>
        <w:rPr>
          <w:rFonts w:hint="eastAsia" w:ascii="Times New Roman" w:hAnsi="Times New Roman" w:eastAsia="方正仿宋_GBK" w:cs="Times New Roman"/>
          <w:color w:val="auto"/>
          <w:sz w:val="32"/>
          <w:szCs w:val="32"/>
          <w:highlight w:val="none"/>
          <w:lang w:eastAsia="zh-CN"/>
        </w:rPr>
        <w:t>集聚</w:t>
      </w:r>
      <w:r>
        <w:rPr>
          <w:rFonts w:hint="eastAsia" w:ascii="Times New Roman" w:hAnsi="Times New Roman" w:eastAsia="方正仿宋_GBK" w:cs="Times New Roman"/>
          <w:color w:val="auto"/>
          <w:sz w:val="32"/>
          <w:szCs w:val="32"/>
          <w:highlight w:val="none"/>
        </w:rPr>
        <w:t>优势，持续构建多层次、高能级、体系化的科技创新平台矩阵。培育基础研究类平台基地。聚焦生命健康、新材料、新能源与储能等核心赛道，全力推进国家重点实验室优化重组与新建，重点谋划培育</w:t>
      </w:r>
      <w:r>
        <w:rPr>
          <w:rFonts w:hint="eastAsia" w:ascii="Times New Roman" w:hAnsi="Times New Roman" w:eastAsia="方正仿宋_GBK" w:cs="Times New Roman"/>
          <w:color w:val="auto"/>
          <w:sz w:val="32"/>
          <w:szCs w:val="32"/>
          <w:highlight w:val="none"/>
          <w:lang w:eastAsia="zh-CN"/>
        </w:rPr>
        <w:t>非常规油气开发</w:t>
      </w:r>
      <w:r>
        <w:rPr>
          <w:rFonts w:hint="eastAsia" w:ascii="Times New Roman" w:hAnsi="Times New Roman" w:eastAsia="方正仿宋_GBK" w:cs="Times New Roman"/>
          <w:color w:val="auto"/>
          <w:sz w:val="32"/>
          <w:szCs w:val="32"/>
          <w:highlight w:val="none"/>
        </w:rPr>
        <w:t>等全国重点实验室，做优做强一批特色鲜明、支撑力强的市级重点实验室，形成“国家级为引领、市级为骨干”的基础研究阵地。深度融入全球创新网络，高标准筹建农林病虫害综合治理等“一带一路”联合实验室。前瞻布局岩溶地下水系统等野外科学观测研究站，开展长期、定点的前沿科学观测与数据采集，填补区域关键基础科学数据空白。建设技术创新类平台基地。围绕集成电路、</w:t>
      </w:r>
      <w:r>
        <w:rPr>
          <w:rFonts w:hint="eastAsia" w:ascii="Times New Roman" w:hAnsi="Times New Roman" w:eastAsia="方正仿宋_GBK" w:cs="Times New Roman"/>
          <w:color w:val="auto"/>
          <w:sz w:val="32"/>
          <w:szCs w:val="32"/>
          <w:highlight w:val="none"/>
          <w:lang w:val="en-US" w:eastAsia="zh-CN"/>
        </w:rPr>
        <w:t>新能源汽摩</w:t>
      </w:r>
      <w:r>
        <w:rPr>
          <w:rFonts w:hint="eastAsia" w:ascii="Times New Roman" w:hAnsi="Times New Roman" w:eastAsia="方正仿宋_GBK" w:cs="Times New Roman"/>
          <w:color w:val="auto"/>
          <w:sz w:val="32"/>
          <w:szCs w:val="32"/>
          <w:highlight w:val="none"/>
        </w:rPr>
        <w:t>等标志性产业链，</w:t>
      </w:r>
      <w:r>
        <w:rPr>
          <w:rFonts w:hint="eastAsia" w:eastAsia="方正仿宋_GBK" w:cs="Times New Roman"/>
          <w:bCs/>
          <w:color w:val="auto"/>
          <w:sz w:val="32"/>
          <w:szCs w:val="32"/>
          <w:highlight w:val="none"/>
        </w:rPr>
        <w:t>引导企业、高校院所牵头建设国家级和市级制造业创新中心、企业技术创新中心、产业技术工程化中心等高能级科创平台</w:t>
      </w:r>
      <w:r>
        <w:rPr>
          <w:rFonts w:hint="eastAsia" w:ascii="Times New Roman" w:hAnsi="Times New Roman" w:eastAsia="方正仿宋_GBK" w:cs="Times New Roman"/>
          <w:color w:val="auto"/>
          <w:sz w:val="32"/>
          <w:szCs w:val="32"/>
          <w:highlight w:val="none"/>
        </w:rPr>
        <w:t>。谋划布局无人装备、生物制造等新兴产业创新中心，打造一批新域新质创新平台，加速前沿技术向现实生产力转化。到2030年，全区科创平台基地底座全面夯实、体系更加完善，技术创新能力显著提升，市级</w:t>
      </w:r>
      <w:r>
        <w:rPr>
          <w:rFonts w:hint="eastAsia" w:ascii="Times New Roman" w:hAnsi="Times New Roman" w:eastAsia="方正仿宋_GBK" w:cs="Times New Roman"/>
          <w:color w:val="auto"/>
          <w:sz w:val="32"/>
          <w:szCs w:val="32"/>
          <w:highlight w:val="none"/>
          <w:lang w:eastAsia="zh-CN"/>
        </w:rPr>
        <w:t>及以上科技创新</w:t>
      </w:r>
      <w:r>
        <w:rPr>
          <w:rFonts w:hint="eastAsia" w:ascii="Times New Roman" w:hAnsi="Times New Roman" w:eastAsia="方正仿宋_GBK" w:cs="Times New Roman"/>
          <w:color w:val="auto"/>
          <w:sz w:val="32"/>
          <w:szCs w:val="32"/>
          <w:highlight w:val="none"/>
        </w:rPr>
        <w:t>平台基地增至</w:t>
      </w:r>
      <w:r>
        <w:rPr>
          <w:rFonts w:hint="eastAsia" w:ascii="Times New Roman" w:hAnsi="Times New Roman" w:eastAsia="方正仿宋_GBK" w:cs="Times New Roman"/>
          <w:color w:val="auto"/>
          <w:sz w:val="32"/>
          <w:szCs w:val="32"/>
          <w:highlight w:val="none"/>
          <w:lang w:val="en-US" w:eastAsia="zh-CN"/>
        </w:rPr>
        <w:t>320</w:t>
      </w:r>
      <w:r>
        <w:rPr>
          <w:rFonts w:hint="eastAsia" w:ascii="Times New Roman" w:hAnsi="Times New Roman" w:eastAsia="方正仿宋_GBK" w:cs="Times New Roman"/>
          <w:color w:val="auto"/>
          <w:sz w:val="32"/>
          <w:szCs w:val="32"/>
          <w:highlight w:val="none"/>
        </w:rPr>
        <w:t>家。</w:t>
      </w:r>
    </w:p>
    <w:p w14:paraId="5B9E325D">
      <w:pPr>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4</w:t>
      </w:r>
      <w:r>
        <w:rPr>
          <w:rFonts w:hint="eastAsia" w:ascii="Times New Roman" w:hAnsi="Times New Roman" w:eastAsia="方正黑体_GBK" w:cs="方正黑体_GBK"/>
          <w:color w:val="auto"/>
          <w:kern w:val="0"/>
          <w:sz w:val="32"/>
          <w:szCs w:val="32"/>
          <w:highlight w:val="none"/>
          <w:u w:val="none"/>
          <w:lang w:bidi="ar"/>
        </w:rPr>
        <w:t xml:space="preserve"> 重点科技创新平台基地</w:t>
      </w:r>
    </w:p>
    <w:tbl>
      <w:tblPr>
        <w:tblStyle w:val="22"/>
        <w:tblW w:w="5000" w:type="pct"/>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1D3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456EB6F">
            <w:pPr>
              <w:pStyle w:val="19"/>
              <w:overflowPunct w:val="0"/>
              <w:snapToGrid w:val="0"/>
              <w:spacing w:beforeAutospacing="0" w:afterAutospacing="0" w:line="380" w:lineRule="exact"/>
              <w:ind w:firstLine="480" w:firstLineChars="200"/>
              <w:jc w:val="both"/>
              <w:rPr>
                <w:rFonts w:hint="eastAsia" w:ascii="Times New Roman" w:hAnsi="Times New Roman" w:eastAsia="方正黑体_GBK" w:cs="方正黑体_GBK"/>
                <w:color w:val="auto"/>
                <w:sz w:val="24"/>
                <w:szCs w:val="24"/>
                <w:highlight w:val="none"/>
                <w:u w:val="none"/>
              </w:rPr>
            </w:pPr>
            <w:r>
              <w:rPr>
                <w:rFonts w:hint="eastAsia" w:ascii="Times New Roman" w:hAnsi="Times New Roman" w:eastAsia="方正黑体_GBK" w:cs="方正黑体_GBK"/>
                <w:color w:val="auto"/>
                <w:sz w:val="24"/>
                <w:szCs w:val="24"/>
                <w:highlight w:val="none"/>
                <w:u w:val="none"/>
                <w:lang w:val="en-US" w:eastAsia="zh-CN"/>
              </w:rPr>
              <w:t>1</w:t>
            </w:r>
            <w:r>
              <w:rPr>
                <w:rFonts w:hint="eastAsia" w:ascii="Times New Roman" w:hAnsi="Times New Roman" w:eastAsia="方正黑体_GBK" w:cs="方正黑体_GBK"/>
                <w:color w:val="auto"/>
                <w:sz w:val="24"/>
                <w:szCs w:val="24"/>
                <w:highlight w:val="none"/>
                <w:u w:val="none"/>
              </w:rPr>
              <w:t>．全国重点实验室。</w:t>
            </w:r>
            <w:r>
              <w:rPr>
                <w:rFonts w:hint="eastAsia" w:ascii="Times New Roman" w:hAnsi="Times New Roman" w:eastAsia="方正书宋_GBK" w:cs="Times New Roman"/>
                <w:color w:val="auto"/>
                <w:sz w:val="24"/>
                <w:szCs w:val="24"/>
                <w:highlight w:val="none"/>
                <w:u w:val="none"/>
              </w:rPr>
              <w:t>电子可靠性全国重点实验室、高端装备机械传动全国重点实验室、创伤与化学中毒全国重点实验室、输变电装备技术全国重点实验室、煤矿灾害动力学与控制全国重点实验室、煤矿灾害防控全国重点实验室、高端装备铸造技术全国重点实验室、特种化学电源全国重点实验室、山区土木工程安全与韧性全国重点实验室。</w:t>
            </w:r>
          </w:p>
          <w:p w14:paraId="5BBE2BBE">
            <w:pPr>
              <w:pStyle w:val="19"/>
              <w:overflowPunct w:val="0"/>
              <w:snapToGrid w:val="0"/>
              <w:spacing w:beforeAutospacing="0" w:afterAutospacing="0" w:line="380" w:lineRule="exact"/>
              <w:ind w:firstLine="480" w:firstLineChars="200"/>
              <w:jc w:val="both"/>
              <w:rPr>
                <w:rFonts w:hint="eastAsia" w:ascii="Times New Roman" w:hAnsi="Times New Roman" w:eastAsia="方正书宋_GBK" w:cs="Times New Roman"/>
                <w:color w:val="auto"/>
                <w:sz w:val="24"/>
                <w:szCs w:val="24"/>
                <w:highlight w:val="none"/>
                <w:u w:val="none"/>
              </w:rPr>
            </w:pPr>
            <w:r>
              <w:rPr>
                <w:rFonts w:hint="eastAsia" w:ascii="Times New Roman" w:hAnsi="Times New Roman" w:eastAsia="方正黑体_GBK" w:cs="方正黑体_GBK"/>
                <w:color w:val="auto"/>
                <w:sz w:val="24"/>
                <w:szCs w:val="24"/>
                <w:highlight w:val="none"/>
                <w:u w:val="none"/>
                <w:lang w:val="en-US" w:eastAsia="zh-CN"/>
              </w:rPr>
              <w:t>2</w:t>
            </w:r>
            <w:r>
              <w:rPr>
                <w:rFonts w:hint="eastAsia" w:ascii="Times New Roman" w:hAnsi="Times New Roman" w:eastAsia="方正黑体_GBK" w:cs="方正黑体_GBK"/>
                <w:color w:val="auto"/>
                <w:sz w:val="24"/>
                <w:szCs w:val="24"/>
                <w:highlight w:val="none"/>
                <w:u w:val="none"/>
              </w:rPr>
              <w:t>．制造业创新中心。</w:t>
            </w:r>
            <w:r>
              <w:rPr>
                <w:rFonts w:hint="eastAsia" w:ascii="Times New Roman" w:hAnsi="Times New Roman" w:eastAsia="方正书宋_GBK" w:cs="Times New Roman"/>
                <w:color w:val="auto"/>
                <w:sz w:val="24"/>
                <w:szCs w:val="24"/>
                <w:highlight w:val="none"/>
                <w:u w:val="none"/>
              </w:rPr>
              <w:t>国家地方共建硅基混合集成创新中心、重庆市集成电路特色工艺及封装测试制造业创新中心、重庆市石墨烯制造业创新中心等。</w:t>
            </w:r>
          </w:p>
          <w:p w14:paraId="10161DF2">
            <w:pPr>
              <w:pStyle w:val="19"/>
              <w:overflowPunct w:val="0"/>
              <w:snapToGrid w:val="0"/>
              <w:spacing w:beforeAutospacing="0" w:afterAutospacing="0" w:line="380" w:lineRule="exact"/>
              <w:ind w:firstLine="480" w:firstLineChars="200"/>
              <w:jc w:val="both"/>
              <w:rPr>
                <w:rFonts w:ascii="Times New Roman" w:hAnsi="Times New Roman"/>
                <w:color w:val="auto"/>
                <w:sz w:val="24"/>
                <w:szCs w:val="24"/>
                <w:highlight w:val="none"/>
              </w:rPr>
            </w:pPr>
            <w:r>
              <w:rPr>
                <w:rFonts w:hint="eastAsia" w:ascii="Times New Roman" w:hAnsi="Times New Roman" w:eastAsia="方正黑体_GBK" w:cs="方正黑体_GBK"/>
                <w:color w:val="auto"/>
                <w:sz w:val="24"/>
                <w:szCs w:val="24"/>
                <w:highlight w:val="none"/>
                <w:u w:val="none"/>
                <w:lang w:val="en-US" w:eastAsia="zh-CN"/>
              </w:rPr>
              <w:t>3</w:t>
            </w:r>
            <w:r>
              <w:rPr>
                <w:rFonts w:hint="eastAsia" w:ascii="Times New Roman" w:hAnsi="Times New Roman" w:eastAsia="方正黑体_GBK" w:cs="方正黑体_GBK"/>
                <w:color w:val="auto"/>
                <w:sz w:val="24"/>
                <w:szCs w:val="24"/>
                <w:highlight w:val="none"/>
                <w:u w:val="none"/>
              </w:rPr>
              <w:t>．产业技术工程化中心。</w:t>
            </w:r>
            <w:r>
              <w:rPr>
                <w:rFonts w:hint="eastAsia" w:ascii="Times New Roman" w:hAnsi="Times New Roman" w:eastAsia="方正书宋_GBK" w:cs="Times New Roman"/>
                <w:color w:val="auto"/>
                <w:sz w:val="24"/>
                <w:szCs w:val="24"/>
                <w:highlight w:val="none"/>
                <w:u w:val="none"/>
              </w:rPr>
              <w:t>精密测量产业技术工程化中心、重庆市细胞治疗工程技术研究中心、重庆市通用汽油机及发电机电装品工程技术研究中心、基因与细胞重庆市工程研究中心、5G通信芯片与模组重庆市工程研究中心等。</w:t>
            </w:r>
          </w:p>
        </w:tc>
      </w:tr>
    </w:tbl>
    <w:p w14:paraId="1C0A6454">
      <w:p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123" w:name="_Toc1448970192"/>
      <w:bookmarkStart w:id="124" w:name="_Toc32449"/>
      <w:bookmarkStart w:id="125" w:name="_Toc624733042"/>
      <w:r>
        <w:rPr>
          <w:rFonts w:hint="eastAsia" w:ascii="Times New Roman" w:hAnsi="Times New Roman" w:eastAsia="方正楷体_GBK" w:cs="方正楷体_GBK"/>
          <w:color w:val="auto"/>
          <w:sz w:val="32"/>
          <w:szCs w:val="32"/>
          <w:highlight w:val="none"/>
        </w:rPr>
        <w:t>第四节 打造N个标志性新型研发机构</w:t>
      </w:r>
      <w:bookmarkEnd w:id="123"/>
      <w:bookmarkEnd w:id="124"/>
      <w:bookmarkEnd w:id="125"/>
    </w:p>
    <w:p w14:paraId="438E599C">
      <w:pPr>
        <w:adjustRightInd w:val="0"/>
        <w:snapToGrid w:val="0"/>
        <w:spacing w:line="600" w:lineRule="exact"/>
        <w:ind w:firstLine="640" w:firstLineChars="200"/>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面向知名高校、央属部属科研机构、企业等主体，积极争取高校院所异地研发机构、央企区域研发中心等平台落地布局。探索建立新型研发机构梯度培育机制</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鼓励</w:t>
      </w:r>
      <w:r>
        <w:rPr>
          <w:rFonts w:hint="eastAsia" w:ascii="Times New Roman" w:hAnsi="Times New Roman" w:eastAsia="方正仿宋_GBK" w:cs="Times New Roman"/>
          <w:color w:val="auto"/>
          <w:sz w:val="32"/>
          <w:szCs w:val="32"/>
          <w:highlight w:val="none"/>
        </w:rPr>
        <w:t>新型研发机构注册市场化运营公司开展技术转让、企业孵化、产业服务等业务，探索逐步取消单一财政支持建设运营模式。</w:t>
      </w:r>
      <w:r>
        <w:rPr>
          <w:rFonts w:hint="eastAsia" w:ascii="方正仿宋_GBK" w:hAnsi="方正仿宋_GBK" w:eastAsia="方正仿宋_GBK" w:cs="方正仿宋_GBK"/>
          <w:color w:val="auto"/>
          <w:sz w:val="32"/>
          <w:szCs w:val="32"/>
          <w:highlight w:val="none"/>
        </w:rPr>
        <w:t>发挥高校院所在渝机构的支点作用，推动中国科学院重庆汽车软件创新研究平台、</w:t>
      </w:r>
      <w:r>
        <w:rPr>
          <w:rFonts w:hint="eastAsia" w:ascii="Times New Roman" w:hAnsi="Times New Roman" w:eastAsia="方正仿宋_GBK" w:cs="Times New Roman"/>
          <w:color w:val="auto"/>
          <w:sz w:val="32"/>
          <w:szCs w:val="32"/>
          <w:highlight w:val="none"/>
        </w:rPr>
        <w:t>北京大学重庆大数据研究院、北京大学重庆碳基集成电路研究院、重庆医科大学</w:t>
      </w:r>
      <w:r>
        <w:rPr>
          <w:rFonts w:hint="eastAsia" w:ascii="Times New Roman" w:hAnsi="Times New Roman" w:eastAsia="方正仿宋_GBK" w:cs="Times New Roman"/>
          <w:color w:val="auto"/>
          <w:sz w:val="32"/>
          <w:szCs w:val="32"/>
          <w:highlight w:val="none"/>
          <w:lang w:eastAsia="zh-CN"/>
        </w:rPr>
        <w:t>西部数智医疗研究院</w:t>
      </w:r>
      <w:r>
        <w:rPr>
          <w:rFonts w:hint="eastAsia" w:ascii="Times New Roman" w:hAnsi="Times New Roman" w:eastAsia="方正仿宋_GBK" w:cs="Times New Roman"/>
          <w:color w:val="auto"/>
          <w:sz w:val="32"/>
          <w:szCs w:val="32"/>
          <w:highlight w:val="none"/>
        </w:rPr>
        <w:t>等平台</w:t>
      </w:r>
      <w:r>
        <w:rPr>
          <w:rFonts w:hint="eastAsia" w:ascii="方正仿宋_GBK" w:hAnsi="方正仿宋_GBK" w:eastAsia="方正仿宋_GBK" w:cs="方正仿宋_GBK"/>
          <w:color w:val="auto"/>
          <w:sz w:val="32"/>
          <w:szCs w:val="32"/>
          <w:highlight w:val="none"/>
        </w:rPr>
        <w:t>优质成果落地转化，赋能集成电路、智能网联新能源汽车、生物医药等重点产业高质量发展。</w:t>
      </w:r>
    </w:p>
    <w:p w14:paraId="2AC6CC2A">
      <w:pPr>
        <w:adjustRightInd w:val="0"/>
        <w:snapToGrid w:val="0"/>
        <w:spacing w:line="600" w:lineRule="exact"/>
        <w:ind w:firstLine="640" w:firstLineChars="200"/>
        <w:textAlignment w:val="baseline"/>
        <w:rPr>
          <w:rFonts w:hint="eastAsia" w:ascii="方正仿宋_GBK" w:hAnsi="方正仿宋_GBK" w:eastAsia="方正仿宋_GBK" w:cs="方正仿宋_GBK"/>
          <w:color w:val="auto"/>
          <w:sz w:val="32"/>
          <w:szCs w:val="32"/>
          <w:highlight w:val="none"/>
        </w:rPr>
      </w:pPr>
    </w:p>
    <w:p w14:paraId="33D5A7C5">
      <w:pPr>
        <w:overflowPunct w:val="0"/>
        <w:spacing w:line="600" w:lineRule="exact"/>
        <w:jc w:val="center"/>
        <w:outlineLvl w:val="1"/>
        <w:rPr>
          <w:rFonts w:ascii="Times New Roman" w:hAnsi="Times New Roman" w:eastAsia="方正黑体_GBK" w:cs="方正黑体_GBK"/>
          <w:color w:val="auto"/>
          <w:sz w:val="32"/>
          <w:szCs w:val="32"/>
          <w:highlight w:val="none"/>
        </w:rPr>
      </w:pPr>
      <w:bookmarkStart w:id="126" w:name="_Toc840686711"/>
      <w:bookmarkStart w:id="127" w:name="_Toc377459964"/>
      <w:bookmarkStart w:id="128" w:name="_Toc6018"/>
      <w:r>
        <w:rPr>
          <w:rFonts w:hint="eastAsia" w:ascii="Times New Roman" w:hAnsi="Times New Roman" w:eastAsia="方正黑体_GBK" w:cs="方正黑体_GBK"/>
          <w:color w:val="auto"/>
          <w:sz w:val="32"/>
          <w:szCs w:val="32"/>
          <w:highlight w:val="none"/>
        </w:rPr>
        <w:t>第二章 强化企业科技创新主体地位</w:t>
      </w:r>
      <w:bookmarkEnd w:id="126"/>
      <w:bookmarkEnd w:id="127"/>
      <w:bookmarkEnd w:id="128"/>
    </w:p>
    <w:p w14:paraId="730F38BB">
      <w:pPr>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强化企业科技创新主体地位，</w:t>
      </w:r>
      <w:r>
        <w:rPr>
          <w:rFonts w:hint="eastAsia" w:ascii="方正仿宋_GBK" w:hAnsi="方正仿宋_GBK" w:eastAsia="方正仿宋_GBK" w:cs="方正仿宋_GBK"/>
          <w:color w:val="auto"/>
          <w:sz w:val="32"/>
          <w:szCs w:val="32"/>
          <w:highlight w:val="none"/>
        </w:rPr>
        <w:t>推动人才、资金、技术、平台、项目等创新资源加快向</w:t>
      </w:r>
      <w:r>
        <w:rPr>
          <w:rFonts w:hint="eastAsia" w:ascii="Times New Roman" w:hAnsi="Times New Roman" w:eastAsia="方正仿宋_GBK" w:cs="Times New Roman"/>
          <w:color w:val="auto"/>
          <w:sz w:val="32"/>
          <w:szCs w:val="32"/>
          <w:highlight w:val="none"/>
        </w:rPr>
        <w:t>企业集聚，让</w:t>
      </w:r>
      <w:r>
        <w:rPr>
          <w:rFonts w:hint="eastAsia" w:ascii="方正仿宋_GBK" w:hAnsi="方正仿宋_GBK" w:eastAsia="方正仿宋_GBK" w:cs="方正仿宋_GBK"/>
          <w:color w:val="auto"/>
          <w:sz w:val="32"/>
          <w:szCs w:val="32"/>
          <w:highlight w:val="none"/>
        </w:rPr>
        <w:t>企业成为技术创新决策者和研发投入、科研组织、成果转化的“主力军”。</w:t>
      </w:r>
    </w:p>
    <w:p w14:paraId="1C42C491">
      <w:pPr>
        <w:overflowPunct w:val="0"/>
        <w:spacing w:line="600" w:lineRule="exact"/>
        <w:jc w:val="center"/>
        <w:outlineLvl w:val="2"/>
        <w:rPr>
          <w:rFonts w:ascii="Times New Roman" w:hAnsi="Times New Roman" w:eastAsia="方正楷体_GBK" w:cs="方正楷体_GBK"/>
          <w:color w:val="auto"/>
          <w:sz w:val="32"/>
          <w:szCs w:val="32"/>
          <w:highlight w:val="none"/>
        </w:rPr>
      </w:pPr>
      <w:bookmarkStart w:id="129" w:name="_Toc302921710"/>
      <w:bookmarkStart w:id="130" w:name="_Toc1126638164"/>
      <w:bookmarkStart w:id="131" w:name="_Toc24182"/>
      <w:r>
        <w:rPr>
          <w:rFonts w:hint="eastAsia" w:ascii="Times New Roman" w:hAnsi="Times New Roman" w:eastAsia="方正楷体_GBK" w:cs="方正楷体_GBK"/>
          <w:color w:val="auto"/>
          <w:sz w:val="32"/>
          <w:szCs w:val="32"/>
          <w:highlight w:val="none"/>
        </w:rPr>
        <w:t>第一节 培育创新型企业发展</w:t>
      </w:r>
      <w:r>
        <w:rPr>
          <w:rFonts w:hint="eastAsia" w:ascii="Times New Roman" w:hAnsi="Times New Roman" w:eastAsia="方正楷体_GBK" w:cs="方正楷体_GBK"/>
          <w:color w:val="auto"/>
          <w:sz w:val="32"/>
          <w:szCs w:val="32"/>
          <w:highlight w:val="none"/>
          <w:lang w:val="en-US" w:eastAsia="zh-CN"/>
        </w:rPr>
        <w:t>群体</w:t>
      </w:r>
      <w:bookmarkEnd w:id="129"/>
      <w:bookmarkEnd w:id="130"/>
      <w:bookmarkEnd w:id="131"/>
    </w:p>
    <w:p w14:paraId="6A1E758D">
      <w:pPr>
        <w:pStyle w:val="19"/>
        <w:widowControl/>
        <w:spacing w:beforeAutospacing="0" w:afterAutospacing="0" w:line="600" w:lineRule="exact"/>
        <w:ind w:firstLine="640" w:firstLineChars="200"/>
        <w:jc w:val="both"/>
        <w:rPr>
          <w:rFonts w:hint="eastAsia" w:ascii="方正仿宋_GBK" w:hAnsi="方正仿宋_GBK" w:eastAsia="方正仿宋_GBK" w:cs="方正仿宋_GBK"/>
          <w:color w:val="auto"/>
          <w:sz w:val="32"/>
          <w:szCs w:val="32"/>
          <w:highlight w:val="none"/>
        </w:rPr>
      </w:pPr>
      <w:r>
        <w:rPr>
          <w:rFonts w:ascii="Times New Roman" w:hAnsi="Times New Roman" w:eastAsia="方正仿宋_GBK"/>
          <w:color w:val="auto"/>
          <w:sz w:val="32"/>
          <w:szCs w:val="32"/>
          <w:highlight w:val="none"/>
        </w:rPr>
        <w:t>量质并举推进</w:t>
      </w:r>
      <w:r>
        <w:rPr>
          <w:rFonts w:hint="eastAsia" w:ascii="Times New Roman" w:hAnsi="Times New Roman" w:eastAsia="方正仿宋_GBK"/>
          <w:color w:val="auto"/>
          <w:sz w:val="32"/>
          <w:szCs w:val="32"/>
          <w:highlight w:val="none"/>
        </w:rPr>
        <w:t>科技型企业、高新技术企</w:t>
      </w:r>
      <w:r>
        <w:rPr>
          <w:rFonts w:hint="eastAsia" w:ascii="方正仿宋_GBK" w:hAnsi="方正仿宋_GBK" w:eastAsia="方正仿宋_GBK" w:cs="方正仿宋_GBK"/>
          <w:color w:val="auto"/>
          <w:sz w:val="32"/>
          <w:szCs w:val="32"/>
          <w:highlight w:val="none"/>
        </w:rPr>
        <w:t>业“双倍增”行</w:t>
      </w:r>
      <w:r>
        <w:rPr>
          <w:rFonts w:ascii="Times New Roman" w:hAnsi="Times New Roman" w:eastAsia="方正仿宋_GBK"/>
          <w:color w:val="auto"/>
          <w:sz w:val="32"/>
          <w:szCs w:val="32"/>
          <w:highlight w:val="none"/>
        </w:rPr>
        <w:t>动</w:t>
      </w:r>
      <w:r>
        <w:rPr>
          <w:rFonts w:hint="eastAsia" w:ascii="Times New Roman" w:hAnsi="Times New Roman" w:eastAsia="方正仿宋_GBK"/>
          <w:color w:val="auto"/>
          <w:sz w:val="32"/>
          <w:szCs w:val="32"/>
          <w:highlight w:val="none"/>
        </w:rPr>
        <w:t>。</w:t>
      </w:r>
      <w:r>
        <w:rPr>
          <w:rFonts w:ascii="Times New Roman" w:hAnsi="Times New Roman" w:eastAsia="方正仿宋_GBK"/>
          <w:color w:val="auto"/>
          <w:sz w:val="32"/>
          <w:szCs w:val="32"/>
          <w:highlight w:val="none"/>
        </w:rPr>
        <w:t>健全</w:t>
      </w:r>
      <w:r>
        <w:rPr>
          <w:rFonts w:hint="eastAsia" w:ascii="方正仿宋_GBK" w:hAnsi="方正仿宋_GBK" w:eastAsia="方正仿宋_GBK" w:cs="方正仿宋_GBK"/>
          <w:color w:val="auto"/>
          <w:sz w:val="32"/>
          <w:szCs w:val="32"/>
          <w:highlight w:val="none"/>
        </w:rPr>
        <w:t>“</w:t>
      </w:r>
      <w:r>
        <w:rPr>
          <w:rFonts w:ascii="Times New Roman" w:hAnsi="Times New Roman" w:eastAsia="方正仿宋_GBK"/>
          <w:color w:val="auto"/>
          <w:sz w:val="32"/>
          <w:szCs w:val="32"/>
          <w:highlight w:val="none"/>
        </w:rPr>
        <w:t>科技型中小企业</w:t>
      </w:r>
      <w:r>
        <w:rPr>
          <w:rFonts w:hint="eastAsia" w:ascii="Times New Roman" w:hAnsi="Times New Roman" w:eastAsia="方正仿宋_GBK"/>
          <w:color w:val="auto"/>
          <w:sz w:val="32"/>
          <w:szCs w:val="32"/>
          <w:highlight w:val="none"/>
        </w:rPr>
        <w:t>—</w:t>
      </w:r>
      <w:r>
        <w:rPr>
          <w:rFonts w:ascii="Times New Roman" w:hAnsi="Times New Roman" w:eastAsia="方正仿宋_GBK"/>
          <w:color w:val="auto"/>
          <w:sz w:val="32"/>
          <w:szCs w:val="32"/>
          <w:highlight w:val="none"/>
        </w:rPr>
        <w:t>高新技术企业</w:t>
      </w:r>
      <w:r>
        <w:rPr>
          <w:rFonts w:hint="eastAsia" w:ascii="Times New Roman" w:hAnsi="Times New Roman" w:eastAsia="方正仿宋_GBK"/>
          <w:color w:val="auto"/>
          <w:sz w:val="32"/>
          <w:szCs w:val="32"/>
          <w:highlight w:val="none"/>
        </w:rPr>
        <w:t>—</w:t>
      </w:r>
      <w:r>
        <w:rPr>
          <w:rFonts w:ascii="Times New Roman" w:hAnsi="Times New Roman" w:eastAsia="方正仿宋_GBK"/>
          <w:color w:val="auto"/>
          <w:sz w:val="32"/>
          <w:szCs w:val="32"/>
          <w:highlight w:val="none"/>
        </w:rPr>
        <w:t>科技领军企业</w:t>
      </w:r>
      <w:r>
        <w:rPr>
          <w:rFonts w:hint="eastAsia" w:ascii="方正仿宋_GBK" w:hAnsi="方正仿宋_GBK" w:eastAsia="方正仿宋_GBK" w:cs="方正仿宋_GBK"/>
          <w:color w:val="auto"/>
          <w:sz w:val="32"/>
          <w:szCs w:val="32"/>
          <w:highlight w:val="none"/>
        </w:rPr>
        <w:t>”</w:t>
      </w:r>
      <w:r>
        <w:rPr>
          <w:rFonts w:ascii="Times New Roman" w:hAnsi="Times New Roman" w:eastAsia="方正仿宋_GBK"/>
          <w:color w:val="auto"/>
          <w:sz w:val="32"/>
          <w:szCs w:val="32"/>
          <w:highlight w:val="none"/>
        </w:rPr>
        <w:t>梯度培育体系，</w:t>
      </w:r>
      <w:r>
        <w:rPr>
          <w:rFonts w:hint="eastAsia" w:ascii="Times New Roman" w:hAnsi="Times New Roman" w:eastAsia="方正仿宋_GBK"/>
          <w:color w:val="auto"/>
          <w:sz w:val="32"/>
          <w:szCs w:val="32"/>
          <w:highlight w:val="none"/>
        </w:rPr>
        <w:t>探索优化企业梯度培育政策，制定高新区企业梯度培育清单，加强分层分级定向指导和服务，</w:t>
      </w:r>
      <w:r>
        <w:rPr>
          <w:rFonts w:hint="eastAsia" w:ascii="方正仿宋_GBK" w:hAnsi="方正仿宋_GBK" w:eastAsia="方正仿宋_GBK" w:cs="方正仿宋_GBK"/>
          <w:color w:val="auto"/>
          <w:sz w:val="32"/>
          <w:szCs w:val="32"/>
          <w:highlight w:val="none"/>
        </w:rPr>
        <w:t>推动企业“微成长、小升高、高壮大、大变强”</w:t>
      </w:r>
      <w:r>
        <w:rPr>
          <w:rFonts w:hint="eastAsia" w:ascii="Times New Roman" w:hAnsi="Times New Roman" w:eastAsia="方正仿宋_GBK"/>
          <w:color w:val="auto"/>
          <w:sz w:val="32"/>
          <w:szCs w:val="32"/>
          <w:highlight w:val="none"/>
        </w:rPr>
        <w:t>。优化完善高新区</w:t>
      </w:r>
      <w:r>
        <w:rPr>
          <w:rFonts w:ascii="Times New Roman" w:hAnsi="Times New Roman" w:eastAsia="方正仿宋_GBK"/>
          <w:color w:val="auto"/>
          <w:sz w:val="32"/>
          <w:szCs w:val="32"/>
          <w:highlight w:val="none"/>
        </w:rPr>
        <w:t>瞪羚、独角兽企业等高成长企业培育机制</w:t>
      </w:r>
      <w:r>
        <w:rPr>
          <w:rFonts w:hint="eastAsia" w:ascii="Times New Roman" w:hAnsi="Times New Roman" w:eastAsia="方正仿宋_GBK"/>
          <w:color w:val="auto"/>
          <w:sz w:val="32"/>
          <w:szCs w:val="32"/>
          <w:highlight w:val="none"/>
        </w:rPr>
        <w:t>。盘活存量楼宇打造科创赛事优胜项目、“一带一路”联合成果等特色创业孵化社区，</w:t>
      </w:r>
      <w:r>
        <w:rPr>
          <w:rFonts w:hint="eastAsia" w:ascii="Times New Roman" w:hAnsi="Times New Roman" w:eastAsia="方正仿宋_GBK"/>
          <w:color w:val="auto"/>
          <w:sz w:val="32"/>
          <w:szCs w:val="32"/>
          <w:highlight w:val="none"/>
          <w:lang w:val="en-US" w:eastAsia="zh-CN"/>
        </w:rPr>
        <w:t>鼓励</w:t>
      </w:r>
      <w:r>
        <w:rPr>
          <w:rFonts w:hint="eastAsia" w:ascii="Times New Roman" w:hAnsi="Times New Roman" w:eastAsia="方正仿宋_GBK"/>
          <w:color w:val="auto"/>
          <w:sz w:val="32"/>
          <w:szCs w:val="32"/>
          <w:highlight w:val="none"/>
        </w:rPr>
        <w:t>企业围绕供应链需求设立垂直行业孵化器，构建“1</w:t>
      </w:r>
      <w:r>
        <w:rPr>
          <w:rFonts w:hint="eastAsia" w:ascii="Times New Roman" w:hAnsi="Times New Roman" w:eastAsia="方正仿宋_GBK"/>
          <w:color w:val="auto"/>
          <w:sz w:val="32"/>
          <w:szCs w:val="32"/>
          <w:highlight w:val="none"/>
          <w:lang w:val="en-US" w:eastAsia="zh-CN"/>
        </w:rPr>
        <w:t>+</w:t>
      </w:r>
      <w:r>
        <w:rPr>
          <w:rFonts w:hint="eastAsia" w:ascii="Times New Roman" w:hAnsi="Times New Roman" w:eastAsia="方正仿宋_GBK"/>
          <w:color w:val="auto"/>
          <w:sz w:val="32"/>
          <w:szCs w:val="32"/>
          <w:highlight w:val="none"/>
        </w:rPr>
        <w:t>N”卓越级带动标准级的孵化器体系，探索“孵化服务股权（期权）化”运营模式。大力落实企业</w:t>
      </w:r>
      <w:r>
        <w:rPr>
          <w:rFonts w:hint="eastAsia" w:ascii="方正仿宋_GBK" w:hAnsi="方正仿宋_GBK" w:eastAsia="方正仿宋_GBK" w:cs="方正仿宋_GBK"/>
          <w:color w:val="auto"/>
          <w:sz w:val="32"/>
          <w:szCs w:val="32"/>
          <w:highlight w:val="none"/>
        </w:rPr>
        <w:t>创新支持政策，引导企业建立常态化、长效化的研发投入机制。</w:t>
      </w:r>
      <w:r>
        <w:rPr>
          <w:rFonts w:hint="eastAsia" w:ascii="方正仿宋_GBK" w:hAnsi="方正仿宋_GBK" w:eastAsia="方正仿宋_GBK" w:cs="方正仿宋_GBK"/>
          <w:color w:val="auto"/>
          <w:sz w:val="32"/>
          <w:szCs w:val="32"/>
          <w:highlight w:val="none"/>
          <w:lang w:val="en-US" w:eastAsia="zh-CN"/>
        </w:rPr>
        <w:t>鼓励</w:t>
      </w:r>
      <w:r>
        <w:rPr>
          <w:rFonts w:hint="eastAsia" w:ascii="方正仿宋_GBK" w:hAnsi="方正仿宋_GBK" w:eastAsia="方正仿宋_GBK" w:cs="方正仿宋_GBK"/>
          <w:color w:val="auto"/>
          <w:sz w:val="32"/>
          <w:szCs w:val="32"/>
          <w:highlight w:val="none"/>
        </w:rPr>
        <w:t>企业加大科学研究和技术服务业固定资产投资，推动规模以上工业企业研发平台、研发活动、研发人员全覆盖。</w:t>
      </w:r>
      <w:r>
        <w:rPr>
          <w:rFonts w:ascii="Times New Roman" w:hAnsi="Times New Roman" w:eastAsia="方正仿宋_GBK"/>
          <w:color w:val="auto"/>
          <w:sz w:val="32"/>
          <w:szCs w:val="32"/>
          <w:highlight w:val="none"/>
        </w:rPr>
        <w:t>到2030年，</w:t>
      </w:r>
      <w:r>
        <w:rPr>
          <w:rFonts w:hint="eastAsia" w:ascii="Times New Roman" w:hAnsi="Times New Roman" w:eastAsia="方正仿宋_GBK"/>
          <w:color w:val="auto"/>
          <w:sz w:val="32"/>
          <w:szCs w:val="32"/>
          <w:highlight w:val="none"/>
          <w:lang w:val="en-US" w:eastAsia="zh-CN"/>
        </w:rPr>
        <w:t>建成国家级科技型企业孵化器5家</w:t>
      </w:r>
      <w:r>
        <w:rPr>
          <w:rFonts w:hint="eastAsia"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lang w:val="en-US" w:eastAsia="zh-CN"/>
        </w:rPr>
        <w:t>育成</w:t>
      </w:r>
      <w:r>
        <w:rPr>
          <w:rFonts w:ascii="Times New Roman" w:hAnsi="Times New Roman" w:eastAsia="方正仿宋_GBK"/>
          <w:color w:val="auto"/>
          <w:sz w:val="32"/>
          <w:szCs w:val="32"/>
          <w:highlight w:val="none"/>
        </w:rPr>
        <w:t>高新技术企业达1200家</w:t>
      </w:r>
      <w:r>
        <w:rPr>
          <w:rFonts w:hint="eastAsia" w:ascii="Times New Roman" w:hAnsi="Times New Roman" w:eastAsia="方正仿宋_GBK"/>
          <w:color w:val="auto"/>
          <w:sz w:val="32"/>
          <w:szCs w:val="32"/>
          <w:highlight w:val="none"/>
        </w:rPr>
        <w:t>、专精特新“小巨人”企业33家</w:t>
      </w:r>
      <w:r>
        <w:rPr>
          <w:rFonts w:hint="eastAsia" w:ascii="方正仿宋_GBK" w:hAnsi="方正仿宋_GBK" w:eastAsia="方正仿宋_GBK" w:cs="方正仿宋_GBK"/>
          <w:color w:val="auto"/>
          <w:sz w:val="32"/>
          <w:szCs w:val="32"/>
          <w:highlight w:val="none"/>
        </w:rPr>
        <w:t>。</w:t>
      </w:r>
    </w:p>
    <w:p w14:paraId="3773331B">
      <w:pPr>
        <w:overflowPunct w:val="0"/>
        <w:spacing w:line="600" w:lineRule="exact"/>
        <w:jc w:val="center"/>
        <w:outlineLvl w:val="2"/>
        <w:rPr>
          <w:rFonts w:ascii="Times New Roman" w:hAnsi="Times New Roman" w:eastAsia="方正楷体_GBK" w:cs="方正楷体_GBK"/>
          <w:color w:val="auto"/>
          <w:sz w:val="32"/>
          <w:szCs w:val="32"/>
          <w:highlight w:val="none"/>
        </w:rPr>
      </w:pPr>
      <w:bookmarkStart w:id="132" w:name="_Toc15138"/>
      <w:bookmarkStart w:id="133" w:name="_Toc1668936580"/>
      <w:bookmarkStart w:id="134" w:name="_Toc1044306749"/>
      <w:r>
        <w:rPr>
          <w:rFonts w:hint="eastAsia" w:ascii="Times New Roman" w:hAnsi="Times New Roman" w:eastAsia="方正楷体_GBK" w:cs="方正楷体_GBK"/>
          <w:color w:val="auto"/>
          <w:sz w:val="32"/>
          <w:szCs w:val="32"/>
          <w:highlight w:val="none"/>
        </w:rPr>
        <w:t>第二节 建强</w:t>
      </w:r>
      <w:r>
        <w:rPr>
          <w:rFonts w:hint="eastAsia" w:ascii="Times New Roman" w:hAnsi="Times New Roman" w:eastAsia="方正楷体_GBK" w:cs="方正楷体_GBK"/>
          <w:color w:val="auto"/>
          <w:sz w:val="32"/>
          <w:szCs w:val="32"/>
          <w:highlight w:val="none"/>
          <w:lang w:val="en-US" w:eastAsia="zh-CN"/>
        </w:rPr>
        <w:t>以</w:t>
      </w:r>
      <w:r>
        <w:rPr>
          <w:rFonts w:hint="eastAsia" w:ascii="Times New Roman" w:hAnsi="Times New Roman" w:eastAsia="方正楷体_GBK" w:cs="方正楷体_GBK"/>
          <w:color w:val="auto"/>
          <w:sz w:val="32"/>
          <w:szCs w:val="32"/>
          <w:highlight w:val="none"/>
        </w:rPr>
        <w:t>企业为主导的产业创新综合体</w:t>
      </w:r>
      <w:bookmarkEnd w:id="132"/>
      <w:bookmarkEnd w:id="133"/>
      <w:bookmarkEnd w:id="134"/>
    </w:p>
    <w:p w14:paraId="613C18CE">
      <w:pPr>
        <w:adjustRightInd w:val="0"/>
        <w:snapToGrid w:val="0"/>
        <w:spacing w:line="600" w:lineRule="exact"/>
        <w:ind w:firstLine="640" w:firstLineChars="200"/>
        <w:jc w:val="left"/>
        <w:textAlignment w:val="baseline"/>
        <w:rPr>
          <w:rFonts w:hint="default" w:ascii="Times New Roman" w:hAnsi="Times New Roman" w:eastAsia="方正仿宋_GBK" w:cs="方正黑体_GBK"/>
          <w:color w:val="auto"/>
          <w:sz w:val="28"/>
          <w:szCs w:val="28"/>
          <w:highlight w:val="none"/>
          <w:lang w:val="en-US" w:eastAsia="zh-CN" w:bidi="ar"/>
        </w:rPr>
      </w:pPr>
      <w:r>
        <w:rPr>
          <w:rFonts w:hint="eastAsia" w:ascii="方正仿宋_GBK" w:hAnsi="方正仿宋_GBK" w:eastAsia="方正仿宋_GBK" w:cs="方正仿宋_GBK"/>
          <w:b w:val="0"/>
          <w:bCs w:val="0"/>
          <w:color w:val="auto"/>
          <w:sz w:val="32"/>
          <w:szCs w:val="32"/>
          <w:highlight w:val="none"/>
          <w:u w:val="none" w:color="auto"/>
          <w:lang w:val="en-US" w:eastAsia="zh-CN"/>
        </w:rPr>
        <w:t>高水平打造创新企业牵头、高校院所和创投机构共同参与的产业创新综合体</w:t>
      </w:r>
      <w:r>
        <w:rPr>
          <w:rFonts w:hint="eastAsia" w:ascii="方正仿宋_GBK" w:hAnsi="方正仿宋_GBK" w:eastAsia="方正仿宋_GBK" w:cs="方正仿宋_GBK"/>
          <w:color w:val="auto"/>
          <w:sz w:val="32"/>
          <w:szCs w:val="32"/>
          <w:highlight w:val="none"/>
        </w:rPr>
        <w:t>，促进企业主导的产学研融通创新。</w:t>
      </w:r>
      <w:r>
        <w:rPr>
          <w:rFonts w:hint="eastAsia" w:ascii="Times New Roman" w:hAnsi="Times New Roman" w:eastAsia="方正仿宋_GBK" w:cs="Times New Roman"/>
          <w:color w:val="auto"/>
          <w:sz w:val="32"/>
          <w:szCs w:val="32"/>
          <w:highlight w:val="none"/>
        </w:rPr>
        <w:t>做优做强重庆市精密检测技术产业创新综合体，重点建设国际先进的精密机械试验检测平台，围绕精密机械检测产业化发展提供全链条技术服务。加快建设高速公路新能源廊道装备与应用产业综合体，依托通用机械制造领域工程技术研究中心、MOF材料批量化制备中试平台等创新平台，打造国内领先的高速公路新能源廊道装备与应用产业生态。完善储能安全与智慧能源等产业创新综合体技术攻关、资源配置、产业服务、生态聚合等功能，聚焦储能安全与智慧能源，主攻储能安全、长时储能、智慧调度、氢能协同四大技术方向，持续强化技术供给能力和产业服务效能。积极打造集成电路、高端摩托车、生物医药、新型储能与智慧能源等产业大脑，探索形成数据驱动、精准匹配、高效协同的产业创新范式。</w:t>
      </w:r>
      <w:r>
        <w:rPr>
          <w:rFonts w:hint="eastAsia" w:ascii="Times New Roman" w:hAnsi="Times New Roman" w:eastAsia="方正仿宋_GBK" w:cs="Times New Roman"/>
          <w:color w:val="auto"/>
          <w:sz w:val="32"/>
          <w:szCs w:val="32"/>
          <w:highlight w:val="none"/>
          <w:lang w:val="en-US" w:eastAsia="zh-CN"/>
        </w:rPr>
        <w:t>到2030年，建成产业创新综合体30个。</w:t>
      </w:r>
    </w:p>
    <w:p w14:paraId="6D4906D8">
      <w:pPr>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5</w:t>
      </w:r>
      <w:r>
        <w:rPr>
          <w:rFonts w:hint="eastAsia" w:ascii="Times New Roman" w:hAnsi="Times New Roman" w:eastAsia="方正黑体_GBK" w:cs="方正黑体_GBK"/>
          <w:color w:val="auto"/>
          <w:kern w:val="0"/>
          <w:sz w:val="32"/>
          <w:szCs w:val="32"/>
          <w:highlight w:val="none"/>
          <w:u w:val="none"/>
          <w:lang w:bidi="ar"/>
        </w:rPr>
        <w:t xml:space="preserve"> 产业创新综合体（科技型企业主导型）</w:t>
      </w:r>
    </w:p>
    <w:tbl>
      <w:tblPr>
        <w:tblStyle w:val="22"/>
        <w:tblW w:w="5000" w:type="pct"/>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20C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753A0FF2">
            <w:pPr>
              <w:pStyle w:val="19"/>
              <w:overflowPunct w:val="0"/>
              <w:snapToGrid w:val="0"/>
              <w:spacing w:beforeAutospacing="0" w:afterAutospacing="0" w:line="380" w:lineRule="exact"/>
              <w:ind w:firstLine="480" w:firstLineChars="200"/>
              <w:jc w:val="both"/>
              <w:rPr>
                <w:rFonts w:hint="eastAsia" w:ascii="Times New Roman" w:hAnsi="Times New Roman" w:eastAsia="方正黑体_GBK" w:cs="方正黑体_GBK"/>
                <w:color w:val="auto"/>
                <w:highlight w:val="none"/>
                <w:u w:val="none"/>
              </w:rPr>
            </w:pPr>
            <w:r>
              <w:rPr>
                <w:rFonts w:hint="eastAsia" w:ascii="Times New Roman" w:hAnsi="Times New Roman" w:eastAsia="方正黑体_GBK" w:cs="方正黑体_GBK"/>
                <w:color w:val="auto"/>
                <w:highlight w:val="none"/>
                <w:u w:val="none"/>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重庆市精密检测技术产业创新综合体。</w:t>
            </w:r>
            <w:r>
              <w:rPr>
                <w:rFonts w:hint="eastAsia" w:ascii="Times New Roman" w:hAnsi="Times New Roman" w:eastAsia="方正书宋_GBK" w:cs="Times New Roman"/>
                <w:color w:val="auto"/>
                <w:highlight w:val="none"/>
                <w:u w:val="none"/>
              </w:rPr>
              <w:t>重点建立国际先进的精密机械试验检测平台，研发一批高端精密机械检测装备，集聚一批高水平创新团队，培育一批发展前景广阔的新产业方向，形成一批</w:t>
            </w:r>
            <w:r>
              <w:rPr>
                <w:rFonts w:hint="eastAsia" w:ascii="Times New Roman" w:hAnsi="Times New Roman" w:eastAsia="方正书宋_GBK" w:cs="Times New Roman"/>
                <w:color w:val="auto"/>
                <w:highlight w:val="none"/>
                <w:u w:val="none"/>
                <w:lang w:val="en-US" w:eastAsia="zh-CN"/>
              </w:rPr>
              <w:t>推动</w:t>
            </w:r>
            <w:r>
              <w:rPr>
                <w:rFonts w:hint="eastAsia" w:ascii="Times New Roman" w:hAnsi="Times New Roman" w:eastAsia="方正书宋_GBK" w:cs="Times New Roman"/>
                <w:color w:val="auto"/>
                <w:highlight w:val="none"/>
                <w:u w:val="none"/>
              </w:rPr>
              <w:t>精密机械检测产业化的全产业链技术服务机构，成为我国精密机械检测领域科技创新与产业孵化发展的核心创新基地，努力创建成为重庆市精密机械检测技术领域顶尖的创新创业研究机构和技术创新示范单位，打造成为中国西部地区国际一流的创新综合体。</w:t>
            </w:r>
          </w:p>
          <w:p w14:paraId="581ADF8B">
            <w:pPr>
              <w:pStyle w:val="19"/>
              <w:overflowPunct w:val="0"/>
              <w:snapToGrid w:val="0"/>
              <w:spacing w:beforeAutospacing="0" w:afterAutospacing="0" w:line="380" w:lineRule="exact"/>
              <w:ind w:firstLine="480" w:firstLineChars="200"/>
              <w:jc w:val="both"/>
              <w:rPr>
                <w:rFonts w:hint="eastAsia" w:ascii="Times New Roman" w:hAnsi="Times New Roman" w:eastAsia="方正书宋_GBK" w:cs="Times New Roman"/>
                <w:color w:val="auto"/>
                <w:highlight w:val="none"/>
                <w:u w:val="none"/>
              </w:rPr>
            </w:pPr>
            <w:r>
              <w:rPr>
                <w:rFonts w:hint="eastAsia" w:ascii="Times New Roman" w:hAnsi="Times New Roman" w:eastAsia="方正黑体_GBK" w:cs="方正黑体_GBK"/>
                <w:color w:val="auto"/>
                <w:highlight w:val="none"/>
                <w:u w:val="none"/>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高速公路新能源廊道装备与应用产业创新综合体。</w:t>
            </w:r>
            <w:r>
              <w:rPr>
                <w:rFonts w:hint="eastAsia" w:ascii="Times New Roman" w:hAnsi="Times New Roman" w:eastAsia="方正书宋_GBK" w:cs="Times New Roman"/>
                <w:color w:val="auto"/>
                <w:highlight w:val="none"/>
                <w:u w:val="none"/>
              </w:rPr>
              <w:t>建有通用机械制造领域工程技术研究中心、企业技术中心、MOF材料批量化制备中试平台等12个市级以上创新平台，具备较强的行业影响力、科研引领力、资源整合能力</w:t>
            </w:r>
            <w:r>
              <w:rPr>
                <w:rFonts w:hint="eastAsia" w:ascii="Times New Roman" w:hAnsi="Times New Roman" w:eastAsia="方正书宋_GBK" w:cs="Times New Roman"/>
                <w:color w:val="auto"/>
                <w:highlight w:val="none"/>
                <w:u w:val="none"/>
                <w:lang w:eastAsia="zh-CN"/>
              </w:rPr>
              <w:t>，</w:t>
            </w:r>
            <w:r>
              <w:rPr>
                <w:rFonts w:hint="eastAsia" w:ascii="Times New Roman" w:hAnsi="Times New Roman" w:eastAsia="方正书宋_GBK" w:cs="Times New Roman"/>
                <w:color w:val="auto"/>
                <w:highlight w:val="none"/>
                <w:u w:val="none"/>
              </w:rPr>
              <w:t>旨在打造国内领先的高速公路新能源廊道装备与产业应用生态，为制造型企业赋能，助力重庆本土制造业发展。</w:t>
            </w:r>
          </w:p>
          <w:p w14:paraId="6791F74B">
            <w:pPr>
              <w:pStyle w:val="19"/>
              <w:overflowPunct w:val="0"/>
              <w:snapToGrid w:val="0"/>
              <w:spacing w:beforeAutospacing="0" w:afterAutospacing="0" w:line="380" w:lineRule="exact"/>
              <w:ind w:firstLine="480" w:firstLineChars="200"/>
              <w:jc w:val="both"/>
              <w:rPr>
                <w:rFonts w:ascii="Times New Roman" w:hAnsi="Times New Roman"/>
                <w:color w:val="auto"/>
                <w:sz w:val="24"/>
                <w:szCs w:val="24"/>
                <w:highlight w:val="none"/>
              </w:rPr>
            </w:pPr>
            <w:r>
              <w:rPr>
                <w:rFonts w:hint="eastAsia" w:ascii="Times New Roman" w:hAnsi="Times New Roman" w:eastAsia="方正黑体_GBK" w:cs="方正黑体_GBK"/>
                <w:color w:val="auto"/>
                <w:highlight w:val="none"/>
                <w:u w:val="none"/>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重庆市储能安全与智慧能源产业创新综合体。</w:t>
            </w:r>
            <w:r>
              <w:rPr>
                <w:rFonts w:hint="eastAsia" w:ascii="Times New Roman" w:hAnsi="Times New Roman" w:eastAsia="方正书宋_GBK" w:cs="Times New Roman"/>
                <w:color w:val="auto"/>
                <w:highlight w:val="none"/>
                <w:u w:val="none"/>
              </w:rPr>
              <w:t>整合高校、科研机构、产业链企业等多元力量</w:t>
            </w:r>
            <w:r>
              <w:rPr>
                <w:rFonts w:hint="eastAsia" w:ascii="Times New Roman" w:hAnsi="Times New Roman" w:eastAsia="方正书宋_GBK" w:cs="Times New Roman"/>
                <w:color w:val="auto"/>
                <w:highlight w:val="none"/>
                <w:u w:val="none"/>
                <w:lang w:val="en-US" w:eastAsia="zh-CN"/>
              </w:rPr>
              <w:t>共同</w:t>
            </w:r>
            <w:r>
              <w:rPr>
                <w:rFonts w:hint="eastAsia" w:ascii="Times New Roman" w:hAnsi="Times New Roman" w:eastAsia="方正书宋_GBK" w:cs="Times New Roman"/>
                <w:color w:val="auto"/>
                <w:highlight w:val="none"/>
                <w:u w:val="none"/>
              </w:rPr>
              <w:t>组建</w:t>
            </w:r>
            <w:r>
              <w:rPr>
                <w:rFonts w:hint="eastAsia" w:ascii="Times New Roman" w:hAnsi="Times New Roman" w:eastAsia="方正书宋_GBK" w:cs="Times New Roman"/>
                <w:color w:val="auto"/>
                <w:highlight w:val="none"/>
                <w:u w:val="none"/>
                <w:lang w:eastAsia="zh-CN"/>
              </w:rPr>
              <w:t>，</w:t>
            </w:r>
            <w:r>
              <w:rPr>
                <w:rFonts w:hint="eastAsia" w:ascii="Times New Roman" w:hAnsi="Times New Roman" w:eastAsia="方正书宋_GBK" w:cs="Times New Roman"/>
                <w:color w:val="auto"/>
                <w:highlight w:val="none"/>
                <w:u w:val="none"/>
              </w:rPr>
              <w:t>聚焦储能安全与智慧能源，承担技术攻关、资源配置、产业服务、生态聚合四大功能，主攻储能安全、长时储能、智慧调度、氢能协同四大技术方向。通过“产学研用金”协同，助力国家“双碳”目标，契合重庆产业集群需求，引领行业高质量发展。</w:t>
            </w:r>
          </w:p>
        </w:tc>
      </w:tr>
    </w:tbl>
    <w:p w14:paraId="016B2628">
      <w:pPr>
        <w:overflowPunct w:val="0"/>
        <w:spacing w:line="600" w:lineRule="exact"/>
        <w:jc w:val="center"/>
        <w:outlineLvl w:val="2"/>
        <w:rPr>
          <w:rFonts w:ascii="Times New Roman" w:hAnsi="Times New Roman" w:eastAsia="方正楷体_GBK" w:cs="方正楷体_GBK"/>
          <w:color w:val="auto"/>
          <w:sz w:val="32"/>
          <w:szCs w:val="32"/>
          <w:highlight w:val="none"/>
        </w:rPr>
      </w:pPr>
      <w:bookmarkStart w:id="135" w:name="_Toc8436"/>
      <w:bookmarkStart w:id="136" w:name="_Toc1533186593"/>
      <w:bookmarkStart w:id="137" w:name="_Toc279683512"/>
      <w:r>
        <w:rPr>
          <w:rFonts w:hint="eastAsia" w:ascii="Times New Roman" w:hAnsi="Times New Roman" w:eastAsia="方正楷体_GBK" w:cs="方正楷体_GBK"/>
          <w:color w:val="auto"/>
          <w:sz w:val="32"/>
          <w:szCs w:val="32"/>
          <w:highlight w:val="none"/>
        </w:rPr>
        <w:t>第三节 推动大中小企业协同创新融通发展</w:t>
      </w:r>
      <w:bookmarkEnd w:id="135"/>
      <w:bookmarkEnd w:id="136"/>
      <w:bookmarkEnd w:id="137"/>
    </w:p>
    <w:p w14:paraId="6E3E4D38">
      <w:pPr>
        <w:widowControl/>
        <w:adjustRightInd w:val="0"/>
        <w:snapToGrid w:val="0"/>
        <w:spacing w:line="600" w:lineRule="exact"/>
        <w:ind w:firstLine="640" w:firstLineChars="200"/>
        <w:rPr>
          <w:rFonts w:hint="eastAsia"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鼓励和引导</w:t>
      </w:r>
      <w:r>
        <w:rPr>
          <w:rFonts w:hint="eastAsia" w:ascii="Times New Roman" w:hAnsi="Times New Roman" w:eastAsia="方正仿宋_GBK" w:cs="Times New Roman"/>
          <w:color w:val="auto"/>
          <w:sz w:val="32"/>
          <w:szCs w:val="32"/>
          <w:highlight w:val="none"/>
        </w:rPr>
        <w:t>企业</w:t>
      </w:r>
      <w:r>
        <w:rPr>
          <w:rFonts w:ascii="Times New Roman" w:hAnsi="Times New Roman" w:eastAsia="方正仿宋_GBK" w:cs="Times New Roman"/>
          <w:color w:val="auto"/>
          <w:sz w:val="32"/>
          <w:szCs w:val="32"/>
          <w:highlight w:val="none"/>
        </w:rPr>
        <w:t>超前布局前沿颠覆性技术</w:t>
      </w:r>
      <w:r>
        <w:rPr>
          <w:rFonts w:hint="eastAsia" w:ascii="Times New Roman" w:hAnsi="Times New Roman" w:eastAsia="方正仿宋_GBK" w:cs="Times New Roman"/>
          <w:color w:val="auto"/>
          <w:sz w:val="32"/>
          <w:szCs w:val="32"/>
          <w:highlight w:val="none"/>
          <w:lang w:val="en-US" w:eastAsia="zh-CN"/>
        </w:rPr>
        <w:t>攻关</w:t>
      </w:r>
      <w:r>
        <w:rPr>
          <w:rFonts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推动</w:t>
      </w:r>
      <w:r>
        <w:rPr>
          <w:rFonts w:ascii="Times New Roman" w:hAnsi="Times New Roman" w:eastAsia="方正仿宋_GBK" w:cs="Times New Roman"/>
          <w:color w:val="auto"/>
          <w:sz w:val="32"/>
          <w:szCs w:val="32"/>
          <w:highlight w:val="none"/>
        </w:rPr>
        <w:t>企业牵头或深度参与国家重大科技专项、国家重点研发计划及市级重大科技专项，大幅提升企业在战略科技任务中的承接比例与话语权</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鼓励</w:t>
      </w:r>
      <w:r>
        <w:rPr>
          <w:rFonts w:hint="eastAsia" w:ascii="Times New Roman" w:hAnsi="Times New Roman" w:eastAsia="方正仿宋_GBK" w:cs="Times New Roman"/>
          <w:color w:val="auto"/>
          <w:sz w:val="32"/>
          <w:szCs w:val="32"/>
          <w:highlight w:val="none"/>
        </w:rPr>
        <w:t>企业构建投资孵化生态，积极探索企业生态投资模式，搭建</w:t>
      </w:r>
      <w:r>
        <w:rPr>
          <w:rFonts w:hint="eastAsia" w:ascii="Times New Roman" w:hAnsi="Times New Roman" w:eastAsia="方正仿宋_GBK" w:cs="Times New Roman"/>
          <w:color w:val="auto"/>
          <w:sz w:val="32"/>
          <w:szCs w:val="32"/>
          <w:highlight w:val="none"/>
          <w:lang w:val="en-US" w:eastAsia="zh-CN"/>
        </w:rPr>
        <w:t>鼓励</w:t>
      </w:r>
      <w:r>
        <w:rPr>
          <w:rFonts w:hint="eastAsia" w:ascii="Times New Roman" w:hAnsi="Times New Roman" w:eastAsia="方正仿宋_GBK" w:cs="Times New Roman"/>
          <w:color w:val="auto"/>
          <w:sz w:val="32"/>
          <w:szCs w:val="32"/>
          <w:highlight w:val="none"/>
        </w:rPr>
        <w:t>内部创业、</w:t>
      </w:r>
      <w:r>
        <w:rPr>
          <w:rFonts w:hint="eastAsia" w:ascii="Times New Roman" w:hAnsi="Times New Roman" w:eastAsia="方正仿宋_GBK" w:cs="Times New Roman"/>
          <w:color w:val="auto"/>
          <w:sz w:val="32"/>
          <w:szCs w:val="32"/>
          <w:highlight w:val="none"/>
          <w:lang w:val="en-US" w:eastAsia="zh-CN"/>
        </w:rPr>
        <w:t>孵化</w:t>
      </w:r>
      <w:r>
        <w:rPr>
          <w:rFonts w:hint="eastAsia" w:ascii="Times New Roman" w:hAnsi="Times New Roman" w:eastAsia="方正仿宋_GBK" w:cs="Times New Roman"/>
          <w:color w:val="auto"/>
          <w:sz w:val="32"/>
          <w:szCs w:val="32"/>
          <w:highlight w:val="none"/>
        </w:rPr>
        <w:t>专业化子公司等市场化机制，面向行业前沿技术开展战略性、前瞻性投资孵化，培育一批专精特新企业、高新技术企业。</w:t>
      </w:r>
      <w:r>
        <w:rPr>
          <w:rFonts w:hint="eastAsia" w:ascii="Times New Roman" w:hAnsi="Times New Roman" w:eastAsia="方正仿宋_GBK" w:cs="Times New Roman"/>
          <w:color w:val="auto"/>
          <w:sz w:val="32"/>
          <w:szCs w:val="32"/>
          <w:highlight w:val="none"/>
          <w:lang w:val="en-US" w:eastAsia="zh-CN"/>
        </w:rPr>
        <w:t>推动</w:t>
      </w:r>
      <w:r>
        <w:rPr>
          <w:rFonts w:hint="eastAsia" w:ascii="Times New Roman" w:hAnsi="Times New Roman" w:eastAsia="方正仿宋_GBK" w:cs="Times New Roman"/>
          <w:color w:val="auto"/>
          <w:sz w:val="32"/>
          <w:szCs w:val="32"/>
          <w:highlight w:val="none"/>
        </w:rPr>
        <w:t>企业有序开放共享大型实验设备、精密检测仪器与中试平台等创新资源，带动一批中小企业发展。</w:t>
      </w:r>
    </w:p>
    <w:p w14:paraId="789513B4">
      <w:pPr>
        <w:widowControl/>
        <w:adjustRightInd w:val="0"/>
        <w:snapToGrid w:val="0"/>
        <w:spacing w:line="600" w:lineRule="exact"/>
        <w:ind w:firstLine="640" w:firstLineChars="200"/>
        <w:rPr>
          <w:rFonts w:hint="eastAsia" w:ascii="Times New Roman" w:hAnsi="Times New Roman" w:eastAsia="方正仿宋_GBK" w:cs="Times New Roman"/>
          <w:color w:val="auto"/>
          <w:sz w:val="32"/>
          <w:szCs w:val="32"/>
          <w:highlight w:val="none"/>
        </w:rPr>
      </w:pPr>
    </w:p>
    <w:p w14:paraId="4F69EC61">
      <w:pPr>
        <w:overflowPunct w:val="0"/>
        <w:adjustRightInd w:val="0"/>
        <w:snapToGrid w:val="0"/>
        <w:spacing w:line="600" w:lineRule="exact"/>
        <w:jc w:val="center"/>
        <w:outlineLvl w:val="1"/>
        <w:rPr>
          <w:rFonts w:ascii="Times New Roman" w:hAnsi="Times New Roman" w:eastAsia="方正黑体_GBK" w:cs="方正黑体_GBK"/>
          <w:color w:val="auto"/>
          <w:sz w:val="32"/>
          <w:szCs w:val="32"/>
          <w:highlight w:val="none"/>
        </w:rPr>
      </w:pPr>
      <w:bookmarkStart w:id="138" w:name="_Toc1946566548"/>
      <w:bookmarkStart w:id="139" w:name="_Toc2737"/>
      <w:bookmarkStart w:id="140" w:name="_Toc610788198"/>
      <w:r>
        <w:rPr>
          <w:rFonts w:hint="eastAsia" w:ascii="Times New Roman" w:hAnsi="Times New Roman" w:eastAsia="方正黑体_GBK" w:cs="方正黑体_GBK"/>
          <w:color w:val="auto"/>
          <w:sz w:val="32"/>
          <w:szCs w:val="32"/>
          <w:highlight w:val="none"/>
        </w:rPr>
        <w:t>第三章 构建高水平成果转化为导向的科技攻关体系</w:t>
      </w:r>
      <w:bookmarkEnd w:id="138"/>
      <w:bookmarkEnd w:id="139"/>
      <w:bookmarkEnd w:id="140"/>
    </w:p>
    <w:p w14:paraId="483C3175">
      <w:pPr>
        <w:overflowPunct w:val="0"/>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以国家科技成果转移转化示范区建设为牵引，坚持技术攻关、成果转化和产业化导向，实施科技赋能产业创新工程，完善“成果对接</w:t>
      </w:r>
      <w:r>
        <w:rPr>
          <w:rFonts w:hint="eastAsia" w:ascii="Times New Roman" w:hAnsi="Times New Roman" w:eastAsia="方正仿宋_GBK" w:cs="Times New Roman"/>
          <w:color w:val="auto"/>
          <w:sz w:val="32"/>
          <w:szCs w:val="32"/>
          <w:highlight w:val="none"/>
          <w:lang w:val="en-US" w:eastAsia="zh-CN"/>
        </w:rPr>
        <w:t>+</w:t>
      </w:r>
      <w:r>
        <w:rPr>
          <w:rFonts w:hint="eastAsia" w:ascii="Times New Roman" w:hAnsi="Times New Roman" w:eastAsia="方正仿宋_GBK" w:cs="Times New Roman"/>
          <w:color w:val="auto"/>
          <w:sz w:val="32"/>
          <w:szCs w:val="32"/>
          <w:highlight w:val="none"/>
        </w:rPr>
        <w:t>概念验证</w:t>
      </w:r>
      <w:r>
        <w:rPr>
          <w:rFonts w:hint="eastAsia" w:ascii="Times New Roman" w:hAnsi="Times New Roman" w:eastAsia="方正仿宋_GBK" w:cs="Times New Roman"/>
          <w:color w:val="auto"/>
          <w:sz w:val="32"/>
          <w:szCs w:val="32"/>
          <w:highlight w:val="none"/>
          <w:lang w:val="en-US" w:eastAsia="zh-CN"/>
        </w:rPr>
        <w:t>+</w:t>
      </w:r>
      <w:r>
        <w:rPr>
          <w:rFonts w:hint="eastAsia" w:ascii="Times New Roman" w:hAnsi="Times New Roman" w:eastAsia="方正仿宋_GBK" w:cs="Times New Roman"/>
          <w:color w:val="auto"/>
          <w:sz w:val="32"/>
          <w:szCs w:val="32"/>
          <w:highlight w:val="none"/>
        </w:rPr>
        <w:t>技术转移</w:t>
      </w:r>
      <w:r>
        <w:rPr>
          <w:rFonts w:hint="eastAsia" w:ascii="Times New Roman" w:hAnsi="Times New Roman" w:eastAsia="方正仿宋_GBK" w:cs="Times New Roman"/>
          <w:color w:val="auto"/>
          <w:sz w:val="32"/>
          <w:szCs w:val="32"/>
          <w:highlight w:val="none"/>
          <w:lang w:val="en-US" w:eastAsia="zh-CN"/>
        </w:rPr>
        <w:t>+</w:t>
      </w:r>
      <w:r>
        <w:rPr>
          <w:rFonts w:hint="eastAsia" w:ascii="Times New Roman" w:hAnsi="Times New Roman" w:eastAsia="方正仿宋_GBK" w:cs="Times New Roman"/>
          <w:color w:val="auto"/>
          <w:sz w:val="32"/>
          <w:szCs w:val="32"/>
          <w:highlight w:val="none"/>
        </w:rPr>
        <w:t>中试熟化”服务链条</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积极营造更具活力、更高效率、更为开放的创新氛围，推动科技成果向现实生产力转化。到2030年，促成成果转化3000项。</w:t>
      </w:r>
    </w:p>
    <w:p w14:paraId="7286DF16">
      <w:p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141" w:name="_Toc4045"/>
      <w:bookmarkStart w:id="142" w:name="_Toc1178093838"/>
      <w:bookmarkStart w:id="143" w:name="_Toc545411126"/>
      <w:r>
        <w:rPr>
          <w:rFonts w:hint="eastAsia" w:ascii="Times New Roman" w:hAnsi="Times New Roman" w:eastAsia="方正楷体_GBK" w:cs="方正楷体_GBK"/>
          <w:color w:val="auto"/>
          <w:sz w:val="32"/>
          <w:szCs w:val="32"/>
          <w:highlight w:val="none"/>
        </w:rPr>
        <w:t>第一节 健全“产业出题、科技答题”攻关体系</w:t>
      </w:r>
      <w:bookmarkEnd w:id="141"/>
      <w:bookmarkEnd w:id="142"/>
      <w:bookmarkEnd w:id="143"/>
    </w:p>
    <w:p w14:paraId="4EC5BCB3">
      <w:pPr>
        <w:overflowPunct w:val="0"/>
        <w:adjustRightInd w:val="0"/>
        <w:snapToGrid w:val="0"/>
        <w:spacing w:line="600" w:lineRule="exact"/>
        <w:ind w:firstLine="640" w:firstLineChars="200"/>
        <w:textAlignment w:val="baseline"/>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提速建设科技成果转移转化枢纽平台。做强做优全国高校先导电子区域技术转移转化中心科技成果供给、教育部重庆高等研究院企业技术需求挖掘功能，集成放大工信部火炬中心西南中心、重庆知识产权运营中心等平台资源集聚、流通、撮合功能，推动全市高校院所、国有企业、公立医疗机构等国有创新主体职务科技成果优先在重庆科技要素交易中心挂牌交易。</w:t>
      </w:r>
    </w:p>
    <w:p w14:paraId="20CD9D4D">
      <w:pPr>
        <w:adjustRightInd w:val="0"/>
        <w:snapToGrid w:val="0"/>
        <w:spacing w:line="600" w:lineRule="exact"/>
        <w:ind w:firstLine="640" w:firstLineChars="200"/>
        <w:textAlignment w:val="baseline"/>
        <w:rPr>
          <w:rFonts w:hint="eastAsia" w:ascii="方正仿宋_GBK" w:hAnsi="方正仿宋_GBK" w:eastAsia="方正仿宋_GBK" w:cs="方正仿宋_GBK"/>
          <w:color w:val="auto"/>
          <w:sz w:val="32"/>
          <w:szCs w:val="32"/>
          <w:highlight w:val="none"/>
        </w:rPr>
      </w:pPr>
      <w:r>
        <w:rPr>
          <w:rFonts w:hint="eastAsia" w:ascii="Times New Roman" w:hAnsi="Times New Roman" w:eastAsia="方正仿宋_GBK" w:cs="Times New Roman"/>
          <w:color w:val="auto"/>
          <w:sz w:val="32"/>
          <w:szCs w:val="32"/>
          <w:highlight w:val="none"/>
        </w:rPr>
        <w:t>优化关键核心技术攻关机制。</w:t>
      </w:r>
      <w:r>
        <w:rPr>
          <w:rFonts w:ascii="Times New Roman" w:hAnsi="Times New Roman" w:eastAsia="方正仿宋_GBK" w:cs="Times New Roman"/>
          <w:color w:val="auto"/>
          <w:sz w:val="32"/>
          <w:szCs w:val="32"/>
          <w:highlight w:val="none"/>
        </w:rPr>
        <w:t>建立常态化产业技术创新需求征集发布机制，通过政府搭台、企业挂帅、科研机构答卷，构建</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产业出题、科技答题</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的攻关机制。部署实施企业科技攻关联合行动计划，鼓励企业</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出题、出资</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，高校院所</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出团队、出技术</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，共同开展以企业需求为导向的任务牵引型研发。</w:t>
      </w:r>
      <w:r>
        <w:rPr>
          <w:rFonts w:hint="eastAsia" w:ascii="Times New Roman" w:hAnsi="Times New Roman" w:eastAsia="方正仿宋_GBK" w:cs="Times New Roman"/>
          <w:color w:val="auto"/>
          <w:sz w:val="32"/>
          <w:szCs w:val="32"/>
          <w:highlight w:val="none"/>
        </w:rPr>
        <w:t>聚焦集成电路、高端装备、前沿材料、生命科学、新能源等领域，大力实施基础科学研究引领行动，加速</w:t>
      </w:r>
      <w:r>
        <w:rPr>
          <w:rFonts w:hint="eastAsia" w:ascii="方正仿宋_GBK" w:hAnsi="方正仿宋_GBK" w:eastAsia="方正仿宋_GBK" w:cs="方正仿宋_GBK"/>
          <w:color w:val="auto"/>
          <w:sz w:val="32"/>
          <w:szCs w:val="32"/>
          <w:highlight w:val="none"/>
        </w:rPr>
        <w:t>“</w:t>
      </w:r>
      <w:r>
        <w:rPr>
          <w:rFonts w:hint="eastAsia" w:ascii="Times New Roman" w:hAnsi="Times New Roman" w:eastAsia="方正仿宋_GBK" w:cs="Times New Roman"/>
          <w:color w:val="auto"/>
          <w:sz w:val="32"/>
          <w:szCs w:val="32"/>
          <w:highlight w:val="none"/>
        </w:rPr>
        <w:t>科创大脑+未来实验室</w:t>
      </w:r>
      <w:r>
        <w:rPr>
          <w:rFonts w:ascii="方正仿宋_GBK" w:hAnsi="方正仿宋_GBK" w:eastAsia="方正仿宋_GBK" w:cs="方正仿宋_GBK"/>
          <w:color w:val="auto"/>
          <w:sz w:val="32"/>
          <w:szCs w:val="32"/>
          <w:highlight w:val="none"/>
        </w:rPr>
        <w:t>”</w:t>
      </w:r>
      <w:r>
        <w:rPr>
          <w:rFonts w:hint="eastAsia" w:ascii="Times New Roman" w:hAnsi="Times New Roman" w:eastAsia="方正仿宋_GBK" w:cs="Times New Roman"/>
          <w:color w:val="auto"/>
          <w:sz w:val="32"/>
          <w:szCs w:val="32"/>
          <w:highlight w:val="none"/>
        </w:rPr>
        <w:t>科研范式变革，加快产出原创性科研成果和标志性产品。</w:t>
      </w:r>
      <w:r>
        <w:rPr>
          <w:rFonts w:hint="eastAsia" w:ascii="方正仿宋_GBK" w:hAnsi="方正仿宋_GBK" w:eastAsia="方正仿宋_GBK" w:cs="方正仿宋_GBK"/>
          <w:color w:val="auto"/>
          <w:sz w:val="32"/>
          <w:szCs w:val="32"/>
          <w:highlight w:val="none"/>
        </w:rPr>
        <w:t>以教育部重庆高等研究院、全国高校成果转移转化中心建设为抓手，打造大学城科学城融合发展示范区。</w:t>
      </w:r>
    </w:p>
    <w:p w14:paraId="240A93FC">
      <w:pPr>
        <w:widowControl/>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6</w:t>
      </w:r>
      <w:r>
        <w:rPr>
          <w:rFonts w:hint="eastAsia" w:ascii="Times New Roman" w:hAnsi="Times New Roman" w:eastAsia="方正黑体_GBK" w:cs="方正黑体_GBK"/>
          <w:color w:val="auto"/>
          <w:kern w:val="0"/>
          <w:sz w:val="32"/>
          <w:szCs w:val="32"/>
          <w:highlight w:val="none"/>
          <w:u w:val="none"/>
          <w:lang w:bidi="ar"/>
        </w:rPr>
        <w:t xml:space="preserve"> 重点技术攻关计划</w:t>
      </w:r>
    </w:p>
    <w:tbl>
      <w:tblPr>
        <w:tblStyle w:val="22"/>
        <w:tblW w:w="5000" w:type="pct"/>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7E3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DE0F281">
            <w:pPr>
              <w:pStyle w:val="19"/>
              <w:overflowPunct w:val="0"/>
              <w:snapToGrid w:val="0"/>
              <w:spacing w:beforeAutospacing="0" w:afterAutospacing="0" w:line="380" w:lineRule="exact"/>
              <w:ind w:firstLine="480" w:firstLineChars="200"/>
              <w:jc w:val="both"/>
              <w:rPr>
                <w:rFonts w:hint="eastAsia" w:ascii="Times New Roman" w:hAnsi="Times New Roman" w:eastAsia="方正书宋_GBK" w:cs="Times New Roman"/>
                <w:color w:val="auto"/>
                <w:highlight w:val="none"/>
                <w:u w:val="none"/>
              </w:rPr>
            </w:pPr>
            <w:r>
              <w:rPr>
                <w:rFonts w:hint="eastAsia" w:ascii="Times New Roman" w:hAnsi="Times New Roman" w:eastAsia="方正黑体_GBK" w:cs="方正黑体_GBK"/>
                <w:color w:val="auto"/>
                <w:highlight w:val="none"/>
                <w:u w:val="none"/>
                <w:lang w:val="en-US" w:eastAsia="zh-CN"/>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新能源汽摩。</w:t>
            </w:r>
            <w:r>
              <w:rPr>
                <w:rFonts w:hint="eastAsia" w:ascii="Times New Roman" w:hAnsi="Times New Roman" w:eastAsia="方正书宋_GBK" w:cs="Times New Roman"/>
                <w:color w:val="auto"/>
                <w:highlight w:val="none"/>
                <w:u w:val="none"/>
              </w:rPr>
              <w:t>重点发展高端智能电动摩托车、新能源全地形车、车规级无人物流车及镁合金应用技术智造，预计到2030年汇聚3—5家高能级研发主体。聚焦“车路云一体化”、汽车检测，</w:t>
            </w:r>
            <w:r>
              <w:rPr>
                <w:rFonts w:hint="eastAsia" w:ascii="Times New Roman" w:hAnsi="Times New Roman" w:eastAsia="方正书宋_GBK" w:cs="Times New Roman"/>
                <w:color w:val="auto"/>
                <w:highlight w:val="none"/>
                <w:u w:val="none"/>
                <w:lang w:val="en-US" w:eastAsia="zh-CN"/>
              </w:rPr>
              <w:t>争取</w:t>
            </w:r>
            <w:r>
              <w:rPr>
                <w:rFonts w:hint="eastAsia" w:ascii="Times New Roman" w:hAnsi="Times New Roman" w:eastAsia="方正书宋_GBK" w:cs="Times New Roman"/>
                <w:color w:val="auto"/>
                <w:highlight w:val="none"/>
                <w:u w:val="none"/>
              </w:rPr>
              <w:t>到2030年打通多项“车路云一体化”关键技术链路。重点攻关新能源汽车动力总成、智能化软硬件系统，</w:t>
            </w:r>
            <w:r>
              <w:rPr>
                <w:rFonts w:hint="eastAsia" w:ascii="Times New Roman" w:hAnsi="Times New Roman" w:eastAsia="方正书宋_GBK" w:cs="Times New Roman"/>
                <w:color w:val="auto"/>
                <w:highlight w:val="none"/>
                <w:u w:val="none"/>
                <w:lang w:val="en-US" w:eastAsia="zh-CN"/>
              </w:rPr>
              <w:t>争取</w:t>
            </w:r>
            <w:r>
              <w:rPr>
                <w:rFonts w:hint="eastAsia" w:ascii="Times New Roman" w:hAnsi="Times New Roman" w:eastAsia="方正书宋_GBK" w:cs="Times New Roman"/>
                <w:color w:val="auto"/>
                <w:highlight w:val="none"/>
                <w:u w:val="none"/>
              </w:rPr>
              <w:t>到2030年研发一批智能驾驶系统产品。</w:t>
            </w:r>
          </w:p>
          <w:p w14:paraId="20551D3B">
            <w:pPr>
              <w:pStyle w:val="19"/>
              <w:overflowPunct w:val="0"/>
              <w:snapToGrid w:val="0"/>
              <w:spacing w:beforeAutospacing="0" w:afterAutospacing="0" w:line="380" w:lineRule="exact"/>
              <w:ind w:firstLine="480" w:firstLineChars="200"/>
              <w:jc w:val="both"/>
              <w:rPr>
                <w:rFonts w:hint="eastAsia" w:ascii="Times New Roman" w:hAnsi="Times New Roman" w:eastAsia="方正书宋_GBK" w:cs="Times New Roman"/>
                <w:color w:val="auto"/>
                <w:highlight w:val="none"/>
                <w:u w:val="none"/>
              </w:rPr>
            </w:pPr>
            <w:r>
              <w:rPr>
                <w:rFonts w:hint="eastAsia" w:ascii="Times New Roman" w:hAnsi="Times New Roman" w:eastAsia="方正黑体_GBK" w:cs="方正黑体_GBK"/>
                <w:color w:val="auto"/>
                <w:highlight w:val="none"/>
                <w:u w:val="none"/>
                <w:lang w:val="en-US" w:eastAsia="zh-CN"/>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生物医药。</w:t>
            </w:r>
            <w:r>
              <w:rPr>
                <w:rFonts w:hint="eastAsia" w:ascii="Times New Roman" w:hAnsi="Times New Roman" w:eastAsia="方正书宋_GBK" w:cs="Times New Roman"/>
                <w:color w:val="auto"/>
                <w:highlight w:val="none"/>
                <w:u w:val="none"/>
              </w:rPr>
              <w:t>依托金凤实验室，攻关干细胞质量检测、细胞治疗、智能病理诊断</w:t>
            </w:r>
            <w:r>
              <w:rPr>
                <w:rFonts w:hint="eastAsia" w:ascii="Times New Roman" w:hAnsi="Times New Roman" w:eastAsia="方正书宋_GBK" w:cs="Times New Roman"/>
                <w:color w:val="auto"/>
                <w:highlight w:val="none"/>
                <w:u w:val="none"/>
                <w:lang w:val="en-US" w:eastAsia="zh-CN"/>
              </w:rPr>
              <w:t>等技术</w:t>
            </w:r>
            <w:r>
              <w:rPr>
                <w:rFonts w:hint="eastAsia" w:ascii="Times New Roman" w:hAnsi="Times New Roman" w:eastAsia="方正书宋_GBK" w:cs="Times New Roman"/>
                <w:color w:val="auto"/>
                <w:highlight w:val="none"/>
                <w:u w:val="none"/>
              </w:rPr>
              <w:t>，预计到2030年形成中国自主的干细胞质量检测方法，开发病理数据集和病理诊断大模型，建成投用市级病理远程会诊平台、国家干细胞库（重庆）中心。依托国家健康战略资源中心，聚焦细胞治疗、免疫力评估与干预等技术方向，争取到2030年建成国防动员库、细胞资源库、遗传资源库及细胞智能制造技术平台。依托国家药械审评检查西南分中心，推动药械注册指导、药械注册加速审评，</w:t>
            </w:r>
            <w:r>
              <w:rPr>
                <w:rFonts w:hint="eastAsia" w:ascii="Times New Roman" w:hAnsi="Times New Roman" w:eastAsia="方正书宋_GBK" w:cs="Times New Roman"/>
                <w:color w:val="auto"/>
                <w:highlight w:val="none"/>
                <w:u w:val="none"/>
                <w:lang w:val="en-US" w:eastAsia="zh-CN"/>
              </w:rPr>
              <w:t>推动</w:t>
            </w:r>
            <w:r>
              <w:rPr>
                <w:rFonts w:hint="eastAsia" w:ascii="Times New Roman" w:hAnsi="Times New Roman" w:eastAsia="方正书宋_GBK" w:cs="Times New Roman"/>
                <w:color w:val="auto"/>
                <w:highlight w:val="none"/>
                <w:u w:val="none"/>
              </w:rPr>
              <w:t>干细胞治疗、创新药与高端医疗器械等领域加速产业化。</w:t>
            </w:r>
          </w:p>
          <w:p w14:paraId="0C0655F8">
            <w:pPr>
              <w:pStyle w:val="19"/>
              <w:overflowPunct w:val="0"/>
              <w:snapToGrid w:val="0"/>
              <w:spacing w:beforeAutospacing="0" w:afterAutospacing="0" w:line="380" w:lineRule="exact"/>
              <w:ind w:firstLine="480" w:firstLineChars="200"/>
              <w:jc w:val="both"/>
              <w:rPr>
                <w:rFonts w:ascii="Times New Roman" w:hAnsi="Times New Roman"/>
                <w:color w:val="auto"/>
                <w:sz w:val="24"/>
                <w:szCs w:val="24"/>
                <w:highlight w:val="none"/>
              </w:rPr>
            </w:pPr>
            <w:r>
              <w:rPr>
                <w:rFonts w:hint="eastAsia" w:ascii="Times New Roman" w:hAnsi="Times New Roman" w:eastAsia="方正黑体_GBK" w:cs="方正黑体_GBK"/>
                <w:color w:val="auto"/>
                <w:highlight w:val="none"/>
                <w:u w:val="none"/>
                <w:lang w:val="en-US" w:eastAsia="zh-CN"/>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人工智能+。</w:t>
            </w:r>
            <w:r>
              <w:rPr>
                <w:rFonts w:hint="eastAsia" w:ascii="Times New Roman" w:hAnsi="Times New Roman" w:eastAsia="方正书宋_GBK" w:cs="Times New Roman"/>
                <w:color w:val="auto"/>
                <w:highlight w:val="none"/>
                <w:u w:val="none"/>
              </w:rPr>
              <w:t>依托嘉陵江实验室，聚焦智能机器人系统，预计到2030年建成具身智能机器人系统软硬件平台和基于数字孪生的试验验证系统。依托北京大学重庆大数据研究院，围绕多垂域大模型、科学计算与仿真、科学智能等方向，开发具身智能的多垂域大模型，推广无极中医大模型等。依托上海交通大学沪渝人工智能研究院，围绕多垂域大模型、智慧医疗领域，推广兆言系列大模型、optADMET成药性预测平台等。</w:t>
            </w:r>
          </w:p>
        </w:tc>
      </w:tr>
    </w:tbl>
    <w:p w14:paraId="5EAF149C">
      <w:pPr>
        <w:overflowPunct/>
        <w:adjustRightInd/>
        <w:snapToGrid/>
        <w:spacing w:line="240" w:lineRule="auto"/>
        <w:jc w:val="left"/>
        <w:outlineLvl w:val="9"/>
        <w:rPr>
          <w:rFonts w:hint="eastAsia" w:ascii="Times New Roman" w:hAnsi="Times New Roman" w:eastAsia="方正楷体_GBK" w:cs="方正楷体_GBK"/>
          <w:color w:val="auto"/>
          <w:sz w:val="32"/>
          <w:szCs w:val="32"/>
          <w:highlight w:val="none"/>
        </w:rPr>
      </w:pPr>
      <w:bookmarkStart w:id="144" w:name="_Toc15791"/>
      <w:bookmarkStart w:id="145" w:name="_Toc423909926"/>
      <w:bookmarkStart w:id="146" w:name="_Toc1264589286"/>
      <w:r>
        <w:rPr>
          <w:rFonts w:hint="eastAsia" w:ascii="Times New Roman" w:hAnsi="Times New Roman" w:eastAsia="方正楷体_GBK" w:cs="方正楷体_GBK"/>
          <w:color w:val="auto"/>
          <w:sz w:val="32"/>
          <w:szCs w:val="32"/>
          <w:highlight w:val="none"/>
        </w:rPr>
        <w:br w:type="page"/>
      </w:r>
    </w:p>
    <w:p w14:paraId="396DEDE5">
      <w:p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r>
        <w:rPr>
          <w:rFonts w:hint="eastAsia" w:ascii="Times New Roman" w:hAnsi="Times New Roman" w:eastAsia="方正楷体_GBK" w:cs="方正楷体_GBK"/>
          <w:color w:val="auto"/>
          <w:sz w:val="32"/>
          <w:szCs w:val="32"/>
          <w:highlight w:val="none"/>
        </w:rPr>
        <w:t>第二节 培育概念验证及小试中试平台</w:t>
      </w:r>
      <w:bookmarkEnd w:id="144"/>
      <w:bookmarkEnd w:id="145"/>
      <w:bookmarkEnd w:id="146"/>
    </w:p>
    <w:p w14:paraId="5F7CA49B">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方正仿宋_GBK" w:hAnsi="方正仿宋_GBK" w:eastAsia="方正仿宋_GBK" w:cs="方正仿宋_GBK"/>
          <w:color w:val="auto"/>
          <w:sz w:val="32"/>
          <w:szCs w:val="32"/>
          <w:highlight w:val="none"/>
        </w:rPr>
        <w:t>聚焦集成电路、新能源汽摩、生物医药等重点产业链，系统布局并升级一批概念验证中心，提供技术、产品、市场可行性验证分析，加速科技计划、创业想法走向样本环节，突破成果转化第一阶段。加快布局</w:t>
      </w:r>
      <w:r>
        <w:rPr>
          <w:rFonts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color w:val="auto"/>
          <w:sz w:val="32"/>
          <w:szCs w:val="32"/>
          <w:highlight w:val="none"/>
        </w:rPr>
        <w:t>综合型+专业型</w:t>
      </w:r>
      <w:r>
        <w:rPr>
          <w:rFonts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color w:val="auto"/>
          <w:sz w:val="32"/>
          <w:szCs w:val="32"/>
          <w:highlight w:val="none"/>
        </w:rPr>
        <w:t>小试中试平台体系，全面覆盖从技术熟化到产品定型的产业化关键环节，构筑科技成果从</w:t>
      </w:r>
      <w:r>
        <w:rPr>
          <w:rFonts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color w:val="auto"/>
          <w:sz w:val="32"/>
          <w:szCs w:val="32"/>
          <w:highlight w:val="none"/>
        </w:rPr>
        <w:t>实验室</w:t>
      </w:r>
      <w:r>
        <w:rPr>
          <w:rFonts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color w:val="auto"/>
          <w:sz w:val="32"/>
          <w:szCs w:val="32"/>
          <w:highlight w:val="none"/>
        </w:rPr>
        <w:t>走向</w:t>
      </w:r>
      <w:r>
        <w:rPr>
          <w:rFonts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color w:val="auto"/>
          <w:sz w:val="32"/>
          <w:szCs w:val="32"/>
          <w:highlight w:val="none"/>
        </w:rPr>
        <w:t>生产线</w:t>
      </w:r>
      <w:r>
        <w:rPr>
          <w:rFonts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color w:val="auto"/>
          <w:sz w:val="32"/>
          <w:szCs w:val="32"/>
          <w:highlight w:val="none"/>
        </w:rPr>
        <w:t>的全链条支撑体系，</w:t>
      </w:r>
      <w:r>
        <w:rPr>
          <w:rFonts w:hint="eastAsia" w:ascii="方正仿宋_GBK" w:hAnsi="方正仿宋_GBK" w:eastAsia="方正仿宋_GBK" w:cs="方正仿宋_GBK"/>
          <w:bCs/>
          <w:color w:val="auto"/>
          <w:sz w:val="32"/>
          <w:szCs w:val="40"/>
          <w:highlight w:val="none"/>
        </w:rPr>
        <w:t>为科技成果落地转化提供</w:t>
      </w:r>
      <w:r>
        <w:rPr>
          <w:rFonts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bCs/>
          <w:color w:val="auto"/>
          <w:sz w:val="32"/>
          <w:szCs w:val="40"/>
          <w:highlight w:val="none"/>
        </w:rPr>
        <w:t>应用需求收集</w:t>
      </w:r>
      <w:r>
        <w:rPr>
          <w:rFonts w:hint="eastAsia" w:ascii="方正仿宋_GBK" w:hAnsi="方正仿宋_GBK" w:eastAsia="方正仿宋_GBK" w:cs="方正仿宋_GBK"/>
          <w:bCs/>
          <w:color w:val="auto"/>
          <w:sz w:val="32"/>
          <w:szCs w:val="40"/>
          <w:highlight w:val="none"/>
          <w:lang w:eastAsia="zh-CN"/>
        </w:rPr>
        <w:t>—</w:t>
      </w:r>
      <w:r>
        <w:rPr>
          <w:rFonts w:hint="eastAsia" w:ascii="方正仿宋_GBK" w:hAnsi="方正仿宋_GBK" w:eastAsia="方正仿宋_GBK" w:cs="方正仿宋_GBK"/>
          <w:bCs/>
          <w:color w:val="auto"/>
          <w:sz w:val="32"/>
          <w:szCs w:val="40"/>
          <w:highlight w:val="none"/>
        </w:rPr>
        <w:t>技术验证</w:t>
      </w:r>
      <w:r>
        <w:rPr>
          <w:rFonts w:hint="eastAsia" w:ascii="方正仿宋_GBK" w:hAnsi="方正仿宋_GBK" w:eastAsia="方正仿宋_GBK" w:cs="方正仿宋_GBK"/>
          <w:bCs/>
          <w:color w:val="auto"/>
          <w:sz w:val="32"/>
          <w:szCs w:val="40"/>
          <w:highlight w:val="none"/>
          <w:lang w:eastAsia="zh-CN"/>
        </w:rPr>
        <w:t>—</w:t>
      </w:r>
      <w:r>
        <w:rPr>
          <w:rFonts w:hint="eastAsia" w:ascii="方正仿宋_GBK" w:hAnsi="方正仿宋_GBK" w:eastAsia="方正仿宋_GBK" w:cs="方正仿宋_GBK"/>
          <w:bCs/>
          <w:color w:val="auto"/>
          <w:sz w:val="32"/>
          <w:szCs w:val="40"/>
          <w:highlight w:val="none"/>
        </w:rPr>
        <w:t>产业落地</w:t>
      </w:r>
      <w:r>
        <w:rPr>
          <w:rFonts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bCs/>
          <w:color w:val="auto"/>
          <w:sz w:val="32"/>
          <w:szCs w:val="40"/>
          <w:highlight w:val="none"/>
        </w:rPr>
        <w:t>全流程一站式服务</w:t>
      </w:r>
      <w:r>
        <w:rPr>
          <w:rFonts w:hint="eastAsia" w:ascii="方正仿宋_GBK" w:hAnsi="方正仿宋_GBK" w:eastAsia="方正仿宋_GBK" w:cs="方正仿宋_GBK"/>
          <w:color w:val="auto"/>
          <w:sz w:val="32"/>
          <w:szCs w:val="32"/>
          <w:highlight w:val="none"/>
        </w:rPr>
        <w:t>。鼓励优质企业、高校围绕重庆高新区重点产业链发展需求，牵头创建概念验证中心、小试中试平台，提升技术成果概念验证、试验熟化能力。</w:t>
      </w:r>
      <w:r>
        <w:rPr>
          <w:rFonts w:hint="eastAsia" w:ascii="Times New Roman" w:hAnsi="Times New Roman" w:eastAsia="方正仿宋_GBK" w:cs="Times New Roman"/>
          <w:color w:val="auto"/>
          <w:sz w:val="32"/>
          <w:szCs w:val="32"/>
          <w:highlight w:val="none"/>
        </w:rPr>
        <w:t>到2030年，新建公共服务平台10个。</w:t>
      </w:r>
    </w:p>
    <w:p w14:paraId="58BCF202">
      <w:pPr>
        <w:overflowPunct w:val="0"/>
        <w:spacing w:line="600" w:lineRule="exact"/>
        <w:jc w:val="center"/>
        <w:outlineLvl w:val="2"/>
        <w:rPr>
          <w:rFonts w:ascii="Times New Roman" w:hAnsi="Times New Roman" w:eastAsia="方正楷体_GBK" w:cs="方正楷体_GBK"/>
          <w:color w:val="auto"/>
          <w:sz w:val="32"/>
          <w:szCs w:val="32"/>
          <w:highlight w:val="none"/>
        </w:rPr>
      </w:pPr>
      <w:bookmarkStart w:id="147" w:name="_Toc1450869183"/>
      <w:bookmarkStart w:id="148" w:name="_Toc306475443"/>
      <w:bookmarkStart w:id="149" w:name="_Toc12248"/>
      <w:r>
        <w:rPr>
          <w:rFonts w:hint="eastAsia" w:ascii="Times New Roman" w:hAnsi="Times New Roman" w:eastAsia="方正楷体_GBK" w:cs="方正楷体_GBK"/>
          <w:color w:val="auto"/>
          <w:sz w:val="32"/>
          <w:szCs w:val="32"/>
          <w:highlight w:val="none"/>
        </w:rPr>
        <w:t>第三节 完善科技金融服务体系</w:t>
      </w:r>
      <w:bookmarkEnd w:id="147"/>
      <w:bookmarkEnd w:id="148"/>
      <w:bookmarkEnd w:id="149"/>
    </w:p>
    <w:p w14:paraId="7E087D62">
      <w:pPr>
        <w:spacing w:line="600" w:lineRule="exact"/>
        <w:ind w:firstLine="640" w:firstLineChars="200"/>
        <w:textAlignment w:val="baseline"/>
        <w:rPr>
          <w:rFonts w:hint="eastAsia" w:ascii="Times New Roman" w:hAnsi="Times New Roman" w:eastAsia="方正仿宋_GBK" w:cs="Times New Roman"/>
          <w:color w:val="auto"/>
          <w:sz w:val="32"/>
          <w:szCs w:val="32"/>
          <w:highlight w:val="none"/>
          <w:lang w:val="en-US" w:eastAsia="zh-CN"/>
        </w:rPr>
      </w:pPr>
      <w:r>
        <w:rPr>
          <w:rFonts w:hint="eastAsia" w:ascii="方正仿宋_GBK" w:hAnsi="方正仿宋_GBK" w:eastAsia="方正仿宋_GBK" w:cs="方正仿宋_GBK"/>
          <w:b w:val="0"/>
          <w:bCs w:val="0"/>
          <w:sz w:val="32"/>
          <w:szCs w:val="32"/>
          <w:highlight w:val="none"/>
          <w:u w:val="none" w:color="auto"/>
          <w:lang w:val="en-US" w:eastAsia="zh-CN"/>
        </w:rPr>
        <w:t>鼓励金融机构推出契合科创企业特点、适配智能经济新形态的创新金融产品，大力集聚科技支行、科技保险等专营金融机构和国内外知名创投机构，推动科技并购贷、认股选择权先试先行。</w:t>
      </w:r>
      <w:r>
        <w:rPr>
          <w:rFonts w:ascii="Times New Roman" w:hAnsi="Times New Roman" w:eastAsia="方正仿宋_GBK" w:cs="Times New Roman"/>
          <w:color w:val="auto"/>
          <w:sz w:val="32"/>
          <w:szCs w:val="32"/>
          <w:highlight w:val="none"/>
        </w:rPr>
        <w:t>强化债权融资支持</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开展</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认股权+</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业务模式创新</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升级打造西部创投中心，</w:t>
      </w:r>
      <w:r>
        <w:rPr>
          <w:rFonts w:hint="eastAsia" w:ascii="方正仿宋_GBK" w:hAnsi="方正仿宋_GBK" w:eastAsia="方正仿宋_GBK" w:cs="方正仿宋_GBK"/>
          <w:color w:val="auto"/>
          <w:sz w:val="32"/>
          <w:szCs w:val="32"/>
          <w:highlight w:val="none"/>
        </w:rPr>
        <w:t>建立企业创新融资需求与金融机构、创投机构的信息对接机制</w:t>
      </w:r>
      <w:r>
        <w:rPr>
          <w:rFonts w:hint="eastAsia" w:ascii="Times New Roman" w:hAnsi="Times New Roman" w:eastAsia="方正仿宋_GBK" w:cs="Times New Roman"/>
          <w:color w:val="auto"/>
          <w:sz w:val="32"/>
          <w:szCs w:val="32"/>
          <w:highlight w:val="none"/>
        </w:rPr>
        <w:t>，</w:t>
      </w:r>
      <w:r>
        <w:rPr>
          <w:rFonts w:hint="eastAsia" w:ascii="方正仿宋_GBK" w:hAnsi="方正仿宋_GBK" w:eastAsia="方正仿宋_GBK" w:cs="方正仿宋_GBK"/>
          <w:color w:val="auto"/>
          <w:sz w:val="32"/>
          <w:szCs w:val="32"/>
          <w:highlight w:val="none"/>
        </w:rPr>
        <w:t>丰富科企梯度贷、知识价值信用贷、专利证券化等科技金融产品</w:t>
      </w:r>
      <w:r>
        <w:rPr>
          <w:rFonts w:hint="eastAsia"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构建符合市场规律的容错容亏机制，明确差异化风险容忍区间，</w:t>
      </w:r>
      <w:r>
        <w:rPr>
          <w:rFonts w:hint="eastAsia" w:ascii="Times New Roman" w:hAnsi="Times New Roman" w:eastAsia="方正仿宋_GBK" w:cs="Times New Roman"/>
          <w:color w:val="auto"/>
          <w:sz w:val="32"/>
          <w:szCs w:val="32"/>
          <w:highlight w:val="none"/>
          <w:lang w:val="en-US" w:eastAsia="zh-CN"/>
        </w:rPr>
        <w:t>允许“先投后股”“拨投结合”最高100%容亏率，种子基金、天使基金分别最高80%、60%容亏率。对国资创投机构按照整个基金生命周期进行考核，打造“政府引导、市场运作”的投资生态。</w:t>
      </w:r>
    </w:p>
    <w:p w14:paraId="7CEF5BBE">
      <w:pPr>
        <w:spacing w:line="600" w:lineRule="exact"/>
        <w:ind w:firstLine="640" w:firstLineChars="200"/>
        <w:textAlignment w:val="baseline"/>
        <w:rPr>
          <w:rFonts w:hint="eastAsia" w:ascii="Times New Roman" w:hAnsi="Times New Roman" w:eastAsia="方正仿宋_GBK" w:cs="Times New Roman"/>
          <w:color w:val="auto"/>
          <w:sz w:val="32"/>
          <w:szCs w:val="32"/>
          <w:highlight w:val="none"/>
          <w:lang w:val="en-US" w:eastAsia="zh-CN"/>
        </w:rPr>
      </w:pPr>
    </w:p>
    <w:p w14:paraId="7CCB304A">
      <w:pPr>
        <w:numPr>
          <w:ilvl w:val="-1"/>
          <w:numId w:val="0"/>
        </w:numPr>
        <w:overflowPunct w:val="0"/>
        <w:adjustRightInd w:val="0"/>
        <w:snapToGrid w:val="0"/>
        <w:spacing w:line="600" w:lineRule="exact"/>
        <w:ind w:leftChars="0"/>
        <w:jc w:val="center"/>
        <w:outlineLvl w:val="1"/>
        <w:rPr>
          <w:rFonts w:ascii="Times New Roman" w:hAnsi="Times New Roman" w:eastAsia="方正黑体_GBK" w:cs="方正黑体_GBK"/>
          <w:color w:val="auto"/>
          <w:spacing w:val="-20"/>
          <w:sz w:val="32"/>
          <w:szCs w:val="32"/>
          <w:highlight w:val="none"/>
        </w:rPr>
      </w:pPr>
      <w:bookmarkStart w:id="150" w:name="_Toc1266984995"/>
      <w:bookmarkStart w:id="151" w:name="_Toc81546996"/>
      <w:bookmarkStart w:id="152" w:name="_Toc2979"/>
      <w:r>
        <w:rPr>
          <w:rFonts w:hint="eastAsia" w:ascii="Times New Roman" w:hAnsi="Times New Roman" w:eastAsia="方正黑体_GBK" w:cs="方正黑体_GBK"/>
          <w:color w:val="auto"/>
          <w:spacing w:val="-20"/>
          <w:sz w:val="32"/>
          <w:szCs w:val="32"/>
          <w:highlight w:val="none"/>
          <w:lang w:val="en-US" w:eastAsia="zh-CN"/>
        </w:rPr>
        <w:t xml:space="preserve">第四章 </w:t>
      </w:r>
      <w:r>
        <w:rPr>
          <w:rFonts w:hint="eastAsia" w:ascii="Times New Roman" w:hAnsi="Times New Roman" w:eastAsia="方正黑体_GBK" w:cs="方正黑体_GBK"/>
          <w:color w:val="auto"/>
          <w:spacing w:val="-20"/>
          <w:sz w:val="32"/>
          <w:szCs w:val="32"/>
          <w:highlight w:val="none"/>
        </w:rPr>
        <w:t>探索大学城科学城融合为特色的教育科技人才</w:t>
      </w:r>
      <w:bookmarkEnd w:id="150"/>
      <w:bookmarkEnd w:id="151"/>
      <w:bookmarkStart w:id="153" w:name="_Toc1916450960"/>
      <w:bookmarkStart w:id="154" w:name="_Toc465794986"/>
      <w:r>
        <w:rPr>
          <w:rFonts w:hint="eastAsia" w:ascii="Times New Roman" w:hAnsi="Times New Roman" w:eastAsia="方正黑体_GBK" w:cs="方正黑体_GBK"/>
          <w:color w:val="auto"/>
          <w:spacing w:val="-20"/>
          <w:sz w:val="32"/>
          <w:szCs w:val="32"/>
          <w:highlight w:val="none"/>
        </w:rPr>
        <w:t>一体化改革示范</w:t>
      </w:r>
      <w:bookmarkEnd w:id="152"/>
      <w:bookmarkEnd w:id="153"/>
      <w:bookmarkEnd w:id="154"/>
    </w:p>
    <w:p w14:paraId="373747CE">
      <w:pPr>
        <w:spacing w:line="600" w:lineRule="exact"/>
        <w:ind w:firstLine="640" w:firstLineChars="200"/>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统筹推进教育科技人才体制机制一体改革，</w:t>
      </w:r>
      <w:r>
        <w:rPr>
          <w:rFonts w:hint="eastAsia" w:ascii="Times New Roman" w:hAnsi="Times New Roman" w:eastAsia="方正仿宋_GBK" w:cs="Times New Roman"/>
          <w:color w:val="auto"/>
          <w:sz w:val="32"/>
          <w:szCs w:val="32"/>
          <w:highlight w:val="none"/>
          <w:u w:val="none" w:color="auto"/>
          <w:lang w:val="en-US" w:eastAsia="zh-CN" w:bidi="ar-SA"/>
        </w:rPr>
        <w:t>以大学城和科学城融合发展为特色，</w:t>
      </w:r>
      <w:r>
        <w:rPr>
          <w:rFonts w:hint="eastAsia" w:ascii="方正仿宋_GBK" w:hAnsi="方正仿宋_GBK" w:eastAsia="方正仿宋_GBK" w:cs="方正仿宋_GBK"/>
          <w:color w:val="auto"/>
          <w:sz w:val="32"/>
          <w:szCs w:val="32"/>
          <w:highlight w:val="none"/>
        </w:rPr>
        <w:t>构建“教育</w:t>
      </w:r>
      <w:r>
        <w:rPr>
          <w:rFonts w:hint="eastAsia" w:ascii="方正仿宋_GBK" w:hAnsi="方正仿宋_GBK" w:eastAsia="方正仿宋_GBK" w:cs="方正仿宋_GBK"/>
          <w:color w:val="auto"/>
          <w:sz w:val="32"/>
          <w:szCs w:val="32"/>
          <w:highlight w:val="none"/>
          <w:lang w:val="en-US" w:eastAsia="zh-CN"/>
        </w:rPr>
        <w:t>+</w:t>
      </w:r>
      <w:r>
        <w:rPr>
          <w:rFonts w:hint="eastAsia" w:ascii="方正仿宋_GBK" w:hAnsi="方正仿宋_GBK" w:eastAsia="方正仿宋_GBK" w:cs="方正仿宋_GBK"/>
          <w:color w:val="auto"/>
          <w:sz w:val="32"/>
          <w:szCs w:val="32"/>
          <w:highlight w:val="none"/>
        </w:rPr>
        <w:t>人才</w:t>
      </w:r>
      <w:r>
        <w:rPr>
          <w:rFonts w:hint="eastAsia" w:ascii="方正仿宋_GBK" w:hAnsi="方正仿宋_GBK" w:eastAsia="方正仿宋_GBK" w:cs="方正仿宋_GBK"/>
          <w:color w:val="auto"/>
          <w:sz w:val="32"/>
          <w:szCs w:val="32"/>
          <w:highlight w:val="none"/>
          <w:lang w:val="en-US" w:eastAsia="zh-CN"/>
        </w:rPr>
        <w:t>+</w:t>
      </w:r>
      <w:r>
        <w:rPr>
          <w:rFonts w:hint="eastAsia" w:ascii="方正仿宋_GBK" w:hAnsi="方正仿宋_GBK" w:eastAsia="方正仿宋_GBK" w:cs="方正仿宋_GBK"/>
          <w:color w:val="auto"/>
          <w:sz w:val="32"/>
          <w:szCs w:val="32"/>
          <w:highlight w:val="none"/>
        </w:rPr>
        <w:t>科创</w:t>
      </w:r>
      <w:r>
        <w:rPr>
          <w:rFonts w:hint="eastAsia" w:ascii="方正仿宋_GBK" w:hAnsi="方正仿宋_GBK" w:eastAsia="方正仿宋_GBK" w:cs="方正仿宋_GBK"/>
          <w:color w:val="auto"/>
          <w:sz w:val="32"/>
          <w:szCs w:val="32"/>
          <w:highlight w:val="none"/>
          <w:lang w:val="en-US" w:eastAsia="zh-CN"/>
        </w:rPr>
        <w:t>+</w:t>
      </w:r>
      <w:r>
        <w:rPr>
          <w:rFonts w:hint="eastAsia" w:ascii="方正仿宋_GBK" w:hAnsi="方正仿宋_GBK" w:eastAsia="方正仿宋_GBK" w:cs="方正仿宋_GBK"/>
          <w:color w:val="auto"/>
          <w:sz w:val="32"/>
          <w:szCs w:val="32"/>
          <w:highlight w:val="none"/>
        </w:rPr>
        <w:t>产业”创新生态，打造教育科技人才一体改革先行区。</w:t>
      </w:r>
    </w:p>
    <w:p w14:paraId="3D7F1C15">
      <w:pPr>
        <w:overflowPunct w:val="0"/>
        <w:spacing w:line="600" w:lineRule="exact"/>
        <w:jc w:val="center"/>
        <w:outlineLvl w:val="2"/>
        <w:rPr>
          <w:rFonts w:ascii="Times New Roman" w:hAnsi="Times New Roman" w:eastAsia="方正楷体_GBK" w:cs="方正楷体_GBK"/>
          <w:color w:val="auto"/>
          <w:sz w:val="32"/>
          <w:szCs w:val="32"/>
          <w:highlight w:val="none"/>
        </w:rPr>
      </w:pPr>
      <w:bookmarkStart w:id="155" w:name="_Toc1038436387"/>
      <w:bookmarkStart w:id="156" w:name="_Toc12383"/>
      <w:bookmarkStart w:id="157" w:name="_Toc1831547014"/>
      <w:r>
        <w:rPr>
          <w:rFonts w:hint="eastAsia" w:ascii="Times New Roman" w:hAnsi="Times New Roman" w:eastAsia="方正楷体_GBK" w:cs="方正楷体_GBK"/>
          <w:color w:val="auto"/>
          <w:sz w:val="32"/>
          <w:szCs w:val="32"/>
          <w:highlight w:val="none"/>
        </w:rPr>
        <w:t>第一节 支持高校深化产教融合</w:t>
      </w:r>
      <w:bookmarkEnd w:id="155"/>
      <w:bookmarkEnd w:id="156"/>
      <w:bookmarkEnd w:id="157"/>
    </w:p>
    <w:p w14:paraId="13A44281">
      <w:pPr>
        <w:widowControl/>
        <w:numPr>
          <w:ilvl w:val="255"/>
          <w:numId w:val="0"/>
        </w:numPr>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方正仿宋_GBK" w:hAnsi="方正仿宋_GBK" w:eastAsia="方正仿宋_GBK" w:cs="方正仿宋_GBK"/>
          <w:color w:val="auto"/>
          <w:sz w:val="32"/>
          <w:szCs w:val="32"/>
          <w:highlight w:val="none"/>
        </w:rPr>
        <w:t>发挥教育部重庆高等研究院改革牵引作用，围绕产业需求匹配研究生培养指标，鼓励校企联动实施</w:t>
      </w:r>
      <w:r>
        <w:rPr>
          <w:rFonts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color w:val="auto"/>
          <w:sz w:val="32"/>
          <w:szCs w:val="32"/>
          <w:highlight w:val="none"/>
        </w:rPr>
        <w:t>订单式</w:t>
      </w:r>
      <w:r>
        <w:rPr>
          <w:rFonts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color w:val="auto"/>
          <w:sz w:val="32"/>
          <w:szCs w:val="32"/>
          <w:highlight w:val="none"/>
        </w:rPr>
        <w:t>人才培养。</w:t>
      </w:r>
      <w:r>
        <w:rPr>
          <w:rFonts w:hint="eastAsia" w:ascii="Times New Roman" w:hAnsi="Times New Roman" w:eastAsia="方正仿宋_GBK" w:cs="Times New Roman"/>
          <w:bCs/>
          <w:snapToGrid w:val="0"/>
          <w:color w:val="auto"/>
          <w:kern w:val="0"/>
          <w:sz w:val="32"/>
          <w:szCs w:val="32"/>
          <w:highlight w:val="none"/>
          <w:lang w:bidi="ar"/>
        </w:rPr>
        <w:t>鼓励</w:t>
      </w:r>
      <w:r>
        <w:rPr>
          <w:rFonts w:ascii="Times New Roman" w:hAnsi="Times New Roman" w:eastAsia="方正仿宋_GBK" w:cs="Times New Roman"/>
          <w:bCs/>
          <w:snapToGrid w:val="0"/>
          <w:color w:val="auto"/>
          <w:kern w:val="0"/>
          <w:sz w:val="32"/>
          <w:szCs w:val="32"/>
          <w:highlight w:val="none"/>
          <w:lang w:bidi="ar"/>
        </w:rPr>
        <w:t>高校结合产业发展动态优化调整学科，</w:t>
      </w:r>
      <w:r>
        <w:rPr>
          <w:rFonts w:hint="eastAsia" w:ascii="Times New Roman" w:hAnsi="Times New Roman" w:eastAsia="方正仿宋_GBK"/>
          <w:bCs/>
          <w:snapToGrid w:val="0"/>
          <w:color w:val="auto"/>
          <w:kern w:val="0"/>
          <w:sz w:val="32"/>
          <w:szCs w:val="32"/>
          <w:highlight w:val="none"/>
        </w:rPr>
        <w:t>支持重庆大学等高校围绕人工智能等新兴领域增列博士点、硕士点，创建一流学科，加强基础学科、新兴学科、交叉学科建设，鼓励高校联合引进创新资源共建科教协同育人联合体</w:t>
      </w:r>
      <w:r>
        <w:rPr>
          <w:rFonts w:hint="eastAsia" w:ascii="Times New Roman" w:hAnsi="Times New Roman" w:eastAsia="方正仿宋_GBK" w:cs="Times New Roman"/>
          <w:color w:val="auto"/>
          <w:sz w:val="32"/>
          <w:szCs w:val="32"/>
          <w:highlight w:val="none"/>
        </w:rPr>
        <w:t>。围绕教育科技人才一体化融合发展先行试验区建设，聘请高水平运营管理团队，建设概念验证、小试中试基地、共享实验室等专业技术服务平台，构建生态齐备的一体化创新创业孵化体系，打造“楼上孵化、楼间中试、楼下转化、区内规模化”科技成果转化新范式。</w:t>
      </w:r>
      <w:r>
        <w:rPr>
          <w:rFonts w:hint="eastAsia" w:ascii="方正仿宋_GBK" w:hAnsi="方正仿宋_GBK" w:eastAsia="方正仿宋_GBK" w:cs="方正仿宋_GBK"/>
          <w:color w:val="auto"/>
          <w:sz w:val="32"/>
          <w:szCs w:val="32"/>
          <w:highlight w:val="none"/>
        </w:rPr>
        <w:t>推动重庆大学智谷校区、重庆科技大学智慧创新中心建设，打造重庆医科大学西部数智医疗研究院等新型研发机构，布局建设重庆大学医学科技创新园、重庆医科大学医疗装备产业园、川美工业设计创谷等特色产业载体。拓展重庆大学、西南大学、重庆理工大学国家大学科技园项目合作，推动重庆医科大学、重庆科技大学争创国家大学科技园。</w:t>
      </w:r>
      <w:r>
        <w:rPr>
          <w:rFonts w:hint="eastAsia" w:ascii="Times New Roman" w:hAnsi="Times New Roman" w:eastAsia="方正仿宋_GBK" w:cs="Times New Roman"/>
          <w:color w:val="auto"/>
          <w:sz w:val="32"/>
          <w:szCs w:val="32"/>
          <w:highlight w:val="none"/>
        </w:rPr>
        <w:t>支持高校与企业共建产教联合体，拓展企业实训、项目制培养等多元育才路径。到2030年，</w:t>
      </w:r>
      <w:r>
        <w:rPr>
          <w:rFonts w:hint="eastAsia" w:ascii="方正仿宋_GBK" w:hAnsi="方正仿宋_GBK" w:eastAsia="方正仿宋_GBK" w:cs="方正仿宋_GBK"/>
          <w:b w:val="0"/>
          <w:bCs w:val="0"/>
          <w:color w:val="auto"/>
          <w:kern w:val="2"/>
          <w:sz w:val="32"/>
          <w:szCs w:val="32"/>
          <w:highlight w:val="none"/>
          <w:u w:val="none" w:color="auto"/>
          <w:lang w:val="en-US" w:eastAsia="zh-CN" w:bidi="ar-SA"/>
        </w:rPr>
        <w:t>大学城高校成果本地转化率提升至</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50%</w:t>
      </w:r>
      <w:r>
        <w:rPr>
          <w:rFonts w:hint="eastAsia" w:ascii="Times New Roman" w:hAnsi="Times New Roman" w:eastAsia="方正仿宋_GBK" w:cs="Times New Roman"/>
          <w:color w:val="auto"/>
          <w:sz w:val="32"/>
          <w:szCs w:val="32"/>
          <w:highlight w:val="none"/>
        </w:rPr>
        <w:t>。</w:t>
      </w:r>
    </w:p>
    <w:p w14:paraId="2D91BC7A">
      <w:pPr>
        <w:overflowPunct w:val="0"/>
        <w:spacing w:line="600" w:lineRule="exact"/>
        <w:jc w:val="center"/>
        <w:outlineLvl w:val="2"/>
        <w:rPr>
          <w:rFonts w:ascii="Times New Roman" w:hAnsi="Times New Roman" w:eastAsia="方正楷体_GBK" w:cs="方正楷体_GBK"/>
          <w:color w:val="auto"/>
          <w:sz w:val="32"/>
          <w:szCs w:val="32"/>
          <w:highlight w:val="none"/>
        </w:rPr>
      </w:pPr>
      <w:bookmarkStart w:id="158" w:name="_Toc400757140"/>
      <w:bookmarkStart w:id="159" w:name="_Toc780068200"/>
      <w:bookmarkStart w:id="160" w:name="_Toc27913"/>
      <w:r>
        <w:rPr>
          <w:rFonts w:hint="eastAsia" w:ascii="Times New Roman" w:hAnsi="Times New Roman" w:eastAsia="方正楷体_GBK" w:cs="方正楷体_GBK"/>
          <w:color w:val="auto"/>
          <w:sz w:val="32"/>
          <w:szCs w:val="32"/>
          <w:highlight w:val="none"/>
        </w:rPr>
        <w:t>第二节 支撑西部人才中心建设</w:t>
      </w:r>
      <w:bookmarkEnd w:id="158"/>
      <w:bookmarkEnd w:id="159"/>
      <w:bookmarkEnd w:id="160"/>
    </w:p>
    <w:p w14:paraId="644136A0">
      <w:pPr>
        <w:overflowPunct w:val="0"/>
        <w:spacing w:line="600" w:lineRule="exact"/>
        <w:ind w:firstLine="640" w:firstLineChars="200"/>
        <w:textAlignment w:val="baseline"/>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Cs/>
          <w:snapToGrid w:val="0"/>
          <w:color w:val="auto"/>
          <w:kern w:val="0"/>
          <w:sz w:val="32"/>
          <w:szCs w:val="32"/>
          <w:highlight w:val="none"/>
          <w:lang w:val="en-US" w:eastAsia="zh-CN" w:bidi="ar"/>
        </w:rPr>
        <w:t>实施引才育才机制改革。</w:t>
      </w:r>
      <w:r>
        <w:rPr>
          <w:rFonts w:hint="eastAsia" w:ascii="Times New Roman" w:hAnsi="Times New Roman" w:eastAsia="方正仿宋_GBK" w:cs="Times New Roman"/>
          <w:bCs/>
          <w:snapToGrid w:val="0"/>
          <w:color w:val="auto"/>
          <w:kern w:val="0"/>
          <w:sz w:val="32"/>
          <w:szCs w:val="32"/>
          <w:highlight w:val="none"/>
          <w:lang w:bidi="ar"/>
        </w:rPr>
        <w:t>用好“一行动一计划”，迭代</w:t>
      </w:r>
      <w:r>
        <w:rPr>
          <w:rFonts w:hint="eastAsia" w:ascii="Times New Roman" w:hAnsi="Times New Roman" w:eastAsia="方正仿宋_GBK" w:cs="Times New Roman"/>
          <w:bCs/>
          <w:snapToGrid w:val="0"/>
          <w:color w:val="auto"/>
          <w:kern w:val="0"/>
          <w:sz w:val="32"/>
          <w:szCs w:val="32"/>
          <w:highlight w:val="none"/>
          <w:lang w:eastAsia="zh-CN" w:bidi="ar"/>
        </w:rPr>
        <w:t>“</w:t>
      </w:r>
      <w:r>
        <w:rPr>
          <w:rFonts w:ascii="Times New Roman" w:hAnsi="Times New Roman" w:eastAsia="方正仿宋_GBK" w:cs="Times New Roman"/>
          <w:bCs/>
          <w:snapToGrid w:val="0"/>
          <w:color w:val="auto"/>
          <w:kern w:val="0"/>
          <w:sz w:val="32"/>
          <w:szCs w:val="32"/>
          <w:highlight w:val="none"/>
          <w:lang w:bidi="ar"/>
        </w:rPr>
        <w:t>金凤凰</w:t>
      </w:r>
      <w:r>
        <w:rPr>
          <w:rFonts w:hint="eastAsia" w:ascii="Times New Roman" w:hAnsi="Times New Roman" w:eastAsia="方正仿宋_GBK" w:cs="Times New Roman"/>
          <w:bCs/>
          <w:snapToGrid w:val="0"/>
          <w:color w:val="auto"/>
          <w:kern w:val="0"/>
          <w:sz w:val="32"/>
          <w:szCs w:val="32"/>
          <w:highlight w:val="none"/>
          <w:lang w:eastAsia="zh-CN" w:bidi="ar"/>
        </w:rPr>
        <w:t>”</w:t>
      </w:r>
      <w:r>
        <w:rPr>
          <w:rFonts w:hint="eastAsia" w:ascii="Times New Roman" w:hAnsi="Times New Roman" w:eastAsia="方正仿宋_GBK" w:cs="Times New Roman"/>
          <w:bCs/>
          <w:snapToGrid w:val="0"/>
          <w:color w:val="auto"/>
          <w:kern w:val="0"/>
          <w:sz w:val="32"/>
          <w:szCs w:val="32"/>
          <w:highlight w:val="none"/>
          <w:lang w:val="en-US" w:eastAsia="zh-CN" w:bidi="ar"/>
        </w:rPr>
        <w:t>系列</w:t>
      </w:r>
      <w:r>
        <w:rPr>
          <w:rFonts w:ascii="Times New Roman" w:hAnsi="Times New Roman" w:eastAsia="方正仿宋_GBK" w:cs="Times New Roman"/>
          <w:bCs/>
          <w:snapToGrid w:val="0"/>
          <w:color w:val="auto"/>
          <w:kern w:val="0"/>
          <w:sz w:val="32"/>
          <w:szCs w:val="32"/>
          <w:highlight w:val="none"/>
          <w:lang w:bidi="ar"/>
        </w:rPr>
        <w:t>人才政策，以</w:t>
      </w:r>
      <w:r>
        <w:rPr>
          <w:rFonts w:ascii="方正仿宋_GBK" w:hAnsi="方正仿宋_GBK" w:eastAsia="方正仿宋_GBK" w:cs="方正仿宋_GBK"/>
          <w:color w:val="auto"/>
          <w:sz w:val="32"/>
          <w:szCs w:val="32"/>
          <w:highlight w:val="none"/>
          <w:lang w:bidi="ar"/>
        </w:rPr>
        <w:t>“</w:t>
      </w:r>
      <w:r>
        <w:rPr>
          <w:rFonts w:ascii="Times New Roman" w:hAnsi="Times New Roman" w:eastAsia="方正仿宋_GBK" w:cs="Times New Roman"/>
          <w:bCs/>
          <w:snapToGrid w:val="0"/>
          <w:color w:val="auto"/>
          <w:kern w:val="0"/>
          <w:sz w:val="32"/>
          <w:szCs w:val="32"/>
          <w:highlight w:val="none"/>
          <w:lang w:bidi="ar"/>
        </w:rPr>
        <w:t>领军人才</w:t>
      </w:r>
      <w:r>
        <w:rPr>
          <w:rFonts w:hint="eastAsia" w:ascii="Times New Roman" w:hAnsi="Times New Roman" w:eastAsia="方正仿宋_GBK" w:cs="Times New Roman"/>
          <w:bCs/>
          <w:snapToGrid w:val="0"/>
          <w:color w:val="auto"/>
          <w:kern w:val="0"/>
          <w:sz w:val="32"/>
          <w:szCs w:val="32"/>
          <w:highlight w:val="none"/>
          <w:lang w:bidi="ar"/>
        </w:rPr>
        <w:t>+</w:t>
      </w:r>
      <w:r>
        <w:rPr>
          <w:rFonts w:ascii="Times New Roman" w:hAnsi="Times New Roman" w:eastAsia="方正仿宋_GBK" w:cs="Times New Roman"/>
          <w:bCs/>
          <w:snapToGrid w:val="0"/>
          <w:color w:val="auto"/>
          <w:kern w:val="0"/>
          <w:sz w:val="32"/>
          <w:szCs w:val="32"/>
          <w:highlight w:val="none"/>
          <w:lang w:bidi="ar"/>
        </w:rPr>
        <w:t>团队</w:t>
      </w:r>
      <w:r>
        <w:rPr>
          <w:rFonts w:hint="eastAsia" w:ascii="Times New Roman" w:hAnsi="Times New Roman" w:eastAsia="方正仿宋_GBK" w:cs="Times New Roman"/>
          <w:bCs/>
          <w:snapToGrid w:val="0"/>
          <w:color w:val="auto"/>
          <w:kern w:val="0"/>
          <w:sz w:val="32"/>
          <w:szCs w:val="32"/>
          <w:highlight w:val="none"/>
          <w:lang w:bidi="ar"/>
        </w:rPr>
        <w:t>+</w:t>
      </w:r>
      <w:r>
        <w:rPr>
          <w:rFonts w:ascii="Times New Roman" w:hAnsi="Times New Roman" w:eastAsia="方正仿宋_GBK" w:cs="Times New Roman"/>
          <w:bCs/>
          <w:snapToGrid w:val="0"/>
          <w:color w:val="auto"/>
          <w:kern w:val="0"/>
          <w:sz w:val="32"/>
          <w:szCs w:val="32"/>
          <w:highlight w:val="none"/>
          <w:lang w:bidi="ar"/>
        </w:rPr>
        <w:t>项目</w:t>
      </w:r>
      <w:r>
        <w:rPr>
          <w:rFonts w:hint="eastAsia" w:ascii="Times New Roman" w:hAnsi="Times New Roman" w:eastAsia="方正仿宋_GBK" w:cs="Times New Roman"/>
          <w:bCs/>
          <w:snapToGrid w:val="0"/>
          <w:color w:val="auto"/>
          <w:kern w:val="0"/>
          <w:sz w:val="32"/>
          <w:szCs w:val="32"/>
          <w:highlight w:val="none"/>
          <w:lang w:bidi="ar"/>
        </w:rPr>
        <w:t>+</w:t>
      </w:r>
      <w:r>
        <w:rPr>
          <w:rFonts w:ascii="Times New Roman" w:hAnsi="Times New Roman" w:eastAsia="方正仿宋_GBK" w:cs="Times New Roman"/>
          <w:bCs/>
          <w:snapToGrid w:val="0"/>
          <w:color w:val="auto"/>
          <w:kern w:val="0"/>
          <w:sz w:val="32"/>
          <w:szCs w:val="32"/>
          <w:highlight w:val="none"/>
          <w:lang w:bidi="ar"/>
        </w:rPr>
        <w:t>企</w:t>
      </w:r>
      <w:r>
        <w:rPr>
          <w:rFonts w:hint="eastAsia" w:ascii="Times New Roman" w:hAnsi="Times New Roman" w:eastAsia="方正仿宋_GBK" w:cs="Times New Roman"/>
          <w:bCs/>
          <w:snapToGrid w:val="0"/>
          <w:color w:val="auto"/>
          <w:kern w:val="0"/>
          <w:sz w:val="32"/>
          <w:szCs w:val="32"/>
          <w:highlight w:val="none"/>
          <w:lang w:bidi="ar"/>
        </w:rPr>
        <w:t>业+投资</w:t>
      </w:r>
      <w:r>
        <w:rPr>
          <w:rFonts w:ascii="方正仿宋_GBK" w:hAnsi="方正仿宋_GBK" w:eastAsia="方正仿宋_GBK" w:cs="方正仿宋_GBK"/>
          <w:color w:val="auto"/>
          <w:sz w:val="32"/>
          <w:szCs w:val="32"/>
          <w:highlight w:val="none"/>
          <w:lang w:bidi="ar"/>
        </w:rPr>
        <w:t>”</w:t>
      </w:r>
      <w:r>
        <w:rPr>
          <w:rFonts w:hint="eastAsia" w:ascii="Times New Roman" w:hAnsi="Times New Roman" w:eastAsia="方正仿宋_GBK" w:cs="Times New Roman"/>
          <w:bCs/>
          <w:snapToGrid w:val="0"/>
          <w:color w:val="auto"/>
          <w:kern w:val="0"/>
          <w:sz w:val="32"/>
          <w:szCs w:val="32"/>
          <w:highlight w:val="none"/>
          <w:lang w:bidi="ar"/>
        </w:rPr>
        <w:t>成建制招引</w:t>
      </w:r>
      <w:r>
        <w:rPr>
          <w:rFonts w:hint="eastAsia" w:ascii="Times New Roman" w:hAnsi="Times New Roman" w:eastAsia="方正仿宋_GBK" w:cs="Times New Roman"/>
          <w:bCs/>
          <w:snapToGrid w:val="0"/>
          <w:color w:val="auto"/>
          <w:kern w:val="0"/>
          <w:sz w:val="32"/>
          <w:szCs w:val="32"/>
          <w:highlight w:val="none"/>
          <w:lang w:val="en-US" w:eastAsia="zh-CN" w:bidi="ar"/>
        </w:rPr>
        <w:t>科技领军</w:t>
      </w:r>
      <w:r>
        <w:rPr>
          <w:rFonts w:hint="eastAsia" w:ascii="Times New Roman" w:hAnsi="Times New Roman" w:eastAsia="方正仿宋_GBK" w:cs="Times New Roman"/>
          <w:bCs/>
          <w:snapToGrid w:val="0"/>
          <w:color w:val="auto"/>
          <w:kern w:val="0"/>
          <w:sz w:val="32"/>
          <w:szCs w:val="32"/>
          <w:highlight w:val="none"/>
          <w:lang w:bidi="ar"/>
        </w:rPr>
        <w:t>团队。</w:t>
      </w:r>
      <w:r>
        <w:rPr>
          <w:rFonts w:hint="eastAsia" w:ascii="Times New Roman" w:hAnsi="Times New Roman" w:eastAsia="方正仿宋_GBK" w:cs="Times New Roman"/>
          <w:bCs/>
          <w:snapToGrid w:val="0"/>
          <w:color w:val="auto"/>
          <w:kern w:val="0"/>
          <w:sz w:val="32"/>
          <w:szCs w:val="32"/>
          <w:highlight w:val="none"/>
          <w:lang w:val="en-US" w:eastAsia="zh-CN" w:bidi="ar"/>
        </w:rPr>
        <w:t>探索实施“金凤凰”人才评价“四认制”，推行目录直认制，开展以贡献为核心、以实绩为依据的积分制，实施专家人才举荐认定制，</w:t>
      </w:r>
      <w:r>
        <w:rPr>
          <w:rFonts w:hint="eastAsia" w:ascii="Times New Roman" w:hAnsi="Times New Roman" w:eastAsia="方正仿宋_GBK" w:cs="Times New Roman"/>
          <w:bCs/>
          <w:snapToGrid w:val="0"/>
          <w:color w:val="auto"/>
          <w:kern w:val="0"/>
          <w:sz w:val="32"/>
          <w:szCs w:val="32"/>
          <w:highlight w:val="none"/>
          <w:lang w:bidi="ar"/>
        </w:rPr>
        <w:t>支持更多青年科技人才</w:t>
      </w:r>
      <w:r>
        <w:rPr>
          <w:rFonts w:ascii="方正仿宋_GBK" w:hAnsi="方正仿宋_GBK" w:eastAsia="方正仿宋_GBK" w:cs="方正仿宋_GBK"/>
          <w:color w:val="auto"/>
          <w:sz w:val="32"/>
          <w:szCs w:val="32"/>
          <w:highlight w:val="none"/>
          <w:lang w:bidi="ar"/>
        </w:rPr>
        <w:t>“</w:t>
      </w:r>
      <w:r>
        <w:rPr>
          <w:rFonts w:hint="eastAsia" w:ascii="Times New Roman" w:hAnsi="Times New Roman" w:eastAsia="方正仿宋_GBK" w:cs="Times New Roman"/>
          <w:bCs/>
          <w:snapToGrid w:val="0"/>
          <w:color w:val="auto"/>
          <w:kern w:val="0"/>
          <w:sz w:val="32"/>
          <w:szCs w:val="32"/>
          <w:highlight w:val="none"/>
          <w:lang w:bidi="ar"/>
        </w:rPr>
        <w:t>挑大梁、当主角</w:t>
      </w:r>
      <w:r>
        <w:rPr>
          <w:rFonts w:ascii="方正仿宋_GBK" w:hAnsi="方正仿宋_GBK" w:eastAsia="方正仿宋_GBK" w:cs="方正仿宋_GBK"/>
          <w:color w:val="auto"/>
          <w:sz w:val="32"/>
          <w:szCs w:val="32"/>
          <w:highlight w:val="none"/>
          <w:lang w:bidi="ar"/>
        </w:rPr>
        <w:t>”</w:t>
      </w:r>
      <w:r>
        <w:rPr>
          <w:rFonts w:hint="eastAsia" w:ascii="Times New Roman" w:hAnsi="Times New Roman" w:eastAsia="方正仿宋_GBK" w:cs="Times New Roman"/>
          <w:bCs/>
          <w:snapToGrid w:val="0"/>
          <w:color w:val="auto"/>
          <w:kern w:val="0"/>
          <w:sz w:val="32"/>
          <w:szCs w:val="32"/>
          <w:highlight w:val="none"/>
          <w:lang w:bidi="ar"/>
        </w:rPr>
        <w:t>。</w:t>
      </w:r>
      <w:r>
        <w:rPr>
          <w:rFonts w:hint="eastAsia" w:ascii="Times New Roman" w:hAnsi="Times New Roman" w:eastAsia="方正仿宋_GBK" w:cs="Times New Roman"/>
          <w:color w:val="auto"/>
          <w:sz w:val="32"/>
          <w:szCs w:val="32"/>
          <w:highlight w:val="none"/>
          <w:lang w:eastAsia="zh-CN"/>
        </w:rPr>
        <w:t>推行“工学一体化”技能人才培养模式，</w:t>
      </w:r>
      <w:r>
        <w:rPr>
          <w:rFonts w:hint="eastAsia" w:ascii="Times New Roman" w:hAnsi="Times New Roman" w:eastAsia="方正仿宋_GBK" w:cs="Times New Roman"/>
          <w:color w:val="auto"/>
          <w:sz w:val="32"/>
          <w:szCs w:val="32"/>
          <w:highlight w:val="none"/>
          <w:lang w:val="en-US" w:eastAsia="zh-CN"/>
        </w:rPr>
        <w:t>建设高技能人才培训基地、技能大师工作室，加强“数智工匠”培育，扩量提质技能人才队伍。</w:t>
      </w:r>
      <w:r>
        <w:rPr>
          <w:rFonts w:hint="eastAsia" w:ascii="Times New Roman" w:hAnsi="Times New Roman" w:eastAsia="方正仿宋_GBK" w:cs="Times New Roman"/>
          <w:bCs/>
          <w:snapToGrid w:val="0"/>
          <w:color w:val="auto"/>
          <w:kern w:val="0"/>
          <w:sz w:val="32"/>
          <w:szCs w:val="32"/>
          <w:highlight w:val="none"/>
          <w:lang w:bidi="ar"/>
        </w:rPr>
        <w:t>借力重庆国际人才交流大会等高层次人才对接活动平台，持续开展高新区引才专场活动，提升</w:t>
      </w:r>
      <w:r>
        <w:rPr>
          <w:rFonts w:hint="eastAsia" w:ascii="Times New Roman" w:hAnsi="Times New Roman" w:eastAsia="方正仿宋_GBK" w:cs="Times New Roman"/>
          <w:bCs/>
          <w:snapToGrid w:val="0"/>
          <w:color w:val="auto"/>
          <w:kern w:val="0"/>
          <w:sz w:val="32"/>
          <w:szCs w:val="32"/>
          <w:highlight w:val="none"/>
          <w:lang w:eastAsia="zh-CN" w:bidi="ar"/>
        </w:rPr>
        <w:t>“</w:t>
      </w:r>
      <w:r>
        <w:rPr>
          <w:rFonts w:hint="eastAsia" w:ascii="Times New Roman" w:hAnsi="Times New Roman" w:eastAsia="方正仿宋_GBK" w:cs="Times New Roman"/>
          <w:bCs/>
          <w:snapToGrid w:val="0"/>
          <w:color w:val="auto"/>
          <w:kern w:val="0"/>
          <w:sz w:val="32"/>
          <w:szCs w:val="32"/>
          <w:highlight w:val="none"/>
          <w:lang w:bidi="ar"/>
        </w:rPr>
        <w:t>金凤凰</w:t>
      </w:r>
      <w:r>
        <w:rPr>
          <w:rFonts w:hint="eastAsia" w:ascii="Times New Roman" w:hAnsi="Times New Roman" w:eastAsia="方正仿宋_GBK" w:cs="Times New Roman"/>
          <w:bCs/>
          <w:snapToGrid w:val="0"/>
          <w:color w:val="auto"/>
          <w:kern w:val="0"/>
          <w:sz w:val="32"/>
          <w:szCs w:val="32"/>
          <w:highlight w:val="none"/>
          <w:lang w:eastAsia="zh-CN" w:bidi="ar"/>
        </w:rPr>
        <w:t>”</w:t>
      </w:r>
      <w:r>
        <w:rPr>
          <w:rFonts w:hint="eastAsia" w:ascii="Times New Roman" w:hAnsi="Times New Roman" w:eastAsia="方正仿宋_GBK" w:cs="Times New Roman"/>
          <w:bCs/>
          <w:snapToGrid w:val="0"/>
          <w:color w:val="auto"/>
          <w:kern w:val="0"/>
          <w:sz w:val="32"/>
          <w:szCs w:val="32"/>
          <w:highlight w:val="none"/>
          <w:lang w:bidi="ar"/>
        </w:rPr>
        <w:t>人才系列活动品牌吸引力。</w:t>
      </w:r>
      <w:r>
        <w:rPr>
          <w:rFonts w:hint="eastAsia" w:ascii="方正仿宋_GBK" w:hAnsi="方正仿宋_GBK" w:eastAsia="方正仿宋_GBK" w:cs="方正仿宋_GBK"/>
          <w:color w:val="auto"/>
          <w:sz w:val="32"/>
          <w:szCs w:val="32"/>
          <w:highlight w:val="none"/>
          <w:lang w:val="en-US" w:eastAsia="zh-CN"/>
        </w:rPr>
        <w:t>高质量运营国际人才创新创业服务港，迭代升级“渝才荟”科学城国际人才港线上服务应用，完善人才创新创业全周期服务。</w:t>
      </w:r>
      <w:r>
        <w:rPr>
          <w:rFonts w:hint="eastAsia" w:ascii="Times New Roman" w:hAnsi="Times New Roman" w:eastAsia="方正仿宋_GBK" w:cs="Times New Roman"/>
          <w:bCs/>
          <w:snapToGrid w:val="0"/>
          <w:color w:val="auto"/>
          <w:kern w:val="0"/>
          <w:sz w:val="32"/>
          <w:szCs w:val="32"/>
          <w:highlight w:val="none"/>
          <w:lang w:bidi="ar"/>
        </w:rPr>
        <w:t>到2030年，</w:t>
      </w:r>
      <w:r>
        <w:rPr>
          <w:rFonts w:ascii="方正仿宋_GBK" w:hAnsi="方正仿宋_GBK" w:eastAsia="方正仿宋_GBK" w:cs="方正仿宋_GBK"/>
          <w:color w:val="auto"/>
          <w:sz w:val="32"/>
          <w:szCs w:val="32"/>
          <w:highlight w:val="none"/>
          <w:lang w:bidi="ar"/>
        </w:rPr>
        <w:t>“</w:t>
      </w:r>
      <w:r>
        <w:rPr>
          <w:rFonts w:hint="eastAsia" w:ascii="Times New Roman" w:hAnsi="Times New Roman" w:eastAsia="方正仿宋_GBK" w:cs="Times New Roman"/>
          <w:bCs/>
          <w:snapToGrid w:val="0"/>
          <w:color w:val="auto"/>
          <w:kern w:val="0"/>
          <w:sz w:val="32"/>
          <w:szCs w:val="32"/>
          <w:highlight w:val="none"/>
          <w:lang w:bidi="ar"/>
        </w:rPr>
        <w:t>金凤凰</w:t>
      </w:r>
      <w:r>
        <w:rPr>
          <w:rFonts w:ascii="方正仿宋_GBK" w:hAnsi="方正仿宋_GBK" w:eastAsia="方正仿宋_GBK" w:cs="方正仿宋_GBK"/>
          <w:color w:val="auto"/>
          <w:sz w:val="32"/>
          <w:szCs w:val="32"/>
          <w:highlight w:val="none"/>
          <w:lang w:bidi="ar"/>
        </w:rPr>
        <w:t>”</w:t>
      </w:r>
      <w:r>
        <w:rPr>
          <w:rFonts w:hint="eastAsia" w:ascii="Times New Roman" w:hAnsi="Times New Roman" w:eastAsia="方正仿宋_GBK" w:cs="Times New Roman"/>
          <w:bCs/>
          <w:snapToGrid w:val="0"/>
          <w:color w:val="auto"/>
          <w:kern w:val="0"/>
          <w:sz w:val="32"/>
          <w:szCs w:val="32"/>
          <w:highlight w:val="none"/>
          <w:lang w:bidi="ar"/>
        </w:rPr>
        <w:t>人才达1500人，培育高技能人才1万人</w:t>
      </w:r>
      <w:r>
        <w:rPr>
          <w:rFonts w:hint="eastAsia" w:ascii="Times New Roman" w:hAnsi="Times New Roman" w:eastAsia="方正仿宋_GBK" w:cs="Times New Roman"/>
          <w:bCs/>
          <w:snapToGrid w:val="0"/>
          <w:color w:val="auto"/>
          <w:kern w:val="0"/>
          <w:sz w:val="32"/>
          <w:szCs w:val="32"/>
          <w:highlight w:val="none"/>
          <w:lang w:eastAsia="zh-CN" w:bidi="ar"/>
        </w:rPr>
        <w:t>。</w:t>
      </w:r>
    </w:p>
    <w:p w14:paraId="6777CD8E">
      <w:pPr>
        <w:spacing w:line="600" w:lineRule="exact"/>
        <w:ind w:firstLine="640" w:firstLineChars="200"/>
        <w:textAlignment w:val="baseline"/>
        <w:rPr>
          <w:rFonts w:hint="eastAsia" w:ascii="Times New Roman" w:hAnsi="Times New Roman" w:eastAsia="方正楷体_GBK" w:cs="方正楷体_GBK"/>
          <w:color w:val="auto"/>
          <w:sz w:val="32"/>
          <w:szCs w:val="32"/>
          <w:highlight w:val="none"/>
        </w:rPr>
      </w:pPr>
      <w:r>
        <w:rPr>
          <w:rFonts w:hint="eastAsia" w:ascii="方正仿宋_GBK" w:hAnsi="方正仿宋_GBK" w:eastAsia="方正仿宋_GBK" w:cs="方正仿宋_GBK"/>
          <w:color w:val="auto"/>
          <w:sz w:val="32"/>
          <w:szCs w:val="32"/>
          <w:highlight w:val="none"/>
        </w:rPr>
        <w:t>做靓创新创业“陪跑人”改革品牌。建设重庆技术转移学院，构建“学历教育</w:t>
      </w:r>
      <w:r>
        <w:rPr>
          <w:rFonts w:hint="eastAsia" w:ascii="方正仿宋_GBK" w:hAnsi="方正仿宋_GBK" w:eastAsia="方正仿宋_GBK" w:cs="方正仿宋_GBK"/>
          <w:color w:val="auto"/>
          <w:sz w:val="32"/>
          <w:szCs w:val="32"/>
          <w:highlight w:val="none"/>
          <w:lang w:val="en-US" w:eastAsia="zh-CN"/>
        </w:rPr>
        <w:t>+</w:t>
      </w:r>
      <w:r>
        <w:rPr>
          <w:rFonts w:hint="eastAsia" w:ascii="方正仿宋_GBK" w:hAnsi="方正仿宋_GBK" w:eastAsia="方正仿宋_GBK" w:cs="方正仿宋_GBK"/>
          <w:color w:val="auto"/>
          <w:sz w:val="32"/>
          <w:szCs w:val="32"/>
          <w:highlight w:val="none"/>
        </w:rPr>
        <w:t>转化实践</w:t>
      </w:r>
      <w:r>
        <w:rPr>
          <w:rFonts w:hint="eastAsia" w:ascii="方正仿宋_GBK" w:hAnsi="方正仿宋_GBK" w:eastAsia="方正仿宋_GBK" w:cs="方正仿宋_GBK"/>
          <w:color w:val="auto"/>
          <w:sz w:val="32"/>
          <w:szCs w:val="32"/>
          <w:highlight w:val="none"/>
          <w:lang w:val="en-US" w:eastAsia="zh-CN"/>
        </w:rPr>
        <w:t>+</w:t>
      </w:r>
      <w:r>
        <w:rPr>
          <w:rFonts w:hint="eastAsia" w:ascii="方正仿宋_GBK" w:hAnsi="方正仿宋_GBK" w:eastAsia="方正仿宋_GBK" w:cs="方正仿宋_GBK"/>
          <w:color w:val="auto"/>
          <w:sz w:val="32"/>
          <w:szCs w:val="32"/>
          <w:highlight w:val="none"/>
        </w:rPr>
        <w:t>资质认证</w:t>
      </w:r>
      <w:r>
        <w:rPr>
          <w:rFonts w:hint="eastAsia" w:ascii="方正仿宋_GBK" w:hAnsi="方正仿宋_GBK" w:eastAsia="方正仿宋_GBK" w:cs="方正仿宋_GBK"/>
          <w:color w:val="auto"/>
          <w:sz w:val="32"/>
          <w:szCs w:val="32"/>
          <w:highlight w:val="none"/>
          <w:lang w:val="en-US" w:eastAsia="zh-CN"/>
        </w:rPr>
        <w:t>+</w:t>
      </w:r>
      <w:r>
        <w:rPr>
          <w:rFonts w:hint="eastAsia" w:ascii="方正仿宋_GBK" w:hAnsi="方正仿宋_GBK" w:eastAsia="方正仿宋_GBK" w:cs="方正仿宋_GBK"/>
          <w:color w:val="auto"/>
          <w:sz w:val="32"/>
          <w:szCs w:val="32"/>
          <w:highlight w:val="none"/>
        </w:rPr>
        <w:t>多元激励”的“陪跑人”培养模式。出台“陪跑人”激励政策，拓展陪跑服务场景、建设“陪跑人”社区、改革职称评价方式，激发创新创业活力。</w:t>
      </w:r>
      <w:r>
        <w:rPr>
          <w:rFonts w:hint="default" w:ascii="Times New Roman" w:hAnsi="Times New Roman" w:eastAsia="方正仿宋_GBK" w:cs="Times New Roman"/>
          <w:color w:val="auto"/>
          <w:sz w:val="32"/>
          <w:szCs w:val="32"/>
          <w:highlight w:val="none"/>
          <w:lang w:val="en-US" w:eastAsia="zh-CN"/>
        </w:rPr>
        <w:t>到2030年，</w:t>
      </w:r>
      <w:r>
        <w:rPr>
          <w:rFonts w:hint="eastAsia" w:ascii="Times New Roman" w:hAnsi="Times New Roman" w:eastAsia="方正仿宋_GBK" w:cs="Times New Roman"/>
          <w:bCs/>
          <w:snapToGrid w:val="0"/>
          <w:color w:val="auto"/>
          <w:kern w:val="0"/>
          <w:sz w:val="32"/>
          <w:szCs w:val="32"/>
          <w:highlight w:val="none"/>
          <w:lang w:eastAsia="zh-CN" w:bidi="ar"/>
        </w:rPr>
        <w:t>创新创业“陪跑人”队伍规模达</w:t>
      </w:r>
      <w:r>
        <w:rPr>
          <w:rFonts w:hint="eastAsia" w:ascii="Times New Roman" w:hAnsi="Times New Roman" w:eastAsia="方正仿宋_GBK" w:cs="Times New Roman"/>
          <w:bCs/>
          <w:snapToGrid w:val="0"/>
          <w:color w:val="auto"/>
          <w:kern w:val="0"/>
          <w:sz w:val="32"/>
          <w:szCs w:val="32"/>
          <w:highlight w:val="none"/>
          <w:lang w:val="en-US" w:eastAsia="zh-CN" w:bidi="ar"/>
        </w:rPr>
        <w:t>300</w:t>
      </w:r>
      <w:r>
        <w:rPr>
          <w:rFonts w:hint="eastAsia" w:ascii="Times New Roman" w:hAnsi="Times New Roman" w:eastAsia="方正仿宋_GBK" w:cs="Times New Roman"/>
          <w:bCs/>
          <w:snapToGrid w:val="0"/>
          <w:color w:val="auto"/>
          <w:kern w:val="0"/>
          <w:sz w:val="32"/>
          <w:szCs w:val="32"/>
          <w:highlight w:val="none"/>
          <w:lang w:eastAsia="zh-CN" w:bidi="ar"/>
        </w:rPr>
        <w:t>人，其中市级金牌陪跑人</w:t>
      </w:r>
      <w:r>
        <w:rPr>
          <w:rFonts w:hint="eastAsia" w:ascii="Times New Roman" w:hAnsi="Times New Roman" w:eastAsia="方正仿宋_GBK" w:cs="Times New Roman"/>
          <w:bCs/>
          <w:snapToGrid w:val="0"/>
          <w:color w:val="auto"/>
          <w:kern w:val="0"/>
          <w:sz w:val="32"/>
          <w:szCs w:val="32"/>
          <w:highlight w:val="none"/>
          <w:lang w:val="en-US" w:eastAsia="zh-CN" w:bidi="ar"/>
        </w:rPr>
        <w:t>5</w:t>
      </w:r>
      <w:r>
        <w:rPr>
          <w:rFonts w:hint="eastAsia" w:ascii="Times New Roman" w:hAnsi="Times New Roman" w:eastAsia="方正仿宋_GBK" w:cs="Times New Roman"/>
          <w:bCs/>
          <w:snapToGrid w:val="0"/>
          <w:color w:val="auto"/>
          <w:kern w:val="0"/>
          <w:sz w:val="32"/>
          <w:szCs w:val="32"/>
          <w:highlight w:val="none"/>
          <w:lang w:eastAsia="zh-CN" w:bidi="ar"/>
        </w:rPr>
        <w:t>0名。</w:t>
      </w:r>
      <w:bookmarkStart w:id="161" w:name="_Toc218572465"/>
      <w:bookmarkStart w:id="162" w:name="_Toc1016534988"/>
    </w:p>
    <w:p w14:paraId="0A73882A">
      <w:pPr>
        <w:overflowPunct w:val="0"/>
        <w:spacing w:line="600" w:lineRule="exact"/>
        <w:jc w:val="center"/>
        <w:outlineLvl w:val="2"/>
        <w:rPr>
          <w:rFonts w:ascii="Times New Roman" w:hAnsi="Times New Roman" w:eastAsia="方正楷体_GBK" w:cs="方正楷体_GBK"/>
          <w:color w:val="auto"/>
          <w:sz w:val="32"/>
          <w:szCs w:val="32"/>
          <w:highlight w:val="none"/>
        </w:rPr>
      </w:pPr>
      <w:bookmarkStart w:id="163" w:name="_Toc31965"/>
      <w:r>
        <w:rPr>
          <w:rFonts w:hint="eastAsia" w:ascii="Times New Roman" w:hAnsi="Times New Roman" w:eastAsia="方正楷体_GBK" w:cs="方正楷体_GBK"/>
          <w:color w:val="auto"/>
          <w:sz w:val="32"/>
          <w:szCs w:val="32"/>
          <w:highlight w:val="none"/>
        </w:rPr>
        <w:t>第三节 深化</w:t>
      </w:r>
      <w:r>
        <w:rPr>
          <w:rFonts w:ascii="Times New Roman" w:hAnsi="Times New Roman" w:eastAsia="方正楷体_GBK" w:cs="方正楷体_GBK"/>
          <w:color w:val="auto"/>
          <w:sz w:val="32"/>
          <w:szCs w:val="32"/>
          <w:highlight w:val="none"/>
        </w:rPr>
        <w:t>科技体制机制改革</w:t>
      </w:r>
      <w:bookmarkEnd w:id="161"/>
      <w:bookmarkEnd w:id="162"/>
      <w:bookmarkEnd w:id="163"/>
    </w:p>
    <w:p w14:paraId="64CD0BFE">
      <w:pPr>
        <w:widowControl/>
        <w:overflowPunct/>
        <w:spacing w:line="600" w:lineRule="exact"/>
        <w:ind w:firstLine="640" w:firstLineChars="200"/>
        <w:jc w:val="left"/>
        <w:textAlignment w:val="baseline"/>
        <w:rPr>
          <w:rFonts w:hint="eastAsia" w:ascii="Times New Roman" w:hAnsi="Times New Roman" w:eastAsia="方正黑体_GBK" w:cs="方正黑体_GBK"/>
          <w:color w:val="auto"/>
          <w:kern w:val="0"/>
          <w:sz w:val="32"/>
          <w:szCs w:val="32"/>
          <w:highlight w:val="none"/>
          <w:u w:val="none"/>
          <w:lang w:bidi="ar"/>
        </w:rPr>
      </w:pPr>
      <w:r>
        <w:rPr>
          <w:rFonts w:hint="eastAsia" w:ascii="方正仿宋_GBK" w:hAnsi="方正仿宋_GBK" w:eastAsia="方正仿宋_GBK" w:cs="方正仿宋_GBK"/>
          <w:color w:val="auto"/>
          <w:sz w:val="32"/>
          <w:szCs w:val="32"/>
          <w:highlight w:val="none"/>
        </w:rPr>
        <w:t>构建市、区、高校院所协同的科技成果转化激励约束和保障机制，</w:t>
      </w:r>
      <w:r>
        <w:rPr>
          <w:rFonts w:hint="eastAsia" w:ascii="方正仿宋_GBK" w:hAnsi="方正仿宋_GBK" w:eastAsia="方正仿宋_GBK" w:cs="方正仿宋_GBK"/>
          <w:color w:val="auto"/>
          <w:sz w:val="32"/>
          <w:szCs w:val="32"/>
          <w:highlight w:val="none"/>
          <w:lang w:bidi="ar"/>
        </w:rPr>
        <w:t>“</w:t>
      </w:r>
      <w:r>
        <w:rPr>
          <w:rFonts w:hint="eastAsia" w:ascii="方正仿宋_GBK" w:hAnsi="方正仿宋_GBK" w:eastAsia="方正仿宋_GBK" w:cs="方正仿宋_GBK"/>
          <w:color w:val="auto"/>
          <w:sz w:val="32"/>
          <w:szCs w:val="32"/>
          <w:highlight w:val="none"/>
        </w:rPr>
        <w:t>一校院一方案</w:t>
      </w:r>
      <w:r>
        <w:rPr>
          <w:rFonts w:hint="eastAsia" w:ascii="方正仿宋_GBK" w:hAnsi="方正仿宋_GBK" w:eastAsia="方正仿宋_GBK" w:cs="方正仿宋_GBK"/>
          <w:color w:val="auto"/>
          <w:sz w:val="32"/>
          <w:szCs w:val="32"/>
          <w:highlight w:val="none"/>
          <w:lang w:bidi="ar"/>
        </w:rPr>
        <w:t>”</w:t>
      </w:r>
      <w:r>
        <w:rPr>
          <w:rFonts w:hint="eastAsia" w:ascii="方正仿宋_GBK" w:hAnsi="方正仿宋_GBK" w:eastAsia="方正仿宋_GBK" w:cs="方正仿宋_GBK"/>
          <w:color w:val="auto"/>
          <w:sz w:val="32"/>
          <w:szCs w:val="32"/>
          <w:highlight w:val="none"/>
        </w:rPr>
        <w:t>引导高校院所深化科技成果资产单列管理、</w:t>
      </w:r>
      <w:r>
        <w:rPr>
          <w:rFonts w:hint="eastAsia" w:ascii="方正仿宋_GBK" w:hAnsi="方正仿宋_GBK" w:eastAsia="方正仿宋_GBK" w:cs="方正仿宋_GBK"/>
          <w:color w:val="auto"/>
          <w:sz w:val="32"/>
          <w:szCs w:val="32"/>
          <w:highlight w:val="none"/>
          <w:lang w:bidi="ar"/>
        </w:rPr>
        <w:t>“</w:t>
      </w:r>
      <w:r>
        <w:rPr>
          <w:rFonts w:hint="eastAsia" w:ascii="方正仿宋_GBK" w:hAnsi="方正仿宋_GBK" w:eastAsia="方正仿宋_GBK" w:cs="方正仿宋_GBK"/>
          <w:color w:val="auto"/>
          <w:sz w:val="32"/>
          <w:szCs w:val="32"/>
          <w:highlight w:val="none"/>
        </w:rPr>
        <w:t>先使用后付费</w:t>
      </w:r>
      <w:r>
        <w:rPr>
          <w:rFonts w:hint="eastAsia" w:ascii="方正仿宋_GBK" w:hAnsi="方正仿宋_GBK" w:eastAsia="方正仿宋_GBK" w:cs="方正仿宋_GBK"/>
          <w:color w:val="auto"/>
          <w:sz w:val="32"/>
          <w:szCs w:val="32"/>
          <w:highlight w:val="none"/>
          <w:lang w:bidi="ar"/>
        </w:rPr>
        <w:t>”“</w:t>
      </w:r>
      <w:r>
        <w:rPr>
          <w:rFonts w:hint="eastAsia" w:ascii="方正仿宋_GBK" w:hAnsi="方正仿宋_GBK" w:eastAsia="方正仿宋_GBK" w:cs="方正仿宋_GBK"/>
          <w:color w:val="auto"/>
          <w:sz w:val="32"/>
          <w:szCs w:val="32"/>
          <w:highlight w:val="none"/>
        </w:rPr>
        <w:t>先赋权后收益</w:t>
      </w:r>
      <w:r>
        <w:rPr>
          <w:rFonts w:hint="eastAsia" w:ascii="方正仿宋_GBK" w:hAnsi="方正仿宋_GBK" w:eastAsia="方正仿宋_GBK" w:cs="方正仿宋_GBK"/>
          <w:color w:val="auto"/>
          <w:sz w:val="32"/>
          <w:szCs w:val="32"/>
          <w:highlight w:val="none"/>
          <w:lang w:bidi="ar"/>
        </w:rPr>
        <w:t>”</w:t>
      </w:r>
      <w:r>
        <w:rPr>
          <w:rFonts w:hint="eastAsia" w:ascii="方正仿宋_GBK" w:hAnsi="方正仿宋_GBK" w:eastAsia="方正仿宋_GBK" w:cs="方正仿宋_GBK"/>
          <w:color w:val="auto"/>
          <w:sz w:val="32"/>
          <w:szCs w:val="32"/>
          <w:highlight w:val="none"/>
        </w:rPr>
        <w:t>等改革，完善科研人员分类考核制度，将转化成效和科研成果同等纳入评价标准予以考核。</w:t>
      </w:r>
      <w:r>
        <w:rPr>
          <w:rFonts w:hint="eastAsia" w:ascii="方正仿宋_GBK" w:hAnsi="方正仿宋_GBK" w:eastAsia="方正仿宋_GBK" w:cs="方正仿宋_GBK"/>
          <w:bCs w:val="0"/>
          <w:snapToGrid/>
          <w:color w:val="auto"/>
          <w:kern w:val="2"/>
          <w:sz w:val="32"/>
          <w:szCs w:val="32"/>
          <w:highlight w:val="none"/>
          <w:lang w:bidi="ar"/>
        </w:rPr>
        <w:t>畅通高校、科研院所、企业人才交流通道，探索</w:t>
      </w:r>
      <w:r>
        <w:rPr>
          <w:rFonts w:hint="eastAsia" w:ascii="方正仿宋_GBK" w:hAnsi="方正仿宋_GBK" w:eastAsia="方正仿宋_GBK" w:cs="方正仿宋_GBK"/>
          <w:color w:val="auto"/>
          <w:sz w:val="32"/>
          <w:szCs w:val="32"/>
          <w:highlight w:val="none"/>
          <w:lang w:bidi="ar"/>
        </w:rPr>
        <w:t>“</w:t>
      </w:r>
      <w:r>
        <w:rPr>
          <w:rFonts w:hint="eastAsia" w:ascii="方正仿宋_GBK" w:hAnsi="方正仿宋_GBK" w:eastAsia="方正仿宋_GBK" w:cs="方正仿宋_GBK"/>
          <w:bCs w:val="0"/>
          <w:snapToGrid/>
          <w:color w:val="auto"/>
          <w:kern w:val="2"/>
          <w:sz w:val="32"/>
          <w:szCs w:val="32"/>
          <w:highlight w:val="none"/>
          <w:lang w:bidi="ar"/>
        </w:rPr>
        <w:t>高校编制</w:t>
      </w:r>
      <w:r>
        <w:rPr>
          <w:rFonts w:hint="eastAsia" w:ascii="方正仿宋_GBK" w:hAnsi="方正仿宋_GBK" w:eastAsia="方正仿宋_GBK" w:cs="方正仿宋_GBK"/>
          <w:bCs w:val="0"/>
          <w:snapToGrid/>
          <w:color w:val="auto"/>
          <w:kern w:val="2"/>
          <w:sz w:val="32"/>
          <w:szCs w:val="32"/>
          <w:highlight w:val="none"/>
          <w:lang w:val="en-US" w:eastAsia="zh-CN" w:bidi="ar"/>
        </w:rPr>
        <w:t>+</w:t>
      </w:r>
      <w:r>
        <w:rPr>
          <w:rFonts w:hint="eastAsia" w:ascii="方正仿宋_GBK" w:hAnsi="方正仿宋_GBK" w:eastAsia="方正仿宋_GBK" w:cs="方正仿宋_GBK"/>
          <w:bCs w:val="0"/>
          <w:snapToGrid/>
          <w:color w:val="auto"/>
          <w:kern w:val="2"/>
          <w:sz w:val="32"/>
          <w:szCs w:val="32"/>
          <w:highlight w:val="none"/>
          <w:lang w:bidi="ar"/>
        </w:rPr>
        <w:t>协议薪资</w:t>
      </w:r>
      <w:r>
        <w:rPr>
          <w:rFonts w:hint="eastAsia" w:ascii="方正仿宋_GBK" w:hAnsi="方正仿宋_GBK" w:eastAsia="方正仿宋_GBK" w:cs="方正仿宋_GBK"/>
          <w:bCs w:val="0"/>
          <w:snapToGrid/>
          <w:color w:val="auto"/>
          <w:kern w:val="2"/>
          <w:sz w:val="32"/>
          <w:szCs w:val="32"/>
          <w:highlight w:val="none"/>
          <w:lang w:val="en-US" w:eastAsia="zh-CN" w:bidi="ar"/>
        </w:rPr>
        <w:t>+</w:t>
      </w:r>
      <w:r>
        <w:rPr>
          <w:rFonts w:hint="eastAsia" w:ascii="方正仿宋_GBK" w:hAnsi="方正仿宋_GBK" w:eastAsia="方正仿宋_GBK" w:cs="方正仿宋_GBK"/>
          <w:bCs w:val="0"/>
          <w:snapToGrid/>
          <w:color w:val="auto"/>
          <w:kern w:val="2"/>
          <w:sz w:val="32"/>
          <w:szCs w:val="32"/>
          <w:highlight w:val="none"/>
          <w:lang w:bidi="ar"/>
        </w:rPr>
        <w:t>双向选择</w:t>
      </w:r>
      <w:r>
        <w:rPr>
          <w:rFonts w:hint="eastAsia" w:ascii="方正仿宋_GBK" w:hAnsi="方正仿宋_GBK" w:eastAsia="方正仿宋_GBK" w:cs="方正仿宋_GBK"/>
          <w:color w:val="auto"/>
          <w:sz w:val="32"/>
          <w:szCs w:val="32"/>
          <w:highlight w:val="none"/>
          <w:lang w:bidi="ar"/>
        </w:rPr>
        <w:t>”</w:t>
      </w:r>
      <w:r>
        <w:rPr>
          <w:rFonts w:hint="eastAsia" w:ascii="方正仿宋_GBK" w:hAnsi="方正仿宋_GBK" w:eastAsia="方正仿宋_GBK" w:cs="方正仿宋_GBK"/>
          <w:bCs w:val="0"/>
          <w:snapToGrid/>
          <w:color w:val="auto"/>
          <w:kern w:val="2"/>
          <w:sz w:val="32"/>
          <w:szCs w:val="32"/>
          <w:highlight w:val="none"/>
          <w:lang w:bidi="ar"/>
        </w:rPr>
        <w:t>模式。</w:t>
      </w:r>
      <w:r>
        <w:rPr>
          <w:rFonts w:hint="eastAsia" w:ascii="方正仿宋_GBK" w:hAnsi="方正仿宋_GBK" w:eastAsia="方正仿宋_GBK" w:cs="方正仿宋_GBK"/>
          <w:color w:val="auto"/>
          <w:sz w:val="32"/>
          <w:szCs w:val="32"/>
          <w:highlight w:val="none"/>
        </w:rPr>
        <w:t>推进青年博士高校在读、在站科研、出站工作的连续</w:t>
      </w:r>
      <w:r>
        <w:rPr>
          <w:rFonts w:hint="eastAsia" w:ascii="方正仿宋_GBK" w:hAnsi="方正仿宋_GBK" w:eastAsia="方正仿宋_GBK" w:cs="方正仿宋_GBK"/>
          <w:color w:val="auto"/>
          <w:sz w:val="32"/>
          <w:szCs w:val="32"/>
          <w:highlight w:val="none"/>
          <w:lang w:val="en-US" w:eastAsia="zh-CN"/>
        </w:rPr>
        <w:t>培养</w:t>
      </w:r>
      <w:r>
        <w:rPr>
          <w:rFonts w:hint="eastAsia" w:ascii="方正仿宋_GBK" w:hAnsi="方正仿宋_GBK" w:eastAsia="方正仿宋_GBK" w:cs="方正仿宋_GBK"/>
          <w:color w:val="auto"/>
          <w:sz w:val="32"/>
          <w:szCs w:val="32"/>
          <w:highlight w:val="none"/>
        </w:rPr>
        <w:t>改革</w:t>
      </w:r>
      <w:r>
        <w:rPr>
          <w:rFonts w:hint="eastAsia" w:ascii="方正仿宋_GBK" w:hAnsi="方正仿宋_GBK" w:eastAsia="方正仿宋_GBK" w:cs="方正仿宋_GBK"/>
          <w:color w:val="auto"/>
          <w:sz w:val="32"/>
          <w:szCs w:val="32"/>
          <w:highlight w:val="none"/>
          <w:lang w:eastAsia="zh-CN"/>
        </w:rPr>
        <w:t>，推广“聘在高校、用在企业”的育才模式</w:t>
      </w:r>
      <w:r>
        <w:rPr>
          <w:rFonts w:hint="eastAsia"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bCs w:val="0"/>
          <w:snapToGrid/>
          <w:color w:val="auto"/>
          <w:kern w:val="2"/>
          <w:sz w:val="32"/>
          <w:szCs w:val="32"/>
          <w:highlight w:val="none"/>
          <w:lang w:bidi="ar"/>
        </w:rPr>
        <w:t>持续深化</w:t>
      </w:r>
      <w:r>
        <w:rPr>
          <w:rFonts w:hint="eastAsia" w:ascii="方正仿宋_GBK" w:hAnsi="方正仿宋_GBK" w:eastAsia="方正仿宋_GBK" w:cs="方正仿宋_GBK"/>
          <w:color w:val="auto"/>
          <w:sz w:val="32"/>
          <w:szCs w:val="32"/>
          <w:highlight w:val="none"/>
          <w:lang w:bidi="ar"/>
        </w:rPr>
        <w:t>“</w:t>
      </w:r>
      <w:r>
        <w:rPr>
          <w:rFonts w:hint="eastAsia" w:ascii="方正仿宋_GBK" w:hAnsi="方正仿宋_GBK" w:eastAsia="方正仿宋_GBK" w:cs="方正仿宋_GBK"/>
          <w:bCs w:val="0"/>
          <w:snapToGrid/>
          <w:color w:val="auto"/>
          <w:kern w:val="2"/>
          <w:sz w:val="32"/>
          <w:szCs w:val="32"/>
          <w:highlight w:val="none"/>
          <w:lang w:bidi="ar"/>
        </w:rPr>
        <w:t>先投（研）后股</w:t>
      </w:r>
      <w:r>
        <w:rPr>
          <w:rFonts w:hint="eastAsia" w:ascii="方正仿宋_GBK" w:hAnsi="方正仿宋_GBK" w:eastAsia="方正仿宋_GBK" w:cs="方正仿宋_GBK"/>
          <w:color w:val="auto"/>
          <w:sz w:val="32"/>
          <w:szCs w:val="32"/>
          <w:highlight w:val="none"/>
          <w:lang w:bidi="ar"/>
        </w:rPr>
        <w:t>”“</w:t>
      </w:r>
      <w:r>
        <w:rPr>
          <w:rFonts w:hint="eastAsia" w:ascii="方正仿宋_GBK" w:hAnsi="方正仿宋_GBK" w:eastAsia="方正仿宋_GBK" w:cs="方正仿宋_GBK"/>
          <w:bCs w:val="0"/>
          <w:snapToGrid/>
          <w:color w:val="auto"/>
          <w:kern w:val="2"/>
          <w:sz w:val="32"/>
          <w:szCs w:val="32"/>
          <w:highlight w:val="none"/>
          <w:lang w:bidi="ar"/>
        </w:rPr>
        <w:t>拨投结合</w:t>
      </w:r>
      <w:r>
        <w:rPr>
          <w:rFonts w:hint="eastAsia" w:ascii="方正仿宋_GBK" w:hAnsi="方正仿宋_GBK" w:eastAsia="方正仿宋_GBK" w:cs="方正仿宋_GBK"/>
          <w:color w:val="auto"/>
          <w:sz w:val="32"/>
          <w:szCs w:val="32"/>
          <w:highlight w:val="none"/>
          <w:lang w:bidi="ar"/>
        </w:rPr>
        <w:t>”</w:t>
      </w:r>
      <w:r>
        <w:rPr>
          <w:rFonts w:hint="eastAsia" w:ascii="方正仿宋_GBK" w:hAnsi="方正仿宋_GBK" w:eastAsia="方正仿宋_GBK" w:cs="方正仿宋_GBK"/>
          <w:bCs w:val="0"/>
          <w:snapToGrid/>
          <w:color w:val="auto"/>
          <w:kern w:val="2"/>
          <w:sz w:val="32"/>
          <w:szCs w:val="32"/>
          <w:highlight w:val="none"/>
          <w:lang w:bidi="ar"/>
        </w:rPr>
        <w:t>支持科技成果转化改革，健全科技创新资金容亏容错机制。</w:t>
      </w:r>
      <w:bookmarkEnd w:id="102"/>
      <w:bookmarkEnd w:id="103"/>
      <w:bookmarkStart w:id="164" w:name="_Toc25522"/>
      <w:bookmarkStart w:id="165" w:name="_Toc31053"/>
      <w:bookmarkStart w:id="166" w:name="_Toc14824"/>
      <w:bookmarkStart w:id="167" w:name="_Toc19783"/>
      <w:bookmarkStart w:id="168" w:name="_Toc2941"/>
    </w:p>
    <w:p w14:paraId="6D1C68AC">
      <w:pPr>
        <w:widowControl/>
        <w:overflowPunct w:val="0"/>
        <w:spacing w:line="240" w:lineRule="auto"/>
        <w:ind w:firstLine="0" w:firstLineChars="0"/>
        <w:jc w:val="center"/>
        <w:textAlignment w:val="auto"/>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7</w:t>
      </w:r>
      <w:r>
        <w:rPr>
          <w:rFonts w:hint="eastAsia" w:ascii="Times New Roman" w:hAnsi="Times New Roman" w:eastAsia="方正黑体_GBK" w:cs="方正黑体_GBK"/>
          <w:color w:val="auto"/>
          <w:kern w:val="0"/>
          <w:sz w:val="32"/>
          <w:szCs w:val="32"/>
          <w:highlight w:val="none"/>
          <w:u w:val="none"/>
          <w:lang w:bidi="ar"/>
        </w:rPr>
        <w:t xml:space="preserve"> 深化科技体制机制改革专项行动</w:t>
      </w:r>
    </w:p>
    <w:tbl>
      <w:tblPr>
        <w:tblStyle w:val="22"/>
        <w:tblW w:w="5000" w:type="pct"/>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423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14:paraId="2359D0E8">
            <w:pPr>
              <w:pStyle w:val="19"/>
              <w:overflowPunct w:val="0"/>
              <w:snapToGrid w:val="0"/>
              <w:spacing w:beforeAutospacing="0" w:afterAutospacing="0" w:line="380" w:lineRule="exact"/>
              <w:ind w:firstLine="480" w:firstLineChars="200"/>
              <w:jc w:val="both"/>
              <w:rPr>
                <w:rFonts w:hint="eastAsia" w:ascii="Times New Roman" w:hAnsi="Times New Roman" w:eastAsia="方正书宋_GBK" w:cs="Times New Roman"/>
                <w:color w:val="auto"/>
                <w:highlight w:val="none"/>
                <w:u w:val="none"/>
              </w:rPr>
            </w:pPr>
            <w:r>
              <w:rPr>
                <w:rFonts w:hint="eastAsia" w:ascii="Times New Roman" w:hAnsi="Times New Roman" w:eastAsia="方正黑体_GBK" w:cs="方正黑体_GBK"/>
                <w:color w:val="auto"/>
                <w:highlight w:val="none"/>
                <w:u w:val="none"/>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高校科技成果“先使用后付费”“先赋权后收益”改革试点。</w:t>
            </w:r>
            <w:r>
              <w:rPr>
                <w:rFonts w:hint="eastAsia" w:ascii="Times New Roman" w:hAnsi="Times New Roman" w:eastAsia="方正书宋_GBK" w:cs="Times New Roman"/>
                <w:color w:val="auto"/>
                <w:highlight w:val="none"/>
                <w:u w:val="none"/>
              </w:rPr>
              <w:t>支持高校、科研院所按照“先使用后付费”方式把科技成果许可给企业使用，使用期限及费用支付方式、时间等由双方商定。支持高校、科研院所开展科技成果“以权代股”试点，将科技成果使用权或所有权在一定期限内授权给成果完成人，加速成果增值培育。推动重庆大学、重庆科技大学等高校完善成果转化内部管理制度，提升成果转化收益。</w:t>
            </w:r>
          </w:p>
          <w:p w14:paraId="7038741B">
            <w:pPr>
              <w:pStyle w:val="19"/>
              <w:overflowPunct w:val="0"/>
              <w:snapToGrid w:val="0"/>
              <w:spacing w:beforeAutospacing="0" w:afterAutospacing="0" w:line="380" w:lineRule="exact"/>
              <w:ind w:firstLine="480" w:firstLineChars="200"/>
              <w:jc w:val="both"/>
              <w:rPr>
                <w:rFonts w:hint="eastAsia" w:ascii="Times New Roman" w:hAnsi="Times New Roman" w:eastAsia="方正书宋_GBK" w:cs="Times New Roman"/>
                <w:color w:val="auto"/>
                <w:highlight w:val="none"/>
                <w:u w:val="none"/>
              </w:rPr>
            </w:pPr>
            <w:r>
              <w:rPr>
                <w:rFonts w:hint="eastAsia" w:ascii="Times New Roman" w:hAnsi="Times New Roman" w:eastAsia="方正黑体_GBK" w:cs="方正黑体_GBK"/>
                <w:color w:val="auto"/>
                <w:highlight w:val="none"/>
                <w:u w:val="none"/>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“高校编制+协议薪资+双向选择”模式。</w:t>
            </w:r>
            <w:r>
              <w:rPr>
                <w:rFonts w:hint="eastAsia" w:ascii="Times New Roman" w:hAnsi="Times New Roman" w:eastAsia="方正书宋_GBK" w:cs="Times New Roman"/>
                <w:color w:val="auto"/>
                <w:highlight w:val="none"/>
                <w:u w:val="none"/>
              </w:rPr>
              <w:t>建立“聘在高校，用在企业”的人才引进机制，统筹全市高校周转编制资源，率先实行人才“先引后聘”。通过市属高校提供周转编制、企业保障高薪待遇、政府提供专项人才政策支持等方式，形成“1+1+1&gt;3”的人才引育合力。加强周转编制管理，引进人才退出后，编制收回投放“周转池”循环使用。</w:t>
            </w:r>
          </w:p>
          <w:p w14:paraId="1D8D5ED3">
            <w:pPr>
              <w:pStyle w:val="19"/>
              <w:overflowPunct w:val="0"/>
              <w:snapToGrid w:val="0"/>
              <w:spacing w:beforeAutospacing="0" w:afterAutospacing="0" w:line="380" w:lineRule="exact"/>
              <w:ind w:firstLine="480" w:firstLineChars="200"/>
              <w:jc w:val="both"/>
              <w:rPr>
                <w:rFonts w:ascii="Times New Roman" w:hAnsi="Times New Roman"/>
                <w:color w:val="auto"/>
                <w:sz w:val="24"/>
                <w:szCs w:val="24"/>
                <w:highlight w:val="none"/>
              </w:rPr>
            </w:pPr>
            <w:r>
              <w:rPr>
                <w:rFonts w:hint="eastAsia" w:ascii="Times New Roman" w:hAnsi="Times New Roman" w:eastAsia="方正黑体_GBK" w:cs="方正黑体_GBK"/>
                <w:color w:val="auto"/>
                <w:highlight w:val="none"/>
                <w:u w:val="none"/>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“先投（研）后股”“拨投结合”支持科技成果转化改革。</w:t>
            </w:r>
            <w:r>
              <w:rPr>
                <w:rFonts w:hint="eastAsia" w:ascii="Times New Roman" w:hAnsi="Times New Roman" w:eastAsia="方正书宋_GBK" w:cs="Times New Roman"/>
                <w:color w:val="auto"/>
                <w:highlight w:val="none"/>
                <w:u w:val="none"/>
              </w:rPr>
              <w:t>先投（研）后股在先投阶段以科研项目形式向企业投入资助资金，根据企业发展阶段分为种子期、初创期，给予企业精准支持，后股阶段则在被投企业完成约定的转股条件后，将已投入的财政资金转换为股权，并择机开展股权退出，实现财政资金的良性循环。</w:t>
            </w:r>
          </w:p>
        </w:tc>
      </w:tr>
      <w:bookmarkEnd w:id="164"/>
      <w:bookmarkEnd w:id="165"/>
      <w:bookmarkEnd w:id="166"/>
      <w:bookmarkEnd w:id="167"/>
      <w:bookmarkEnd w:id="168"/>
    </w:tbl>
    <w:p w14:paraId="0650DD32">
      <w:pPr>
        <w:spacing w:line="600" w:lineRule="exact"/>
        <w:ind w:firstLine="640" w:firstLineChars="200"/>
        <w:textAlignment w:val="baseline"/>
        <w:rPr>
          <w:rFonts w:hint="eastAsia" w:ascii="Times New Roman" w:hAnsi="Times New Roman" w:eastAsia="方正仿宋_GBK" w:cs="Times New Roman"/>
          <w:color w:val="auto"/>
          <w:sz w:val="32"/>
          <w:szCs w:val="32"/>
          <w:highlight w:val="none"/>
          <w:lang w:val="en-US" w:eastAsia="zh-CN"/>
        </w:rPr>
      </w:pPr>
      <w:bookmarkStart w:id="169" w:name="_Toc9971"/>
      <w:bookmarkStart w:id="170" w:name="_Toc30865"/>
      <w:bookmarkStart w:id="171" w:name="_Toc25771"/>
      <w:bookmarkStart w:id="172" w:name="_Toc16460"/>
      <w:bookmarkStart w:id="173" w:name="_Toc26776"/>
      <w:bookmarkStart w:id="174" w:name="_Toc16724"/>
      <w:bookmarkStart w:id="175" w:name="_Toc4995"/>
      <w:bookmarkStart w:id="176" w:name="_Toc1671131431"/>
      <w:bookmarkStart w:id="177" w:name="_Toc3497"/>
      <w:bookmarkStart w:id="178" w:name="_Toc20250"/>
      <w:bookmarkStart w:id="179" w:name="_Toc1350382885"/>
    </w:p>
    <w:p w14:paraId="164C9E28">
      <w:pPr>
        <w:numPr>
          <w:ilvl w:val="255"/>
          <w:numId w:val="0"/>
        </w:numPr>
        <w:overflowPunct w:val="0"/>
        <w:spacing w:line="600" w:lineRule="exact"/>
        <w:jc w:val="center"/>
        <w:outlineLvl w:val="1"/>
        <w:rPr>
          <w:rFonts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第五章 升级打造五大科创空间</w:t>
      </w:r>
      <w:bookmarkEnd w:id="169"/>
      <w:bookmarkEnd w:id="170"/>
      <w:bookmarkEnd w:id="171"/>
      <w:bookmarkEnd w:id="172"/>
      <w:bookmarkEnd w:id="173"/>
      <w:bookmarkEnd w:id="174"/>
      <w:bookmarkEnd w:id="175"/>
      <w:bookmarkEnd w:id="176"/>
      <w:bookmarkEnd w:id="177"/>
      <w:bookmarkEnd w:id="178"/>
      <w:bookmarkEnd w:id="179"/>
    </w:p>
    <w:p w14:paraId="42CF5B22">
      <w:pPr>
        <w:adjustRightInd w:val="0"/>
        <w:snapToGrid w:val="0"/>
        <w:spacing w:line="600" w:lineRule="exact"/>
        <w:ind w:firstLine="640" w:firstLineChars="200"/>
        <w:textAlignment w:val="baseline"/>
        <w:rPr>
          <w:rFonts w:ascii="Times New Roman" w:hAnsi="Times New Roman" w:eastAsia="方正仿宋_GBK" w:cs="Times New Roman"/>
          <w:bCs/>
          <w:snapToGrid w:val="0"/>
          <w:color w:val="auto"/>
          <w:kern w:val="0"/>
          <w:sz w:val="32"/>
          <w:szCs w:val="32"/>
          <w:highlight w:val="none"/>
          <w:lang w:bidi="ar"/>
        </w:rPr>
      </w:pPr>
      <w:r>
        <w:rPr>
          <w:rFonts w:hint="eastAsia" w:ascii="Times New Roman" w:hAnsi="Times New Roman" w:eastAsia="方正仿宋_GBK" w:cs="Times New Roman"/>
          <w:bCs/>
          <w:snapToGrid w:val="0"/>
          <w:color w:val="auto"/>
          <w:kern w:val="0"/>
          <w:sz w:val="32"/>
          <w:szCs w:val="32"/>
          <w:highlight w:val="none"/>
          <w:lang w:bidi="ar"/>
        </w:rPr>
        <w:t>优化科技创新资源空间布局，升级打造大学城、科研港、科学谷、生命岛、微电园</w:t>
      </w:r>
      <w:r>
        <w:rPr>
          <w:rFonts w:ascii="方正仿宋_GBK" w:hAnsi="方正仿宋_GBK" w:eastAsia="方正仿宋_GBK" w:cs="方正仿宋_GBK"/>
          <w:color w:val="auto"/>
          <w:sz w:val="32"/>
          <w:szCs w:val="32"/>
          <w:highlight w:val="none"/>
          <w:lang w:bidi="ar"/>
        </w:rPr>
        <w:t>“</w:t>
      </w:r>
      <w:r>
        <w:rPr>
          <w:rFonts w:hint="eastAsia" w:ascii="Times New Roman" w:hAnsi="Times New Roman" w:eastAsia="方正仿宋_GBK" w:cs="Times New Roman"/>
          <w:bCs/>
          <w:snapToGrid w:val="0"/>
          <w:color w:val="auto"/>
          <w:kern w:val="0"/>
          <w:sz w:val="32"/>
          <w:szCs w:val="32"/>
          <w:highlight w:val="none"/>
          <w:lang w:bidi="ar"/>
        </w:rPr>
        <w:t>五大科创空间</w:t>
      </w:r>
      <w:r>
        <w:rPr>
          <w:rFonts w:ascii="方正仿宋_GBK" w:hAnsi="方正仿宋_GBK" w:eastAsia="方正仿宋_GBK" w:cs="方正仿宋_GBK"/>
          <w:color w:val="auto"/>
          <w:sz w:val="32"/>
          <w:szCs w:val="32"/>
          <w:highlight w:val="none"/>
          <w:lang w:bidi="ar"/>
        </w:rPr>
        <w:t>”</w:t>
      </w:r>
      <w:r>
        <w:rPr>
          <w:rFonts w:hint="eastAsia" w:ascii="Times New Roman" w:hAnsi="Times New Roman" w:eastAsia="方正仿宋_GBK" w:cs="Times New Roman"/>
          <w:bCs/>
          <w:snapToGrid w:val="0"/>
          <w:color w:val="auto"/>
          <w:kern w:val="0"/>
          <w:sz w:val="32"/>
          <w:szCs w:val="32"/>
          <w:highlight w:val="none"/>
          <w:lang w:bidi="ar"/>
        </w:rPr>
        <w:t>，构建</w:t>
      </w:r>
      <w:r>
        <w:rPr>
          <w:rFonts w:hint="eastAsia" w:ascii="Times New Roman" w:hAnsi="Times New Roman" w:eastAsia="方正仿宋_GBK" w:cs="方正仿宋_GBK"/>
          <w:color w:val="auto"/>
          <w:sz w:val="32"/>
          <w:szCs w:val="32"/>
          <w:highlight w:val="none"/>
        </w:rPr>
        <w:t>空间集中、资源集聚、产业集群、创新集成的创新发展格局</w:t>
      </w:r>
      <w:r>
        <w:rPr>
          <w:rFonts w:hint="eastAsia" w:ascii="Times New Roman" w:hAnsi="Times New Roman" w:eastAsia="方正仿宋_GBK" w:cs="Times New Roman"/>
          <w:bCs/>
          <w:snapToGrid w:val="0"/>
          <w:color w:val="auto"/>
          <w:kern w:val="0"/>
          <w:sz w:val="32"/>
          <w:szCs w:val="32"/>
          <w:highlight w:val="none"/>
          <w:lang w:bidi="ar"/>
        </w:rPr>
        <w:t>。</w:t>
      </w:r>
    </w:p>
    <w:p w14:paraId="1E7E9F77">
      <w:pPr>
        <w:adjustRightInd w:val="0"/>
        <w:snapToGrid w:val="0"/>
        <w:spacing w:line="600" w:lineRule="exact"/>
        <w:ind w:firstLine="640" w:firstLineChars="200"/>
        <w:textAlignment w:val="baseline"/>
        <w:rPr>
          <w:rFonts w:ascii="Times New Roman" w:hAnsi="Times New Roman" w:eastAsia="方正仿宋_GBK" w:cs="Times New Roman"/>
          <w:bCs/>
          <w:snapToGrid w:val="0"/>
          <w:color w:val="auto"/>
          <w:kern w:val="0"/>
          <w:sz w:val="32"/>
          <w:szCs w:val="32"/>
          <w:highlight w:val="none"/>
          <w:lang w:bidi="ar"/>
        </w:rPr>
      </w:pPr>
      <w:r>
        <w:rPr>
          <w:rFonts w:hint="eastAsia" w:ascii="Times New Roman" w:hAnsi="Times New Roman" w:eastAsia="方正仿宋_GBK" w:cs="Times New Roman"/>
          <w:bCs/>
          <w:snapToGrid w:val="0"/>
          <w:color w:val="auto"/>
          <w:kern w:val="0"/>
          <w:sz w:val="32"/>
          <w:szCs w:val="32"/>
          <w:highlight w:val="none"/>
          <w:lang w:bidi="ar"/>
        </w:rPr>
        <w:t>大学城重点围绕软件</w:t>
      </w:r>
      <w:r>
        <w:rPr>
          <w:rFonts w:hint="eastAsia" w:ascii="Times New Roman" w:hAnsi="Times New Roman" w:eastAsia="方正仿宋_GBK" w:cs="Times New Roman"/>
          <w:bCs/>
          <w:snapToGrid w:val="0"/>
          <w:color w:val="auto"/>
          <w:kern w:val="0"/>
          <w:sz w:val="32"/>
          <w:szCs w:val="32"/>
          <w:highlight w:val="none"/>
          <w:lang w:val="en-US" w:eastAsia="zh-CN" w:bidi="ar"/>
        </w:rPr>
        <w:t>和</w:t>
      </w:r>
      <w:r>
        <w:rPr>
          <w:rFonts w:hint="eastAsia" w:ascii="Times New Roman" w:hAnsi="Times New Roman" w:eastAsia="方正仿宋_GBK" w:cs="Times New Roman"/>
          <w:bCs/>
          <w:snapToGrid w:val="0"/>
          <w:color w:val="auto"/>
          <w:kern w:val="0"/>
          <w:sz w:val="32"/>
          <w:szCs w:val="32"/>
          <w:highlight w:val="none"/>
          <w:lang w:bidi="ar"/>
        </w:rPr>
        <w:t>信息服务、科技服务、商贸服务等产业链研发创新和人才培养需求，做强高校协同创新、创新创业、孵化转化等功能，打造金凤软件园（虎溪</w:t>
      </w:r>
      <w:r>
        <w:rPr>
          <w:rFonts w:hint="eastAsia" w:ascii="Times New Roman" w:hAnsi="Times New Roman" w:eastAsia="方正仿宋_GBK" w:cs="Times New Roman"/>
          <w:bCs/>
          <w:snapToGrid w:val="0"/>
          <w:color w:val="auto"/>
          <w:kern w:val="0"/>
          <w:sz w:val="32"/>
          <w:szCs w:val="32"/>
          <w:highlight w:val="none"/>
          <w:lang w:val="en-US" w:eastAsia="zh-CN" w:bidi="ar"/>
        </w:rPr>
        <w:t>园</w:t>
      </w:r>
      <w:r>
        <w:rPr>
          <w:rFonts w:hint="eastAsia" w:ascii="Times New Roman" w:hAnsi="Times New Roman" w:eastAsia="方正仿宋_GBK" w:cs="Times New Roman"/>
          <w:bCs/>
          <w:snapToGrid w:val="0"/>
          <w:color w:val="auto"/>
          <w:kern w:val="0"/>
          <w:sz w:val="32"/>
          <w:szCs w:val="32"/>
          <w:highlight w:val="none"/>
          <w:lang w:bidi="ar"/>
        </w:rPr>
        <w:t>）、国际创谷等核心载体，建设活力迸发、人才辈出、成果涌现的环大学</w:t>
      </w:r>
      <w:r>
        <w:rPr>
          <w:rFonts w:hint="eastAsia" w:ascii="Times New Roman" w:hAnsi="Times New Roman" w:eastAsia="方正仿宋_GBK" w:cs="Times New Roman"/>
          <w:bCs/>
          <w:snapToGrid w:val="0"/>
          <w:color w:val="auto"/>
          <w:kern w:val="0"/>
          <w:sz w:val="32"/>
          <w:szCs w:val="32"/>
          <w:highlight w:val="none"/>
          <w:lang w:eastAsia="zh-CN" w:bidi="ar"/>
        </w:rPr>
        <w:t>城</w:t>
      </w:r>
      <w:r>
        <w:rPr>
          <w:rFonts w:hint="eastAsia" w:ascii="Times New Roman" w:hAnsi="Times New Roman" w:eastAsia="方正仿宋_GBK" w:cs="Times New Roman"/>
          <w:bCs/>
          <w:snapToGrid w:val="0"/>
          <w:color w:val="auto"/>
          <w:kern w:val="0"/>
          <w:sz w:val="32"/>
          <w:szCs w:val="32"/>
          <w:highlight w:val="none"/>
          <w:lang w:bidi="ar"/>
        </w:rPr>
        <w:t>创新生态圈。</w:t>
      </w:r>
    </w:p>
    <w:p w14:paraId="2D048BFE">
      <w:pPr>
        <w:adjustRightInd w:val="0"/>
        <w:snapToGrid w:val="0"/>
        <w:spacing w:line="600" w:lineRule="exact"/>
        <w:ind w:firstLine="640" w:firstLineChars="200"/>
        <w:textAlignment w:val="baseline"/>
        <w:rPr>
          <w:rFonts w:ascii="Times New Roman" w:hAnsi="Times New Roman" w:eastAsia="方正仿宋_GBK" w:cs="Times New Roman"/>
          <w:bCs/>
          <w:snapToGrid w:val="0"/>
          <w:color w:val="auto"/>
          <w:kern w:val="0"/>
          <w:sz w:val="32"/>
          <w:szCs w:val="32"/>
          <w:highlight w:val="none"/>
          <w:lang w:bidi="ar"/>
        </w:rPr>
      </w:pPr>
      <w:r>
        <w:rPr>
          <w:rFonts w:hint="eastAsia" w:ascii="Times New Roman" w:hAnsi="Times New Roman" w:eastAsia="方正仿宋_GBK" w:cs="Times New Roman"/>
          <w:bCs/>
          <w:snapToGrid w:val="0"/>
          <w:color w:val="auto"/>
          <w:kern w:val="0"/>
          <w:sz w:val="32"/>
          <w:szCs w:val="32"/>
          <w:highlight w:val="none"/>
          <w:lang w:bidi="ar"/>
        </w:rPr>
        <w:t>科研港围绕高端制造、前沿材料、生物医药等前沿领域，集中布局嘉陵江实验室、超瞬态实验装置、重庆大学（智谷校区）等</w:t>
      </w:r>
      <w:r>
        <w:rPr>
          <w:rFonts w:hint="eastAsia" w:ascii="Times New Roman" w:hAnsi="Times New Roman" w:eastAsia="方正仿宋_GBK" w:cs="Times New Roman"/>
          <w:bCs/>
          <w:snapToGrid w:val="0"/>
          <w:color w:val="auto"/>
          <w:kern w:val="0"/>
          <w:sz w:val="32"/>
          <w:szCs w:val="32"/>
          <w:highlight w:val="none"/>
          <w:lang w:val="en-US" w:eastAsia="zh-CN" w:bidi="ar"/>
        </w:rPr>
        <w:t>重大科研载体及科技交流平台，服务国家战略需求，解决重大科学问题，</w:t>
      </w:r>
      <w:r>
        <w:rPr>
          <w:rFonts w:hint="eastAsia" w:ascii="Times New Roman" w:hAnsi="Times New Roman" w:eastAsia="方正仿宋_GBK" w:cs="Times New Roman"/>
          <w:bCs/>
          <w:snapToGrid w:val="0"/>
          <w:color w:val="auto"/>
          <w:kern w:val="0"/>
          <w:sz w:val="32"/>
          <w:szCs w:val="32"/>
          <w:highlight w:val="none"/>
          <w:lang w:bidi="ar"/>
        </w:rPr>
        <w:t>助力</w:t>
      </w:r>
      <w:r>
        <w:rPr>
          <w:rFonts w:hint="eastAsia" w:ascii="Times New Roman" w:hAnsi="Times New Roman" w:eastAsia="方正仿宋_GBK" w:cs="Times New Roman"/>
          <w:bCs/>
          <w:snapToGrid w:val="0"/>
          <w:color w:val="auto"/>
          <w:kern w:val="0"/>
          <w:sz w:val="32"/>
          <w:szCs w:val="32"/>
          <w:highlight w:val="none"/>
          <w:lang w:val="en-US" w:eastAsia="zh-CN" w:bidi="ar"/>
        </w:rPr>
        <w:t>实现“从0到1”的原创性突破</w:t>
      </w:r>
      <w:r>
        <w:rPr>
          <w:rFonts w:hint="eastAsia" w:ascii="Times New Roman" w:hAnsi="Times New Roman" w:eastAsia="方正仿宋_GBK" w:cs="Times New Roman"/>
          <w:bCs/>
          <w:snapToGrid w:val="0"/>
          <w:color w:val="auto"/>
          <w:kern w:val="0"/>
          <w:sz w:val="32"/>
          <w:szCs w:val="32"/>
          <w:highlight w:val="none"/>
          <w:lang w:bidi="ar"/>
        </w:rPr>
        <w:t>，夯实高新区创新策源底座。</w:t>
      </w:r>
    </w:p>
    <w:p w14:paraId="2F672381">
      <w:pPr>
        <w:adjustRightInd w:val="0"/>
        <w:snapToGrid w:val="0"/>
        <w:spacing w:line="600" w:lineRule="exact"/>
        <w:ind w:firstLine="640" w:firstLineChars="200"/>
        <w:textAlignment w:val="baseline"/>
        <w:rPr>
          <w:rFonts w:ascii="Times New Roman" w:hAnsi="Times New Roman" w:eastAsia="方正仿宋_GBK" w:cs="Times New Roman"/>
          <w:bCs/>
          <w:snapToGrid w:val="0"/>
          <w:color w:val="auto"/>
          <w:kern w:val="0"/>
          <w:sz w:val="32"/>
          <w:szCs w:val="32"/>
          <w:highlight w:val="none"/>
          <w:lang w:bidi="ar"/>
        </w:rPr>
      </w:pPr>
      <w:r>
        <w:rPr>
          <w:rFonts w:hint="eastAsia" w:ascii="Times New Roman" w:hAnsi="Times New Roman" w:eastAsia="方正仿宋_GBK" w:cs="Times New Roman"/>
          <w:bCs/>
          <w:snapToGrid w:val="0"/>
          <w:color w:val="auto"/>
          <w:kern w:val="0"/>
          <w:sz w:val="32"/>
          <w:szCs w:val="32"/>
          <w:highlight w:val="none"/>
          <w:lang w:bidi="ar"/>
        </w:rPr>
        <w:t>科学谷重点围绕新能源汽摩、未来产业等产业链，打造科学谷数智科创园，集聚北京大学重庆大数据研究院、沪渝人工智能研究院等新型研发机构，</w:t>
      </w:r>
      <w:r>
        <w:rPr>
          <w:rFonts w:hint="eastAsia" w:ascii="Times New Roman" w:hAnsi="Times New Roman" w:eastAsia="方正仿宋_GBK" w:cs="Times New Roman"/>
          <w:bCs/>
          <w:snapToGrid w:val="0"/>
          <w:color w:val="auto"/>
          <w:kern w:val="0"/>
          <w:sz w:val="32"/>
          <w:szCs w:val="32"/>
          <w:highlight w:val="none"/>
          <w:lang w:val="en-US" w:eastAsia="zh-CN" w:bidi="ar"/>
        </w:rPr>
        <w:t>完善创新中心、交叉研究平台、孵化器、加速器、企业研发总部基地等功能，打造中轻资产、高附加值产业集群</w:t>
      </w:r>
      <w:r>
        <w:rPr>
          <w:rFonts w:hint="eastAsia" w:ascii="Times New Roman" w:hAnsi="Times New Roman" w:eastAsia="方正仿宋_GBK" w:cs="Times New Roman"/>
          <w:bCs/>
          <w:snapToGrid w:val="0"/>
          <w:color w:val="auto"/>
          <w:kern w:val="0"/>
          <w:sz w:val="32"/>
          <w:szCs w:val="32"/>
          <w:highlight w:val="none"/>
          <w:lang w:bidi="ar"/>
        </w:rPr>
        <w:t>。</w:t>
      </w:r>
    </w:p>
    <w:p w14:paraId="5781B44D">
      <w:pPr>
        <w:adjustRightInd w:val="0"/>
        <w:snapToGrid w:val="0"/>
        <w:spacing w:line="600" w:lineRule="exact"/>
        <w:ind w:firstLine="640" w:firstLineChars="200"/>
        <w:textAlignment w:val="baseline"/>
        <w:rPr>
          <w:rFonts w:ascii="Times New Roman" w:hAnsi="Times New Roman" w:eastAsia="方正仿宋_GBK" w:cs="Times New Roman"/>
          <w:bCs/>
          <w:snapToGrid w:val="0"/>
          <w:color w:val="auto"/>
          <w:kern w:val="0"/>
          <w:sz w:val="32"/>
          <w:szCs w:val="32"/>
          <w:highlight w:val="none"/>
          <w:lang w:bidi="ar"/>
        </w:rPr>
      </w:pPr>
      <w:r>
        <w:rPr>
          <w:rFonts w:hint="eastAsia" w:ascii="Times New Roman" w:hAnsi="Times New Roman" w:eastAsia="方正仿宋_GBK" w:cs="Times New Roman"/>
          <w:bCs/>
          <w:snapToGrid w:val="0"/>
          <w:color w:val="auto"/>
          <w:kern w:val="0"/>
          <w:sz w:val="32"/>
          <w:szCs w:val="32"/>
          <w:highlight w:val="none"/>
          <w:lang w:bidi="ar"/>
        </w:rPr>
        <w:t>生命岛重点围绕精准诊疗、医疗器械等领域，大力打造金凤实验室、国家健康战略资源中心、凤麟核等核心平台，</w:t>
      </w:r>
      <w:r>
        <w:rPr>
          <w:rFonts w:hint="eastAsia" w:ascii="Times New Roman" w:hAnsi="Times New Roman" w:eastAsia="方正仿宋_GBK" w:cs="Times New Roman"/>
          <w:bCs/>
          <w:snapToGrid w:val="0"/>
          <w:color w:val="auto"/>
          <w:kern w:val="0"/>
          <w:sz w:val="32"/>
          <w:szCs w:val="32"/>
          <w:highlight w:val="none"/>
          <w:lang w:val="en-US" w:eastAsia="zh-CN" w:bidi="ar"/>
        </w:rPr>
        <w:t>集中布局高水平实验室、新型研发机构、公共技术服务平台，</w:t>
      </w:r>
      <w:r>
        <w:rPr>
          <w:rFonts w:hint="eastAsia" w:ascii="Times New Roman" w:hAnsi="Times New Roman" w:eastAsia="方正仿宋_GBK" w:cs="Times New Roman"/>
          <w:bCs/>
          <w:snapToGrid w:val="0"/>
          <w:color w:val="auto"/>
          <w:kern w:val="0"/>
          <w:sz w:val="32"/>
          <w:szCs w:val="32"/>
          <w:highlight w:val="none"/>
          <w:lang w:bidi="ar"/>
        </w:rPr>
        <w:t>提升生命健康创新策源能力。</w:t>
      </w:r>
    </w:p>
    <w:p w14:paraId="6EA74D55">
      <w:pPr>
        <w:widowControl/>
        <w:adjustRightInd w:val="0"/>
        <w:snapToGrid w:val="0"/>
        <w:spacing w:line="600" w:lineRule="exact"/>
        <w:ind w:firstLine="640" w:firstLineChars="200"/>
        <w:jc w:val="left"/>
        <w:textAlignment w:val="baseline"/>
        <w:rPr>
          <w:rFonts w:hint="eastAsia" w:ascii="Times New Roman" w:hAnsi="Times New Roman" w:eastAsia="方正仿宋_GBK" w:cs="Times New Roman"/>
          <w:bCs/>
          <w:snapToGrid w:val="0"/>
          <w:color w:val="auto"/>
          <w:kern w:val="0"/>
          <w:sz w:val="32"/>
          <w:szCs w:val="32"/>
          <w:highlight w:val="none"/>
          <w:lang w:bidi="ar"/>
        </w:rPr>
      </w:pPr>
      <w:r>
        <w:rPr>
          <w:rFonts w:hint="eastAsia" w:ascii="Times New Roman" w:hAnsi="Times New Roman" w:eastAsia="方正仿宋_GBK" w:cs="Times New Roman"/>
          <w:bCs/>
          <w:snapToGrid w:val="0"/>
          <w:color w:val="auto"/>
          <w:kern w:val="0"/>
          <w:sz w:val="32"/>
          <w:szCs w:val="32"/>
          <w:highlight w:val="none"/>
          <w:lang w:bidi="ar"/>
        </w:rPr>
        <w:t>微电园围绕集成电路等产业链，打造金凤软件园（西永</w:t>
      </w:r>
      <w:r>
        <w:rPr>
          <w:rFonts w:hint="eastAsia" w:ascii="Times New Roman" w:hAnsi="Times New Roman" w:eastAsia="方正仿宋_GBK" w:cs="Times New Roman"/>
          <w:bCs/>
          <w:snapToGrid w:val="0"/>
          <w:color w:val="auto"/>
          <w:kern w:val="0"/>
          <w:sz w:val="32"/>
          <w:szCs w:val="32"/>
          <w:highlight w:val="none"/>
          <w:lang w:val="en-US" w:eastAsia="zh-CN" w:bidi="ar"/>
        </w:rPr>
        <w:t>园</w:t>
      </w:r>
      <w:r>
        <w:rPr>
          <w:rFonts w:hint="eastAsia" w:ascii="Times New Roman" w:hAnsi="Times New Roman" w:eastAsia="方正仿宋_GBK" w:cs="Times New Roman"/>
          <w:bCs/>
          <w:snapToGrid w:val="0"/>
          <w:color w:val="auto"/>
          <w:kern w:val="0"/>
          <w:sz w:val="32"/>
          <w:szCs w:val="32"/>
          <w:highlight w:val="none"/>
          <w:lang w:bidi="ar"/>
        </w:rPr>
        <w:t>）等重点载体，集聚北京大学重庆碳基集成电路研究院、北京理工大学重庆微电子研究院等新型</w:t>
      </w:r>
      <w:r>
        <w:rPr>
          <w:rFonts w:hint="eastAsia" w:ascii="Times New Roman" w:hAnsi="Times New Roman" w:eastAsia="方正仿宋_GBK" w:cs="Times New Roman"/>
          <w:bCs/>
          <w:snapToGrid w:val="0"/>
          <w:color w:val="auto"/>
          <w:kern w:val="0"/>
          <w:sz w:val="32"/>
          <w:szCs w:val="32"/>
          <w:highlight w:val="none"/>
          <w:lang w:val="en-US" w:eastAsia="zh-CN" w:bidi="ar"/>
        </w:rPr>
        <w:t>研发</w:t>
      </w:r>
      <w:r>
        <w:rPr>
          <w:rFonts w:hint="eastAsia" w:ascii="Times New Roman" w:hAnsi="Times New Roman" w:eastAsia="方正仿宋_GBK" w:cs="Times New Roman"/>
          <w:bCs/>
          <w:snapToGrid w:val="0"/>
          <w:color w:val="auto"/>
          <w:kern w:val="0"/>
          <w:sz w:val="32"/>
          <w:szCs w:val="32"/>
          <w:highlight w:val="none"/>
          <w:lang w:bidi="ar"/>
        </w:rPr>
        <w:t>机构，打造</w:t>
      </w:r>
      <w:r>
        <w:rPr>
          <w:rFonts w:hint="eastAsia" w:ascii="Times New Roman" w:hAnsi="Times New Roman" w:eastAsia="方正仿宋_GBK" w:cs="Times New Roman"/>
          <w:bCs/>
          <w:snapToGrid w:val="0"/>
          <w:color w:val="auto"/>
          <w:kern w:val="0"/>
          <w:sz w:val="32"/>
          <w:szCs w:val="32"/>
          <w:highlight w:val="none"/>
          <w:lang w:val="en-US" w:eastAsia="zh-CN" w:bidi="ar"/>
        </w:rPr>
        <w:t>集总部研发、创新创业、商务办公、科技研发等功能于一体的</w:t>
      </w:r>
      <w:r>
        <w:rPr>
          <w:rFonts w:hint="eastAsia" w:ascii="Times New Roman" w:hAnsi="Times New Roman" w:eastAsia="方正仿宋_GBK" w:cs="Times New Roman"/>
          <w:bCs/>
          <w:snapToGrid w:val="0"/>
          <w:color w:val="auto"/>
          <w:kern w:val="0"/>
          <w:sz w:val="32"/>
          <w:szCs w:val="32"/>
          <w:highlight w:val="none"/>
          <w:lang w:bidi="ar"/>
        </w:rPr>
        <w:t>微电子产业创新高地。</w:t>
      </w:r>
    </w:p>
    <w:p w14:paraId="66A1E338">
      <w:pPr>
        <w:widowControl/>
        <w:overflowPunct/>
        <w:jc w:val="left"/>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br w:type="page"/>
      </w:r>
    </w:p>
    <w:p w14:paraId="33B5C270">
      <w:pPr>
        <w:widowControl/>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图</w:t>
      </w:r>
      <w:r>
        <w:rPr>
          <w:rFonts w:hint="eastAsia" w:ascii="Times New Roman" w:hAnsi="Times New Roman" w:eastAsia="方正黑体_GBK" w:cs="方正黑体_GBK"/>
          <w:color w:val="auto"/>
          <w:kern w:val="0"/>
          <w:sz w:val="32"/>
          <w:szCs w:val="32"/>
          <w:highlight w:val="none"/>
          <w:u w:val="none"/>
          <w:lang w:val="en-US" w:eastAsia="zh-CN" w:bidi="ar"/>
        </w:rPr>
        <w:t>1</w:t>
      </w:r>
      <w:r>
        <w:rPr>
          <w:rFonts w:hint="eastAsia" w:ascii="Times New Roman" w:hAnsi="Times New Roman" w:eastAsia="方正黑体_GBK" w:cs="方正黑体_GBK"/>
          <w:color w:val="auto"/>
          <w:kern w:val="0"/>
          <w:sz w:val="32"/>
          <w:szCs w:val="32"/>
          <w:highlight w:val="none"/>
          <w:u w:val="none"/>
          <w:lang w:bidi="ar"/>
        </w:rPr>
        <w:t xml:space="preserve"> 科创空间总体布局</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08E1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7" w:hRule="atLeast"/>
          <w:jc w:val="center"/>
        </w:trPr>
        <w:tc>
          <w:tcPr>
            <w:tcW w:w="9190" w:type="dxa"/>
          </w:tcPr>
          <w:p w14:paraId="70829BA9">
            <w:pPr>
              <w:widowControl/>
              <w:overflowPunct w:val="0"/>
              <w:snapToGrid w:val="0"/>
              <w:ind w:firstLine="0" w:firstLineChars="0"/>
              <w:jc w:val="center"/>
              <w:rPr>
                <w:rFonts w:hint="eastAsia" w:ascii="Times New Roman" w:hAnsi="Times New Roman" w:cs="Times New Roman" w:eastAsiaTheme="minorEastAsia"/>
                <w:color w:val="auto"/>
                <w:sz w:val="24"/>
                <w:szCs w:val="24"/>
                <w:highlight w:val="none"/>
                <w:lang w:eastAsia="zh-CN"/>
              </w:rPr>
            </w:pPr>
            <w:r>
              <w:rPr>
                <w:rFonts w:hint="eastAsia" w:ascii="Times New Roman" w:hAnsi="Times New Roman" w:cs="Times New Roman" w:eastAsiaTheme="minorEastAsia"/>
                <w:color w:val="auto"/>
                <w:sz w:val="24"/>
                <w:szCs w:val="24"/>
                <w:highlight w:val="none"/>
                <w:lang w:eastAsia="zh-CN"/>
              </w:rPr>
              <w:drawing>
                <wp:inline distT="0" distB="0" distL="114300" distR="114300">
                  <wp:extent cx="4871720" cy="7527290"/>
                  <wp:effectExtent l="0" t="0" r="5080" b="16510"/>
                  <wp:docPr id="5" name="图片 5" descr="公开件图片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公开件图片_01"/>
                          <pic:cNvPicPr>
                            <a:picLocks noChangeAspect="1"/>
                          </pic:cNvPicPr>
                        </pic:nvPicPr>
                        <pic:blipFill>
                          <a:blip r:embed="rId10"/>
                          <a:stretch>
                            <a:fillRect/>
                          </a:stretch>
                        </pic:blipFill>
                        <pic:spPr>
                          <a:xfrm>
                            <a:off x="0" y="0"/>
                            <a:ext cx="4871720" cy="7527290"/>
                          </a:xfrm>
                          <a:prstGeom prst="rect">
                            <a:avLst/>
                          </a:prstGeom>
                        </pic:spPr>
                      </pic:pic>
                    </a:graphicData>
                  </a:graphic>
                </wp:inline>
              </w:drawing>
            </w:r>
          </w:p>
        </w:tc>
      </w:tr>
    </w:tbl>
    <w:p w14:paraId="76D02315">
      <w:pPr>
        <w:widowControl/>
        <w:jc w:val="center"/>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br w:type="page"/>
      </w:r>
    </w:p>
    <w:bookmarkEnd w:id="104"/>
    <w:p w14:paraId="2E6304BD">
      <w:pPr>
        <w:overflowPunct w:val="0"/>
        <w:adjustRightInd w:val="0"/>
        <w:snapToGrid w:val="0"/>
        <w:spacing w:line="600" w:lineRule="exact"/>
        <w:jc w:val="center"/>
        <w:outlineLvl w:val="0"/>
        <w:rPr>
          <w:rFonts w:ascii="Times New Roman" w:hAnsi="Times New Roman" w:eastAsia="方正黑体_GBK" w:cs="方正黑体_GBK"/>
          <w:color w:val="auto"/>
          <w:sz w:val="32"/>
          <w:szCs w:val="32"/>
          <w:highlight w:val="none"/>
        </w:rPr>
      </w:pPr>
      <w:bookmarkStart w:id="180" w:name="_Toc19893"/>
      <w:r>
        <w:rPr>
          <w:rFonts w:hint="eastAsia" w:ascii="Times New Roman" w:hAnsi="Times New Roman" w:eastAsia="方正黑体_GBK" w:cs="方正黑体_GBK"/>
          <w:color w:val="auto"/>
          <w:sz w:val="32"/>
          <w:szCs w:val="32"/>
          <w:highlight w:val="none"/>
        </w:rPr>
        <w:t>第</w:t>
      </w:r>
      <w:r>
        <w:rPr>
          <w:rFonts w:hint="eastAsia" w:ascii="Times New Roman" w:hAnsi="Times New Roman" w:eastAsia="方正黑体_GBK" w:cs="方正黑体_GBK"/>
          <w:color w:val="auto"/>
          <w:sz w:val="32"/>
          <w:szCs w:val="32"/>
          <w:highlight w:val="none"/>
          <w:lang w:val="en-US" w:eastAsia="zh-CN"/>
        </w:rPr>
        <w:t>三</w:t>
      </w:r>
      <w:r>
        <w:rPr>
          <w:rFonts w:hint="eastAsia" w:ascii="Times New Roman" w:hAnsi="Times New Roman" w:eastAsia="方正黑体_GBK" w:cs="方正黑体_GBK"/>
          <w:color w:val="auto"/>
          <w:sz w:val="32"/>
          <w:szCs w:val="32"/>
          <w:highlight w:val="none"/>
        </w:rPr>
        <w:t>篇 建设</w:t>
      </w:r>
      <w:bookmarkEnd w:id="105"/>
      <w:bookmarkEnd w:id="106"/>
      <w:r>
        <w:rPr>
          <w:rFonts w:hint="eastAsia" w:ascii="Times New Roman" w:hAnsi="Times New Roman" w:eastAsia="方正黑体_GBK" w:cs="方正黑体_GBK"/>
          <w:color w:val="auto"/>
          <w:sz w:val="32"/>
          <w:szCs w:val="32"/>
          <w:highlight w:val="none"/>
        </w:rPr>
        <w:t>全国领先、西部一流的高新技术产业园区</w:t>
      </w:r>
      <w:bookmarkEnd w:id="107"/>
      <w:bookmarkEnd w:id="108"/>
      <w:bookmarkEnd w:id="180"/>
    </w:p>
    <w:p w14:paraId="744F40BF">
      <w:pPr>
        <w:pStyle w:val="19"/>
        <w:overflowPunct w:val="0"/>
        <w:adjustRightInd w:val="0"/>
        <w:snapToGrid w:val="0"/>
        <w:spacing w:beforeAutospacing="0" w:afterAutospacing="0" w:line="600" w:lineRule="exact"/>
        <w:ind w:firstLine="640" w:firstLineChars="200"/>
        <w:jc w:val="both"/>
        <w:rPr>
          <w:rFonts w:ascii="Times New Roman" w:hAnsi="Times New Roman" w:eastAsia="方正仿宋_GBK" w:cs="方正仿宋_GBK"/>
          <w:color w:val="auto"/>
          <w:sz w:val="32"/>
          <w:szCs w:val="32"/>
          <w:highlight w:val="none"/>
        </w:rPr>
      </w:pPr>
      <w:bookmarkStart w:id="181" w:name="_Toc10334"/>
      <w:bookmarkStart w:id="182" w:name="_Toc29928"/>
      <w:bookmarkStart w:id="183" w:name="_Toc2081"/>
      <w:bookmarkStart w:id="184" w:name="_Toc4756"/>
    </w:p>
    <w:p w14:paraId="28B9B405">
      <w:pPr>
        <w:pStyle w:val="19"/>
        <w:overflowPunct w:val="0"/>
        <w:adjustRightInd w:val="0"/>
        <w:snapToGrid w:val="0"/>
        <w:spacing w:beforeAutospacing="0" w:afterAutospacing="0" w:line="600" w:lineRule="exact"/>
        <w:ind w:firstLine="640" w:firstLineChars="200"/>
        <w:jc w:val="both"/>
        <w:rPr>
          <w:rFonts w:ascii="Times New Roman" w:hAnsi="Times New Roman" w:eastAsia="方正仿宋_GBK" w:cs="方正仿宋_GBK"/>
          <w:color w:val="auto"/>
          <w:sz w:val="32"/>
          <w:szCs w:val="32"/>
          <w:highlight w:val="none"/>
        </w:rPr>
      </w:pPr>
      <w:bookmarkStart w:id="185" w:name="_Toc20556"/>
      <w:bookmarkStart w:id="186" w:name="_Toc29980"/>
      <w:r>
        <w:rPr>
          <w:rFonts w:hint="eastAsia" w:ascii="Times New Roman" w:hAnsi="Times New Roman" w:eastAsia="方正仿宋_GBK" w:cs="方正仿宋_GBK"/>
          <w:color w:val="auto"/>
          <w:sz w:val="32"/>
          <w:szCs w:val="32"/>
          <w:highlight w:val="none"/>
        </w:rPr>
        <w:t>坚持把发展经济的着力点放在实体经济上，坚持智能化、绿色化、融合化发展，深化实施</w:t>
      </w:r>
      <w:r>
        <w:rPr>
          <w:rFonts w:hint="eastAsia" w:ascii="Times New Roman" w:hAnsi="Times New Roman" w:eastAsia="方正仿宋_GBK"/>
          <w:color w:val="auto"/>
          <w:sz w:val="32"/>
          <w:szCs w:val="32"/>
          <w:highlight w:val="none"/>
        </w:rPr>
        <w:t>产业链“链长制”改革</w:t>
      </w:r>
      <w:r>
        <w:rPr>
          <w:rFonts w:hint="eastAsia" w:ascii="Times New Roman" w:hAnsi="Times New Roman" w:eastAsia="方正仿宋_GBK" w:cs="方正仿宋_GBK"/>
          <w:color w:val="auto"/>
          <w:sz w:val="32"/>
          <w:szCs w:val="32"/>
          <w:highlight w:val="none"/>
        </w:rPr>
        <w:t>攻坚行动，聚焦集成电路、新型智能终端、新能源汽摩、生物医药、未来产业5条</w:t>
      </w:r>
      <w:r>
        <w:rPr>
          <w:rFonts w:hint="eastAsia" w:ascii="Times New Roman" w:hAnsi="Times New Roman" w:eastAsia="方正仿宋_GBK" w:cs="方正仿宋_GBK"/>
          <w:color w:val="auto"/>
          <w:sz w:val="32"/>
          <w:szCs w:val="32"/>
          <w:highlight w:val="none"/>
          <w:lang w:val="en-US" w:eastAsia="zh-CN"/>
        </w:rPr>
        <w:t>现代</w:t>
      </w:r>
      <w:r>
        <w:rPr>
          <w:rFonts w:hint="eastAsia" w:ascii="Times New Roman" w:hAnsi="Times New Roman" w:eastAsia="方正仿宋_GBK" w:cs="方正仿宋_GBK"/>
          <w:color w:val="auto"/>
          <w:sz w:val="32"/>
          <w:szCs w:val="32"/>
          <w:highlight w:val="none"/>
        </w:rPr>
        <w:t>制造业和软件和信息服务、科技服务、金融服务、跨境电商、商贸服务5条现代服务业产业链，健全“招、投、服”一体化闭环推进体系，</w:t>
      </w:r>
      <w:r>
        <w:rPr>
          <w:rFonts w:hint="eastAsia" w:ascii="Times New Roman" w:hAnsi="Times New Roman" w:eastAsia="方正仿宋_GBK"/>
          <w:color w:val="auto"/>
          <w:sz w:val="32"/>
          <w:szCs w:val="32"/>
          <w:highlight w:val="none"/>
        </w:rPr>
        <w:t>以“产业大脑+未来工厂”新模式牵引“四侧”协同、促进“四链”融合，完善关键产业链“空间布局—产业规模—龙头企业—拳头产品—目标预期”体系，</w:t>
      </w:r>
      <w:r>
        <w:rPr>
          <w:rFonts w:hint="eastAsia" w:ascii="方正仿宋_GBK" w:hAnsi="Calibri" w:eastAsia="方正仿宋_GBK" w:cs="Times New Roman"/>
          <w:bCs/>
          <w:sz w:val="32"/>
          <w:szCs w:val="32"/>
          <w:highlight w:val="none"/>
          <w:u w:val="none" w:color="auto"/>
          <w:lang w:val="en-US" w:eastAsia="zh-CN"/>
        </w:rPr>
        <w:t>加快构建创新引领、多点支撑的高新技术产业格局，千</w:t>
      </w:r>
      <w:r>
        <w:rPr>
          <w:rFonts w:hint="eastAsia" w:ascii="方正仿宋_GBK" w:hAnsi="Calibri" w:eastAsia="方正仿宋_GBK" w:cs="Times New Roman"/>
          <w:bCs/>
          <w:sz w:val="32"/>
          <w:szCs w:val="32"/>
          <w:u w:val="none" w:color="auto"/>
          <w:lang w:val="en-US" w:eastAsia="zh-CN"/>
        </w:rPr>
        <w:t>方百计提升高新技术产业发展能级</w:t>
      </w:r>
      <w:r>
        <w:rPr>
          <w:rFonts w:hint="eastAsia" w:ascii="Times New Roman" w:hAnsi="Times New Roman" w:eastAsia="方正仿宋_GBK" w:cs="方正仿宋_GBK"/>
          <w:color w:val="auto"/>
          <w:sz w:val="32"/>
          <w:szCs w:val="32"/>
          <w:highlight w:val="none"/>
        </w:rPr>
        <w:t>。</w:t>
      </w:r>
    </w:p>
    <w:p w14:paraId="761893C5">
      <w:pPr>
        <w:pStyle w:val="19"/>
        <w:overflowPunct w:val="0"/>
        <w:adjustRightInd w:val="0"/>
        <w:snapToGrid w:val="0"/>
        <w:spacing w:beforeAutospacing="0" w:afterAutospacing="0" w:line="600" w:lineRule="exact"/>
        <w:ind w:firstLine="640" w:firstLineChars="200"/>
        <w:jc w:val="both"/>
        <w:rPr>
          <w:rFonts w:ascii="Times New Roman" w:hAnsi="Times New Roman" w:eastAsia="方正仿宋_GBK" w:cs="方正仿宋_GBK"/>
          <w:color w:val="auto"/>
          <w:sz w:val="32"/>
          <w:szCs w:val="32"/>
          <w:highlight w:val="none"/>
        </w:rPr>
      </w:pPr>
    </w:p>
    <w:bookmarkEnd w:id="181"/>
    <w:bookmarkEnd w:id="182"/>
    <w:bookmarkEnd w:id="183"/>
    <w:bookmarkEnd w:id="184"/>
    <w:bookmarkEnd w:id="185"/>
    <w:bookmarkEnd w:id="186"/>
    <w:p w14:paraId="39850D2C">
      <w:pPr>
        <w:overflowPunct w:val="0"/>
        <w:adjustRightInd w:val="0"/>
        <w:snapToGrid w:val="0"/>
        <w:spacing w:line="600" w:lineRule="exact"/>
        <w:jc w:val="center"/>
        <w:outlineLvl w:val="1"/>
        <w:rPr>
          <w:rFonts w:ascii="Times New Roman" w:hAnsi="Times New Roman" w:eastAsia="方正黑体_GBK" w:cs="方正黑体_GBK"/>
          <w:color w:val="auto"/>
          <w:sz w:val="32"/>
          <w:szCs w:val="32"/>
          <w:highlight w:val="none"/>
        </w:rPr>
      </w:pPr>
      <w:bookmarkStart w:id="187" w:name="_Toc30626"/>
      <w:bookmarkStart w:id="188" w:name="_Toc30860"/>
      <w:bookmarkStart w:id="189" w:name="_Toc31917"/>
      <w:bookmarkStart w:id="190" w:name="_Toc1176117988"/>
      <w:bookmarkStart w:id="191" w:name="_Toc635390228"/>
      <w:bookmarkStart w:id="192" w:name="_Toc26750"/>
      <w:bookmarkStart w:id="193" w:name="_Toc4087"/>
      <w:bookmarkStart w:id="194" w:name="_Toc26341"/>
      <w:bookmarkStart w:id="195" w:name="_Toc2108"/>
      <w:bookmarkStart w:id="196" w:name="_Toc5984"/>
      <w:bookmarkStart w:id="197" w:name="_Toc18274"/>
      <w:bookmarkStart w:id="198" w:name="_Toc21660"/>
      <w:bookmarkStart w:id="199" w:name="_Toc5982"/>
      <w:r>
        <w:rPr>
          <w:rFonts w:hint="eastAsia" w:ascii="Times New Roman" w:hAnsi="Times New Roman" w:eastAsia="方正黑体_GBK" w:cs="方正黑体_GBK"/>
          <w:color w:val="auto"/>
          <w:sz w:val="32"/>
          <w:szCs w:val="32"/>
          <w:highlight w:val="none"/>
        </w:rPr>
        <w:t>第一章 巩固提升</w:t>
      </w:r>
      <w:r>
        <w:rPr>
          <w:rFonts w:hint="eastAsia" w:ascii="Times New Roman" w:hAnsi="Times New Roman" w:eastAsia="方正黑体_GBK" w:cs="方正黑体_GBK"/>
          <w:color w:val="auto"/>
          <w:sz w:val="32"/>
          <w:szCs w:val="32"/>
          <w:highlight w:val="none"/>
          <w:lang w:val="en-US" w:eastAsia="zh-CN"/>
        </w:rPr>
        <w:t>现代</w:t>
      </w:r>
      <w:r>
        <w:rPr>
          <w:rFonts w:hint="eastAsia" w:ascii="Times New Roman" w:hAnsi="Times New Roman" w:eastAsia="方正黑体_GBK" w:cs="方正黑体_GBK"/>
          <w:color w:val="auto"/>
          <w:sz w:val="32"/>
          <w:szCs w:val="32"/>
          <w:highlight w:val="none"/>
        </w:rPr>
        <w:t>制造业集群优势</w:t>
      </w:r>
      <w:bookmarkEnd w:id="187"/>
      <w:bookmarkEnd w:id="188"/>
      <w:bookmarkEnd w:id="189"/>
      <w:bookmarkEnd w:id="190"/>
      <w:bookmarkEnd w:id="191"/>
    </w:p>
    <w:p w14:paraId="4A5885B1">
      <w:pPr>
        <w:pStyle w:val="19"/>
        <w:adjustRightInd w:val="0"/>
        <w:snapToGrid w:val="0"/>
        <w:spacing w:beforeAutospacing="0" w:afterAutospacing="0" w:line="600" w:lineRule="exact"/>
        <w:ind w:firstLine="640" w:firstLineChars="200"/>
        <w:rPr>
          <w:rFonts w:ascii="Times New Roman" w:hAnsi="Times New Roman" w:eastAsia="方正仿宋_GBK"/>
          <w:color w:val="auto"/>
          <w:sz w:val="32"/>
          <w:szCs w:val="32"/>
          <w:highlight w:val="none"/>
        </w:rPr>
      </w:pPr>
      <w:r>
        <w:rPr>
          <w:rFonts w:hint="eastAsia" w:ascii="方正仿宋_GBK" w:hAnsi="Calibri" w:eastAsia="方正仿宋_GBK" w:cs="Times New Roman"/>
          <w:bCs/>
          <w:sz w:val="32"/>
          <w:szCs w:val="32"/>
          <w:u w:val="none" w:color="auto"/>
          <w:lang w:val="en-US" w:eastAsia="zh-CN"/>
        </w:rPr>
        <w:t>聚焦“国家战略有需求、重庆发展有基础、自身资源有支撑”的集成电路、新能源汽摩等主攻方向</w:t>
      </w:r>
      <w:r>
        <w:rPr>
          <w:rFonts w:hint="eastAsia" w:ascii="Times New Roman" w:hAnsi="Times New Roman" w:eastAsia="方正仿宋_GBK"/>
          <w:color w:val="auto"/>
          <w:sz w:val="32"/>
          <w:szCs w:val="32"/>
          <w:highlight w:val="none"/>
        </w:rPr>
        <w:t>，</w:t>
      </w:r>
      <w:r>
        <w:rPr>
          <w:rFonts w:hint="eastAsia" w:ascii="Times New Roman" w:hAnsi="Times New Roman" w:eastAsia="方正仿宋_GBK" w:cs="方正仿宋_GBK"/>
          <w:color w:val="auto"/>
          <w:sz w:val="32"/>
          <w:szCs w:val="32"/>
          <w:highlight w:val="none"/>
        </w:rPr>
        <w:t>全面提升“高新制造”竞争力，</w:t>
      </w:r>
      <w:r>
        <w:rPr>
          <w:rFonts w:hint="eastAsia" w:ascii="Times New Roman" w:hAnsi="Times New Roman" w:eastAsia="方正仿宋_GBK"/>
          <w:color w:val="auto"/>
          <w:sz w:val="32"/>
          <w:szCs w:val="32"/>
          <w:highlight w:val="none"/>
        </w:rPr>
        <w:t>到2030年，</w:t>
      </w:r>
      <w:r>
        <w:rPr>
          <w:rFonts w:hint="eastAsia" w:ascii="Times New Roman" w:hAnsi="Times New Roman" w:eastAsia="方正仿宋_GBK" w:cs="方正仿宋_GBK"/>
          <w:color w:val="auto"/>
          <w:sz w:val="32"/>
          <w:szCs w:val="32"/>
          <w:highlight w:val="none"/>
        </w:rPr>
        <w:t>制造业增加值占地区生产总值比重稳定在30%左右</w:t>
      </w:r>
      <w:r>
        <w:rPr>
          <w:rFonts w:hint="eastAsia" w:ascii="Times New Roman" w:hAnsi="Times New Roman" w:eastAsia="方正仿宋_GBK"/>
          <w:color w:val="auto"/>
          <w:sz w:val="32"/>
          <w:szCs w:val="32"/>
          <w:highlight w:val="none"/>
        </w:rPr>
        <w:t>。</w:t>
      </w:r>
    </w:p>
    <w:p w14:paraId="06F59C26">
      <w:pPr>
        <w:numPr>
          <w:ilvl w:val="-1"/>
          <w:numId w:val="0"/>
        </w:numPr>
        <w:overflowPunct w:val="0"/>
        <w:adjustRightInd w:val="0"/>
        <w:snapToGrid w:val="0"/>
        <w:spacing w:line="600" w:lineRule="exact"/>
        <w:jc w:val="center"/>
        <w:outlineLvl w:val="2"/>
        <w:rPr>
          <w:rFonts w:hint="eastAsia" w:ascii="Times New Roman" w:hAnsi="Times New Roman" w:eastAsia="方正楷体_GBK" w:cs="方正楷体_GBK"/>
          <w:color w:val="auto"/>
          <w:spacing w:val="-11"/>
          <w:sz w:val="32"/>
          <w:szCs w:val="32"/>
          <w:highlight w:val="none"/>
        </w:rPr>
      </w:pPr>
      <w:bookmarkStart w:id="200" w:name="_Toc14208"/>
      <w:bookmarkStart w:id="201" w:name="_Toc9671"/>
      <w:bookmarkStart w:id="202" w:name="_Toc11217"/>
      <w:bookmarkStart w:id="203" w:name="_Toc1575537328"/>
      <w:bookmarkStart w:id="204" w:name="_Toc1714869112"/>
      <w:bookmarkStart w:id="205" w:name="_Toc22134"/>
      <w:bookmarkStart w:id="206" w:name="_Toc7902"/>
      <w:bookmarkStart w:id="207" w:name="_Toc15930"/>
      <w:bookmarkStart w:id="208" w:name="_Toc16566"/>
      <w:bookmarkStart w:id="209" w:name="_Toc19868"/>
      <w:r>
        <w:rPr>
          <w:rFonts w:hint="eastAsia" w:ascii="Times New Roman" w:hAnsi="Times New Roman" w:eastAsia="方正楷体_GBK" w:cs="方正楷体_GBK"/>
          <w:color w:val="auto"/>
          <w:spacing w:val="-11"/>
          <w:sz w:val="32"/>
          <w:szCs w:val="32"/>
          <w:highlight w:val="none"/>
          <w:lang w:val="en-US" w:eastAsia="zh-CN"/>
        </w:rPr>
        <w:t xml:space="preserve">第一节 </w:t>
      </w:r>
      <w:r>
        <w:rPr>
          <w:rFonts w:hint="eastAsia" w:ascii="Times New Roman" w:hAnsi="Times New Roman" w:eastAsia="方正楷体_GBK" w:cs="方正楷体_GBK"/>
          <w:color w:val="auto"/>
          <w:spacing w:val="-11"/>
          <w:sz w:val="32"/>
          <w:szCs w:val="32"/>
          <w:highlight w:val="none"/>
        </w:rPr>
        <w:t>全力打造全市集成电路产业主要集聚地</w:t>
      </w:r>
      <w:bookmarkEnd w:id="200"/>
      <w:bookmarkEnd w:id="201"/>
      <w:bookmarkEnd w:id="202"/>
      <w:bookmarkEnd w:id="203"/>
      <w:bookmarkEnd w:id="204"/>
      <w:bookmarkEnd w:id="205"/>
      <w:bookmarkEnd w:id="206"/>
      <w:bookmarkEnd w:id="207"/>
      <w:bookmarkEnd w:id="208"/>
      <w:bookmarkEnd w:id="209"/>
    </w:p>
    <w:p w14:paraId="4B10C662">
      <w:pPr>
        <w:pStyle w:val="19"/>
        <w:overflowPunct w:val="0"/>
        <w:adjustRightInd w:val="0"/>
        <w:snapToGrid w:val="0"/>
        <w:spacing w:beforeAutospacing="0" w:afterAutospacing="0" w:line="600" w:lineRule="exact"/>
        <w:ind w:firstLine="640" w:firstLineChars="200"/>
        <w:jc w:val="both"/>
        <w:rPr>
          <w:rFonts w:hint="default"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rPr>
        <w:t>发挥产业链体系较为完备优势</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锚定功率半导体、模拟与数模混合芯片、化合物半导体、车规级芯片等重点方向，按照“以中间带两端”思路，采取超常规手段建立健全“芯片设计—晶圆制造—封测模组—材料设备”集成电路全产业链生态</w:t>
      </w:r>
      <w:r>
        <w:rPr>
          <w:rFonts w:hint="eastAsia" w:ascii="Times New Roman" w:hAnsi="Times New Roman" w:eastAsia="方正仿宋_GBK" w:cs="方正仿宋_GBK"/>
          <w:color w:val="auto"/>
          <w:sz w:val="32"/>
          <w:szCs w:val="32"/>
          <w:highlight w:val="none"/>
          <w:lang w:eastAsia="zh-CN"/>
        </w:rPr>
        <w:t>，打造国内具有功率半导体和特色工艺辨识度的集成电路产业主要集聚地</w:t>
      </w:r>
      <w:r>
        <w:rPr>
          <w:rFonts w:hint="eastAsia" w:ascii="Times New Roman" w:hAnsi="Times New Roman" w:eastAsia="方正仿宋_GBK" w:cs="方正仿宋_GBK"/>
          <w:color w:val="auto"/>
          <w:sz w:val="32"/>
          <w:szCs w:val="32"/>
          <w:highlight w:val="none"/>
        </w:rPr>
        <w:t>。大力发展汽车芯片。加快模拟</w:t>
      </w:r>
      <w:r>
        <w:rPr>
          <w:rFonts w:hint="eastAsia" w:ascii="Times New Roman" w:hAnsi="Times New Roman" w:eastAsia="方正仿宋_GBK" w:cs="方正仿宋_GBK"/>
          <w:color w:val="auto"/>
          <w:sz w:val="32"/>
          <w:szCs w:val="32"/>
          <w:highlight w:val="none"/>
          <w:lang w:val="en-US" w:eastAsia="zh-CN"/>
        </w:rPr>
        <w:t>芯片、</w:t>
      </w:r>
      <w:r>
        <w:rPr>
          <w:rFonts w:hint="eastAsia" w:ascii="Times New Roman" w:hAnsi="Times New Roman" w:eastAsia="方正仿宋_GBK" w:cs="方正仿宋_GBK"/>
          <w:color w:val="auto"/>
          <w:sz w:val="32"/>
          <w:szCs w:val="32"/>
          <w:highlight w:val="none"/>
        </w:rPr>
        <w:t>功率</w:t>
      </w:r>
      <w:r>
        <w:rPr>
          <w:rFonts w:hint="eastAsia" w:ascii="Times New Roman" w:hAnsi="Times New Roman" w:eastAsia="方正仿宋_GBK" w:cs="方正仿宋_GBK"/>
          <w:color w:val="auto"/>
          <w:sz w:val="32"/>
          <w:szCs w:val="32"/>
          <w:highlight w:val="none"/>
          <w:lang w:val="en-US" w:eastAsia="zh-CN"/>
        </w:rPr>
        <w:t>芯片</w:t>
      </w:r>
      <w:r>
        <w:rPr>
          <w:rFonts w:hint="eastAsia" w:ascii="Times New Roman" w:hAnsi="Times New Roman" w:eastAsia="方正仿宋_GBK" w:cs="方正仿宋_GBK"/>
          <w:color w:val="auto"/>
          <w:sz w:val="32"/>
          <w:szCs w:val="32"/>
          <w:highlight w:val="none"/>
        </w:rPr>
        <w:t>、计算控制</w:t>
      </w:r>
      <w:r>
        <w:rPr>
          <w:rFonts w:hint="eastAsia" w:ascii="Times New Roman" w:hAnsi="Times New Roman" w:eastAsia="方正仿宋_GBK" w:cs="方正仿宋_GBK"/>
          <w:color w:val="auto"/>
          <w:sz w:val="32"/>
          <w:szCs w:val="32"/>
          <w:highlight w:val="none"/>
          <w:lang w:val="en-US" w:eastAsia="zh-CN"/>
        </w:rPr>
        <w:t>芯片</w:t>
      </w:r>
      <w:r>
        <w:rPr>
          <w:rFonts w:hint="eastAsia" w:ascii="Times New Roman" w:hAnsi="Times New Roman" w:eastAsia="方正仿宋_GBK" w:cs="方正仿宋_GBK"/>
          <w:color w:val="auto"/>
          <w:sz w:val="32"/>
          <w:szCs w:val="32"/>
          <w:highlight w:val="none"/>
        </w:rPr>
        <w:t>、传感器等车规级芯片研发生产、检验认证、上车应用，</w:t>
      </w:r>
      <w:r>
        <w:rPr>
          <w:rFonts w:hint="eastAsia" w:ascii="Times New Roman" w:hAnsi="Times New Roman" w:eastAsia="方正仿宋_GBK" w:cs="方正仿宋_GBK"/>
          <w:color w:val="auto"/>
          <w:sz w:val="32"/>
          <w:szCs w:val="32"/>
          <w:highlight w:val="none"/>
          <w:lang w:val="en-US" w:eastAsia="zh-CN"/>
        </w:rPr>
        <w:t>鼓励各类</w:t>
      </w:r>
      <w:r>
        <w:rPr>
          <w:rFonts w:hint="eastAsia" w:ascii="方正仿宋_GBK" w:hAnsi="方正仿宋_GBK" w:eastAsia="方正仿宋_GBK" w:cs="方正仿宋_GBK"/>
          <w:color w:val="000000"/>
          <w:kern w:val="2"/>
          <w:sz w:val="32"/>
          <w:szCs w:val="32"/>
          <w:u w:val="none" w:color="auto"/>
          <w:lang w:val="en-US" w:eastAsia="zh-CN" w:bidi="ar"/>
        </w:rPr>
        <w:t>创新服务平台、芯片检测认证公共服务平台申报重庆市汽车芯片产业创新平台</w:t>
      </w:r>
      <w:r>
        <w:rPr>
          <w:rFonts w:hint="eastAsia" w:ascii="Times New Roman" w:hAnsi="Times New Roman" w:eastAsia="方正仿宋_GBK" w:cs="方正仿宋_GBK"/>
          <w:color w:val="auto"/>
          <w:sz w:val="32"/>
          <w:szCs w:val="32"/>
          <w:highlight w:val="none"/>
        </w:rPr>
        <w:t>，打造中西部特色车规级集成电路特色工艺制造基地。</w:t>
      </w:r>
      <w:r>
        <w:rPr>
          <w:rFonts w:hint="default" w:ascii="Times New Roman" w:hAnsi="Times New Roman" w:eastAsia="方正仿宋_GBK" w:cs="方正仿宋_GBK"/>
          <w:color w:val="auto"/>
          <w:sz w:val="32"/>
          <w:szCs w:val="32"/>
          <w:highlight w:val="none"/>
          <w:lang w:val="en-US"/>
        </w:rPr>
        <w:t>夯实晶圆制造</w:t>
      </w:r>
      <w:r>
        <w:rPr>
          <w:rFonts w:hint="eastAsia" w:ascii="Times New Roman" w:hAnsi="Times New Roman" w:eastAsia="方正仿宋_GBK" w:cs="方正仿宋_GBK"/>
          <w:color w:val="auto"/>
          <w:sz w:val="32"/>
          <w:szCs w:val="32"/>
          <w:highlight w:val="none"/>
        </w:rPr>
        <w:t>。推动提升8吋、12吋功率半导体晶圆制造能力，加快重点项目提产上量，布局车规级成熟制程</w:t>
      </w:r>
      <w:r>
        <w:rPr>
          <w:rFonts w:hint="eastAsia" w:ascii="Times New Roman" w:hAnsi="Times New Roman" w:eastAsia="方正仿宋_GBK" w:cs="方正仿宋_GBK"/>
          <w:color w:val="auto"/>
          <w:sz w:val="32"/>
          <w:szCs w:val="32"/>
          <w:highlight w:val="none"/>
          <w:lang w:eastAsia="zh-CN"/>
        </w:rPr>
        <w:t>，</w:t>
      </w:r>
      <w:r>
        <w:rPr>
          <w:rFonts w:hint="eastAsia" w:ascii="方正仿宋_GBK" w:hAnsi="方正仿宋_GBK" w:eastAsia="方正仿宋_GBK" w:cs="方正仿宋_GBK"/>
          <w:b w:val="0"/>
          <w:bCs w:val="0"/>
          <w:color w:val="000000"/>
          <w:kern w:val="2"/>
          <w:sz w:val="32"/>
          <w:szCs w:val="32"/>
          <w:u w:val="none" w:color="auto"/>
          <w:lang w:val="en-US" w:eastAsia="zh-CN" w:bidi="ar"/>
        </w:rPr>
        <w:t>打造全国领先的功率半导体全产业链平台基地、车规级化合物半导体制造基地</w:t>
      </w:r>
      <w:r>
        <w:rPr>
          <w:rFonts w:hint="eastAsia" w:ascii="Times New Roman" w:hAnsi="Times New Roman" w:eastAsia="方正仿宋_GBK" w:cs="方正仿宋_GBK"/>
          <w:color w:val="auto"/>
          <w:sz w:val="32"/>
          <w:szCs w:val="32"/>
          <w:highlight w:val="none"/>
        </w:rPr>
        <w:t>。培育芯片设计。重点发展硅光产业链，建设硅光工艺中试平台，孵化光通信、光传感、光计算等硅光电子芯片设计企业。推动整车与芯片和模组产业协同发展，搭建“芯片设计—整车/终端”供需对接平台，发展本地定制开发、流片服务。提质建设集成电路公共设计服务平台、汽车芯片EDA创新服务平台</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建成西部地区最大的汽车芯片、模拟芯片设计中心</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强化封测模组。推动</w:t>
      </w:r>
      <w:r>
        <w:rPr>
          <w:rFonts w:hint="eastAsia" w:ascii="Times New Roman" w:hAnsi="Times New Roman" w:eastAsia="方正仿宋_GBK" w:cs="方正仿宋_GBK"/>
          <w:color w:val="auto"/>
          <w:sz w:val="32"/>
          <w:szCs w:val="32"/>
          <w:highlight w:val="none"/>
          <w:lang w:val="en-US" w:eastAsia="zh-CN"/>
        </w:rPr>
        <w:t>企业</w:t>
      </w:r>
      <w:r>
        <w:rPr>
          <w:rFonts w:hint="eastAsia" w:ascii="Times New Roman" w:hAnsi="Times New Roman" w:eastAsia="方正仿宋_GBK" w:cs="方正仿宋_GBK"/>
          <w:color w:val="auto"/>
          <w:sz w:val="32"/>
          <w:szCs w:val="32"/>
          <w:highlight w:val="none"/>
        </w:rPr>
        <w:t>产品转型、扩大封装类型和规模</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协调争取更多订单落地，推动首期IGBT功率模块产线提前达产</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二期IPM功率模块产线</w:t>
      </w:r>
      <w:r>
        <w:rPr>
          <w:rFonts w:hint="eastAsia" w:ascii="Times New Roman" w:hAnsi="Times New Roman" w:eastAsia="方正仿宋_GBK" w:cs="方正仿宋_GBK"/>
          <w:color w:val="auto"/>
          <w:sz w:val="32"/>
          <w:szCs w:val="32"/>
          <w:highlight w:val="none"/>
          <w:lang w:val="en-US" w:eastAsia="zh-CN"/>
        </w:rPr>
        <w:t>启动</w:t>
      </w:r>
      <w:r>
        <w:rPr>
          <w:rFonts w:hint="eastAsia" w:ascii="Times New Roman" w:hAnsi="Times New Roman" w:eastAsia="方正仿宋_GBK" w:cs="方正仿宋_GBK"/>
          <w:color w:val="auto"/>
          <w:sz w:val="32"/>
          <w:szCs w:val="32"/>
          <w:highlight w:val="none"/>
        </w:rPr>
        <w:t>建设，引导</w:t>
      </w:r>
      <w:r>
        <w:rPr>
          <w:rFonts w:hint="eastAsia" w:ascii="Times New Roman" w:hAnsi="Times New Roman" w:eastAsia="方正仿宋_GBK" w:cs="方正仿宋_GBK"/>
          <w:color w:val="auto"/>
          <w:sz w:val="32"/>
          <w:szCs w:val="32"/>
          <w:highlight w:val="none"/>
          <w:lang w:val="en-US" w:eastAsia="zh-CN"/>
        </w:rPr>
        <w:t>封测企业</w:t>
      </w:r>
      <w:r>
        <w:rPr>
          <w:rFonts w:hint="eastAsia" w:ascii="Times New Roman" w:hAnsi="Times New Roman" w:eastAsia="方正仿宋_GBK" w:cs="方正仿宋_GBK"/>
          <w:color w:val="auto"/>
          <w:sz w:val="32"/>
          <w:szCs w:val="32"/>
          <w:highlight w:val="none"/>
        </w:rPr>
        <w:t>与</w:t>
      </w:r>
      <w:r>
        <w:rPr>
          <w:rFonts w:hint="eastAsia" w:ascii="Times New Roman" w:hAnsi="Times New Roman" w:eastAsia="方正仿宋_GBK" w:cs="方正仿宋_GBK"/>
          <w:color w:val="auto"/>
          <w:sz w:val="32"/>
          <w:szCs w:val="32"/>
          <w:highlight w:val="none"/>
          <w:lang w:val="en-US" w:eastAsia="zh-CN"/>
        </w:rPr>
        <w:t>车企</w:t>
      </w:r>
      <w:r>
        <w:rPr>
          <w:rFonts w:hint="eastAsia" w:ascii="Times New Roman" w:hAnsi="Times New Roman" w:eastAsia="方正仿宋_GBK" w:cs="方正仿宋_GBK"/>
          <w:color w:val="auto"/>
          <w:sz w:val="32"/>
          <w:szCs w:val="32"/>
          <w:highlight w:val="none"/>
        </w:rPr>
        <w:t>合作，布局</w:t>
      </w:r>
      <w:r>
        <w:rPr>
          <w:rFonts w:ascii="Times New Roman" w:hAnsi="Times New Roman" w:eastAsia="方正仿宋_GBK" w:cs="方正仿宋_GBK"/>
          <w:color w:val="auto"/>
          <w:sz w:val="32"/>
          <w:szCs w:val="32"/>
          <w:highlight w:val="none"/>
        </w:rPr>
        <w:t>车规级</w:t>
      </w:r>
      <w:r>
        <w:rPr>
          <w:rFonts w:hint="eastAsia" w:ascii="Times New Roman" w:hAnsi="Times New Roman" w:eastAsia="方正仿宋_GBK" w:cs="方正仿宋_GBK"/>
          <w:color w:val="auto"/>
          <w:sz w:val="32"/>
          <w:szCs w:val="32"/>
          <w:highlight w:val="none"/>
        </w:rPr>
        <w:t>封测</w:t>
      </w:r>
      <w:r>
        <w:rPr>
          <w:rFonts w:hint="eastAsia" w:ascii="Times New Roman" w:hAnsi="Times New Roman" w:eastAsia="方正仿宋_GBK" w:cs="方正仿宋_GBK"/>
          <w:color w:val="auto"/>
          <w:sz w:val="32"/>
          <w:szCs w:val="32"/>
          <w:highlight w:val="none"/>
          <w:lang w:eastAsia="zh-CN"/>
        </w:rPr>
        <w:t>，</w:t>
      </w:r>
      <w:r>
        <w:rPr>
          <w:rFonts w:hint="eastAsia" w:ascii="方正仿宋_GBK" w:hAnsi="方正仿宋_GBK" w:eastAsia="方正仿宋_GBK" w:cs="方正仿宋_GBK"/>
          <w:b w:val="0"/>
          <w:bCs w:val="0"/>
          <w:color w:val="000000"/>
          <w:kern w:val="2"/>
          <w:sz w:val="32"/>
          <w:szCs w:val="32"/>
          <w:u w:val="none" w:color="auto"/>
          <w:lang w:val="en-US" w:eastAsia="zh-CN" w:bidi="ar"/>
        </w:rPr>
        <w:t>建成重庆首个先进封装基地、西部首个集成电路全产业链检测基地</w:t>
      </w:r>
      <w:r>
        <w:rPr>
          <w:rFonts w:hint="eastAsia" w:ascii="Times New Roman" w:hAnsi="Times New Roman" w:eastAsia="方正仿宋_GBK" w:cs="方正仿宋_GBK"/>
          <w:color w:val="auto"/>
          <w:sz w:val="32"/>
          <w:szCs w:val="32"/>
          <w:highlight w:val="none"/>
        </w:rPr>
        <w:t>。补齐材料设备。</w:t>
      </w:r>
      <w:r>
        <w:rPr>
          <w:rFonts w:hint="eastAsia" w:ascii="Times New Roman" w:hAnsi="Times New Roman" w:eastAsia="方正仿宋_GBK" w:cs="方正仿宋_GBK"/>
          <w:color w:val="auto"/>
          <w:sz w:val="32"/>
          <w:szCs w:val="32"/>
          <w:highlight w:val="none"/>
          <w:lang w:val="en-US" w:eastAsia="zh-CN"/>
        </w:rPr>
        <w:t>推动</w:t>
      </w:r>
      <w:r>
        <w:rPr>
          <w:rFonts w:hint="eastAsia" w:ascii="Times New Roman" w:hAnsi="Times New Roman" w:eastAsia="方正仿宋_GBK" w:cs="方正仿宋_GBK"/>
          <w:color w:val="auto"/>
          <w:sz w:val="32"/>
          <w:szCs w:val="32"/>
          <w:highlight w:val="none"/>
        </w:rPr>
        <w:t>集成电路设备、零部件企业落地成熟型号产品量产线至高新区，深化“沿海中心城市研发+重庆量产”两地分工发展模式。持续关注企业增量业务，组建新工艺团队、开发新工艺产品。打造半导体设备零部件及原材料公共服务平台，依托嘉陵江实验室、欧洲科学院中国中心等科研平台攻关核心技术、推动成果转化。</w:t>
      </w:r>
      <w:r>
        <w:rPr>
          <w:rFonts w:ascii="Times New Roman" w:hAnsi="Times New Roman" w:eastAsia="方正仿宋_GBK" w:cs="方正仿宋_GBK"/>
          <w:color w:val="auto"/>
          <w:sz w:val="32"/>
          <w:szCs w:val="32"/>
          <w:highlight w:val="none"/>
        </w:rPr>
        <w:t>到2030年</w:t>
      </w:r>
      <w:r>
        <w:rPr>
          <w:rFonts w:hint="eastAsia" w:ascii="Times New Roman" w:hAnsi="Times New Roman" w:eastAsia="方正仿宋_GBK" w:cs="方正仿宋_GBK"/>
          <w:color w:val="auto"/>
          <w:sz w:val="32"/>
          <w:szCs w:val="32"/>
          <w:highlight w:val="none"/>
        </w:rPr>
        <w:t>，</w:t>
      </w:r>
      <w:r>
        <w:rPr>
          <w:rFonts w:ascii="Times New Roman" w:hAnsi="Times New Roman" w:eastAsia="方正仿宋_GBK" w:cs="方正仿宋_GBK"/>
          <w:color w:val="auto"/>
          <w:sz w:val="32"/>
          <w:szCs w:val="32"/>
          <w:highlight w:val="none"/>
        </w:rPr>
        <w:t>集成电路产业</w:t>
      </w:r>
      <w:r>
        <w:rPr>
          <w:rFonts w:hint="eastAsia" w:ascii="Times New Roman" w:hAnsi="Times New Roman" w:eastAsia="方正仿宋_GBK" w:cs="方正仿宋_GBK"/>
          <w:color w:val="auto"/>
          <w:sz w:val="32"/>
          <w:szCs w:val="32"/>
          <w:highlight w:val="none"/>
        </w:rPr>
        <w:t>规模达到</w:t>
      </w:r>
      <w:r>
        <w:rPr>
          <w:rFonts w:ascii="Times New Roman" w:hAnsi="Times New Roman" w:eastAsia="方正仿宋_GBK" w:cs="方正仿宋_GBK"/>
          <w:color w:val="auto"/>
          <w:sz w:val="32"/>
          <w:szCs w:val="32"/>
          <w:highlight w:val="none"/>
        </w:rPr>
        <w:t>600亿元</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000000"/>
          <w:kern w:val="2"/>
          <w:sz w:val="32"/>
          <w:szCs w:val="32"/>
          <w:u w:val="none" w:color="auto"/>
          <w:lang w:val="en-US" w:eastAsia="zh-CN" w:bidi="ar"/>
        </w:rPr>
        <w:t>新增集成电路专业人才4000</w:t>
      </w:r>
      <w:r>
        <w:rPr>
          <w:rFonts w:hint="eastAsia" w:ascii="Times New Roman" w:hAnsi="Times New Roman" w:eastAsia="方正仿宋_GBK" w:cs="Times New Roman"/>
          <w:color w:val="000000"/>
          <w:kern w:val="2"/>
          <w:sz w:val="32"/>
          <w:szCs w:val="32"/>
          <w:u w:val="none" w:color="auto"/>
          <w:lang w:val="en-US" w:eastAsia="zh-CN" w:bidi="ar"/>
        </w:rPr>
        <w:t>人</w:t>
      </w:r>
      <w:r>
        <w:rPr>
          <w:rFonts w:hint="eastAsia" w:ascii="Times New Roman" w:hAnsi="Times New Roman" w:eastAsia="方正仿宋_GBK" w:cs="方正仿宋_GBK"/>
          <w:color w:val="auto"/>
          <w:sz w:val="32"/>
          <w:szCs w:val="32"/>
          <w:highlight w:val="none"/>
          <w:lang w:eastAsia="zh-CN"/>
        </w:rPr>
        <w:t>。</w:t>
      </w:r>
    </w:p>
    <w:p w14:paraId="682732B2">
      <w:pPr>
        <w:overflowPunct/>
        <w:adjustRightInd w:val="0"/>
        <w:spacing w:line="312" w:lineRule="atLeast"/>
        <w:jc w:val="center"/>
        <w:textAlignment w:val="baseline"/>
        <w:rPr>
          <w:rFonts w:hint="eastAsia" w:ascii="Times New Roman" w:hAnsi="Times New Roman" w:eastAsia="方正黑体_GBK" w:cs="方正黑体_GBK"/>
          <w:color w:val="auto"/>
          <w:kern w:val="0"/>
          <w:sz w:val="32"/>
          <w:szCs w:val="32"/>
          <w:highlight w:val="none"/>
          <w:u w:val="none"/>
        </w:rPr>
      </w:pPr>
      <w:r>
        <w:rPr>
          <w:rFonts w:hint="eastAsia" w:ascii="Times New Roman" w:hAnsi="Times New Roman" w:eastAsia="方正黑体_GBK" w:cs="方正黑体_GBK"/>
          <w:color w:val="auto"/>
          <w:kern w:val="0"/>
          <w:sz w:val="32"/>
          <w:szCs w:val="32"/>
          <w:highlight w:val="none"/>
          <w:u w:val="none"/>
        </w:rPr>
        <w:t>专栏</w:t>
      </w:r>
      <w:r>
        <w:rPr>
          <w:rFonts w:hint="eastAsia" w:ascii="Times New Roman" w:hAnsi="Times New Roman" w:eastAsia="方正黑体_GBK" w:cs="方正黑体_GBK"/>
          <w:color w:val="auto"/>
          <w:kern w:val="0"/>
          <w:sz w:val="32"/>
          <w:szCs w:val="32"/>
          <w:highlight w:val="none"/>
          <w:u w:val="none"/>
          <w:lang w:val="en-US" w:eastAsia="zh-CN"/>
        </w:rPr>
        <w:t>8</w:t>
      </w:r>
      <w:r>
        <w:rPr>
          <w:rFonts w:hint="eastAsia" w:ascii="Times New Roman" w:hAnsi="Times New Roman" w:eastAsia="方正黑体_GBK" w:cs="方正黑体_GBK"/>
          <w:color w:val="auto"/>
          <w:kern w:val="0"/>
          <w:sz w:val="32"/>
          <w:szCs w:val="32"/>
          <w:highlight w:val="none"/>
          <w:u w:val="none"/>
        </w:rPr>
        <w:t xml:space="preserve"> 集成电路产业重点领域</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7D9A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190" w:type="dxa"/>
          </w:tcPr>
          <w:p w14:paraId="21B56EB9">
            <w:pPr>
              <w:pStyle w:val="19"/>
              <w:keepNext w:val="0"/>
              <w:keepLines w:val="0"/>
              <w:pageBreakBefore w:val="0"/>
              <w:widowControl w:val="0"/>
              <w:kinsoku/>
              <w:wordWrap/>
              <w:overflowPunct w:val="0"/>
              <w:topLinePunct w:val="0"/>
              <w:autoSpaceDE/>
              <w:autoSpaceDN/>
              <w:bidi w:val="0"/>
              <w:adjustRightInd/>
              <w:snapToGrid w:val="0"/>
              <w:spacing w:beforeAutospacing="0" w:afterAutospacing="0" w:line="380" w:lineRule="exact"/>
              <w:ind w:firstLine="480" w:firstLineChars="200"/>
              <w:jc w:val="both"/>
              <w:textAlignment w:val="auto"/>
              <w:rPr>
                <w:rFonts w:hint="eastAsia" w:ascii="Times New Roman" w:hAnsi="Times New Roman" w:eastAsia="方正书宋_GBK" w:cs="Times New Roman"/>
                <w:color w:val="auto"/>
                <w:kern w:val="0"/>
                <w:highlight w:val="none"/>
                <w:u w:val="none"/>
              </w:rPr>
            </w:pPr>
            <w:r>
              <w:rPr>
                <w:rFonts w:hint="eastAsia" w:ascii="Times New Roman" w:hAnsi="Times New Roman" w:eastAsia="方正黑体_GBK" w:cs="方正黑体_GBK"/>
                <w:color w:val="auto"/>
                <w:highlight w:val="none"/>
                <w:u w:val="none"/>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芯片设计。</w:t>
            </w:r>
            <w:r>
              <w:rPr>
                <w:rFonts w:hint="eastAsia" w:ascii="Times New Roman" w:hAnsi="Times New Roman" w:eastAsia="方正书宋_GBK" w:cs="Times New Roman"/>
                <w:color w:val="auto"/>
                <w:highlight w:val="none"/>
                <w:u w:val="none"/>
              </w:rPr>
              <w:t>重点发展车用MCU芯片、高端电源管理芯片、RF-SOI射频芯片等，</w:t>
            </w:r>
            <w:r>
              <w:rPr>
                <w:rFonts w:hint="eastAsia" w:ascii="Times New Roman" w:hAnsi="Times New Roman" w:eastAsia="方正书宋_GBK" w:cs="Times New Roman"/>
                <w:color w:val="auto"/>
                <w:highlight w:val="none"/>
                <w:u w:val="none"/>
                <w:lang w:val="en-US" w:eastAsia="zh-CN"/>
              </w:rPr>
              <w:t>布局硅光产业链，</w:t>
            </w:r>
            <w:r>
              <w:rPr>
                <w:rFonts w:hint="eastAsia" w:ascii="Times New Roman" w:hAnsi="Times New Roman" w:eastAsia="方正书宋_GBK" w:cs="Times New Roman"/>
                <w:color w:val="auto"/>
                <w:highlight w:val="none"/>
                <w:u w:val="none"/>
              </w:rPr>
              <w:t>构建</w:t>
            </w:r>
            <w:r>
              <w:rPr>
                <w:rFonts w:hint="eastAsia" w:ascii="Times New Roman" w:hAnsi="Times New Roman" w:eastAsia="方正书宋_GBK" w:cs="Times New Roman"/>
                <w:color w:val="auto"/>
                <w:kern w:val="0"/>
                <w:highlight w:val="none"/>
                <w:u w:val="none"/>
                <w:lang w:bidi="ar-SA"/>
              </w:rPr>
              <w:t>完善</w:t>
            </w:r>
            <w:r>
              <w:rPr>
                <w:rFonts w:hint="eastAsia" w:ascii="Times New Roman" w:hAnsi="Times New Roman" w:eastAsia="方正书宋_GBK"/>
                <w:color w:val="auto"/>
                <w:kern w:val="0"/>
                <w:highlight w:val="none"/>
                <w:u w:val="none"/>
                <w:lang w:bidi="ar-SA"/>
              </w:rPr>
              <w:t>RISC-V</w:t>
            </w:r>
            <w:r>
              <w:rPr>
                <w:rFonts w:hint="eastAsia" w:ascii="Times New Roman" w:hAnsi="Times New Roman" w:eastAsia="方正书宋_GBK" w:cs="Times New Roman"/>
                <w:color w:val="auto"/>
                <w:kern w:val="0"/>
                <w:highlight w:val="none"/>
                <w:u w:val="none"/>
                <w:lang w:bidi="ar-SA"/>
              </w:rPr>
              <w:t>产业链体系。培育发展光通信、光传感、光计算等领域硅光电子芯片设计，加快</w:t>
            </w:r>
            <w:r>
              <w:rPr>
                <w:rFonts w:hint="eastAsia" w:ascii="Times New Roman" w:hAnsi="Times New Roman" w:eastAsia="方正书宋_GBK" w:cs="Times New Roman"/>
                <w:color w:val="auto"/>
                <w:kern w:val="0"/>
                <w:highlight w:val="none"/>
                <w:u w:val="none"/>
              </w:rPr>
              <w:t>红外芯片、激光雷达、光陀螺等产品产业化。</w:t>
            </w:r>
          </w:p>
          <w:p w14:paraId="4882941F">
            <w:pPr>
              <w:pStyle w:val="19"/>
              <w:keepNext w:val="0"/>
              <w:keepLines w:val="0"/>
              <w:pageBreakBefore w:val="0"/>
              <w:widowControl w:val="0"/>
              <w:kinsoku/>
              <w:wordWrap/>
              <w:overflowPunct w:val="0"/>
              <w:topLinePunct w:val="0"/>
              <w:autoSpaceDE/>
              <w:autoSpaceDN/>
              <w:bidi w:val="0"/>
              <w:adjustRightInd/>
              <w:snapToGrid w:val="0"/>
              <w:spacing w:beforeAutospacing="0" w:afterAutospacing="0" w:line="380" w:lineRule="exact"/>
              <w:ind w:firstLine="480" w:firstLineChars="200"/>
              <w:jc w:val="both"/>
              <w:textAlignment w:val="auto"/>
              <w:rPr>
                <w:rFonts w:hint="eastAsia" w:ascii="Times New Roman" w:hAnsi="Times New Roman" w:eastAsia="方正书宋_GBK" w:cs="Times New Roman"/>
                <w:color w:val="auto"/>
                <w:kern w:val="0"/>
                <w:highlight w:val="none"/>
                <w:u w:val="none"/>
              </w:rPr>
            </w:pPr>
            <w:r>
              <w:rPr>
                <w:rFonts w:hint="eastAsia" w:ascii="Times New Roman" w:hAnsi="Times New Roman" w:eastAsia="方正黑体_GBK" w:cs="方正黑体_GBK"/>
                <w:color w:val="auto"/>
                <w:highlight w:val="none"/>
                <w:u w:val="none"/>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晶圆制造。</w:t>
            </w:r>
            <w:r>
              <w:rPr>
                <w:rFonts w:hint="eastAsia" w:ascii="Times New Roman" w:hAnsi="Times New Roman" w:eastAsia="方正书宋_GBK" w:cs="Times New Roman"/>
                <w:color w:val="auto"/>
                <w:highlight w:val="none"/>
                <w:u w:val="none"/>
              </w:rPr>
              <w:t>重点发展第三代化合物半导体（碳化硅SiC）、硅基功率半导体、MEMS与传感器、高端特色工艺、硅基光电子与光集成、车规级晶圆制造等领域。</w:t>
            </w:r>
          </w:p>
          <w:p w14:paraId="16BC93CF">
            <w:pPr>
              <w:pStyle w:val="19"/>
              <w:keepNext w:val="0"/>
              <w:keepLines w:val="0"/>
              <w:pageBreakBefore w:val="0"/>
              <w:widowControl w:val="0"/>
              <w:kinsoku/>
              <w:wordWrap/>
              <w:overflowPunct w:val="0"/>
              <w:topLinePunct w:val="0"/>
              <w:autoSpaceDE/>
              <w:autoSpaceDN/>
              <w:bidi w:val="0"/>
              <w:adjustRightInd/>
              <w:snapToGrid w:val="0"/>
              <w:spacing w:beforeAutospacing="0" w:afterAutospacing="0" w:line="380" w:lineRule="exact"/>
              <w:ind w:firstLine="480" w:firstLineChars="200"/>
              <w:jc w:val="both"/>
              <w:textAlignment w:val="auto"/>
              <w:rPr>
                <w:rFonts w:hint="eastAsia" w:ascii="Times New Roman" w:hAnsi="Times New Roman" w:eastAsia="方正书宋_GBK" w:cs="Times New Roman"/>
                <w:color w:val="auto"/>
                <w:highlight w:val="none"/>
                <w:u w:val="none"/>
              </w:rPr>
            </w:pPr>
            <w:r>
              <w:rPr>
                <w:rFonts w:hint="eastAsia" w:ascii="Times New Roman" w:hAnsi="Times New Roman" w:eastAsia="方正黑体_GBK" w:cs="方正黑体_GBK"/>
                <w:color w:val="auto"/>
                <w:highlight w:val="none"/>
                <w:u w:val="none"/>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封测模组。</w:t>
            </w:r>
            <w:r>
              <w:rPr>
                <w:rFonts w:hint="eastAsia" w:ascii="Times New Roman" w:hAnsi="Times New Roman" w:eastAsia="方正书宋_GBK" w:cs="Times New Roman"/>
                <w:color w:val="auto"/>
                <w:highlight w:val="none"/>
                <w:u w:val="none"/>
              </w:rPr>
              <w:t>重点发展IGBT、MOSFET、SiC功率器件等车规级功率器件封测，发展Fan-out、Bumping、WLP、2.5D/3D先进封装与系统集成。面向汽车电控、工业变频、光伏储能，主攻IPM智能功率模块、SiC功率模块、传感器SiP模组。覆盖MEMS惯性、压力、气体传感器以及硅光芯片、射频与模拟芯片的封测与老化测试。</w:t>
            </w:r>
          </w:p>
          <w:p w14:paraId="71F05EEC">
            <w:pPr>
              <w:pStyle w:val="19"/>
              <w:keepNext w:val="0"/>
              <w:keepLines w:val="0"/>
              <w:pageBreakBefore w:val="0"/>
              <w:widowControl w:val="0"/>
              <w:kinsoku/>
              <w:wordWrap/>
              <w:overflowPunct w:val="0"/>
              <w:topLinePunct w:val="0"/>
              <w:autoSpaceDE/>
              <w:autoSpaceDN/>
              <w:bidi w:val="0"/>
              <w:adjustRightInd/>
              <w:snapToGrid w:val="0"/>
              <w:spacing w:beforeAutospacing="0" w:afterAutospacing="0" w:line="380" w:lineRule="exact"/>
              <w:ind w:firstLine="480" w:firstLineChars="200"/>
              <w:jc w:val="both"/>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黑体_GBK" w:cs="方正黑体_GBK"/>
                <w:color w:val="auto"/>
                <w:highlight w:val="none"/>
                <w:u w:val="none"/>
              </w:rPr>
              <w:t>4</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材料设备。</w:t>
            </w:r>
            <w:r>
              <w:rPr>
                <w:rFonts w:hint="eastAsia" w:ascii="Times New Roman" w:hAnsi="Times New Roman" w:eastAsia="方正书宋_GBK" w:cs="Times New Roman"/>
                <w:color w:val="auto"/>
                <w:kern w:val="0"/>
                <w:highlight w:val="none"/>
                <w:u w:val="none"/>
                <w:lang w:bidi="ar-SA"/>
              </w:rPr>
              <w:t>重点</w:t>
            </w:r>
            <w:r>
              <w:rPr>
                <w:rFonts w:hint="eastAsia" w:ascii="Times New Roman" w:hAnsi="Times New Roman" w:eastAsia="方正书宋_GBK" w:cs="Times New Roman"/>
                <w:color w:val="auto"/>
                <w:highlight w:val="none"/>
                <w:u w:val="none"/>
              </w:rPr>
              <w:t>发展氮化镓外延、氧化镓外延、金刚石衬底、蓝宝石衬底等领域。协调石英、陶瓷、</w:t>
            </w:r>
            <w:r>
              <w:rPr>
                <w:rFonts w:hint="default" w:ascii="Times New Roman" w:hAnsi="Times New Roman" w:eastAsia="方正书宋_GBK" w:cs="Times New Roman"/>
                <w:color w:val="auto"/>
                <w:highlight w:val="none"/>
                <w:u w:val="none"/>
                <w:lang w:val="en-US"/>
              </w:rPr>
              <w:t>石墨</w:t>
            </w:r>
            <w:r>
              <w:rPr>
                <w:rFonts w:hint="eastAsia" w:ascii="Times New Roman" w:hAnsi="Times New Roman" w:eastAsia="方正书宋_GBK" w:cs="Times New Roman"/>
                <w:color w:val="auto"/>
                <w:highlight w:val="none"/>
                <w:u w:val="none"/>
              </w:rPr>
              <w:t>等零部件材料进入本地产线验证和</w:t>
            </w:r>
            <w:r>
              <w:rPr>
                <w:rFonts w:hint="eastAsia" w:ascii="Times New Roman" w:hAnsi="Times New Roman" w:eastAsia="方正书宋_GBK" w:cs="Times New Roman"/>
                <w:color w:val="auto"/>
                <w:kern w:val="0"/>
                <w:highlight w:val="none"/>
                <w:u w:val="none"/>
              </w:rPr>
              <w:t>上量，</w:t>
            </w:r>
            <w:r>
              <w:rPr>
                <w:rFonts w:hint="eastAsia" w:ascii="Times New Roman" w:hAnsi="Times New Roman" w:eastAsia="方正书宋_GBK" w:cs="Times New Roman"/>
                <w:color w:val="auto"/>
                <w:highlight w:val="none"/>
                <w:u w:val="none"/>
              </w:rPr>
              <w:t>打造集研发、生产、维保、贸易于一体的半导体设备零部件及原材料公共服务平台。</w:t>
            </w:r>
          </w:p>
        </w:tc>
      </w:tr>
    </w:tbl>
    <w:p w14:paraId="345D9CB3">
      <w:pPr>
        <w:overflowPunct w:val="0"/>
        <w:adjustRightInd w:val="0"/>
        <w:snapToGrid w:val="0"/>
        <w:spacing w:line="600" w:lineRule="exact"/>
        <w:jc w:val="center"/>
        <w:outlineLvl w:val="2"/>
        <w:rPr>
          <w:rFonts w:ascii="Times New Roman" w:hAnsi="Times New Roman" w:eastAsia="方正楷体_GBK" w:cs="方正楷体_GBK"/>
          <w:color w:val="auto"/>
          <w:spacing w:val="-11"/>
          <w:sz w:val="32"/>
          <w:szCs w:val="32"/>
          <w:highlight w:val="none"/>
        </w:rPr>
      </w:pPr>
      <w:bookmarkStart w:id="210" w:name="_Toc1582504186"/>
      <w:bookmarkStart w:id="211" w:name="_Toc30180"/>
      <w:bookmarkStart w:id="212" w:name="_Toc427138997"/>
      <w:bookmarkStart w:id="213" w:name="_Toc12044"/>
      <w:bookmarkStart w:id="214" w:name="_Toc31438"/>
      <w:r>
        <w:rPr>
          <w:rFonts w:hint="eastAsia" w:ascii="Times New Roman" w:hAnsi="Times New Roman" w:eastAsia="方正楷体_GBK" w:cs="方正楷体_GBK"/>
          <w:color w:val="auto"/>
          <w:spacing w:val="-11"/>
          <w:sz w:val="32"/>
          <w:szCs w:val="32"/>
          <w:highlight w:val="none"/>
        </w:rPr>
        <w:t xml:space="preserve">第二节 </w:t>
      </w:r>
      <w:bookmarkStart w:id="215" w:name="_Toc9974"/>
      <w:bookmarkStart w:id="216" w:name="_Toc11611"/>
      <w:bookmarkStart w:id="217" w:name="_Toc5259"/>
      <w:bookmarkStart w:id="218" w:name="_Toc31087"/>
      <w:bookmarkStart w:id="219" w:name="_Toc13244"/>
      <w:r>
        <w:rPr>
          <w:rFonts w:hint="eastAsia" w:ascii="Times New Roman" w:hAnsi="Times New Roman" w:eastAsia="方正楷体_GBK" w:cs="方正楷体_GBK"/>
          <w:color w:val="auto"/>
          <w:spacing w:val="-11"/>
          <w:sz w:val="32"/>
          <w:szCs w:val="32"/>
          <w:highlight w:val="none"/>
        </w:rPr>
        <w:t>支撑建设</w:t>
      </w:r>
      <w:r>
        <w:rPr>
          <w:rFonts w:ascii="Times New Roman" w:hAnsi="Times New Roman" w:eastAsia="方正楷体_GBK" w:cs="方正楷体_GBK"/>
          <w:color w:val="auto"/>
          <w:spacing w:val="-11"/>
          <w:sz w:val="32"/>
          <w:szCs w:val="32"/>
          <w:highlight w:val="none"/>
        </w:rPr>
        <w:t>智能网联新能源汽车及世界级摩托车产业之都</w:t>
      </w:r>
      <w:bookmarkEnd w:id="210"/>
      <w:bookmarkEnd w:id="211"/>
      <w:bookmarkEnd w:id="212"/>
      <w:bookmarkEnd w:id="213"/>
      <w:bookmarkEnd w:id="214"/>
      <w:bookmarkEnd w:id="215"/>
      <w:bookmarkEnd w:id="216"/>
      <w:bookmarkEnd w:id="217"/>
      <w:bookmarkEnd w:id="218"/>
      <w:bookmarkEnd w:id="219"/>
    </w:p>
    <w:p w14:paraId="6353181E">
      <w:pPr>
        <w:overflowPunct w:val="0"/>
        <w:adjustRightInd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智能网联新能源汽车领域。全力推动</w:t>
      </w:r>
      <w:r>
        <w:rPr>
          <w:rFonts w:hint="eastAsia" w:ascii="Times New Roman" w:hAnsi="Times New Roman" w:eastAsia="方正仿宋_GBK" w:cs="Times New Roman"/>
          <w:color w:val="auto"/>
          <w:sz w:val="32"/>
          <w:szCs w:val="32"/>
          <w:highlight w:val="none"/>
          <w:lang w:val="en-US" w:eastAsia="zh-CN"/>
        </w:rPr>
        <w:t>商用车产能</w:t>
      </w:r>
      <w:r>
        <w:rPr>
          <w:rFonts w:hint="eastAsia" w:ascii="Times New Roman" w:hAnsi="Times New Roman" w:eastAsia="方正仿宋_GBK" w:cs="Times New Roman"/>
          <w:color w:val="auto"/>
          <w:sz w:val="32"/>
          <w:szCs w:val="32"/>
          <w:highlight w:val="none"/>
        </w:rPr>
        <w:t>升级，做大定制化、改装专用车产业规模。</w:t>
      </w:r>
      <w:r>
        <w:rPr>
          <w:rFonts w:hint="eastAsia" w:ascii="Times New Roman" w:hAnsi="Times New Roman" w:eastAsia="方正仿宋_GBK" w:cs="Times New Roman"/>
          <w:color w:val="auto"/>
          <w:sz w:val="32"/>
          <w:szCs w:val="32"/>
          <w:highlight w:val="none"/>
          <w:lang w:val="en-US" w:eastAsia="zh-CN"/>
        </w:rPr>
        <w:t>鼓励企业</w:t>
      </w:r>
      <w:r>
        <w:rPr>
          <w:rFonts w:hint="eastAsia" w:ascii="Times New Roman" w:hAnsi="Times New Roman" w:eastAsia="方正仿宋_GBK" w:cs="Times New Roman"/>
          <w:color w:val="auto"/>
          <w:sz w:val="32"/>
          <w:szCs w:val="32"/>
          <w:highlight w:val="none"/>
        </w:rPr>
        <w:t>加大研发投入，推进新能源商用车全栈技术研发，促成</w:t>
      </w:r>
      <w:r>
        <w:rPr>
          <w:rFonts w:hint="eastAsia" w:ascii="Times New Roman" w:hAnsi="Times New Roman" w:eastAsia="方正仿宋_GBK" w:cs="Times New Roman"/>
          <w:color w:val="auto"/>
          <w:sz w:val="32"/>
          <w:szCs w:val="32"/>
          <w:highlight w:val="none"/>
          <w:lang w:val="en-US" w:eastAsia="zh-CN"/>
        </w:rPr>
        <w:t>企业间</w:t>
      </w:r>
      <w:r>
        <w:rPr>
          <w:rFonts w:hint="eastAsia" w:ascii="Times New Roman" w:hAnsi="Times New Roman" w:eastAsia="方正仿宋_GBK" w:cs="Times New Roman"/>
          <w:color w:val="auto"/>
          <w:sz w:val="32"/>
          <w:szCs w:val="32"/>
          <w:highlight w:val="none"/>
        </w:rPr>
        <w:t>代工生产长效机制</w:t>
      </w:r>
      <w:r>
        <w:rPr>
          <w:rFonts w:hint="eastAsia" w:ascii="Times New Roman" w:hAnsi="Times New Roman" w:eastAsia="方正仿宋_GBK" w:cs="Times New Roman"/>
          <w:color w:val="auto"/>
          <w:sz w:val="32"/>
          <w:szCs w:val="32"/>
          <w:highlight w:val="none"/>
          <w:lang w:eastAsia="zh-CN"/>
        </w:rPr>
        <w:t>，打造智电商用车定制产业集聚区</w:t>
      </w:r>
      <w:r>
        <w:rPr>
          <w:rFonts w:hint="eastAsia" w:ascii="Times New Roman" w:hAnsi="Times New Roman" w:eastAsia="方正仿宋_GBK" w:cs="Times New Roman"/>
          <w:color w:val="auto"/>
          <w:sz w:val="32"/>
          <w:szCs w:val="32"/>
          <w:highlight w:val="none"/>
        </w:rPr>
        <w:t>。紧抓城市物流电动化与“最后一公里”无人配送转型机遇，通过开放特定区域路权、策划示范运营线路</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加速无人物流车规模化生产与智慧运营落地。强化“车路云一体化”场景培育和开放，加快建设智能网联汽车示范运营区。集聚</w:t>
      </w:r>
      <w:r>
        <w:rPr>
          <w:rFonts w:hint="eastAsia" w:ascii="Times New Roman" w:hAnsi="Times New Roman" w:eastAsia="方正仿宋_GBK" w:cs="方正仿宋_GBK"/>
          <w:color w:val="auto"/>
          <w:kern w:val="0"/>
          <w:sz w:val="32"/>
          <w:szCs w:val="32"/>
          <w:highlight w:val="none"/>
        </w:rPr>
        <w:t>汽车零部件企业，</w:t>
      </w:r>
      <w:r>
        <w:rPr>
          <w:rFonts w:hint="eastAsia" w:ascii="Times New Roman" w:hAnsi="Times New Roman" w:eastAsia="方正仿宋_GBK" w:cs="Times New Roman"/>
          <w:color w:val="auto"/>
          <w:sz w:val="32"/>
          <w:szCs w:val="32"/>
          <w:highlight w:val="none"/>
        </w:rPr>
        <w:t>重点招引具备国产化替代产品及多主机厂配套能力的汽车零部件项目，</w:t>
      </w:r>
      <w:r>
        <w:rPr>
          <w:rFonts w:hint="eastAsia" w:ascii="Times New Roman" w:hAnsi="Times New Roman" w:eastAsia="方正仿宋_GBK" w:cs="方正仿宋_GBK"/>
          <w:color w:val="auto"/>
          <w:sz w:val="32"/>
          <w:szCs w:val="32"/>
          <w:highlight w:val="none"/>
        </w:rPr>
        <w:t>提升核心零部件配套能力。</w:t>
      </w:r>
    </w:p>
    <w:p w14:paraId="77830A17">
      <w:pPr>
        <w:overflowPunct w:val="0"/>
        <w:adjustRightInd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高端摩托车领域。全力推动宗申隆鑫业务整合项目落地，推进摩托车研发、制造、销售及出口等全链条业务板块留驻重庆高新区。</w:t>
      </w:r>
      <w:r>
        <w:rPr>
          <w:rFonts w:hint="eastAsia" w:ascii="Times New Roman" w:hAnsi="Times New Roman" w:eastAsia="方正仿宋_GBK" w:cs="Times New Roman"/>
          <w:color w:val="auto"/>
          <w:sz w:val="32"/>
          <w:szCs w:val="32"/>
          <w:highlight w:val="none"/>
          <w:lang w:val="en-US" w:eastAsia="zh-CN"/>
        </w:rPr>
        <w:t>鼓励</w:t>
      </w:r>
      <w:r>
        <w:rPr>
          <w:rFonts w:hint="eastAsia" w:ascii="Times New Roman" w:hAnsi="Times New Roman" w:eastAsia="方正仿宋_GBK" w:cs="Times New Roman"/>
          <w:color w:val="auto"/>
          <w:sz w:val="32"/>
          <w:szCs w:val="32"/>
          <w:highlight w:val="none"/>
        </w:rPr>
        <w:t>企业加大产品开发和市场拓展，布局更多全新产品矩阵、创建新品牌。通过“整机牵引+零部件入园”模式，积极招引更多主机厂项目落地生产</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推动主机厂带动本地配套率提升。</w:t>
      </w:r>
      <w:r>
        <w:rPr>
          <w:rFonts w:hint="eastAsia" w:ascii="Times New Roman" w:hAnsi="Times New Roman" w:eastAsia="方正仿宋_GBK" w:cs="方正仿宋_GBK"/>
          <w:color w:val="auto"/>
          <w:kern w:val="0"/>
          <w:sz w:val="32"/>
          <w:szCs w:val="32"/>
          <w:highlight w:val="none"/>
        </w:rPr>
        <w:t>发展汽摩主题文旅业态，</w:t>
      </w:r>
      <w:r>
        <w:rPr>
          <w:rFonts w:hint="eastAsia" w:ascii="Times New Roman" w:hAnsi="Times New Roman" w:eastAsia="方正仿宋_GBK" w:cs="Times New Roman"/>
          <w:color w:val="auto"/>
          <w:sz w:val="32"/>
          <w:szCs w:val="32"/>
          <w:highlight w:val="none"/>
        </w:rPr>
        <w:t>树立“制造+服务+文化+赛事+旅游”大产业观，高标准建设汽摩赛娱检综合服务平台，构建摩托车一站式国际认证服务，加快“机车小镇”成型成势，逐步建成涵盖越野、山地、竞速等多种赛事场地，规划打造机车天街等标志性特色文旅目的地。</w:t>
      </w:r>
    </w:p>
    <w:p w14:paraId="707C8471">
      <w:pPr>
        <w:overflowPunct w:val="0"/>
        <w:adjustRightInd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新能源与储能领域。</w:t>
      </w:r>
      <w:r>
        <w:rPr>
          <w:rFonts w:ascii="Times New Roman" w:hAnsi="Times New Roman" w:eastAsia="方正仿宋_GBK" w:cs="Times New Roman"/>
          <w:color w:val="auto"/>
          <w:sz w:val="32"/>
          <w:szCs w:val="32"/>
          <w:highlight w:val="none"/>
        </w:rPr>
        <w:t>建设新型储能技术研发中心、储能安全重点实验室等创新平台，开展新型储能系统的技术研发与成果转化。</w:t>
      </w:r>
      <w:r>
        <w:rPr>
          <w:rFonts w:hint="eastAsia" w:ascii="Times New Roman" w:hAnsi="Times New Roman" w:eastAsia="方正仿宋_GBK" w:cs="Times New Roman"/>
          <w:color w:val="auto"/>
          <w:sz w:val="32"/>
          <w:szCs w:val="32"/>
          <w:highlight w:val="none"/>
        </w:rPr>
        <w:t>落实全市储能产业“5+N”空间布局，引进储能电池组装、逆变器等关键部件制造企业，打造高新区“电子+储能”特色融合产业带，构建</w:t>
      </w:r>
      <w:r>
        <w:rPr>
          <w:rFonts w:hint="eastAsia" w:ascii="Times New Roman" w:hAnsi="Times New Roman" w:eastAsia="方正仿宋_GBK" w:cs="Times New Roman"/>
          <w:color w:val="auto"/>
          <w:sz w:val="32"/>
          <w:szCs w:val="32"/>
          <w:highlight w:val="none"/>
          <w:lang w:val="en-US" w:eastAsia="zh-CN"/>
        </w:rPr>
        <w:t>从</w:t>
      </w:r>
      <w:r>
        <w:rPr>
          <w:rFonts w:hint="eastAsia" w:ascii="Times New Roman" w:hAnsi="Times New Roman" w:eastAsia="方正仿宋_GBK" w:cs="Times New Roman"/>
          <w:color w:val="auto"/>
          <w:sz w:val="32"/>
          <w:szCs w:val="32"/>
          <w:highlight w:val="none"/>
        </w:rPr>
        <w:t>电芯到系统的完整安全防护网。深化“源网荷储”一体化互动的绿色低碳示范场景建设，在科学谷、金凤实验室、数据中心等关键节点推进建设“光储充放”一体化微电网示范区，全域布局集高效补能、智能检测、换电服务于一体的智慧能源场站。依托清安储能自研虚拟电厂平台，以负荷聚合商身份聚合分布式光伏、储能及充电桩等分散资源，参与全市电力辅助服务与现货交易。</w:t>
      </w:r>
    </w:p>
    <w:p w14:paraId="28E22739">
      <w:pPr>
        <w:overflowPunct w:val="0"/>
        <w:adjustRightInd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到2030年，</w:t>
      </w:r>
      <w:r>
        <w:rPr>
          <w:rFonts w:hint="eastAsia" w:ascii="Times New Roman" w:hAnsi="Times New Roman" w:eastAsia="方正仿宋_GBK" w:cs="Times New Roman"/>
          <w:color w:val="auto"/>
          <w:sz w:val="32"/>
          <w:szCs w:val="32"/>
          <w:highlight w:val="none"/>
        </w:rPr>
        <w:t>逐步建成智能网联新能源汽车和</w:t>
      </w:r>
      <w:r>
        <w:rPr>
          <w:rFonts w:ascii="Times New Roman" w:hAnsi="Times New Roman" w:eastAsia="方正仿宋_GBK" w:cs="Times New Roman"/>
          <w:color w:val="auto"/>
          <w:sz w:val="32"/>
          <w:szCs w:val="32"/>
          <w:highlight w:val="none"/>
        </w:rPr>
        <w:t>高端摩托车产业集群</w:t>
      </w:r>
      <w:r>
        <w:rPr>
          <w:rFonts w:hint="eastAsia" w:ascii="Times New Roman" w:hAnsi="Times New Roman" w:eastAsia="方正仿宋_GBK" w:cs="Times New Roman"/>
          <w:color w:val="auto"/>
          <w:sz w:val="32"/>
          <w:szCs w:val="32"/>
          <w:highlight w:val="none"/>
        </w:rPr>
        <w:t>重要</w:t>
      </w:r>
      <w:r>
        <w:rPr>
          <w:rFonts w:ascii="Times New Roman" w:hAnsi="Times New Roman" w:eastAsia="方正仿宋_GBK" w:cs="Times New Roman"/>
          <w:color w:val="auto"/>
          <w:sz w:val="32"/>
          <w:szCs w:val="32"/>
          <w:highlight w:val="none"/>
        </w:rPr>
        <w:t>承载地，</w:t>
      </w:r>
      <w:r>
        <w:rPr>
          <w:rFonts w:hint="eastAsia" w:ascii="Times New Roman" w:hAnsi="Times New Roman" w:eastAsia="方正仿宋_GBK" w:cs="Times New Roman"/>
          <w:color w:val="auto"/>
          <w:sz w:val="32"/>
          <w:szCs w:val="32"/>
          <w:highlight w:val="none"/>
          <w:lang w:val="en-US" w:eastAsia="zh-CN"/>
        </w:rPr>
        <w:t>培育城市级智慧能碳创新产业集群，</w:t>
      </w:r>
      <w:r>
        <w:rPr>
          <w:rFonts w:ascii="Times New Roman" w:hAnsi="Times New Roman" w:eastAsia="方正仿宋_GBK" w:cs="Times New Roman"/>
          <w:color w:val="auto"/>
          <w:sz w:val="32"/>
          <w:szCs w:val="32"/>
          <w:highlight w:val="none"/>
        </w:rPr>
        <w:t>新能源汽摩产业规模</w:t>
      </w:r>
      <w:r>
        <w:rPr>
          <w:rFonts w:hint="eastAsia" w:ascii="Times New Roman" w:hAnsi="Times New Roman" w:eastAsia="方正仿宋_GBK" w:cs="Times New Roman"/>
          <w:color w:val="auto"/>
          <w:sz w:val="32"/>
          <w:szCs w:val="32"/>
          <w:highlight w:val="none"/>
        </w:rPr>
        <w:t>达到</w:t>
      </w:r>
      <w:r>
        <w:rPr>
          <w:rFonts w:ascii="Times New Roman" w:hAnsi="Times New Roman" w:eastAsia="方正仿宋_GBK" w:cs="Times New Roman"/>
          <w:color w:val="auto"/>
          <w:sz w:val="32"/>
          <w:szCs w:val="32"/>
          <w:highlight w:val="none"/>
        </w:rPr>
        <w:t>600亿元</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kern w:val="2"/>
          <w:sz w:val="32"/>
          <w:szCs w:val="32"/>
          <w:u w:val="none" w:color="auto"/>
          <w:lang w:val="en-US" w:eastAsia="zh-CN" w:bidi="ar"/>
        </w:rPr>
        <w:t>新能源商用车、摩托车产销量分别达到20万台、300万台</w:t>
      </w:r>
      <w:r>
        <w:rPr>
          <w:rFonts w:ascii="Times New Roman" w:hAnsi="Times New Roman" w:eastAsia="方正仿宋_GBK" w:cs="Times New Roman"/>
          <w:color w:val="auto"/>
          <w:sz w:val="32"/>
          <w:szCs w:val="32"/>
          <w:highlight w:val="none"/>
        </w:rPr>
        <w:t>。</w:t>
      </w:r>
    </w:p>
    <w:p w14:paraId="6761C05D">
      <w:pPr>
        <w:overflowPunct/>
        <w:adjustRightInd w:val="0"/>
        <w:spacing w:line="312" w:lineRule="atLeast"/>
        <w:jc w:val="center"/>
        <w:textAlignment w:val="baseline"/>
        <w:rPr>
          <w:rFonts w:hint="eastAsia" w:ascii="Times New Roman" w:hAnsi="Times New Roman" w:eastAsia="方正黑体_GBK" w:cs="方正黑体_GBK"/>
          <w:color w:val="auto"/>
          <w:kern w:val="0"/>
          <w:sz w:val="32"/>
          <w:szCs w:val="32"/>
          <w:highlight w:val="none"/>
          <w:u w:val="none"/>
        </w:rPr>
      </w:pPr>
      <w:bookmarkStart w:id="220" w:name="_Toc27712"/>
      <w:r>
        <w:rPr>
          <w:rFonts w:hint="eastAsia" w:ascii="Times New Roman" w:hAnsi="Times New Roman" w:eastAsia="方正黑体_GBK" w:cs="方正黑体_GBK"/>
          <w:color w:val="auto"/>
          <w:kern w:val="0"/>
          <w:sz w:val="32"/>
          <w:szCs w:val="32"/>
          <w:highlight w:val="none"/>
          <w:u w:val="none"/>
        </w:rPr>
        <w:t>专栏</w:t>
      </w:r>
      <w:r>
        <w:rPr>
          <w:rFonts w:hint="eastAsia" w:ascii="Times New Roman" w:hAnsi="Times New Roman" w:eastAsia="方正黑体_GBK" w:cs="方正黑体_GBK"/>
          <w:color w:val="auto"/>
          <w:kern w:val="0"/>
          <w:sz w:val="32"/>
          <w:szCs w:val="32"/>
          <w:highlight w:val="none"/>
          <w:u w:val="none"/>
          <w:lang w:val="en-US" w:eastAsia="zh-CN"/>
        </w:rPr>
        <w:t>9</w:t>
      </w:r>
      <w:r>
        <w:rPr>
          <w:rFonts w:hint="eastAsia" w:ascii="Times New Roman" w:hAnsi="Times New Roman" w:eastAsia="方正黑体_GBK" w:cs="方正黑体_GBK"/>
          <w:color w:val="auto"/>
          <w:kern w:val="0"/>
          <w:sz w:val="32"/>
          <w:szCs w:val="32"/>
          <w:highlight w:val="none"/>
          <w:u w:val="none"/>
        </w:rPr>
        <w:t xml:space="preserve"> 新能源汽摩产业重点领域</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72BF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14373479">
            <w:pPr>
              <w:keepNext w:val="0"/>
              <w:keepLines w:val="0"/>
              <w:pageBreakBefore w:val="0"/>
              <w:widowControl/>
              <w:kinsoku/>
              <w:wordWrap/>
              <w:overflowPunct w:val="0"/>
              <w:topLinePunct w:val="0"/>
              <w:autoSpaceDE/>
              <w:autoSpaceDN/>
              <w:bidi w:val="0"/>
              <w:adjustRightInd/>
              <w:snapToGrid w:val="0"/>
              <w:spacing w:line="380" w:lineRule="exact"/>
              <w:ind w:firstLine="480" w:firstLineChars="200"/>
              <w:jc w:val="left"/>
              <w:textAlignment w:val="auto"/>
              <w:rPr>
                <w:rFonts w:hint="eastAsia" w:ascii="Times New Roman" w:hAnsi="Times New Roman" w:eastAsia="方正书宋_GBK" w:cs="Times New Roman"/>
                <w:color w:val="auto"/>
                <w:kern w:val="0"/>
                <w:sz w:val="24"/>
                <w:highlight w:val="none"/>
                <w:u w:val="none"/>
                <w:lang w:bidi="ar"/>
              </w:rPr>
            </w:pPr>
            <w:r>
              <w:rPr>
                <w:rFonts w:hint="eastAsia" w:ascii="Times New Roman" w:hAnsi="Times New Roman" w:eastAsia="方正黑体_GBK" w:cs="方正黑体_GBK"/>
                <w:color w:val="auto"/>
                <w:kern w:val="0"/>
                <w:sz w:val="24"/>
                <w:highlight w:val="none"/>
                <w:u w:val="none"/>
                <w:lang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智能网联新能源汽车。</w:t>
            </w:r>
            <w:r>
              <w:rPr>
                <w:rFonts w:hint="eastAsia" w:ascii="Times New Roman" w:hAnsi="Times New Roman" w:eastAsia="方正书宋_GBK" w:cs="Times New Roman"/>
                <w:color w:val="auto"/>
                <w:kern w:val="0"/>
                <w:sz w:val="24"/>
                <w:highlight w:val="none"/>
                <w:u w:val="none"/>
                <w:lang w:bidi="ar"/>
              </w:rPr>
              <w:t>整车领域，以新能源商用车研发、生产及运营为核心，重点拓展特种专用车、无人配送车等高附加值细分领域，做大定制化、改装专用车产业规模，推进无人配送商用车规模化量产。智能网联领域，</w:t>
            </w:r>
            <w:r>
              <w:rPr>
                <w:rFonts w:hint="eastAsia" w:ascii="Times New Roman" w:hAnsi="Times New Roman" w:eastAsia="方正书宋_GBK" w:cs="Times New Roman"/>
                <w:color w:val="auto"/>
                <w:kern w:val="0"/>
                <w:sz w:val="24"/>
                <w:highlight w:val="none"/>
                <w:u w:val="none"/>
                <w:shd w:val="clear" w:color="auto" w:fill="auto"/>
                <w:lang w:bidi="ar"/>
              </w:rPr>
              <w:t>构建涵盖末端配送、环卫清扫、出行服务等多元场景的“研发—测试—制造—运营”全产业链闭环体系。</w:t>
            </w:r>
            <w:r>
              <w:rPr>
                <w:rFonts w:hint="eastAsia" w:ascii="Times New Roman" w:hAnsi="Times New Roman" w:eastAsia="方正书宋_GBK" w:cs="Times New Roman"/>
                <w:color w:val="auto"/>
                <w:kern w:val="0"/>
                <w:sz w:val="24"/>
                <w:highlight w:val="none"/>
                <w:u w:val="none"/>
                <w:lang w:bidi="ar"/>
              </w:rPr>
              <w:t>汽车零部件领域，重点强化车规级芯片与模组、智能座舱人机交互模组、车载传感器与感知融合单元、域控制器底层硬件与区域控制器等配套能力，</w:t>
            </w:r>
            <w:r>
              <w:rPr>
                <w:rFonts w:hint="eastAsia" w:ascii="Times New Roman" w:hAnsi="Times New Roman" w:eastAsia="方正书宋_GBK" w:cs="Times New Roman"/>
                <w:color w:val="auto"/>
                <w:kern w:val="0"/>
                <w:sz w:val="24"/>
                <w:highlight w:val="none"/>
                <w:u w:val="none"/>
                <w:shd w:val="clear" w:color="auto" w:fill="auto"/>
                <w:lang w:bidi="ar"/>
              </w:rPr>
              <w:t>推动“芯屏算网”深度融合</w:t>
            </w:r>
            <w:r>
              <w:rPr>
                <w:rFonts w:hint="eastAsia" w:ascii="Times New Roman" w:hAnsi="Times New Roman" w:eastAsia="方正书宋_GBK" w:cs="Times New Roman"/>
                <w:color w:val="auto"/>
                <w:kern w:val="0"/>
                <w:sz w:val="24"/>
                <w:highlight w:val="none"/>
                <w:u w:val="none"/>
                <w:lang w:bidi="ar"/>
              </w:rPr>
              <w:t>。</w:t>
            </w:r>
          </w:p>
          <w:p w14:paraId="6565841D">
            <w:pPr>
              <w:keepNext w:val="0"/>
              <w:keepLines w:val="0"/>
              <w:pageBreakBefore w:val="0"/>
              <w:widowControl/>
              <w:kinsoku/>
              <w:wordWrap/>
              <w:overflowPunct w:val="0"/>
              <w:topLinePunct w:val="0"/>
              <w:autoSpaceDE/>
              <w:autoSpaceDN/>
              <w:bidi w:val="0"/>
              <w:adjustRightInd/>
              <w:snapToGrid w:val="0"/>
              <w:spacing w:line="380" w:lineRule="exact"/>
              <w:ind w:firstLine="480" w:firstLineChars="200"/>
              <w:jc w:val="left"/>
              <w:textAlignment w:val="auto"/>
              <w:rPr>
                <w:rFonts w:hint="eastAsia" w:ascii="Times New Roman" w:hAnsi="Times New Roman" w:eastAsia="方正书宋_GBK" w:cs="Times New Roman"/>
                <w:color w:val="auto"/>
                <w:kern w:val="0"/>
                <w:sz w:val="24"/>
                <w:highlight w:val="none"/>
                <w:u w:val="none"/>
              </w:rPr>
            </w:pPr>
            <w:r>
              <w:rPr>
                <w:rFonts w:hint="eastAsia" w:ascii="Times New Roman" w:hAnsi="Times New Roman" w:eastAsia="方正黑体_GBK" w:cs="方正黑体_GBK"/>
                <w:color w:val="auto"/>
                <w:kern w:val="0"/>
                <w:sz w:val="24"/>
                <w:highlight w:val="none"/>
                <w:u w:val="none"/>
                <w:lang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高端摩托车。</w:t>
            </w:r>
            <w:r>
              <w:rPr>
                <w:rFonts w:hint="eastAsia" w:ascii="Times New Roman" w:hAnsi="Times New Roman" w:eastAsia="方正书宋_GBK" w:cs="Times New Roman"/>
                <w:color w:val="auto"/>
                <w:kern w:val="0"/>
                <w:sz w:val="24"/>
                <w:highlight w:val="none"/>
                <w:u w:val="none"/>
                <w:lang w:bidi="ar"/>
              </w:rPr>
              <w:t>整车领域，</w:t>
            </w:r>
            <w:r>
              <w:rPr>
                <w:rFonts w:hint="eastAsia" w:ascii="Times New Roman" w:hAnsi="Times New Roman" w:eastAsia="方正书宋_GBK" w:cs="Times New Roman"/>
                <w:color w:val="auto"/>
                <w:kern w:val="0"/>
                <w:sz w:val="24"/>
                <w:highlight w:val="none"/>
                <w:u w:val="none"/>
                <w:shd w:val="clear" w:color="auto" w:fill="auto"/>
                <w:lang w:bidi="ar"/>
              </w:rPr>
              <w:t>聚焦</w:t>
            </w:r>
            <w:r>
              <w:rPr>
                <w:rFonts w:hint="eastAsia" w:ascii="Times New Roman" w:hAnsi="Times New Roman" w:eastAsia="方正书宋_GBK" w:cs="Times New Roman"/>
                <w:color w:val="auto"/>
                <w:kern w:val="0"/>
                <w:sz w:val="24"/>
                <w:highlight w:val="none"/>
                <w:u w:val="none"/>
                <w:lang w:bidi="ar"/>
              </w:rPr>
              <w:t>补强250CC及以上中大排量燃油车、电动摩托车等高端领域，加速布局高性能电动摩托车及ATV/UTV全地形车。摩托车零部件领域，突破</w:t>
            </w:r>
            <w:r>
              <w:rPr>
                <w:rFonts w:hint="eastAsia" w:ascii="Times New Roman" w:hAnsi="Times New Roman" w:eastAsia="方正书宋_GBK" w:cs="Times New Roman"/>
                <w:color w:val="auto"/>
                <w:kern w:val="0"/>
                <w:sz w:val="24"/>
                <w:highlight w:val="none"/>
                <w:u w:val="none"/>
              </w:rPr>
              <w:t>高性能发动机</w:t>
            </w:r>
            <w:r>
              <w:rPr>
                <w:rFonts w:hint="eastAsia" w:ascii="Times New Roman" w:hAnsi="Times New Roman" w:eastAsia="方正书宋_GBK" w:cs="Times New Roman"/>
                <w:color w:val="auto"/>
                <w:kern w:val="0"/>
                <w:sz w:val="24"/>
                <w:highlight w:val="none"/>
                <w:u w:val="none"/>
                <w:lang w:val="en-US" w:eastAsia="zh-CN"/>
              </w:rPr>
              <w:t>管理</w:t>
            </w:r>
            <w:r>
              <w:rPr>
                <w:rFonts w:hint="eastAsia" w:ascii="Times New Roman" w:hAnsi="Times New Roman" w:eastAsia="方正书宋_GBK" w:cs="Times New Roman"/>
                <w:color w:val="auto"/>
                <w:kern w:val="0"/>
                <w:sz w:val="24"/>
                <w:highlight w:val="none"/>
                <w:u w:val="none"/>
              </w:rPr>
              <w:t>系统（EMS）与电喷系统、电动摩托车动力总成、智能仪表与车联网终端模组、轻量化结构件等细分领域，前瞻布局智能环境感知技术、智能安全驾驶技术和智能人机交互技术。</w:t>
            </w:r>
          </w:p>
          <w:p w14:paraId="2DB60379">
            <w:pPr>
              <w:keepNext w:val="0"/>
              <w:keepLines w:val="0"/>
              <w:pageBreakBefore w:val="0"/>
              <w:widowControl/>
              <w:kinsoku/>
              <w:wordWrap/>
              <w:overflowPunct w:val="0"/>
              <w:topLinePunct w:val="0"/>
              <w:autoSpaceDE/>
              <w:autoSpaceDN/>
              <w:bidi w:val="0"/>
              <w:adjustRightInd/>
              <w:snapToGrid w:val="0"/>
              <w:spacing w:line="380" w:lineRule="exact"/>
              <w:ind w:firstLine="480" w:firstLineChars="200"/>
              <w:jc w:val="left"/>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黑体_GBK" w:cs="方正黑体_GBK"/>
                <w:color w:val="auto"/>
                <w:kern w:val="0"/>
                <w:sz w:val="24"/>
                <w:highlight w:val="none"/>
                <w:u w:val="none"/>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rPr>
              <w:t>新型储能。</w:t>
            </w:r>
            <w:r>
              <w:rPr>
                <w:rFonts w:hint="eastAsia" w:ascii="Times New Roman" w:hAnsi="Times New Roman" w:eastAsia="方正书宋_GBK" w:cs="Times New Roman"/>
                <w:color w:val="auto"/>
                <w:kern w:val="0"/>
                <w:sz w:val="24"/>
                <w:highlight w:val="none"/>
                <w:u w:val="none"/>
                <w:shd w:val="clear" w:color="auto" w:fill="auto"/>
                <w:lang w:bidi="ar"/>
              </w:rPr>
              <w:t>依托科创资源与“电子</w:t>
            </w:r>
            <w:r>
              <w:rPr>
                <w:rFonts w:hint="eastAsia" w:ascii="Times New Roman" w:hAnsi="Times New Roman" w:eastAsia="方正书宋_GBK" w:cs="Times New Roman"/>
                <w:color w:val="auto"/>
                <w:kern w:val="0"/>
                <w:sz w:val="24"/>
                <w:highlight w:val="none"/>
                <w:u w:val="none"/>
                <w:shd w:val="clear" w:color="auto" w:fill="auto"/>
                <w:lang w:val="en-US" w:eastAsia="zh-CN" w:bidi="ar"/>
              </w:rPr>
              <w:t>+</w:t>
            </w:r>
            <w:r>
              <w:rPr>
                <w:rFonts w:hint="eastAsia" w:ascii="Times New Roman" w:hAnsi="Times New Roman" w:eastAsia="方正书宋_GBK" w:cs="Times New Roman"/>
                <w:color w:val="auto"/>
                <w:kern w:val="0"/>
                <w:sz w:val="24"/>
                <w:highlight w:val="none"/>
                <w:u w:val="none"/>
                <w:shd w:val="clear" w:color="auto" w:fill="auto"/>
                <w:lang w:bidi="ar"/>
              </w:rPr>
              <w:t>储能”融合优势</w:t>
            </w:r>
            <w:r>
              <w:rPr>
                <w:rFonts w:hint="eastAsia" w:ascii="Times New Roman" w:hAnsi="Times New Roman" w:eastAsia="方正书宋_GBK" w:cs="Times New Roman"/>
                <w:color w:val="auto"/>
                <w:kern w:val="0"/>
                <w:sz w:val="24"/>
                <w:highlight w:val="none"/>
                <w:u w:val="none"/>
                <w:shd w:val="clear" w:color="auto" w:fill="auto"/>
                <w:lang w:eastAsia="zh-CN" w:bidi="ar"/>
              </w:rPr>
              <w:t>，</w:t>
            </w:r>
            <w:r>
              <w:rPr>
                <w:rFonts w:hint="eastAsia" w:ascii="Times New Roman" w:hAnsi="Times New Roman" w:eastAsia="方正书宋_GBK" w:cs="Times New Roman"/>
                <w:color w:val="auto"/>
                <w:kern w:val="0"/>
                <w:sz w:val="24"/>
                <w:highlight w:val="none"/>
                <w:u w:val="none"/>
                <w:shd w:val="clear" w:color="auto" w:fill="auto"/>
                <w:lang w:bidi="ar"/>
              </w:rPr>
              <w:t>前瞻布局新型电池技术，</w:t>
            </w:r>
            <w:r>
              <w:rPr>
                <w:rFonts w:hint="eastAsia" w:ascii="Times New Roman" w:hAnsi="Times New Roman" w:eastAsia="方正书宋_GBK" w:cs="Times New Roman"/>
                <w:color w:val="auto"/>
                <w:kern w:val="0"/>
                <w:sz w:val="24"/>
                <w:highlight w:val="none"/>
                <w:u w:val="none"/>
                <w:lang w:bidi="ar"/>
              </w:rPr>
              <w:t>加快固态电池、钠离子电池、</w:t>
            </w:r>
            <w:r>
              <w:rPr>
                <w:rFonts w:hint="eastAsia" w:ascii="Times New Roman" w:hAnsi="Times New Roman" w:eastAsia="方正书宋_GBK" w:cs="Times New Roman"/>
                <w:color w:val="auto"/>
                <w:kern w:val="0"/>
                <w:sz w:val="24"/>
                <w:highlight w:val="none"/>
                <w:u w:val="none"/>
              </w:rPr>
              <w:t>液流电池、钙钛矿</w:t>
            </w:r>
            <w:r>
              <w:rPr>
                <w:rFonts w:hint="eastAsia" w:ascii="Times New Roman" w:hAnsi="Times New Roman" w:eastAsia="方正书宋_GBK" w:cs="Times New Roman"/>
                <w:color w:val="auto"/>
                <w:kern w:val="0"/>
                <w:sz w:val="24"/>
                <w:highlight w:val="none"/>
                <w:u w:val="none"/>
                <w:lang w:bidi="ar"/>
              </w:rPr>
              <w:t>等前沿技术中试与产业化，完善电芯、模组PACK、系统集成等产业环节。做强储能及关键零部件，聚焦储能专用功率半导体（IGBT/SiC）、储能电池组装、储能变流器（PCS）、电池管理系统（BMS）、EMS及高压液冷系统等核心环节，</w:t>
            </w:r>
            <w:r>
              <w:rPr>
                <w:rFonts w:hint="eastAsia" w:ascii="Times New Roman" w:hAnsi="Times New Roman" w:eastAsia="方正书宋_GBK" w:cs="Times New Roman"/>
                <w:color w:val="auto"/>
                <w:kern w:val="0"/>
                <w:sz w:val="24"/>
                <w:highlight w:val="none"/>
                <w:u w:val="none"/>
                <w:shd w:val="clear" w:color="auto" w:fill="auto"/>
                <w:lang w:bidi="ar"/>
              </w:rPr>
              <w:t>培育发展液冷温控、消防抑制领域</w:t>
            </w:r>
            <w:r>
              <w:rPr>
                <w:rFonts w:hint="eastAsia" w:ascii="Times New Roman" w:hAnsi="Times New Roman" w:eastAsia="方正书宋_GBK" w:cs="Times New Roman"/>
                <w:color w:val="auto"/>
                <w:kern w:val="0"/>
                <w:sz w:val="24"/>
                <w:highlight w:val="none"/>
                <w:u w:val="none"/>
                <w:lang w:bidi="ar"/>
              </w:rPr>
              <w:t>。</w:t>
            </w:r>
            <w:r>
              <w:rPr>
                <w:rFonts w:hint="eastAsia" w:ascii="Times New Roman" w:hAnsi="Times New Roman" w:eastAsia="方正书宋_GBK" w:cs="Times New Roman"/>
                <w:color w:val="auto"/>
                <w:kern w:val="0"/>
                <w:sz w:val="24"/>
                <w:highlight w:val="none"/>
                <w:u w:val="none"/>
              </w:rPr>
              <w:t>探索建筑光伏一体化（BIPV）、虚拟电厂、电力交易等行业新方向。</w:t>
            </w:r>
          </w:p>
        </w:tc>
      </w:tr>
    </w:tbl>
    <w:p w14:paraId="076F8DBE">
      <w:p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221" w:name="_Toc26932"/>
      <w:bookmarkStart w:id="222" w:name="_Toc25157"/>
      <w:bookmarkStart w:id="223" w:name="_Toc2034774305"/>
      <w:bookmarkStart w:id="224" w:name="_Toc16205"/>
      <w:bookmarkStart w:id="225" w:name="_Toc562886007"/>
      <w:r>
        <w:rPr>
          <w:rFonts w:hint="eastAsia" w:ascii="Times New Roman" w:hAnsi="Times New Roman" w:eastAsia="方正楷体_GBK" w:cs="方正楷体_GBK"/>
          <w:color w:val="auto"/>
          <w:sz w:val="32"/>
          <w:szCs w:val="32"/>
          <w:highlight w:val="none"/>
        </w:rPr>
        <w:t>第三节 推动新型智能终端产业稳量提质</w:t>
      </w:r>
      <w:bookmarkEnd w:id="220"/>
      <w:bookmarkEnd w:id="221"/>
      <w:bookmarkEnd w:id="222"/>
      <w:bookmarkEnd w:id="223"/>
      <w:bookmarkEnd w:id="224"/>
      <w:bookmarkEnd w:id="225"/>
    </w:p>
    <w:p w14:paraId="7F37B4A7">
      <w:pPr>
        <w:overflowPunct w:val="0"/>
        <w:adjustRightInd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充分发挥笔电企业带动作用，持续巩固全球重要的智能终端设备制造基地优势。</w:t>
      </w:r>
      <w:r>
        <w:rPr>
          <w:rFonts w:hint="eastAsia" w:ascii="Times New Roman" w:hAnsi="Times New Roman" w:eastAsia="方正仿宋_GBK" w:cs="方正仿宋_GBK"/>
          <w:color w:val="auto"/>
          <w:kern w:val="0"/>
          <w:sz w:val="32"/>
          <w:szCs w:val="32"/>
          <w:highlight w:val="none"/>
        </w:rPr>
        <w:t>全力稳存量，</w:t>
      </w:r>
      <w:r>
        <w:rPr>
          <w:rFonts w:hint="eastAsia" w:ascii="Times New Roman" w:hAnsi="Times New Roman" w:eastAsia="方正仿宋_GBK" w:cs="Times New Roman"/>
          <w:color w:val="auto"/>
          <w:sz w:val="32"/>
          <w:szCs w:val="32"/>
          <w:highlight w:val="none"/>
          <w:lang w:val="en-US" w:eastAsia="zh-CN"/>
        </w:rPr>
        <w:t>推动</w:t>
      </w:r>
      <w:r>
        <w:rPr>
          <w:rFonts w:hint="eastAsia" w:ascii="Times New Roman" w:hAnsi="Times New Roman" w:eastAsia="方正仿宋_GBK" w:cs="Times New Roman"/>
          <w:color w:val="auto"/>
          <w:sz w:val="32"/>
          <w:szCs w:val="32"/>
          <w:highlight w:val="none"/>
        </w:rPr>
        <w:t>笔电代工</w:t>
      </w:r>
      <w:r>
        <w:rPr>
          <w:rFonts w:hint="eastAsia" w:ascii="Times New Roman" w:hAnsi="Times New Roman" w:eastAsia="方正仿宋_GBK" w:cs="Times New Roman"/>
          <w:color w:val="auto"/>
          <w:sz w:val="32"/>
          <w:szCs w:val="32"/>
          <w:highlight w:val="none"/>
          <w:lang w:val="en-US" w:eastAsia="zh-CN"/>
        </w:rPr>
        <w:t>企业</w:t>
      </w:r>
      <w:r>
        <w:rPr>
          <w:rFonts w:hint="eastAsia" w:ascii="Times New Roman" w:hAnsi="Times New Roman" w:eastAsia="方正仿宋_GBK" w:cs="Times New Roman"/>
          <w:color w:val="auto"/>
          <w:sz w:val="32"/>
          <w:szCs w:val="32"/>
          <w:highlight w:val="none"/>
        </w:rPr>
        <w:t>布局AI</w:t>
      </w:r>
      <w:r>
        <w:rPr>
          <w:rFonts w:hint="eastAsia" w:ascii="Times New Roman" w:hAnsi="Times New Roman" w:eastAsia="方正仿宋_GBK" w:cs="Times New Roman"/>
          <w:color w:val="auto"/>
          <w:sz w:val="32"/>
          <w:szCs w:val="32"/>
          <w:highlight w:val="none"/>
          <w:lang w:val="en-US" w:eastAsia="zh-CN"/>
        </w:rPr>
        <w:t xml:space="preserve"> </w:t>
      </w:r>
      <w:r>
        <w:rPr>
          <w:rFonts w:hint="eastAsia" w:ascii="Times New Roman" w:hAnsi="Times New Roman" w:eastAsia="方正仿宋_GBK" w:cs="Times New Roman"/>
          <w:color w:val="auto"/>
          <w:sz w:val="32"/>
          <w:szCs w:val="32"/>
          <w:highlight w:val="none"/>
        </w:rPr>
        <w:t>PC、高端电竞游戏本、信创PC等领域，鼓励企业加强与</w:t>
      </w:r>
      <w:r>
        <w:rPr>
          <w:rFonts w:hint="eastAsia" w:ascii="Times New Roman" w:hAnsi="Times New Roman" w:eastAsia="方正仿宋_GBK" w:cs="Times New Roman"/>
          <w:color w:val="auto"/>
          <w:sz w:val="32"/>
          <w:szCs w:val="32"/>
          <w:highlight w:val="none"/>
          <w:lang w:val="en-US" w:eastAsia="zh-CN"/>
        </w:rPr>
        <w:t>智能网联汽车</w:t>
      </w:r>
      <w:r>
        <w:rPr>
          <w:rFonts w:hint="eastAsia" w:ascii="Times New Roman" w:hAnsi="Times New Roman" w:eastAsia="方正仿宋_GBK" w:cs="Times New Roman"/>
          <w:color w:val="auto"/>
          <w:sz w:val="32"/>
          <w:szCs w:val="32"/>
          <w:highlight w:val="none"/>
        </w:rPr>
        <w:t>企业合作，延伸布局汽车电子、人工智能终端等高附加值产品。</w:t>
      </w:r>
      <w:r>
        <w:rPr>
          <w:rFonts w:hint="eastAsia" w:ascii="Times New Roman" w:hAnsi="Times New Roman" w:eastAsia="方正仿宋_GBK" w:cs="方正仿宋_GBK"/>
          <w:color w:val="auto"/>
          <w:kern w:val="0"/>
          <w:sz w:val="32"/>
          <w:szCs w:val="32"/>
          <w:highlight w:val="none"/>
        </w:rPr>
        <w:t>大力育新品，</w:t>
      </w:r>
      <w:r>
        <w:rPr>
          <w:rFonts w:hint="eastAsia" w:ascii="Times New Roman" w:hAnsi="Times New Roman" w:eastAsia="方正仿宋_GBK" w:cs="Times New Roman"/>
          <w:color w:val="auto"/>
          <w:sz w:val="32"/>
          <w:szCs w:val="32"/>
          <w:highlight w:val="none"/>
        </w:rPr>
        <w:t>抢抓“疆算入渝”窗口机遇期，推动拓维、浪潮服务器等项目产能爬坡、达产增收，持续做大信创服务器、AI服务器、能源专用服务器等领域增量规模。加大智能穿戴设备、特色装备、智能机器人等新赛道新领域布局</w:t>
      </w:r>
      <w:r>
        <w:rPr>
          <w:rFonts w:hint="eastAsia" w:ascii="Times New Roman" w:hAnsi="Times New Roman" w:eastAsia="方正仿宋_GBK" w:cs="Times New Roman"/>
          <w:color w:val="auto"/>
          <w:sz w:val="32"/>
          <w:szCs w:val="32"/>
          <w:highlight w:val="none"/>
          <w:lang w:val="en-US" w:eastAsia="zh-CN"/>
        </w:rPr>
        <w:t>力度</w:t>
      </w:r>
      <w:r>
        <w:rPr>
          <w:rFonts w:hint="eastAsia" w:ascii="Times New Roman" w:hAnsi="Times New Roman" w:eastAsia="方正仿宋_GBK" w:cs="Times New Roman"/>
          <w:color w:val="auto"/>
          <w:sz w:val="32"/>
          <w:szCs w:val="32"/>
          <w:highlight w:val="none"/>
        </w:rPr>
        <w:t>，创建面向未来的智能终端创新中心。到2030年，新型智能终端产业规模达到1900亿元。</w:t>
      </w:r>
    </w:p>
    <w:p w14:paraId="77794E1E">
      <w:pPr>
        <w:overflowPunct/>
        <w:adjustRightInd w:val="0"/>
        <w:spacing w:line="312" w:lineRule="atLeast"/>
        <w:jc w:val="center"/>
        <w:textAlignment w:val="baseline"/>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10</w:t>
      </w:r>
      <w:r>
        <w:rPr>
          <w:rFonts w:hint="eastAsia" w:ascii="Times New Roman" w:hAnsi="Times New Roman" w:eastAsia="方正黑体_GBK" w:cs="方正黑体_GBK"/>
          <w:color w:val="auto"/>
          <w:kern w:val="0"/>
          <w:sz w:val="32"/>
          <w:szCs w:val="32"/>
          <w:highlight w:val="none"/>
          <w:u w:val="none"/>
          <w:lang w:bidi="ar"/>
        </w:rPr>
        <w:t xml:space="preserve"> 新型智能终端产业重点领域</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23C5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29CF05C4">
            <w:pPr>
              <w:keepNext w:val="0"/>
              <w:keepLines w:val="0"/>
              <w:pageBreakBefore w:val="0"/>
              <w:widowControl/>
              <w:kinsoku/>
              <w:wordWrap/>
              <w:overflowPunct w:val="0"/>
              <w:topLinePunct w:val="0"/>
              <w:autoSpaceDE/>
              <w:autoSpaceDN/>
              <w:bidi w:val="0"/>
              <w:adjustRightInd/>
              <w:snapToGrid w:val="0"/>
              <w:spacing w:line="380" w:lineRule="exact"/>
              <w:ind w:firstLine="480" w:firstLineChars="200"/>
              <w:jc w:val="left"/>
              <w:textAlignment w:val="auto"/>
              <w:rPr>
                <w:rFonts w:hint="eastAsia" w:ascii="Times New Roman" w:hAnsi="Times New Roman" w:eastAsia="方正书宋_GBK" w:cs="Times New Roman"/>
                <w:color w:val="auto"/>
                <w:kern w:val="0"/>
                <w:sz w:val="24"/>
                <w:highlight w:val="none"/>
                <w:u w:val="none"/>
                <w:lang w:bidi="ar"/>
              </w:rPr>
            </w:pPr>
            <w:r>
              <w:rPr>
                <w:rFonts w:hint="eastAsia" w:ascii="Times New Roman" w:hAnsi="Times New Roman" w:eastAsia="方正黑体_GBK" w:cs="方正黑体_GBK"/>
                <w:color w:val="auto"/>
                <w:kern w:val="0"/>
                <w:sz w:val="24"/>
                <w:highlight w:val="none"/>
                <w:u w:val="none"/>
                <w:lang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笔电代工。</w:t>
            </w:r>
            <w:r>
              <w:rPr>
                <w:rFonts w:hint="eastAsia" w:ascii="Times New Roman" w:hAnsi="Times New Roman" w:eastAsia="方正书宋_GBK" w:cs="Times New Roman"/>
                <w:color w:val="auto"/>
                <w:kern w:val="0"/>
                <w:sz w:val="24"/>
                <w:highlight w:val="none"/>
                <w:u w:val="none"/>
                <w:lang w:bidi="ar"/>
              </w:rPr>
              <w:t>转型布局高端笔电、台式机、高阶游戏笔电、AI</w:t>
            </w:r>
            <w:r>
              <w:rPr>
                <w:rFonts w:hint="eastAsia" w:ascii="Times New Roman" w:hAnsi="Times New Roman" w:eastAsia="方正书宋_GBK" w:cs="Times New Roman"/>
                <w:color w:val="auto"/>
                <w:kern w:val="0"/>
                <w:sz w:val="24"/>
                <w:highlight w:val="none"/>
                <w:u w:val="none"/>
                <w:lang w:val="en-US" w:eastAsia="zh-CN" w:bidi="ar"/>
              </w:rPr>
              <w:t xml:space="preserve"> </w:t>
            </w:r>
            <w:r>
              <w:rPr>
                <w:rFonts w:hint="eastAsia" w:ascii="Times New Roman" w:hAnsi="Times New Roman" w:eastAsia="方正书宋_GBK" w:cs="Times New Roman"/>
                <w:color w:val="auto"/>
                <w:kern w:val="0"/>
                <w:sz w:val="24"/>
                <w:highlight w:val="none"/>
                <w:u w:val="none"/>
                <w:lang w:bidi="ar"/>
              </w:rPr>
              <w:t>PC、KD件加工及服务器、车载T-box等终端产品。</w:t>
            </w:r>
          </w:p>
          <w:p w14:paraId="14202C57">
            <w:pPr>
              <w:keepNext w:val="0"/>
              <w:keepLines w:val="0"/>
              <w:pageBreakBefore w:val="0"/>
              <w:widowControl/>
              <w:kinsoku/>
              <w:wordWrap/>
              <w:overflowPunct w:val="0"/>
              <w:topLinePunct w:val="0"/>
              <w:autoSpaceDE/>
              <w:autoSpaceDN/>
              <w:bidi w:val="0"/>
              <w:adjustRightInd/>
              <w:snapToGrid w:val="0"/>
              <w:spacing w:line="380" w:lineRule="exact"/>
              <w:ind w:firstLine="480" w:firstLineChars="200"/>
              <w:jc w:val="left"/>
              <w:textAlignment w:val="auto"/>
              <w:rPr>
                <w:rFonts w:hint="eastAsia" w:ascii="Times New Roman" w:hAnsi="Times New Roman" w:eastAsia="方正书宋_GBK" w:cs="Times New Roman"/>
                <w:color w:val="auto"/>
                <w:kern w:val="0"/>
                <w:sz w:val="24"/>
                <w:highlight w:val="none"/>
                <w:u w:val="none"/>
                <w:lang w:bidi="ar"/>
              </w:rPr>
            </w:pPr>
            <w:r>
              <w:rPr>
                <w:rFonts w:hint="eastAsia" w:ascii="Times New Roman" w:hAnsi="Times New Roman" w:eastAsia="方正黑体_GBK" w:cs="方正黑体_GBK"/>
                <w:color w:val="auto"/>
                <w:kern w:val="0"/>
                <w:sz w:val="24"/>
                <w:highlight w:val="none"/>
                <w:u w:val="none"/>
                <w:lang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服务器。</w:t>
            </w:r>
            <w:r>
              <w:rPr>
                <w:rFonts w:hint="eastAsia" w:ascii="Times New Roman" w:hAnsi="Times New Roman" w:eastAsia="方正书宋_GBK" w:cs="Times New Roman"/>
                <w:color w:val="auto"/>
                <w:kern w:val="0"/>
                <w:sz w:val="24"/>
                <w:highlight w:val="none"/>
                <w:u w:val="none"/>
                <w:lang w:bidi="ar"/>
              </w:rPr>
              <w:t>锚定国产服务器阵营，聚焦信创服务器、AI服务器、能源专用服务器等</w:t>
            </w:r>
            <w:r>
              <w:rPr>
                <w:rFonts w:hint="eastAsia" w:ascii="Times New Roman" w:hAnsi="Times New Roman" w:eastAsia="方正书宋_GBK" w:cs="Times New Roman"/>
                <w:color w:val="auto"/>
                <w:kern w:val="0"/>
                <w:sz w:val="24"/>
                <w:highlight w:val="none"/>
                <w:u w:val="none"/>
                <w:lang w:val="en-US" w:eastAsia="zh-CN" w:bidi="ar"/>
              </w:rPr>
              <w:t>高价值环节，</w:t>
            </w:r>
            <w:r>
              <w:rPr>
                <w:rFonts w:hint="eastAsia" w:ascii="Times New Roman" w:hAnsi="Times New Roman" w:eastAsia="方正书宋_GBK" w:cs="Times New Roman"/>
                <w:color w:val="auto"/>
                <w:kern w:val="0"/>
                <w:sz w:val="24"/>
                <w:highlight w:val="none"/>
                <w:u w:val="none"/>
                <w:lang w:bidi="ar"/>
              </w:rPr>
              <w:t>强化本土配套能力。</w:t>
            </w:r>
          </w:p>
          <w:p w14:paraId="655DC1D7">
            <w:pPr>
              <w:keepNext w:val="0"/>
              <w:keepLines w:val="0"/>
              <w:pageBreakBefore w:val="0"/>
              <w:widowControl/>
              <w:kinsoku/>
              <w:wordWrap/>
              <w:overflowPunct w:val="0"/>
              <w:topLinePunct w:val="0"/>
              <w:autoSpaceDE/>
              <w:autoSpaceDN/>
              <w:bidi w:val="0"/>
              <w:adjustRightInd/>
              <w:snapToGrid w:val="0"/>
              <w:spacing w:line="380" w:lineRule="exact"/>
              <w:ind w:firstLine="480" w:firstLineChars="200"/>
              <w:jc w:val="left"/>
              <w:textAlignment w:val="auto"/>
              <w:rPr>
                <w:rFonts w:hint="eastAsia" w:ascii="Times New Roman" w:hAnsi="Times New Roman" w:eastAsia="方正书宋_GBK" w:cs="Times New Roman"/>
                <w:color w:val="auto"/>
                <w:kern w:val="0"/>
                <w:sz w:val="24"/>
                <w:highlight w:val="none"/>
                <w:u w:val="none"/>
                <w:lang w:bidi="ar"/>
              </w:rPr>
            </w:pPr>
            <w:r>
              <w:rPr>
                <w:rFonts w:hint="eastAsia" w:ascii="Times New Roman" w:hAnsi="Times New Roman" w:eastAsia="方正黑体_GBK" w:cs="方正黑体_GBK"/>
                <w:color w:val="auto"/>
                <w:kern w:val="0"/>
                <w:sz w:val="24"/>
                <w:highlight w:val="none"/>
                <w:u w:val="none"/>
                <w:lang w:bidi="ar-SA"/>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智能穿戴设备。</w:t>
            </w:r>
            <w:r>
              <w:rPr>
                <w:rFonts w:hint="eastAsia" w:ascii="Times New Roman" w:hAnsi="Times New Roman" w:eastAsia="方正书宋_GBK" w:cs="Times New Roman"/>
                <w:color w:val="auto"/>
                <w:kern w:val="0"/>
                <w:sz w:val="24"/>
                <w:highlight w:val="none"/>
                <w:u w:val="none"/>
                <w:lang w:bidi="ar"/>
              </w:rPr>
              <w:t>重点发展运动健康设备、智能养老设备、医疗级监测设备等领域，前瞻布局智能眼镜等细分赛道。</w:t>
            </w:r>
          </w:p>
          <w:p w14:paraId="24645CFE">
            <w:pPr>
              <w:keepNext w:val="0"/>
              <w:keepLines w:val="0"/>
              <w:pageBreakBefore w:val="0"/>
              <w:widowControl/>
              <w:kinsoku/>
              <w:wordWrap/>
              <w:overflowPunct w:val="0"/>
              <w:topLinePunct w:val="0"/>
              <w:autoSpaceDE/>
              <w:autoSpaceDN/>
              <w:bidi w:val="0"/>
              <w:adjustRightInd/>
              <w:snapToGrid w:val="0"/>
              <w:spacing w:line="380" w:lineRule="exact"/>
              <w:ind w:firstLine="480" w:firstLineChars="200"/>
              <w:jc w:val="left"/>
              <w:textAlignment w:val="auto"/>
              <w:rPr>
                <w:rFonts w:hint="eastAsia" w:ascii="Times New Roman" w:hAnsi="Times New Roman" w:eastAsia="方正书宋_GBK" w:cs="Times New Roman"/>
                <w:color w:val="auto"/>
                <w:kern w:val="0"/>
                <w:sz w:val="24"/>
                <w:highlight w:val="none"/>
                <w:u w:val="none"/>
                <w:lang w:bidi="ar"/>
              </w:rPr>
            </w:pPr>
            <w:r>
              <w:rPr>
                <w:rFonts w:hint="eastAsia" w:ascii="Times New Roman" w:hAnsi="Times New Roman" w:eastAsia="方正黑体_GBK" w:cs="方正黑体_GBK"/>
                <w:color w:val="auto"/>
                <w:kern w:val="0"/>
                <w:sz w:val="24"/>
                <w:highlight w:val="none"/>
                <w:u w:val="none"/>
                <w:lang w:bidi="ar-SA"/>
              </w:rPr>
              <w:t>4</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特色装备。</w:t>
            </w:r>
            <w:r>
              <w:rPr>
                <w:rFonts w:hint="eastAsia" w:ascii="Times New Roman" w:hAnsi="Times New Roman" w:eastAsia="方正书宋_GBK" w:cs="Times New Roman"/>
                <w:color w:val="auto"/>
                <w:kern w:val="0"/>
                <w:sz w:val="24"/>
                <w:highlight w:val="none"/>
                <w:u w:val="none"/>
                <w:lang w:bidi="ar"/>
              </w:rPr>
              <w:t>重点发展特种行业装备、海洋声呐装备等领域，拓展应用场景与生态合作，加速本地产业协同。完善微晶玻璃产业链，聚焦超薄UTG玻璃前沿领域，增强智能终端国产核心配套能力。</w:t>
            </w:r>
          </w:p>
          <w:p w14:paraId="2CE5AB9B">
            <w:pPr>
              <w:keepNext w:val="0"/>
              <w:keepLines w:val="0"/>
              <w:pageBreakBefore w:val="0"/>
              <w:widowControl/>
              <w:kinsoku/>
              <w:wordWrap/>
              <w:overflowPunct w:val="0"/>
              <w:topLinePunct w:val="0"/>
              <w:autoSpaceDE/>
              <w:autoSpaceDN/>
              <w:bidi w:val="0"/>
              <w:adjustRightInd/>
              <w:snapToGrid w:val="0"/>
              <w:spacing w:line="380" w:lineRule="exact"/>
              <w:ind w:firstLine="480" w:firstLineChars="200"/>
              <w:jc w:val="left"/>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黑体_GBK" w:cs="方正黑体_GBK"/>
                <w:color w:val="auto"/>
                <w:kern w:val="0"/>
                <w:sz w:val="24"/>
                <w:highlight w:val="none"/>
                <w:u w:val="none"/>
                <w:lang w:bidi="ar-SA"/>
              </w:rPr>
              <w:t>5</w:t>
            </w:r>
            <w:r>
              <w:rPr>
                <w:rFonts w:hint="eastAsia" w:ascii="Times New Roman" w:hAnsi="Times New Roman" w:eastAsia="方正黑体_GBK" w:cs="方正黑体_GBK"/>
                <w:color w:val="auto"/>
                <w:kern w:val="0"/>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智能机器人。</w:t>
            </w:r>
            <w:r>
              <w:rPr>
                <w:rFonts w:hint="eastAsia" w:ascii="Times New Roman" w:hAnsi="Times New Roman" w:eastAsia="方正书宋_GBK" w:cs="Times New Roman"/>
                <w:color w:val="auto"/>
                <w:kern w:val="0"/>
                <w:sz w:val="24"/>
                <w:highlight w:val="none"/>
                <w:u w:val="none"/>
                <w:lang w:bidi="ar"/>
              </w:rPr>
              <w:t>聚焦工业机器人、服务机器人、智能搬运巡检机器人、医疗康复机器人四类机器人，引进整机与系统集成企业，深化行业应用示范。</w:t>
            </w:r>
          </w:p>
        </w:tc>
      </w:tr>
    </w:tbl>
    <w:p w14:paraId="14028EBB">
      <w:p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226" w:name="_Toc19905"/>
      <w:bookmarkStart w:id="227" w:name="_Toc16946"/>
      <w:bookmarkStart w:id="228" w:name="_Toc1922149307"/>
      <w:bookmarkStart w:id="229" w:name="_Toc759654614"/>
      <w:bookmarkStart w:id="230" w:name="_Toc22037"/>
      <w:r>
        <w:rPr>
          <w:rFonts w:hint="eastAsia" w:ascii="Times New Roman" w:hAnsi="Times New Roman" w:eastAsia="方正楷体_GBK" w:cs="方正楷体_GBK"/>
          <w:color w:val="auto"/>
          <w:sz w:val="32"/>
          <w:szCs w:val="32"/>
          <w:highlight w:val="none"/>
        </w:rPr>
        <w:t xml:space="preserve">第四节 </w:t>
      </w:r>
      <w:bookmarkStart w:id="231" w:name="_Toc31392"/>
      <w:bookmarkStart w:id="232" w:name="_Toc25320"/>
      <w:bookmarkStart w:id="233" w:name="_Toc29001"/>
      <w:bookmarkStart w:id="234" w:name="_Toc17810"/>
      <w:bookmarkStart w:id="235" w:name="_Toc13250"/>
      <w:r>
        <w:rPr>
          <w:rFonts w:hint="eastAsia" w:ascii="Times New Roman" w:hAnsi="Times New Roman" w:eastAsia="方正楷体_GBK" w:cs="方正楷体_GBK"/>
          <w:color w:val="auto"/>
          <w:sz w:val="32"/>
          <w:szCs w:val="32"/>
          <w:highlight w:val="none"/>
          <w:lang w:eastAsia="zh-CN"/>
        </w:rPr>
        <w:t>打造西部药械创新转化加速区</w:t>
      </w:r>
      <w:bookmarkEnd w:id="226"/>
      <w:bookmarkEnd w:id="227"/>
      <w:bookmarkEnd w:id="228"/>
      <w:bookmarkEnd w:id="229"/>
      <w:bookmarkEnd w:id="230"/>
      <w:bookmarkEnd w:id="231"/>
      <w:bookmarkEnd w:id="232"/>
      <w:bookmarkEnd w:id="233"/>
      <w:bookmarkEnd w:id="234"/>
      <w:bookmarkEnd w:id="235"/>
    </w:p>
    <w:p w14:paraId="37A19B26">
      <w:pPr>
        <w:overflowPunct w:val="0"/>
        <w:adjustRightInd w:val="0"/>
        <w:snapToGrid w:val="0"/>
        <w:spacing w:line="600" w:lineRule="exact"/>
        <w:ind w:firstLine="640" w:firstLineChars="200"/>
        <w:jc w:val="left"/>
        <w:textAlignment w:val="auto"/>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仿宋_GBK" w:cs="Times New Roman"/>
          <w:color w:val="auto"/>
          <w:sz w:val="32"/>
          <w:szCs w:val="32"/>
          <w:highlight w:val="none"/>
        </w:rPr>
        <w:t>倍增国家药械审评检查西南分中心产业“磁芯”效应，通过前移“审评”服务关口，加速产品上市进程，推动监管能力转化为产业吸附力、政策红利转化为发展动能，汇聚西南五省药械创新产品</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加快建成西部药械创新转化加速区。生物药领域</w:t>
      </w:r>
      <w:r>
        <w:rPr>
          <w:rFonts w:hint="eastAsia" w:ascii="Times New Roman" w:hAnsi="Times New Roman" w:eastAsia="方正仿宋_GBK" w:cs="Times New Roman"/>
          <w:color w:val="auto"/>
          <w:sz w:val="32"/>
          <w:szCs w:val="32"/>
          <w:highlight w:val="none"/>
          <w:lang w:eastAsia="zh-CN"/>
        </w:rPr>
        <w:t>。</w:t>
      </w:r>
      <w:r>
        <w:rPr>
          <w:rFonts w:hint="eastAsia" w:ascii="方正仿宋_GBK" w:hAnsi="方正仿宋_GBK" w:eastAsia="方正仿宋_GBK" w:cs="方正仿宋_GBK"/>
          <w:b w:val="0"/>
          <w:bCs/>
          <w:kern w:val="2"/>
          <w:sz w:val="32"/>
          <w:szCs w:val="32"/>
          <w:highlight w:val="none"/>
          <w:u w:val="none" w:color="auto"/>
        </w:rPr>
        <w:t>依托金凤实验室、高校及三甲医院科研资源，</w:t>
      </w:r>
      <w:r>
        <w:rPr>
          <w:rFonts w:hint="eastAsia" w:ascii="方正仿宋_GBK" w:hAnsi="方正仿宋_GBK" w:eastAsia="方正仿宋_GBK" w:cs="方正仿宋_GBK"/>
          <w:bCs/>
          <w:kern w:val="2"/>
          <w:sz w:val="32"/>
          <w:szCs w:val="32"/>
          <w:highlight w:val="none"/>
          <w:u w:val="none" w:color="auto"/>
        </w:rPr>
        <w:t>重点引入华大细胞等干细胞品种</w:t>
      </w:r>
      <w:r>
        <w:rPr>
          <w:rFonts w:hint="eastAsia" w:ascii="方正仿宋_GBK" w:hAnsi="方正仿宋_GBK" w:eastAsia="方正仿宋_GBK" w:cs="方正仿宋_GBK"/>
          <w:bCs/>
          <w:kern w:val="2"/>
          <w:sz w:val="32"/>
          <w:szCs w:val="32"/>
          <w:highlight w:val="none"/>
          <w:u w:val="none" w:color="auto"/>
          <w:lang w:eastAsia="zh-CN"/>
        </w:rPr>
        <w:t>，</w:t>
      </w:r>
      <w:r>
        <w:rPr>
          <w:rFonts w:hint="eastAsia" w:ascii="Times New Roman" w:hAnsi="Times New Roman" w:eastAsia="方正仿宋_GBK" w:cs="Times New Roman"/>
          <w:color w:val="auto"/>
          <w:sz w:val="32"/>
          <w:szCs w:val="32"/>
          <w:highlight w:val="none"/>
        </w:rPr>
        <w:t>加快推动思拓凡生物药、亦度疫苗、精准生物生产基地建设，实现</w:t>
      </w:r>
      <w:r>
        <w:rPr>
          <w:rFonts w:ascii="Times New Roman" w:hAnsi="Times New Roman" w:eastAsia="方正仿宋_GBK" w:cs="Times New Roman"/>
          <w:color w:val="auto"/>
          <w:sz w:val="32"/>
          <w:szCs w:val="32"/>
          <w:highlight w:val="none"/>
        </w:rPr>
        <w:t>昂戈瑞西单抗</w:t>
      </w:r>
      <w:r>
        <w:rPr>
          <w:rFonts w:hint="eastAsia" w:ascii="Times New Roman" w:hAnsi="Times New Roman" w:eastAsia="方正仿宋_GBK" w:cs="Times New Roman"/>
          <w:color w:val="auto"/>
          <w:sz w:val="32"/>
          <w:szCs w:val="32"/>
          <w:highlight w:val="none"/>
        </w:rPr>
        <w:t>、地舒单抗、普基奥仑赛注射液等品种规模化量产</w:t>
      </w:r>
      <w:r>
        <w:rPr>
          <w:rFonts w:hint="eastAsia" w:ascii="Times New Roman" w:hAnsi="Times New Roman" w:eastAsia="方正仿宋_GBK" w:cs="Times New Roman"/>
          <w:color w:val="auto"/>
          <w:sz w:val="32"/>
          <w:szCs w:val="32"/>
          <w:highlight w:val="none"/>
          <w:lang w:eastAsia="zh-CN"/>
        </w:rPr>
        <w:t>，</w:t>
      </w:r>
      <w:r>
        <w:rPr>
          <w:rFonts w:hint="eastAsia" w:ascii="方正仿宋_GBK" w:hAnsi="方正仿宋_GBK" w:eastAsia="方正仿宋_GBK" w:cs="方正仿宋_GBK"/>
          <w:bCs/>
          <w:kern w:val="2"/>
          <w:sz w:val="32"/>
          <w:szCs w:val="32"/>
          <w:highlight w:val="none"/>
          <w:u w:val="none" w:color="auto"/>
        </w:rPr>
        <w:t>建成细胞与基因治疗临床应用示范区</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化药</w:t>
      </w:r>
      <w:r>
        <w:rPr>
          <w:rFonts w:hint="eastAsia" w:ascii="Times New Roman" w:hAnsi="Times New Roman" w:eastAsia="方正仿宋_GBK" w:cs="Times New Roman"/>
          <w:color w:val="auto"/>
          <w:sz w:val="32"/>
          <w:szCs w:val="32"/>
          <w:highlight w:val="none"/>
        </w:rPr>
        <w:t>领域</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引入同位素诊断及治疗药物研发生产企业，加快建设中子源大科学装置，推动医院开展核医学科建设，构建核医药产业上下游链条。持续培育</w:t>
      </w:r>
      <w:r>
        <w:rPr>
          <w:rFonts w:hint="eastAsia" w:ascii="Times New Roman" w:hAnsi="Times New Roman" w:eastAsia="方正仿宋_GBK" w:cs="Times New Roman"/>
          <w:color w:val="auto"/>
          <w:sz w:val="32"/>
          <w:szCs w:val="32"/>
          <w:highlight w:val="none"/>
          <w:lang w:val="en-US" w:eastAsia="zh-CN"/>
        </w:rPr>
        <w:t>化药</w:t>
      </w:r>
      <w:r>
        <w:rPr>
          <w:rFonts w:hint="eastAsia" w:ascii="Times New Roman" w:hAnsi="Times New Roman" w:eastAsia="方正仿宋_GBK" w:cs="Times New Roman"/>
          <w:color w:val="auto"/>
          <w:sz w:val="32"/>
          <w:szCs w:val="32"/>
          <w:highlight w:val="none"/>
        </w:rPr>
        <w:t>企业，加快化药新管线研发上市。</w:t>
      </w:r>
      <w:r>
        <w:rPr>
          <w:rFonts w:hint="eastAsia" w:ascii="Times New Roman" w:hAnsi="Times New Roman" w:eastAsia="方正仿宋_GBK" w:cs="Times New Roman"/>
          <w:color w:val="auto"/>
          <w:sz w:val="32"/>
          <w:szCs w:val="32"/>
          <w:highlight w:val="none"/>
          <w:lang w:val="en-US" w:eastAsia="zh-CN"/>
        </w:rPr>
        <w:t>高端医用材料领域。</w:t>
      </w:r>
      <w:r>
        <w:rPr>
          <w:rFonts w:hint="eastAsia" w:ascii="方正仿宋_GBK" w:hAnsi="方正仿宋_GBK" w:eastAsia="方正仿宋_GBK" w:cs="方正仿宋_GBK"/>
          <w:b w:val="0"/>
          <w:bCs/>
          <w:kern w:val="2"/>
          <w:sz w:val="32"/>
          <w:szCs w:val="32"/>
          <w:highlight w:val="none"/>
          <w:u w:val="none" w:color="auto"/>
        </w:rPr>
        <w:t>依托智能制造优势，布局</w:t>
      </w:r>
      <w:r>
        <w:rPr>
          <w:rFonts w:hint="eastAsia" w:ascii="方正仿宋_GBK" w:hAnsi="方正仿宋_GBK" w:eastAsia="方正仿宋_GBK" w:cs="方正仿宋_GBK"/>
          <w:bCs/>
          <w:kern w:val="2"/>
          <w:sz w:val="32"/>
          <w:szCs w:val="32"/>
          <w:highlight w:val="none"/>
          <w:u w:val="none" w:color="auto"/>
        </w:rPr>
        <w:t>高端医用生物材料等赛道，聚焦合成生物学等新技术培育本土</w:t>
      </w:r>
      <w:r>
        <w:rPr>
          <w:rFonts w:hint="eastAsia" w:ascii="方正仿宋_GBK" w:hAnsi="方正仿宋_GBK" w:eastAsia="方正仿宋_GBK" w:cs="方正仿宋_GBK"/>
          <w:bCs/>
          <w:kern w:val="2"/>
          <w:sz w:val="32"/>
          <w:szCs w:val="32"/>
          <w:highlight w:val="none"/>
          <w:u w:val="none" w:color="auto"/>
          <w:lang w:val="en-US" w:eastAsia="zh-CN"/>
        </w:rPr>
        <w:t>企业</w:t>
      </w:r>
      <w:r>
        <w:rPr>
          <w:rFonts w:hint="eastAsia" w:ascii="方正仿宋_GBK" w:hAnsi="方正仿宋_GBK" w:eastAsia="方正仿宋_GBK" w:cs="方正仿宋_GBK"/>
          <w:bCs/>
          <w:kern w:val="2"/>
          <w:sz w:val="32"/>
          <w:szCs w:val="32"/>
          <w:highlight w:val="none"/>
          <w:u w:val="none" w:color="auto"/>
        </w:rPr>
        <w:t>，推动动物源胶原蛋白等产品上市放量。</w:t>
      </w:r>
      <w:r>
        <w:rPr>
          <w:rFonts w:hint="eastAsia" w:ascii="Times New Roman" w:hAnsi="Times New Roman" w:eastAsia="方正仿宋_GBK" w:cs="Times New Roman"/>
          <w:color w:val="auto"/>
          <w:sz w:val="32"/>
          <w:szCs w:val="32"/>
          <w:highlight w:val="none"/>
        </w:rPr>
        <w:t>高端医药器械领域</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联合金凤实验室</w:t>
      </w:r>
      <w:r>
        <w:rPr>
          <w:rFonts w:hint="eastAsia" w:ascii="Times New Roman" w:hAnsi="Times New Roman" w:eastAsia="方正仿宋_GBK" w:cs="Times New Roman"/>
          <w:color w:val="auto"/>
          <w:sz w:val="32"/>
          <w:szCs w:val="32"/>
          <w:highlight w:val="none"/>
          <w:lang w:val="en-US" w:eastAsia="zh-CN"/>
        </w:rPr>
        <w:t>与</w:t>
      </w:r>
      <w:r>
        <w:rPr>
          <w:rFonts w:hint="eastAsia" w:ascii="Times New Roman" w:hAnsi="Times New Roman" w:eastAsia="方正仿宋_GBK" w:cs="Times New Roman"/>
          <w:color w:val="auto"/>
          <w:sz w:val="32"/>
          <w:szCs w:val="32"/>
          <w:highlight w:val="none"/>
        </w:rPr>
        <w:t>重庆大学、重庆医科大学等高校院所推进建设智慧医疗器械创新引领区，</w:t>
      </w:r>
      <w:r>
        <w:rPr>
          <w:rFonts w:hint="eastAsia" w:ascii="Times New Roman" w:hAnsi="Times New Roman" w:eastAsia="方正仿宋_GBK" w:cs="Times New Roman"/>
          <w:color w:val="auto"/>
          <w:sz w:val="32"/>
          <w:szCs w:val="32"/>
          <w:highlight w:val="none"/>
          <w:lang w:val="en-US" w:eastAsia="zh-CN"/>
        </w:rPr>
        <w:t>鼓励</w:t>
      </w:r>
      <w:r>
        <w:rPr>
          <w:rFonts w:hint="eastAsia" w:ascii="Times New Roman" w:hAnsi="Times New Roman" w:eastAsia="方正仿宋_GBK" w:cs="Times New Roman"/>
          <w:color w:val="auto"/>
          <w:sz w:val="32"/>
          <w:szCs w:val="32"/>
          <w:highlight w:val="none"/>
        </w:rPr>
        <w:t>高端医疗器械生产企业产品出国出海。中药领域，建设数字化、智能化的中药煎煮工厂，推动传统饮片炮制与煎煮工艺标准化、现代化升级。到2030年，生物医药产业规模达到200亿元</w:t>
      </w:r>
      <w:r>
        <w:rPr>
          <w:rFonts w:hint="eastAsia" w:ascii="Times New Roman" w:hAnsi="Times New Roman" w:eastAsia="方正仿宋_GBK" w:cs="Times New Roman"/>
          <w:color w:val="auto"/>
          <w:sz w:val="32"/>
          <w:szCs w:val="32"/>
          <w:highlight w:val="none"/>
          <w:lang w:eastAsia="zh-CN"/>
        </w:rPr>
        <w:t>，累计获批或落地创新药品种5个，培育产值规模上10亿元的生物药或化药品种2—3个，建成西部最大的医用同位素生产基地</w:t>
      </w:r>
      <w:r>
        <w:rPr>
          <w:rFonts w:hint="eastAsia" w:ascii="Times New Roman" w:hAnsi="Times New Roman" w:eastAsia="方正仿宋_GBK" w:cs="Times New Roman"/>
          <w:color w:val="auto"/>
          <w:sz w:val="32"/>
          <w:szCs w:val="32"/>
          <w:highlight w:val="none"/>
        </w:rPr>
        <w:t>。</w:t>
      </w:r>
    </w:p>
    <w:p w14:paraId="3C8761F6">
      <w:pPr>
        <w:overflowPunct/>
        <w:adjustRightInd w:val="0"/>
        <w:spacing w:line="312" w:lineRule="atLeast"/>
        <w:jc w:val="center"/>
        <w:textAlignment w:val="baseline"/>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11</w:t>
      </w:r>
      <w:r>
        <w:rPr>
          <w:rFonts w:hint="eastAsia" w:ascii="Times New Roman" w:hAnsi="Times New Roman" w:eastAsia="方正黑体_GBK" w:cs="方正黑体_GBK"/>
          <w:color w:val="auto"/>
          <w:kern w:val="0"/>
          <w:sz w:val="32"/>
          <w:szCs w:val="32"/>
          <w:highlight w:val="none"/>
          <w:u w:val="none"/>
          <w:lang w:bidi="ar"/>
        </w:rPr>
        <w:t xml:space="preserve"> 生物医药产业重点领域</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3FAC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5E122B6D">
            <w:pPr>
              <w:keepNext w:val="0"/>
              <w:keepLines w:val="0"/>
              <w:pageBreakBefore w:val="0"/>
              <w:widowControl/>
              <w:numPr>
                <w:ilvl w:val="-1"/>
                <w:numId w:val="0"/>
              </w:numPr>
              <w:kinsoku/>
              <w:wordWrap/>
              <w:overflowPunct w:val="0"/>
              <w:topLinePunct w:val="0"/>
              <w:autoSpaceDE/>
              <w:autoSpaceDN/>
              <w:bidi w:val="0"/>
              <w:adjustRightInd/>
              <w:snapToGrid w:val="0"/>
              <w:spacing w:line="380" w:lineRule="exact"/>
              <w:ind w:firstLine="480" w:firstLineChars="200"/>
              <w:jc w:val="left"/>
              <w:textAlignment w:val="auto"/>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sz w:val="24"/>
                <w:szCs w:val="24"/>
                <w:highlight w:val="none"/>
                <w:u w:val="none"/>
                <w:lang w:val="en-US" w:eastAsia="zh-CN"/>
              </w:rPr>
              <w:t>以细胞及基因治疗为重点的</w:t>
            </w:r>
            <w:r>
              <w:rPr>
                <w:rFonts w:hint="eastAsia" w:ascii="Times New Roman" w:hAnsi="Times New Roman" w:eastAsia="方正黑体_GBK" w:cs="方正黑体_GBK"/>
                <w:color w:val="auto"/>
                <w:kern w:val="0"/>
                <w:sz w:val="24"/>
                <w:highlight w:val="none"/>
                <w:u w:val="none"/>
                <w:lang w:bidi="ar-SA"/>
              </w:rPr>
              <w:t>生物药</w:t>
            </w:r>
            <w:r>
              <w:rPr>
                <w:rFonts w:hint="eastAsia" w:ascii="Times New Roman" w:hAnsi="Times New Roman" w:eastAsia="方正黑体_GBK" w:cs="方正黑体_GBK"/>
                <w:color w:val="auto"/>
                <w:kern w:val="0"/>
                <w:sz w:val="24"/>
                <w:highlight w:val="none"/>
                <w:u w:val="none"/>
                <w:lang w:val="en-US" w:eastAsia="zh-CN" w:bidi="ar-SA"/>
              </w:rPr>
              <w:t>领域</w:t>
            </w:r>
            <w:r>
              <w:rPr>
                <w:rFonts w:hint="eastAsia" w:ascii="Times New Roman" w:hAnsi="Times New Roman" w:eastAsia="方正黑体_GBK" w:cs="方正黑体_GBK"/>
                <w:color w:val="auto"/>
                <w:kern w:val="0"/>
                <w:sz w:val="24"/>
                <w:highlight w:val="none"/>
                <w:u w:val="none"/>
                <w:lang w:bidi="ar-SA"/>
              </w:rPr>
              <w:t>。</w:t>
            </w:r>
            <w:r>
              <w:rPr>
                <w:rFonts w:hint="eastAsia" w:ascii="Times New Roman" w:hAnsi="Times New Roman" w:eastAsia="方正书宋_GBK" w:cs="Times New Roman"/>
                <w:color w:val="auto"/>
                <w:kern w:val="0"/>
                <w:sz w:val="24"/>
                <w:highlight w:val="none"/>
                <w:u w:val="none"/>
                <w:lang w:bidi="ar-SA"/>
              </w:rPr>
              <w:t>重点发展靶点发现与验证、药物设计与筛选等临床前研究，布局干细胞外泌体、重组多肽蛋白等技术路线，推动昂</w:t>
            </w:r>
            <w:r>
              <w:rPr>
                <w:rFonts w:hint="eastAsia" w:ascii="Times New Roman" w:hAnsi="Times New Roman" w:eastAsia="方正书宋_GBK" w:cs="Times New Roman"/>
                <w:color w:val="auto"/>
                <w:kern w:val="0"/>
                <w:sz w:val="24"/>
                <w:highlight w:val="none"/>
                <w:u w:val="none"/>
              </w:rPr>
              <w:t>戈</w:t>
            </w:r>
            <w:r>
              <w:rPr>
                <w:rFonts w:hint="eastAsia" w:ascii="Times New Roman" w:hAnsi="Times New Roman" w:eastAsia="方正书宋_GBK" w:cs="Times New Roman"/>
                <w:color w:val="auto"/>
                <w:kern w:val="0"/>
                <w:sz w:val="24"/>
                <w:highlight w:val="none"/>
                <w:u w:val="none"/>
                <w:lang w:bidi="ar-SA"/>
              </w:rPr>
              <w:t>瑞西单抗、地舒单抗、普基奥仑赛注射液等品种规模化量产，引入雷珠单抗等优势品种，推动CAR-T治疗实体瘤技术创新药上市获批。重点发展干细胞治疗、基因治疗等医学新技术临床研究和临床研究应用，推动干细胞治疗等医学新技术规范化应用。</w:t>
            </w:r>
          </w:p>
          <w:p w14:paraId="46FE3378">
            <w:pPr>
              <w:keepNext w:val="0"/>
              <w:keepLines w:val="0"/>
              <w:pageBreakBefore w:val="0"/>
              <w:widowControl/>
              <w:numPr>
                <w:ilvl w:val="-1"/>
                <w:numId w:val="0"/>
              </w:numPr>
              <w:kinsoku/>
              <w:wordWrap/>
              <w:overflowPunct w:val="0"/>
              <w:topLinePunct w:val="0"/>
              <w:autoSpaceDE/>
              <w:autoSpaceDN/>
              <w:bidi w:val="0"/>
              <w:adjustRightInd/>
              <w:snapToGrid w:val="0"/>
              <w:spacing w:line="380" w:lineRule="exact"/>
              <w:ind w:firstLine="480" w:firstLineChars="200"/>
              <w:jc w:val="left"/>
              <w:textAlignment w:val="auto"/>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sz w:val="24"/>
                <w:szCs w:val="24"/>
                <w:highlight w:val="none"/>
                <w:u w:val="none"/>
                <w:lang w:val="en-US" w:eastAsia="zh-CN"/>
              </w:rPr>
              <w:t>以核医药为特色的</w:t>
            </w:r>
            <w:r>
              <w:rPr>
                <w:rFonts w:hint="eastAsia" w:ascii="Times New Roman" w:hAnsi="Times New Roman" w:eastAsia="方正黑体_GBK" w:cs="方正黑体_GBK"/>
                <w:color w:val="auto"/>
                <w:kern w:val="0"/>
                <w:sz w:val="24"/>
                <w:highlight w:val="none"/>
                <w:u w:val="none"/>
                <w:lang w:bidi="ar-SA"/>
              </w:rPr>
              <w:t>化药</w:t>
            </w:r>
            <w:r>
              <w:rPr>
                <w:rFonts w:hint="eastAsia" w:ascii="Times New Roman" w:hAnsi="Times New Roman" w:eastAsia="方正黑体_GBK" w:cs="方正黑体_GBK"/>
                <w:color w:val="auto"/>
                <w:kern w:val="0"/>
                <w:sz w:val="24"/>
                <w:highlight w:val="none"/>
                <w:u w:val="none"/>
                <w:lang w:val="en-US" w:eastAsia="zh-CN" w:bidi="ar-SA"/>
              </w:rPr>
              <w:t>领域</w:t>
            </w:r>
            <w:r>
              <w:rPr>
                <w:rFonts w:hint="eastAsia" w:ascii="Times New Roman" w:hAnsi="Times New Roman" w:eastAsia="方正黑体_GBK" w:cs="方正黑体_GBK"/>
                <w:color w:val="auto"/>
                <w:kern w:val="0"/>
                <w:sz w:val="24"/>
                <w:highlight w:val="none"/>
                <w:u w:val="none"/>
                <w:lang w:bidi="ar-SA"/>
              </w:rPr>
              <w:t>。</w:t>
            </w:r>
            <w:r>
              <w:rPr>
                <w:rFonts w:hint="eastAsia" w:ascii="Times New Roman" w:hAnsi="Times New Roman" w:eastAsia="方正书宋_GBK" w:cs="Times New Roman"/>
                <w:color w:val="auto"/>
                <w:kern w:val="0"/>
                <w:sz w:val="24"/>
                <w:highlight w:val="none"/>
                <w:u w:val="none"/>
                <w:lang w:bidi="ar-SA"/>
              </w:rPr>
              <w:t>重点布局同位素诊断及治疗药物研发生产环节，推动医院开展核医学科建设，构建核医药产业上下游链条。加快布局化药新管线。</w:t>
            </w:r>
          </w:p>
          <w:p w14:paraId="658D19B3">
            <w:pPr>
              <w:keepNext w:val="0"/>
              <w:keepLines w:val="0"/>
              <w:pageBreakBefore w:val="0"/>
              <w:widowControl/>
              <w:numPr>
                <w:ilvl w:val="-1"/>
                <w:numId w:val="0"/>
              </w:numPr>
              <w:kinsoku/>
              <w:wordWrap/>
              <w:overflowPunct w:val="0"/>
              <w:topLinePunct w:val="0"/>
              <w:autoSpaceDE/>
              <w:autoSpaceDN/>
              <w:bidi w:val="0"/>
              <w:adjustRightInd/>
              <w:snapToGrid w:val="0"/>
              <w:spacing w:line="380" w:lineRule="exact"/>
              <w:ind w:firstLine="480" w:firstLineChars="200"/>
              <w:jc w:val="left"/>
              <w:textAlignment w:val="auto"/>
              <w:rPr>
                <w:rFonts w:hint="default" w:ascii="Times New Roman" w:hAnsi="Times New Roman" w:eastAsia="方正黑体_GBK" w:cs="方正黑体_GBK"/>
                <w:color w:val="auto"/>
                <w:kern w:val="2"/>
                <w:sz w:val="24"/>
                <w:highlight w:val="none"/>
                <w:u w:val="none"/>
                <w:lang w:val="en-US" w:eastAsia="zh-CN" w:bidi="ar-SA"/>
              </w:rPr>
            </w:pPr>
            <w:r>
              <w:rPr>
                <w:rFonts w:hint="eastAsia" w:ascii="Times New Roman" w:hAnsi="Times New Roman" w:eastAsia="方正黑体_GBK" w:cs="方正黑体_GBK"/>
                <w:color w:val="auto"/>
                <w:kern w:val="2"/>
                <w:sz w:val="24"/>
                <w:highlight w:val="none"/>
                <w:u w:val="none"/>
                <w:lang w:val="en-US" w:eastAsia="zh-CN" w:bidi="ar-SA"/>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2"/>
                <w:sz w:val="24"/>
                <w:highlight w:val="none"/>
                <w:u w:val="none"/>
                <w:lang w:val="en-US" w:eastAsia="zh-CN" w:bidi="ar-SA"/>
              </w:rPr>
              <w:t>以高端医用材料为核心的生物制造领域。</w:t>
            </w:r>
            <w:r>
              <w:rPr>
                <w:rFonts w:hint="eastAsia" w:ascii="Times New Roman" w:hAnsi="Times New Roman" w:eastAsia="方正书宋_GBK" w:cs="Times New Roman"/>
                <w:color w:val="auto"/>
                <w:kern w:val="0"/>
                <w:sz w:val="24"/>
                <w:highlight w:val="none"/>
                <w:u w:val="none"/>
                <w:lang w:val="en-US" w:eastAsia="zh-CN" w:bidi="ar-SA"/>
              </w:rPr>
              <w:t>重点布局高端医用生物材料，攻关合成生物学技术，加快动物源胶原蛋白等产品上市。</w:t>
            </w:r>
          </w:p>
          <w:p w14:paraId="7DC8F655">
            <w:pPr>
              <w:keepNext w:val="0"/>
              <w:keepLines w:val="0"/>
              <w:pageBreakBefore w:val="0"/>
              <w:widowControl/>
              <w:kinsoku/>
              <w:wordWrap/>
              <w:overflowPunct w:val="0"/>
              <w:topLinePunct w:val="0"/>
              <w:autoSpaceDE/>
              <w:autoSpaceDN/>
              <w:bidi w:val="0"/>
              <w:adjustRightInd/>
              <w:snapToGrid w:val="0"/>
              <w:spacing w:line="380" w:lineRule="exact"/>
              <w:ind w:firstLine="480" w:firstLineChars="200"/>
              <w:jc w:val="left"/>
              <w:textAlignment w:val="auto"/>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4</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高端医疗器械</w:t>
            </w:r>
            <w:r>
              <w:rPr>
                <w:rFonts w:hint="eastAsia" w:ascii="Times New Roman" w:hAnsi="Times New Roman" w:eastAsia="方正黑体_GBK" w:cs="方正黑体_GBK"/>
                <w:color w:val="auto"/>
                <w:kern w:val="0"/>
                <w:sz w:val="24"/>
                <w:highlight w:val="none"/>
                <w:u w:val="none"/>
                <w:lang w:val="en-US" w:eastAsia="zh-CN" w:bidi="ar-SA"/>
              </w:rPr>
              <w:t>领域</w:t>
            </w:r>
            <w:r>
              <w:rPr>
                <w:rFonts w:hint="eastAsia" w:ascii="Times New Roman" w:hAnsi="Times New Roman" w:eastAsia="方正黑体_GBK" w:cs="方正黑体_GBK"/>
                <w:color w:val="auto"/>
                <w:kern w:val="0"/>
                <w:sz w:val="24"/>
                <w:highlight w:val="none"/>
                <w:u w:val="none"/>
                <w:lang w:bidi="ar-SA"/>
              </w:rPr>
              <w:t>。</w:t>
            </w:r>
            <w:r>
              <w:rPr>
                <w:rFonts w:hint="eastAsia" w:ascii="Times New Roman" w:hAnsi="Times New Roman" w:eastAsia="方正书宋_GBK" w:cs="Times New Roman"/>
                <w:color w:val="auto"/>
                <w:kern w:val="0"/>
                <w:sz w:val="24"/>
                <w:highlight w:val="none"/>
                <w:u w:val="none"/>
                <w:lang w:bidi="ar-SA"/>
              </w:rPr>
              <w:t>重点发展智慧病理、运动医学、高值耗材和智慧医疗装备，推动AI+诊断、AI+医疗器械发展与应用。</w:t>
            </w:r>
          </w:p>
          <w:p w14:paraId="45C510B8">
            <w:pPr>
              <w:keepNext w:val="0"/>
              <w:keepLines w:val="0"/>
              <w:pageBreakBefore w:val="0"/>
              <w:widowControl/>
              <w:kinsoku/>
              <w:wordWrap/>
              <w:overflowPunct w:val="0"/>
              <w:topLinePunct w:val="0"/>
              <w:autoSpaceDE/>
              <w:autoSpaceDN/>
              <w:bidi w:val="0"/>
              <w:adjustRightInd/>
              <w:snapToGrid w:val="0"/>
              <w:spacing w:line="380" w:lineRule="exact"/>
              <w:ind w:firstLine="480" w:firstLineChars="200"/>
              <w:jc w:val="left"/>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黑体_GBK" w:cs="方正黑体_GBK"/>
                <w:color w:val="auto"/>
                <w:kern w:val="0"/>
                <w:sz w:val="24"/>
                <w:highlight w:val="none"/>
                <w:u w:val="none"/>
                <w:lang w:val="en-US" w:eastAsia="zh-CN" w:bidi="ar-SA"/>
              </w:rPr>
              <w:t>5</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中药</w:t>
            </w:r>
            <w:r>
              <w:rPr>
                <w:rFonts w:hint="eastAsia" w:ascii="Times New Roman" w:hAnsi="Times New Roman" w:eastAsia="方正黑体_GBK" w:cs="方正黑体_GBK"/>
                <w:color w:val="auto"/>
                <w:kern w:val="2"/>
                <w:sz w:val="24"/>
                <w:highlight w:val="none"/>
                <w:u w:val="none"/>
                <w:lang w:val="en-US" w:eastAsia="zh-CN" w:bidi="ar-SA"/>
              </w:rPr>
              <w:t>领域</w:t>
            </w:r>
            <w:r>
              <w:rPr>
                <w:rFonts w:hint="eastAsia" w:ascii="Times New Roman" w:hAnsi="Times New Roman" w:eastAsia="方正黑体_GBK" w:cs="方正黑体_GBK"/>
                <w:color w:val="auto"/>
                <w:kern w:val="0"/>
                <w:sz w:val="24"/>
                <w:highlight w:val="none"/>
                <w:u w:val="none"/>
                <w:lang w:bidi="ar-SA"/>
              </w:rPr>
              <w:t>。</w:t>
            </w:r>
            <w:r>
              <w:rPr>
                <w:rFonts w:hint="eastAsia" w:ascii="Times New Roman" w:hAnsi="Times New Roman" w:eastAsia="方正书宋_GBK" w:cs="Times New Roman"/>
                <w:color w:val="auto"/>
                <w:kern w:val="0"/>
                <w:sz w:val="24"/>
                <w:highlight w:val="none"/>
                <w:u w:val="none"/>
                <w:lang w:bidi="ar-SA"/>
              </w:rPr>
              <w:t>重点发展院内制剂、中药饮片、中药创新药，基于经典名方、临床经验方，利用现代药理学和制剂技术，推动中药创新药研发与临床应用，提升现代中药传承创新与成果转化能力。</w:t>
            </w:r>
          </w:p>
        </w:tc>
      </w:tr>
      <w:bookmarkEnd w:id="192"/>
      <w:bookmarkEnd w:id="193"/>
      <w:bookmarkEnd w:id="194"/>
      <w:bookmarkEnd w:id="195"/>
      <w:bookmarkEnd w:id="196"/>
      <w:bookmarkEnd w:id="197"/>
      <w:bookmarkEnd w:id="198"/>
      <w:bookmarkEnd w:id="199"/>
    </w:tbl>
    <w:p w14:paraId="4079254A">
      <w:pPr>
        <w:overflowPunct w:val="0"/>
        <w:adjustRightInd w:val="0"/>
        <w:snapToGrid w:val="0"/>
        <w:spacing w:line="600" w:lineRule="exact"/>
        <w:jc w:val="center"/>
        <w:outlineLvl w:val="1"/>
        <w:rPr>
          <w:rFonts w:ascii="Times New Roman" w:hAnsi="Times New Roman" w:eastAsia="方正黑体_GBK" w:cs="方正黑体_GBK"/>
          <w:color w:val="auto"/>
          <w:sz w:val="32"/>
          <w:szCs w:val="32"/>
          <w:highlight w:val="none"/>
        </w:rPr>
      </w:pPr>
      <w:bookmarkStart w:id="236" w:name="_Toc966900928"/>
      <w:bookmarkStart w:id="237" w:name="_Toc724816083"/>
      <w:bookmarkStart w:id="238" w:name="_Toc16800"/>
      <w:bookmarkStart w:id="239" w:name="_Toc17254"/>
      <w:bookmarkStart w:id="240" w:name="_Toc26440"/>
      <w:bookmarkStart w:id="241" w:name="_Toc10268"/>
      <w:bookmarkStart w:id="242" w:name="_Toc19167"/>
      <w:bookmarkStart w:id="243" w:name="_Toc11542"/>
      <w:bookmarkStart w:id="244" w:name="_Toc20900"/>
      <w:bookmarkStart w:id="245" w:name="_Toc17515"/>
      <w:r>
        <w:rPr>
          <w:rFonts w:hint="eastAsia" w:ascii="Times New Roman" w:hAnsi="Times New Roman" w:eastAsia="方正黑体_GBK" w:cs="方正黑体_GBK"/>
          <w:color w:val="auto"/>
          <w:sz w:val="32"/>
          <w:szCs w:val="32"/>
          <w:highlight w:val="none"/>
        </w:rPr>
        <w:t>第二章 前瞻布局未来产业</w:t>
      </w:r>
      <w:bookmarkEnd w:id="236"/>
      <w:bookmarkEnd w:id="237"/>
      <w:bookmarkEnd w:id="238"/>
      <w:bookmarkEnd w:id="239"/>
    </w:p>
    <w:p w14:paraId="0D0144C5">
      <w:pPr>
        <w:overflowPunct w:val="0"/>
        <w:adjustRightInd w:val="0"/>
        <w:snapToGrid w:val="0"/>
        <w:spacing w:line="600" w:lineRule="exact"/>
        <w:ind w:firstLine="640" w:firstLineChars="200"/>
        <w:jc w:val="left"/>
        <w:outlineLvl w:val="9"/>
        <w:rPr>
          <w:rFonts w:hint="eastAsia" w:ascii="Times New Roman" w:hAnsi="Times New Roman" w:eastAsia="方正楷体_GBK" w:cs="方正楷体_GBK"/>
          <w:color w:val="auto"/>
          <w:sz w:val="32"/>
          <w:szCs w:val="32"/>
          <w:highlight w:val="none"/>
        </w:rPr>
      </w:pPr>
      <w:bookmarkStart w:id="246" w:name="_Toc2395"/>
      <w:bookmarkStart w:id="247" w:name="_Toc17271"/>
      <w:bookmarkStart w:id="248" w:name="_Toc4397"/>
      <w:r>
        <w:rPr>
          <w:rFonts w:hint="eastAsia" w:ascii="Times New Roman" w:hAnsi="Times New Roman" w:eastAsia="方正仿宋_GBK" w:cs="Times New Roman"/>
          <w:color w:val="auto"/>
          <w:sz w:val="32"/>
          <w:szCs w:val="32"/>
          <w:highlight w:val="none"/>
        </w:rPr>
        <w:t>强化源头技术供给，</w:t>
      </w:r>
      <w:r>
        <w:rPr>
          <w:rFonts w:hint="eastAsia" w:ascii="Times New Roman" w:hAnsi="Times New Roman" w:eastAsia="方正仿宋_GBK" w:cs="Times New Roman"/>
          <w:color w:val="auto"/>
          <w:sz w:val="32"/>
          <w:szCs w:val="32"/>
          <w:highlight w:val="none"/>
          <w:lang w:val="en-US" w:eastAsia="zh-CN"/>
        </w:rPr>
        <w:t>以“未来制造”为主攻方向，推进未来技术产业化和现有产业未来化，聚焦优势特色领域加快技术攻关与产品创新，</w:t>
      </w:r>
      <w:r>
        <w:rPr>
          <w:rFonts w:hint="default" w:ascii="Times New Roman" w:hAnsi="Times New Roman" w:eastAsia="方正仿宋_GBK" w:cs="Times New Roman"/>
          <w:color w:val="auto"/>
          <w:sz w:val="32"/>
          <w:szCs w:val="32"/>
          <w:highlight w:val="none"/>
          <w:lang w:val="en-US"/>
        </w:rPr>
        <w:t>构建应用场景和生态体系</w:t>
      </w:r>
      <w:r>
        <w:rPr>
          <w:rFonts w:hint="eastAsia" w:ascii="Times New Roman" w:hAnsi="Times New Roman" w:eastAsia="方正仿宋_GBK" w:cs="Times New Roman"/>
          <w:color w:val="auto"/>
          <w:sz w:val="32"/>
          <w:szCs w:val="32"/>
          <w:highlight w:val="none"/>
        </w:rPr>
        <w:t>，建立未来产业投入增长和风险分担机制，推动未来产业成为新经济增长点，高水平创建未来产业先导区。到2030年，未来产业规模达到200亿元。</w:t>
      </w:r>
      <w:bookmarkStart w:id="249" w:name="_Toc695140047"/>
      <w:bookmarkStart w:id="250" w:name="_Toc32543"/>
      <w:bookmarkStart w:id="251" w:name="_Toc24798"/>
      <w:bookmarkStart w:id="252" w:name="_Toc1645"/>
      <w:bookmarkStart w:id="253" w:name="_Toc1456661197"/>
    </w:p>
    <w:p w14:paraId="79A2B522">
      <w:p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r>
        <w:rPr>
          <w:rFonts w:hint="eastAsia" w:ascii="Times New Roman" w:hAnsi="Times New Roman" w:eastAsia="方正楷体_GBK" w:cs="方正楷体_GBK"/>
          <w:color w:val="auto"/>
          <w:sz w:val="32"/>
          <w:szCs w:val="32"/>
          <w:highlight w:val="none"/>
        </w:rPr>
        <w:t xml:space="preserve">第一节 </w:t>
      </w:r>
      <w:bookmarkEnd w:id="246"/>
      <w:bookmarkEnd w:id="247"/>
      <w:bookmarkEnd w:id="248"/>
      <w:r>
        <w:rPr>
          <w:rFonts w:hint="eastAsia" w:ascii="Times New Roman" w:hAnsi="Times New Roman" w:eastAsia="方正楷体_GBK" w:cs="方正楷体_GBK"/>
          <w:color w:val="auto"/>
          <w:sz w:val="32"/>
          <w:szCs w:val="32"/>
          <w:highlight w:val="none"/>
        </w:rPr>
        <w:t>大力发展空天信息及低空经济产业</w:t>
      </w:r>
      <w:bookmarkEnd w:id="249"/>
      <w:bookmarkEnd w:id="250"/>
      <w:bookmarkEnd w:id="251"/>
      <w:bookmarkEnd w:id="252"/>
      <w:bookmarkEnd w:id="253"/>
    </w:p>
    <w:p w14:paraId="6C483EEB">
      <w:pPr>
        <w:pStyle w:val="19"/>
        <w:overflowPunct w:val="0"/>
        <w:adjustRightInd w:val="0"/>
        <w:snapToGrid w:val="0"/>
        <w:spacing w:beforeAutospacing="0" w:afterAutospacing="0" w:line="600" w:lineRule="exact"/>
        <w:ind w:firstLine="640" w:firstLineChars="200"/>
        <w:jc w:val="both"/>
        <w:rPr>
          <w:rFonts w:ascii="Times New Roman" w:hAnsi="Times New Roman" w:eastAsia="方正仿宋_GBK"/>
          <w:color w:val="auto"/>
          <w:sz w:val="32"/>
          <w:szCs w:val="32"/>
          <w:highlight w:val="none"/>
          <w:lang w:bidi="ar"/>
        </w:rPr>
      </w:pPr>
      <w:r>
        <w:rPr>
          <w:rFonts w:hint="eastAsia" w:ascii="Times New Roman" w:hAnsi="Times New Roman" w:eastAsia="方正仿宋_GBK"/>
          <w:color w:val="auto"/>
          <w:sz w:val="32"/>
          <w:szCs w:val="32"/>
          <w:highlight w:val="none"/>
          <w:lang w:bidi="ar"/>
        </w:rPr>
        <w:t>空天信息领域。依托西永微电园规划建设卫星互联网产业园，推进空天信息研发创新平台、星载AI计算实验室、卫星检测认证公共服务平台建设。依托集成电路产业优势</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重点突破卫星载荷芯片等关键元器件技术瓶颈，实现核心部件自主可控。</w:t>
      </w:r>
      <w:r>
        <w:rPr>
          <w:rFonts w:hint="eastAsia" w:ascii="Times New Roman" w:hAnsi="Times New Roman" w:eastAsia="方正仿宋_GBK"/>
          <w:color w:val="auto"/>
          <w:sz w:val="32"/>
          <w:szCs w:val="32"/>
          <w:highlight w:val="none"/>
          <w:lang w:val="en-US" w:eastAsia="zh-CN" w:bidi="ar"/>
        </w:rPr>
        <w:t>推动</w:t>
      </w:r>
      <w:r>
        <w:rPr>
          <w:rFonts w:hint="eastAsia" w:ascii="Times New Roman" w:hAnsi="Times New Roman" w:eastAsia="方正仿宋_GBK"/>
          <w:color w:val="auto"/>
          <w:sz w:val="32"/>
          <w:szCs w:val="32"/>
          <w:highlight w:val="none"/>
          <w:lang w:bidi="ar"/>
        </w:rPr>
        <w:t>打造空天地一体化通信网络与遥感数据应用中心</w:t>
      </w:r>
      <w:r>
        <w:rPr>
          <w:rFonts w:hint="eastAsia" w:ascii="Times New Roman" w:hAnsi="Times New Roman" w:eastAsia="方正仿宋_GBK"/>
          <w:color w:val="auto"/>
          <w:sz w:val="32"/>
          <w:szCs w:val="32"/>
          <w:highlight w:val="none"/>
          <w:lang w:val="en-US" w:eastAsia="zh-CN" w:bidi="ar"/>
        </w:rPr>
        <w:t>。</w:t>
      </w:r>
    </w:p>
    <w:p w14:paraId="0343D086">
      <w:pPr>
        <w:overflowPunct w:val="0"/>
        <w:adjustRightInd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bidi="ar"/>
        </w:rPr>
        <w:t>低空经济领域。</w:t>
      </w:r>
      <w:r>
        <w:rPr>
          <w:rFonts w:hint="eastAsia" w:ascii="Times New Roman" w:hAnsi="Times New Roman" w:eastAsia="方正仿宋_GBK" w:cs="Times New Roman"/>
          <w:color w:val="auto"/>
          <w:sz w:val="32"/>
          <w:szCs w:val="32"/>
          <w:highlight w:val="none"/>
          <w:lang w:val="en-US" w:eastAsia="zh-CN" w:bidi="ar"/>
        </w:rPr>
        <w:t>统筹利用</w:t>
      </w:r>
      <w:r>
        <w:rPr>
          <w:rFonts w:hint="eastAsia" w:ascii="Times New Roman" w:hAnsi="Times New Roman" w:eastAsia="方正仿宋_GBK" w:cs="Times New Roman"/>
          <w:color w:val="auto"/>
          <w:sz w:val="32"/>
          <w:szCs w:val="32"/>
          <w:highlight w:val="none"/>
          <w:lang w:bidi="ar"/>
        </w:rPr>
        <w:t>白市驿机场</w:t>
      </w:r>
      <w:r>
        <w:rPr>
          <w:rFonts w:hint="eastAsia" w:ascii="Times New Roman" w:hAnsi="Times New Roman" w:eastAsia="方正仿宋_GBK" w:cs="Times New Roman"/>
          <w:color w:val="auto"/>
          <w:sz w:val="32"/>
          <w:szCs w:val="32"/>
          <w:highlight w:val="none"/>
          <w:lang w:val="en-US" w:eastAsia="zh-CN" w:bidi="ar"/>
        </w:rPr>
        <w:t>既有</w:t>
      </w:r>
      <w:r>
        <w:rPr>
          <w:rFonts w:hint="eastAsia" w:ascii="Times New Roman" w:hAnsi="Times New Roman" w:eastAsia="方正仿宋_GBK" w:cs="Times New Roman"/>
          <w:color w:val="auto"/>
          <w:sz w:val="32"/>
          <w:szCs w:val="32"/>
          <w:highlight w:val="none"/>
          <w:lang w:bidi="ar"/>
        </w:rPr>
        <w:t>基础设施</w:t>
      </w:r>
      <w:r>
        <w:rPr>
          <w:rFonts w:hint="eastAsia" w:ascii="Times New Roman" w:hAnsi="Times New Roman" w:eastAsia="方正仿宋_GBK" w:cs="Times New Roman"/>
          <w:color w:val="auto"/>
          <w:sz w:val="32"/>
          <w:szCs w:val="32"/>
          <w:highlight w:val="none"/>
          <w:lang w:val="en-US" w:eastAsia="zh-CN" w:bidi="ar"/>
        </w:rPr>
        <w:t>和</w:t>
      </w:r>
      <w:r>
        <w:rPr>
          <w:rFonts w:hint="eastAsia" w:ascii="Times New Roman" w:hAnsi="Times New Roman" w:eastAsia="方正仿宋_GBK" w:cs="Times New Roman"/>
          <w:color w:val="auto"/>
          <w:sz w:val="32"/>
          <w:szCs w:val="32"/>
          <w:highlight w:val="none"/>
          <w:lang w:bidi="ar"/>
        </w:rPr>
        <w:t>相关空域</w:t>
      </w:r>
      <w:r>
        <w:rPr>
          <w:rFonts w:hint="eastAsia" w:ascii="Times New Roman" w:hAnsi="Times New Roman" w:eastAsia="方正仿宋_GBK" w:cs="Times New Roman"/>
          <w:color w:val="auto"/>
          <w:sz w:val="32"/>
          <w:szCs w:val="32"/>
          <w:highlight w:val="none"/>
          <w:lang w:val="en-US" w:eastAsia="zh-CN" w:bidi="ar"/>
        </w:rPr>
        <w:t>资源，适时</w:t>
      </w:r>
      <w:r>
        <w:rPr>
          <w:rFonts w:hint="eastAsia" w:ascii="Times New Roman" w:hAnsi="Times New Roman" w:eastAsia="方正仿宋_GBK" w:cs="Times New Roman"/>
          <w:color w:val="auto"/>
          <w:sz w:val="32"/>
          <w:szCs w:val="32"/>
          <w:highlight w:val="none"/>
          <w:lang w:bidi="ar"/>
        </w:rPr>
        <w:t>推进通用机场申报，</w:t>
      </w:r>
      <w:r>
        <w:rPr>
          <w:rFonts w:hint="default" w:ascii="Times New Roman" w:hAnsi="Times New Roman" w:eastAsia="方正仿宋_GBK" w:cs="Times New Roman"/>
          <w:color w:val="auto"/>
          <w:sz w:val="32"/>
          <w:szCs w:val="32"/>
          <w:highlight w:val="none"/>
          <w:lang w:val="en-US" w:bidi="ar"/>
        </w:rPr>
        <w:t>高标准</w:t>
      </w:r>
      <w:r>
        <w:rPr>
          <w:rFonts w:hint="eastAsia" w:ascii="Times New Roman" w:hAnsi="Times New Roman" w:eastAsia="方正仿宋_GBK" w:cs="Times New Roman"/>
          <w:color w:val="auto"/>
          <w:sz w:val="32"/>
          <w:szCs w:val="32"/>
          <w:highlight w:val="none"/>
          <w:lang w:val="en-US" w:eastAsia="zh-CN" w:bidi="ar"/>
        </w:rPr>
        <w:t>规划</w:t>
      </w:r>
      <w:r>
        <w:rPr>
          <w:rFonts w:hint="default" w:ascii="Times New Roman" w:hAnsi="Times New Roman" w:eastAsia="方正仿宋_GBK" w:cs="Times New Roman"/>
          <w:color w:val="auto"/>
          <w:sz w:val="32"/>
          <w:szCs w:val="32"/>
          <w:highlight w:val="none"/>
          <w:lang w:val="en-US" w:bidi="ar"/>
        </w:rPr>
        <w:t>建设</w:t>
      </w:r>
      <w:r>
        <w:rPr>
          <w:rFonts w:hint="eastAsia" w:ascii="Times New Roman" w:hAnsi="Times New Roman" w:eastAsia="方正仿宋_GBK" w:cs="Times New Roman"/>
          <w:color w:val="auto"/>
          <w:sz w:val="32"/>
          <w:szCs w:val="32"/>
          <w:highlight w:val="none"/>
          <w:lang w:bidi="ar"/>
        </w:rPr>
        <w:t>低空智能垂直起降点、低空通信机房等基础设施，</w:t>
      </w:r>
      <w:r>
        <w:rPr>
          <w:rFonts w:hint="eastAsia" w:ascii="Times New Roman" w:hAnsi="Times New Roman" w:eastAsia="方正仿宋_GBK" w:cs="Times New Roman"/>
          <w:color w:val="auto"/>
          <w:sz w:val="32"/>
          <w:szCs w:val="32"/>
          <w:highlight w:val="none"/>
          <w:lang w:val="en-US" w:eastAsia="zh-CN" w:bidi="ar"/>
        </w:rPr>
        <w:t>围绕</w:t>
      </w:r>
      <w:r>
        <w:rPr>
          <w:rFonts w:hint="eastAsia" w:ascii="Times New Roman" w:hAnsi="Times New Roman" w:eastAsia="方正仿宋_GBK" w:cs="Times New Roman"/>
          <w:color w:val="auto"/>
          <w:sz w:val="32"/>
          <w:szCs w:val="32"/>
          <w:highlight w:val="none"/>
          <w:lang w:bidi="ar"/>
        </w:rPr>
        <w:t>低空试飞测试</w:t>
      </w:r>
      <w:r>
        <w:rPr>
          <w:rFonts w:hint="eastAsia" w:ascii="Times New Roman" w:hAnsi="Times New Roman" w:eastAsia="方正仿宋_GBK" w:cs="Times New Roman"/>
          <w:color w:val="auto"/>
          <w:sz w:val="32"/>
          <w:szCs w:val="32"/>
          <w:highlight w:val="none"/>
          <w:lang w:val="en-US" w:eastAsia="zh-CN" w:bidi="ar"/>
        </w:rPr>
        <w:t>功能，谋划</w:t>
      </w:r>
      <w:r>
        <w:rPr>
          <w:rFonts w:hint="eastAsia" w:ascii="Times New Roman" w:hAnsi="Times New Roman" w:eastAsia="方正仿宋_GBK" w:cs="Times New Roman"/>
          <w:color w:val="auto"/>
          <w:sz w:val="32"/>
          <w:szCs w:val="32"/>
          <w:highlight w:val="none"/>
          <w:lang w:bidi="ar"/>
        </w:rPr>
        <w:t>吸引低空飞行器及零部件制造项目落地，</w:t>
      </w:r>
      <w:r>
        <w:rPr>
          <w:rFonts w:hint="eastAsia" w:ascii="Times New Roman" w:hAnsi="Times New Roman" w:eastAsia="方正仿宋_GBK" w:cs="Times New Roman"/>
          <w:color w:val="auto"/>
          <w:sz w:val="32"/>
          <w:szCs w:val="32"/>
          <w:highlight w:val="none"/>
          <w:lang w:val="en-US" w:eastAsia="zh-CN" w:bidi="ar"/>
        </w:rPr>
        <w:t>积极探索</w:t>
      </w:r>
      <w:r>
        <w:rPr>
          <w:rFonts w:hint="eastAsia" w:ascii="Times New Roman" w:hAnsi="Times New Roman" w:eastAsia="方正仿宋_GBK" w:cs="Times New Roman"/>
          <w:color w:val="auto"/>
          <w:sz w:val="32"/>
          <w:szCs w:val="32"/>
          <w:highlight w:val="none"/>
          <w:lang w:bidi="ar"/>
        </w:rPr>
        <w:t>低空物流、低空出行等示范性运营场景。加快方大海航航空发动机维修基地项目二期建成投用，推动航天科工、星辰空间等优质存量项目扩产升级。</w:t>
      </w:r>
    </w:p>
    <w:p w14:paraId="2E3608B2">
      <w:p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254" w:name="_Toc18640"/>
      <w:bookmarkStart w:id="255" w:name="_Toc1518"/>
      <w:bookmarkStart w:id="256" w:name="_Toc1784"/>
      <w:bookmarkStart w:id="257" w:name="_Toc15105"/>
      <w:bookmarkStart w:id="258" w:name="_Toc791162179"/>
      <w:bookmarkStart w:id="259" w:name="_Toc907730249"/>
      <w:bookmarkStart w:id="260" w:name="_Toc14981"/>
      <w:bookmarkStart w:id="261" w:name="_Toc31896"/>
      <w:bookmarkStart w:id="262" w:name="_Toc24179"/>
      <w:r>
        <w:rPr>
          <w:rFonts w:hint="eastAsia" w:ascii="Times New Roman" w:hAnsi="Times New Roman" w:eastAsia="方正楷体_GBK" w:cs="方正楷体_GBK"/>
          <w:color w:val="auto"/>
          <w:sz w:val="32"/>
          <w:szCs w:val="32"/>
          <w:highlight w:val="none"/>
        </w:rPr>
        <w:t xml:space="preserve">第二节 </w:t>
      </w:r>
      <w:r>
        <w:rPr>
          <w:rFonts w:hint="eastAsia" w:ascii="Times New Roman" w:hAnsi="Times New Roman" w:eastAsia="方正楷体_GBK" w:cs="方正楷体_GBK"/>
          <w:color w:val="auto"/>
          <w:sz w:val="32"/>
          <w:szCs w:val="32"/>
          <w:highlight w:val="none"/>
          <w:lang w:val="en-US" w:eastAsia="zh-CN"/>
        </w:rPr>
        <w:t>创新</w:t>
      </w:r>
      <w:r>
        <w:rPr>
          <w:rFonts w:hint="eastAsia" w:ascii="Times New Roman" w:hAnsi="Times New Roman" w:eastAsia="方正楷体_GBK" w:cs="方正楷体_GBK"/>
          <w:color w:val="auto"/>
          <w:sz w:val="32"/>
          <w:szCs w:val="32"/>
          <w:highlight w:val="none"/>
        </w:rPr>
        <w:t>发展</w:t>
      </w:r>
      <w:r>
        <w:rPr>
          <w:rFonts w:hint="eastAsia" w:ascii="Times New Roman" w:hAnsi="Times New Roman" w:eastAsia="方正楷体_GBK" w:cs="方正楷体_GBK"/>
          <w:color w:val="auto"/>
          <w:sz w:val="32"/>
          <w:szCs w:val="32"/>
          <w:highlight w:val="none"/>
          <w:lang w:val="en-US" w:eastAsia="zh-CN"/>
        </w:rPr>
        <w:t>人工</w:t>
      </w:r>
      <w:r>
        <w:rPr>
          <w:rFonts w:hint="eastAsia" w:ascii="Times New Roman" w:hAnsi="Times New Roman" w:eastAsia="方正楷体_GBK" w:cs="方正楷体_GBK"/>
          <w:color w:val="auto"/>
          <w:sz w:val="32"/>
          <w:szCs w:val="32"/>
          <w:highlight w:val="none"/>
        </w:rPr>
        <w:t>智能产业</w:t>
      </w:r>
      <w:bookmarkEnd w:id="254"/>
      <w:bookmarkEnd w:id="255"/>
      <w:bookmarkEnd w:id="256"/>
      <w:bookmarkEnd w:id="257"/>
      <w:bookmarkEnd w:id="258"/>
      <w:bookmarkEnd w:id="259"/>
      <w:bookmarkEnd w:id="260"/>
      <w:bookmarkEnd w:id="261"/>
      <w:bookmarkEnd w:id="262"/>
    </w:p>
    <w:p w14:paraId="33588A83">
      <w:pPr>
        <w:overflowPunct w:val="0"/>
        <w:adjustRightInd w:val="0"/>
        <w:snapToGrid w:val="0"/>
        <w:spacing w:line="60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夯实人工智能基础设施底座</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深度参与“疆算入渝”，提升重庆人工智能创新中心服务能力。建设面向智能装备、智能网联等领域模型训练的高质量行业数据集和语料库，打造重点行业可信数据空间和高质量数据标注及模型训练基地。加速形成人工智能产业生态</w:t>
      </w:r>
      <w:r>
        <w:rPr>
          <w:rFonts w:hint="eastAsia" w:ascii="Times New Roman" w:hAnsi="Times New Roman" w:eastAsia="方正仿宋_GBK" w:cs="方正仿宋_GBK"/>
          <w:color w:val="auto"/>
          <w:sz w:val="32"/>
          <w:szCs w:val="32"/>
          <w:highlight w:val="none"/>
          <w:lang w:eastAsia="zh-CN"/>
        </w:rPr>
        <w:t>，聚焦</w:t>
      </w:r>
      <w:r>
        <w:rPr>
          <w:rFonts w:hint="eastAsia" w:ascii="Times New Roman" w:hAnsi="Times New Roman" w:eastAsia="方正仿宋_GBK" w:cs="方正仿宋_GBK"/>
          <w:color w:val="auto"/>
          <w:sz w:val="32"/>
          <w:szCs w:val="32"/>
          <w:highlight w:val="none"/>
          <w:lang w:val="en-US" w:eastAsia="zh-CN"/>
        </w:rPr>
        <w:t>具身智能等核心领域，</w:t>
      </w:r>
      <w:r>
        <w:rPr>
          <w:rFonts w:hint="eastAsia" w:ascii="Times New Roman" w:hAnsi="Times New Roman" w:eastAsia="方正仿宋_GBK" w:cs="方正仿宋_GBK"/>
          <w:color w:val="auto"/>
          <w:sz w:val="32"/>
          <w:szCs w:val="32"/>
          <w:highlight w:val="none"/>
        </w:rPr>
        <w:t>依托</w:t>
      </w:r>
      <w:r>
        <w:rPr>
          <w:rFonts w:hint="eastAsia" w:ascii="Times New Roman" w:hAnsi="Times New Roman" w:eastAsia="方正仿宋_GBK" w:cs="Times New Roman"/>
          <w:color w:val="auto"/>
          <w:sz w:val="32"/>
          <w:szCs w:val="32"/>
          <w:highlight w:val="none"/>
        </w:rPr>
        <w:t>嘉陵江实验室</w:t>
      </w:r>
      <w:r>
        <w:rPr>
          <w:rFonts w:hint="eastAsia" w:ascii="Times New Roman" w:hAnsi="Times New Roman" w:eastAsia="方正仿宋_GBK" w:cs="方正仿宋_GBK"/>
          <w:color w:val="auto"/>
          <w:sz w:val="32"/>
          <w:szCs w:val="32"/>
          <w:highlight w:val="none"/>
        </w:rPr>
        <w:t>科创平台优势，积极攻关具身智能软件算法与智能系统，突破核心部件与关键材料，推进人形机器人、高级别自动驾驶、智能飞行器等整机制造与装备集成</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加快企业数智化转型，打造人工智能高水平开源生态。推动人工智能赋能千行百业</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方正仿宋_GBK"/>
          <w:color w:val="auto"/>
          <w:sz w:val="32"/>
          <w:szCs w:val="32"/>
          <w:highlight w:val="none"/>
        </w:rPr>
        <w:t>聚焦科学研究等重点领域，布局人工智能应用中试基地，</w:t>
      </w:r>
      <w:r>
        <w:rPr>
          <w:rFonts w:hint="eastAsia" w:ascii="Times New Roman" w:hAnsi="Times New Roman" w:eastAsia="方正仿宋_GBK" w:cs="方正仿宋_GBK"/>
          <w:color w:val="auto"/>
          <w:sz w:val="32"/>
          <w:szCs w:val="32"/>
          <w:highlight w:val="none"/>
          <w:lang w:val="en-US" w:eastAsia="zh-CN"/>
        </w:rPr>
        <w:t>鼓励</w:t>
      </w:r>
      <w:r>
        <w:rPr>
          <w:rFonts w:hint="eastAsia" w:ascii="Times New Roman" w:hAnsi="Times New Roman" w:eastAsia="方正仿宋_GBK" w:cs="方正仿宋_GBK"/>
          <w:color w:val="auto"/>
          <w:sz w:val="32"/>
          <w:szCs w:val="32"/>
          <w:highlight w:val="none"/>
        </w:rPr>
        <w:t>企业建设行业赋能中心，健全人工智能应用场景开放机制，促进人工智能技术转化应用。</w:t>
      </w:r>
    </w:p>
    <w:p w14:paraId="5DEA42C8">
      <w:pPr>
        <w:overflowPunct/>
        <w:adjustRightInd/>
        <w:snapToGrid/>
        <w:spacing w:line="240" w:lineRule="auto"/>
        <w:ind w:firstLine="0" w:firstLineChars="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br w:type="page"/>
      </w:r>
    </w:p>
    <w:p w14:paraId="332C2795">
      <w:p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263" w:name="_Toc31683"/>
      <w:bookmarkStart w:id="264" w:name="_Toc1991483876"/>
      <w:bookmarkStart w:id="265" w:name="_Toc498466655"/>
      <w:r>
        <w:rPr>
          <w:rFonts w:hint="eastAsia" w:ascii="Times New Roman" w:hAnsi="Times New Roman" w:eastAsia="方正楷体_GBK" w:cs="方正楷体_GBK"/>
          <w:color w:val="auto"/>
          <w:sz w:val="32"/>
          <w:szCs w:val="32"/>
          <w:highlight w:val="none"/>
        </w:rPr>
        <w:t>第三节 培育发展新材料产业</w:t>
      </w:r>
      <w:bookmarkEnd w:id="263"/>
      <w:bookmarkEnd w:id="264"/>
      <w:bookmarkEnd w:id="265"/>
    </w:p>
    <w:p w14:paraId="21186B7D">
      <w:pPr>
        <w:overflowPunct w:val="0"/>
        <w:adjustRightInd w:val="0"/>
        <w:snapToGrid w:val="0"/>
        <w:spacing w:line="600" w:lineRule="exact"/>
        <w:ind w:firstLine="640" w:firstLineChars="200"/>
        <w:rPr>
          <w:rFonts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立足成渝地区双城经济圈新材料产业协同布局，重点发展服务于智能网联新能源汽车的轻量化合金、车用复合材料等先进车用新材料，积极培育服务于电子信息产业的半导体封装材料、显示材料等关键材料，协同发展新型轻合金及石墨烯等前沿材料。依托重庆大学、重庆科技大学等科研力量，攻关轻量化材料制备、半导体封装技术、显示材料制备等“卡脖子”环节，推动新材料在新能源汽车、电子信息、高端装备等领域的规模化应用。前瞻布局新型轻合金及石墨烯等前沿材料，拓展在空天信息及低空经济、电子信息等领域应用场景，探索纳米及原子级制造新领域。强化绿色低碳导向，发展循环再生材料，推动全生命周期碳足迹管理。以“人工智能+新材料”赋能产业发展，培育新能源材料、特种功能材料、新一代信息技术材料、生物材料等新增长点。</w:t>
      </w:r>
    </w:p>
    <w:p w14:paraId="4E1DB304">
      <w:pPr>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12</w:t>
      </w:r>
      <w:r>
        <w:rPr>
          <w:rFonts w:hint="eastAsia" w:ascii="Times New Roman" w:hAnsi="Times New Roman" w:eastAsia="方正黑体_GBK" w:cs="方正黑体_GBK"/>
          <w:color w:val="auto"/>
          <w:kern w:val="0"/>
          <w:sz w:val="32"/>
          <w:szCs w:val="32"/>
          <w:highlight w:val="none"/>
          <w:u w:val="none"/>
          <w:lang w:bidi="ar"/>
        </w:rPr>
        <w:t xml:space="preserve"> 国家级未来产业先导区创建行动重点方向</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34EB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6C0FFE7C">
            <w:pPr>
              <w:widowControl/>
              <w:numPr>
                <w:ilvl w:val="-1"/>
                <w:numId w:val="0"/>
              </w:numPr>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val="en-US" w:eastAsia="zh-CN" w:bidi="ar-SA"/>
              </w:rPr>
            </w:pPr>
            <w:r>
              <w:rPr>
                <w:rFonts w:hint="eastAsia" w:ascii="Times New Roman" w:hAnsi="Times New Roman" w:eastAsia="方正黑体_GBK" w:cs="方正黑体_GBK"/>
                <w:color w:val="auto"/>
                <w:kern w:val="0"/>
                <w:sz w:val="24"/>
                <w:highlight w:val="none"/>
                <w:u w:val="none"/>
                <w:lang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空天</w:t>
            </w:r>
            <w:r>
              <w:rPr>
                <w:rFonts w:hint="eastAsia" w:ascii="Times New Roman" w:hAnsi="Times New Roman" w:eastAsia="方正黑体_GBK" w:cs="方正黑体_GBK"/>
                <w:color w:val="auto"/>
                <w:kern w:val="0"/>
                <w:sz w:val="24"/>
                <w:highlight w:val="none"/>
                <w:u w:val="none"/>
                <w:lang w:val="en-US" w:eastAsia="zh-CN" w:bidi="ar-SA"/>
              </w:rPr>
              <w:t>信息及低空经济</w:t>
            </w:r>
            <w:r>
              <w:rPr>
                <w:rFonts w:hint="eastAsia" w:ascii="Times New Roman" w:hAnsi="Times New Roman" w:eastAsia="方正黑体_GBK" w:cs="方正黑体_GBK"/>
                <w:color w:val="auto"/>
                <w:kern w:val="0"/>
                <w:sz w:val="24"/>
                <w:highlight w:val="none"/>
                <w:u w:val="none"/>
                <w:lang w:bidi="ar-SA"/>
              </w:rPr>
              <w:t>产业。</w:t>
            </w:r>
            <w:r>
              <w:rPr>
                <w:rFonts w:hint="eastAsia" w:ascii="Times New Roman" w:hAnsi="Times New Roman" w:eastAsia="方正书宋_GBK" w:cs="Times New Roman"/>
                <w:color w:val="auto"/>
                <w:kern w:val="0"/>
                <w:sz w:val="24"/>
                <w:highlight w:val="none"/>
                <w:u w:val="none"/>
                <w:lang w:bidi="ar-SA"/>
              </w:rPr>
              <w:t>重点布局航空发动机维修、低空飞行器关键零部件生产及系统集成等领域，打造无人货运、低空运营、通航运营、飞行服务、航空文旅等运营场景，完善“飞机维修—飞机拆解—航材制造/再制造—航材贸易”完整产业链条。</w:t>
            </w:r>
          </w:p>
          <w:p w14:paraId="4D66CBB4">
            <w:pPr>
              <w:widowControl/>
              <w:numPr>
                <w:ilvl w:val="-1"/>
                <w:numId w:val="0"/>
              </w:numPr>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val="en-US" w:eastAsia="zh-CN" w:bidi="ar-SA"/>
              </w:rPr>
              <w:t>人工</w:t>
            </w:r>
            <w:r>
              <w:rPr>
                <w:rFonts w:hint="eastAsia" w:ascii="Times New Roman" w:hAnsi="Times New Roman" w:eastAsia="方正黑体_GBK" w:cs="方正黑体_GBK"/>
                <w:color w:val="auto"/>
                <w:kern w:val="0"/>
                <w:sz w:val="24"/>
                <w:highlight w:val="none"/>
                <w:u w:val="none"/>
                <w:lang w:bidi="ar-SA"/>
              </w:rPr>
              <w:t>智能产业。</w:t>
            </w:r>
            <w:r>
              <w:rPr>
                <w:rFonts w:hint="eastAsia" w:ascii="Times New Roman" w:hAnsi="Times New Roman" w:eastAsia="方正书宋_GBK" w:cs="Times New Roman"/>
                <w:color w:val="auto"/>
                <w:kern w:val="0"/>
                <w:sz w:val="24"/>
                <w:highlight w:val="none"/>
                <w:u w:val="none"/>
                <w:lang w:val="en-US" w:eastAsia="zh-CN" w:bidi="ar-SA"/>
              </w:rPr>
              <w:t>人工智能基础设施领域，</w:t>
            </w:r>
            <w:r>
              <w:rPr>
                <w:rFonts w:hint="eastAsia" w:ascii="Times New Roman" w:hAnsi="Times New Roman" w:eastAsia="方正书宋_GBK" w:cs="Times New Roman"/>
                <w:color w:val="auto"/>
                <w:kern w:val="0"/>
                <w:sz w:val="24"/>
                <w:highlight w:val="none"/>
                <w:u w:val="none"/>
                <w:lang w:bidi="ar-SA"/>
              </w:rPr>
              <w:t>打造公共智算算力及交通、病理、政务等高质量数据集，</w:t>
            </w:r>
            <w:r>
              <w:rPr>
                <w:rFonts w:hint="eastAsia" w:ascii="Times New Roman" w:hAnsi="Times New Roman" w:eastAsia="方正书宋_GBK" w:cs="Times New Roman"/>
                <w:color w:val="auto"/>
                <w:kern w:val="0"/>
                <w:sz w:val="24"/>
                <w:highlight w:val="none"/>
                <w:u w:val="none"/>
                <w:lang w:val="en-US" w:eastAsia="zh-CN" w:bidi="ar-SA"/>
              </w:rPr>
              <w:t>推进</w:t>
            </w:r>
            <w:r>
              <w:rPr>
                <w:rFonts w:hint="eastAsia" w:ascii="Times New Roman" w:hAnsi="Times New Roman" w:eastAsia="方正书宋_GBK" w:cs="Times New Roman"/>
                <w:color w:val="auto"/>
                <w:kern w:val="0"/>
                <w:sz w:val="24"/>
                <w:highlight w:val="none"/>
                <w:u w:val="none"/>
                <w:lang w:bidi="ar-SA"/>
              </w:rPr>
              <w:t>可信数据空间等基础设施及平台</w:t>
            </w:r>
            <w:r>
              <w:rPr>
                <w:rFonts w:hint="eastAsia" w:ascii="Times New Roman" w:hAnsi="Times New Roman" w:eastAsia="方正书宋_GBK" w:cs="Times New Roman"/>
                <w:color w:val="auto"/>
                <w:kern w:val="0"/>
                <w:sz w:val="24"/>
                <w:highlight w:val="none"/>
                <w:u w:val="none"/>
                <w:lang w:val="en-US" w:eastAsia="zh-CN" w:bidi="ar-SA"/>
              </w:rPr>
              <w:t>建设</w:t>
            </w:r>
            <w:r>
              <w:rPr>
                <w:rFonts w:hint="eastAsia" w:ascii="Times New Roman" w:hAnsi="Times New Roman" w:eastAsia="方正书宋_GBK" w:cs="Times New Roman"/>
                <w:color w:val="auto"/>
                <w:kern w:val="0"/>
                <w:sz w:val="24"/>
                <w:highlight w:val="none"/>
                <w:u w:val="none"/>
                <w:lang w:bidi="ar-SA"/>
              </w:rPr>
              <w:t>，</w:t>
            </w:r>
            <w:r>
              <w:rPr>
                <w:rFonts w:hint="eastAsia" w:ascii="Times New Roman" w:hAnsi="Times New Roman" w:eastAsia="方正书宋_GBK" w:cs="Times New Roman"/>
                <w:color w:val="auto"/>
                <w:kern w:val="0"/>
                <w:sz w:val="24"/>
                <w:highlight w:val="none"/>
                <w:u w:val="none"/>
                <w:lang w:val="en-US" w:eastAsia="zh-CN" w:bidi="ar-SA"/>
              </w:rPr>
              <w:t>配套</w:t>
            </w:r>
            <w:r>
              <w:rPr>
                <w:rFonts w:hint="eastAsia" w:ascii="Times New Roman" w:hAnsi="Times New Roman" w:eastAsia="方正书宋_GBK" w:cs="Times New Roman"/>
                <w:color w:val="auto"/>
                <w:kern w:val="0"/>
                <w:sz w:val="24"/>
                <w:highlight w:val="none"/>
                <w:u w:val="none"/>
                <w:lang w:bidi="ar-SA"/>
              </w:rPr>
              <w:t>模型算法token训练券</w:t>
            </w:r>
            <w:r>
              <w:rPr>
                <w:rFonts w:hint="eastAsia" w:ascii="Times New Roman" w:hAnsi="Times New Roman" w:eastAsia="方正书宋_GBK" w:cs="Times New Roman"/>
                <w:color w:val="auto"/>
                <w:kern w:val="0"/>
                <w:sz w:val="24"/>
                <w:highlight w:val="none"/>
                <w:u w:val="none"/>
                <w:lang w:val="en-US" w:eastAsia="zh-CN" w:bidi="ar-SA"/>
              </w:rPr>
              <w:t>等工具，</w:t>
            </w:r>
            <w:r>
              <w:rPr>
                <w:rFonts w:hint="eastAsia" w:ascii="Times New Roman" w:hAnsi="Times New Roman" w:eastAsia="方正书宋_GBK" w:cs="Times New Roman"/>
                <w:color w:val="auto"/>
                <w:kern w:val="0"/>
                <w:sz w:val="24"/>
                <w:highlight w:val="none"/>
                <w:u w:val="none"/>
                <w:lang w:bidi="ar-SA"/>
              </w:rPr>
              <w:t>搭建开源算法库与模型训练平台，构建软硬件适配测试中心，推动信创产品兼容互认证。</w:t>
            </w:r>
            <w:r>
              <w:rPr>
                <w:rFonts w:hint="eastAsia" w:ascii="Times New Roman" w:hAnsi="Times New Roman" w:eastAsia="方正书宋_GBK" w:cs="Times New Roman"/>
                <w:color w:val="auto"/>
                <w:kern w:val="0"/>
                <w:sz w:val="24"/>
                <w:highlight w:val="none"/>
                <w:u w:val="none"/>
                <w:lang w:val="en-US" w:eastAsia="zh-CN" w:bidi="ar-SA"/>
              </w:rPr>
              <w:t>具身智能领域，重点研发高精度高性能传感器与关键零部件、高强材料与智能材料，大力推进具身智能软件、算法与智能系统核心技术攻关，开展具身智能操作系统（ROS）等核心工业软件研发，打造人形机器人、工业具身智能、服务具身智能、特种具身智能等智能体本体产品，支持人形机器人不同场景需求下的结构改造、算法优化以及特定能力强化。人工智能行业应用领域，</w:t>
            </w:r>
            <w:r>
              <w:rPr>
                <w:rFonts w:hint="eastAsia" w:ascii="Times New Roman" w:hAnsi="Times New Roman" w:eastAsia="方正书宋_GBK" w:cs="Times New Roman"/>
                <w:color w:val="auto"/>
                <w:kern w:val="0"/>
                <w:sz w:val="24"/>
                <w:highlight w:val="none"/>
                <w:u w:val="none"/>
                <w:lang w:bidi="ar-SA"/>
              </w:rPr>
              <w:t>引进和培育</w:t>
            </w:r>
            <w:r>
              <w:rPr>
                <w:rFonts w:hint="eastAsia" w:ascii="Times New Roman" w:hAnsi="Times New Roman" w:eastAsia="方正书宋_GBK" w:cs="Times New Roman"/>
                <w:color w:val="auto"/>
                <w:kern w:val="0"/>
                <w:sz w:val="24"/>
                <w:highlight w:val="none"/>
                <w:u w:val="none"/>
                <w:lang w:val="en-US" w:eastAsia="zh-CN" w:bidi="ar-SA"/>
              </w:rPr>
              <w:t>人工智能</w:t>
            </w:r>
            <w:r>
              <w:rPr>
                <w:rFonts w:hint="eastAsia" w:ascii="Times New Roman" w:hAnsi="Times New Roman" w:eastAsia="方正书宋_GBK" w:cs="Times New Roman"/>
                <w:color w:val="auto"/>
                <w:kern w:val="0"/>
                <w:sz w:val="24"/>
                <w:highlight w:val="none"/>
                <w:u w:val="none"/>
                <w:lang w:bidi="ar-SA"/>
              </w:rPr>
              <w:t>系统解决方案企业和数据服务业企业，推动</w:t>
            </w:r>
            <w:r>
              <w:rPr>
                <w:rFonts w:hint="eastAsia" w:ascii="Times New Roman" w:hAnsi="Times New Roman" w:eastAsia="方正书宋_GBK" w:cs="Times New Roman"/>
                <w:color w:val="auto"/>
                <w:kern w:val="0"/>
                <w:sz w:val="24"/>
                <w:highlight w:val="none"/>
                <w:u w:val="none"/>
                <w:lang w:val="en-US" w:eastAsia="zh-CN" w:bidi="ar-SA"/>
              </w:rPr>
              <w:t>人工智能</w:t>
            </w:r>
            <w:r>
              <w:rPr>
                <w:rFonts w:hint="eastAsia" w:ascii="Times New Roman" w:hAnsi="Times New Roman" w:eastAsia="方正书宋_GBK" w:cs="Times New Roman"/>
                <w:color w:val="auto"/>
                <w:kern w:val="0"/>
                <w:sz w:val="24"/>
                <w:highlight w:val="none"/>
                <w:u w:val="none"/>
                <w:lang w:bidi="ar-SA"/>
              </w:rPr>
              <w:t>在智慧城市、智能网联汽车、金融科技</w:t>
            </w:r>
            <w:r>
              <w:rPr>
                <w:rFonts w:hint="eastAsia" w:ascii="Times New Roman" w:hAnsi="Times New Roman" w:eastAsia="方正书宋_GBK" w:cs="Times New Roman"/>
                <w:color w:val="auto"/>
                <w:kern w:val="0"/>
                <w:sz w:val="24"/>
                <w:highlight w:val="none"/>
                <w:u w:val="none"/>
                <w:lang w:eastAsia="zh-CN" w:bidi="ar-SA"/>
              </w:rPr>
              <w:t>、</w:t>
            </w:r>
            <w:r>
              <w:rPr>
                <w:rFonts w:hint="eastAsia" w:ascii="Times New Roman" w:hAnsi="Times New Roman" w:eastAsia="方正书宋_GBK" w:cs="Times New Roman"/>
                <w:color w:val="auto"/>
                <w:kern w:val="0"/>
                <w:sz w:val="24"/>
                <w:highlight w:val="none"/>
                <w:u w:val="none"/>
                <w:lang w:val="en-US" w:eastAsia="zh-CN" w:bidi="ar-SA"/>
              </w:rPr>
              <w:t>新一代电子信息制造、先进材料制造</w:t>
            </w:r>
            <w:r>
              <w:rPr>
                <w:rFonts w:hint="eastAsia" w:ascii="Times New Roman" w:hAnsi="Times New Roman" w:eastAsia="方正书宋_GBK" w:cs="Times New Roman"/>
                <w:color w:val="auto"/>
                <w:kern w:val="0"/>
                <w:sz w:val="24"/>
                <w:highlight w:val="none"/>
                <w:u w:val="none"/>
                <w:lang w:bidi="ar-SA"/>
              </w:rPr>
              <w:t>等领域融合运用。</w:t>
            </w:r>
          </w:p>
          <w:p w14:paraId="798338E4">
            <w:pPr>
              <w:widowControl/>
              <w:overflowPunct w:val="0"/>
              <w:snapToGrid w:val="0"/>
              <w:spacing w:line="380" w:lineRule="exact"/>
              <w:ind w:firstLine="480" w:firstLineChars="200"/>
              <w:jc w:val="left"/>
              <w:rPr>
                <w:rFonts w:ascii="Times New Roman" w:hAnsi="Times New Roman" w:eastAsia="方正仿宋_GBK" w:cs="Times New Roman"/>
                <w:color w:val="auto"/>
                <w:sz w:val="32"/>
                <w:szCs w:val="32"/>
                <w:highlight w:val="none"/>
              </w:rPr>
            </w:pPr>
            <w:r>
              <w:rPr>
                <w:rFonts w:hint="eastAsia" w:ascii="Times New Roman" w:hAnsi="Times New Roman" w:eastAsia="方正黑体_GBK" w:cs="方正黑体_GBK"/>
                <w:color w:val="auto"/>
                <w:kern w:val="0"/>
                <w:sz w:val="24"/>
                <w:highlight w:val="none"/>
                <w:u w:val="none"/>
                <w:lang w:bidi="ar-SA"/>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新材料产业。</w:t>
            </w:r>
            <w:r>
              <w:rPr>
                <w:rFonts w:hint="eastAsia" w:ascii="Times New Roman" w:hAnsi="Times New Roman" w:eastAsia="方正书宋_GBK" w:cs="Times New Roman"/>
                <w:color w:val="auto"/>
                <w:kern w:val="0"/>
                <w:sz w:val="24"/>
                <w:highlight w:val="none"/>
                <w:u w:val="none"/>
                <w:lang w:eastAsia="zh" w:bidi="ar-SA"/>
              </w:rPr>
              <w:t>依托</w:t>
            </w:r>
            <w:r>
              <w:rPr>
                <w:rFonts w:hint="eastAsia" w:ascii="Times New Roman" w:hAnsi="Times New Roman" w:eastAsia="方正书宋_GBK" w:cs="Times New Roman"/>
                <w:color w:val="auto"/>
                <w:kern w:val="0"/>
                <w:sz w:val="24"/>
                <w:highlight w:val="none"/>
                <w:u w:val="none"/>
                <w:lang w:bidi="ar-SA"/>
              </w:rPr>
              <w:t>超瞬态实验装置</w:t>
            </w:r>
            <w:r>
              <w:rPr>
                <w:rFonts w:hint="eastAsia" w:ascii="Times New Roman" w:hAnsi="Times New Roman" w:eastAsia="方正书宋_GBK" w:cs="Times New Roman"/>
                <w:color w:val="auto"/>
                <w:kern w:val="0"/>
                <w:sz w:val="24"/>
                <w:highlight w:val="none"/>
                <w:u w:val="none"/>
                <w:lang w:eastAsia="zh" w:bidi="ar-SA"/>
              </w:rPr>
              <w:t>等高能级创新及应用平台，</w:t>
            </w:r>
            <w:r>
              <w:rPr>
                <w:rFonts w:hint="eastAsia" w:ascii="Times New Roman" w:hAnsi="Times New Roman" w:eastAsia="方正书宋_GBK" w:cs="Times New Roman"/>
                <w:color w:val="auto"/>
                <w:kern w:val="0"/>
                <w:sz w:val="24"/>
                <w:highlight w:val="none"/>
                <w:u w:val="none"/>
                <w:lang w:bidi="ar-SA"/>
              </w:rPr>
              <w:t>重点发展纳米及原子级制造，关注稀土材料、柔性电子器件、新型功率器件、第四代半导体器件、高精度硅光组件、新功能材料等，实现新型半导体器件、细胞和基因技术、发酵工程与生物反应技术、分离纯化技术产业化。</w:t>
            </w:r>
          </w:p>
        </w:tc>
      </w:tr>
      <w:bookmarkEnd w:id="240"/>
      <w:bookmarkEnd w:id="241"/>
    </w:tbl>
    <w:p w14:paraId="1A64C092">
      <w:pPr>
        <w:overflowPunct/>
        <w:adjustRightInd w:val="0"/>
        <w:snapToGrid w:val="0"/>
        <w:spacing w:line="600" w:lineRule="exact"/>
        <w:ind w:firstLine="640" w:firstLineChars="200"/>
        <w:jc w:val="left"/>
        <w:textAlignment w:val="baseline"/>
        <w:outlineLvl w:val="9"/>
        <w:rPr>
          <w:rFonts w:hint="eastAsia" w:ascii="Times New Roman" w:hAnsi="Times New Roman" w:eastAsia="方正仿宋_GBK" w:cs="Times New Roman"/>
          <w:color w:val="auto"/>
          <w:sz w:val="32"/>
          <w:szCs w:val="32"/>
          <w:highlight w:val="none"/>
        </w:rPr>
      </w:pPr>
      <w:bookmarkStart w:id="266" w:name="_Toc189381790"/>
      <w:bookmarkStart w:id="267" w:name="_Toc395363638"/>
      <w:bookmarkStart w:id="268" w:name="_Toc32584"/>
      <w:bookmarkStart w:id="269" w:name="_Toc4812"/>
      <w:bookmarkStart w:id="270" w:name="_Toc19654"/>
      <w:bookmarkStart w:id="271" w:name="_Toc17754"/>
      <w:bookmarkStart w:id="272" w:name="_Toc5524"/>
    </w:p>
    <w:p w14:paraId="2B0F4C65">
      <w:pPr>
        <w:overflowPunct w:val="0"/>
        <w:adjustRightInd w:val="0"/>
        <w:snapToGrid w:val="0"/>
        <w:spacing w:line="600" w:lineRule="exact"/>
        <w:jc w:val="center"/>
        <w:outlineLvl w:val="1"/>
        <w:rPr>
          <w:rFonts w:ascii="Times New Roman" w:hAnsi="Times New Roman" w:eastAsia="方正黑体_GBK" w:cs="方正黑体_GBK"/>
          <w:color w:val="auto"/>
          <w:sz w:val="32"/>
          <w:szCs w:val="32"/>
          <w:highlight w:val="none"/>
        </w:rPr>
      </w:pPr>
      <w:bookmarkStart w:id="273" w:name="_Toc15085"/>
      <w:r>
        <w:rPr>
          <w:rFonts w:hint="eastAsia" w:ascii="Times New Roman" w:hAnsi="Times New Roman" w:eastAsia="方正黑体_GBK" w:cs="方正黑体_GBK"/>
          <w:color w:val="auto"/>
          <w:sz w:val="32"/>
          <w:szCs w:val="32"/>
          <w:highlight w:val="none"/>
        </w:rPr>
        <w:t>第三章 提质发展现代服务业</w:t>
      </w:r>
      <w:bookmarkEnd w:id="266"/>
      <w:bookmarkEnd w:id="267"/>
      <w:bookmarkEnd w:id="273"/>
    </w:p>
    <w:p w14:paraId="315A9EEE">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迭代实施“满天星”行动计划，推动软件和信息服务、科技服务等优质主体“入链上楼”，培育壮大楼宇经济、会展经济，加快生产性服务业聚链成群，推动生活性服务业提档升级，提质建设现代生产性服务业集聚区。到2030年，现代服务业营收规模达到500亿元。</w:t>
      </w:r>
    </w:p>
    <w:p w14:paraId="41F4D291">
      <w:p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274" w:name="_Toc25186"/>
      <w:bookmarkStart w:id="275" w:name="_Toc1876"/>
      <w:bookmarkStart w:id="276" w:name="_Toc4989"/>
      <w:bookmarkStart w:id="277" w:name="_Toc368979676"/>
      <w:bookmarkStart w:id="278" w:name="_Toc562260048"/>
      <w:r>
        <w:rPr>
          <w:rFonts w:hint="eastAsia" w:ascii="Times New Roman" w:hAnsi="Times New Roman" w:eastAsia="方正楷体_GBK" w:cs="方正楷体_GBK"/>
          <w:color w:val="auto"/>
          <w:sz w:val="32"/>
          <w:szCs w:val="32"/>
          <w:highlight w:val="none"/>
        </w:rPr>
        <w:t xml:space="preserve">第一节 </w:t>
      </w:r>
      <w:bookmarkStart w:id="279" w:name="_Toc20142"/>
      <w:r>
        <w:rPr>
          <w:rFonts w:hint="eastAsia" w:ascii="Times New Roman" w:hAnsi="Times New Roman" w:eastAsia="方正楷体_GBK" w:cs="方正楷体_GBK"/>
          <w:color w:val="auto"/>
          <w:sz w:val="32"/>
          <w:szCs w:val="32"/>
          <w:highlight w:val="none"/>
        </w:rPr>
        <w:t>集聚</w:t>
      </w:r>
      <w:r>
        <w:rPr>
          <w:rFonts w:ascii="Times New Roman" w:hAnsi="Times New Roman" w:eastAsia="方正楷体_GBK" w:cs="方正楷体_GBK"/>
          <w:color w:val="auto"/>
          <w:sz w:val="32"/>
          <w:szCs w:val="32"/>
          <w:highlight w:val="none"/>
        </w:rPr>
        <w:t>发展软件和信息服务产业</w:t>
      </w:r>
      <w:bookmarkEnd w:id="268"/>
      <w:bookmarkEnd w:id="269"/>
      <w:bookmarkEnd w:id="270"/>
      <w:bookmarkEnd w:id="271"/>
      <w:bookmarkEnd w:id="274"/>
      <w:bookmarkEnd w:id="275"/>
      <w:bookmarkEnd w:id="276"/>
      <w:bookmarkEnd w:id="277"/>
      <w:bookmarkEnd w:id="278"/>
      <w:bookmarkEnd w:id="279"/>
      <w:bookmarkStart w:id="280" w:name="_Toc20782"/>
      <w:bookmarkStart w:id="281" w:name="_Toc2022"/>
      <w:bookmarkStart w:id="282" w:name="_Toc5956"/>
      <w:bookmarkStart w:id="283" w:name="_Toc12749"/>
    </w:p>
    <w:p w14:paraId="60FE2066">
      <w:pPr>
        <w:overflowPunct/>
        <w:adjustRightInd w:val="0"/>
        <w:snapToGrid w:val="0"/>
        <w:spacing w:line="600" w:lineRule="exact"/>
        <w:ind w:firstLine="640" w:firstLineChars="200"/>
        <w:jc w:val="left"/>
        <w:textAlignment w:val="baseline"/>
        <w:rPr>
          <w:rFonts w:hint="eastAsia" w:ascii="Times New Roman" w:hAnsi="Times New Roman" w:eastAsia="方正黑体_GBK" w:cs="方正黑体_GBK"/>
          <w:color w:val="auto"/>
          <w:sz w:val="28"/>
          <w:szCs w:val="28"/>
          <w:highlight w:val="none"/>
          <w:lang w:bidi="ar"/>
        </w:rPr>
      </w:pPr>
      <w:r>
        <w:rPr>
          <w:rFonts w:hint="eastAsia" w:ascii="Times New Roman" w:hAnsi="Times New Roman" w:eastAsia="方正仿宋_GBK" w:cs="Times New Roman"/>
          <w:color w:val="auto"/>
          <w:sz w:val="32"/>
          <w:szCs w:val="32"/>
          <w:highlight w:val="none"/>
        </w:rPr>
        <w:t>围绕工业设计、汽车软件、工业软件、数字文创等重点方向，构建“软硬结合”的</w:t>
      </w:r>
      <w:r>
        <w:rPr>
          <w:rFonts w:hint="eastAsia" w:ascii="Times New Roman" w:hAnsi="Times New Roman" w:eastAsia="方正仿宋_GBK" w:cs="Times New Roman"/>
          <w:color w:val="auto"/>
          <w:sz w:val="32"/>
          <w:szCs w:val="32"/>
          <w:highlight w:val="none"/>
          <w:lang w:eastAsia="zh-CN"/>
        </w:rPr>
        <w:t>软件和信息服务业</w:t>
      </w:r>
      <w:r>
        <w:rPr>
          <w:rFonts w:hint="eastAsia" w:ascii="Times New Roman" w:hAnsi="Times New Roman" w:eastAsia="方正仿宋_GBK" w:cs="Times New Roman"/>
          <w:color w:val="auto"/>
          <w:sz w:val="32"/>
          <w:szCs w:val="32"/>
          <w:highlight w:val="none"/>
        </w:rPr>
        <w:t>产业生态。</w:t>
      </w:r>
      <w:r>
        <w:rPr>
          <w:rFonts w:hint="eastAsia" w:ascii="Times New Roman" w:hAnsi="Times New Roman" w:eastAsia="方正仿宋_GBK" w:cs="方正仿宋_GBK"/>
          <w:color w:val="auto"/>
          <w:sz w:val="32"/>
          <w:szCs w:val="32"/>
          <w:highlight w:val="none"/>
        </w:rPr>
        <w:t>工业设计领域。高标准打造工业设计国际创谷，面向专业软件和数字内容新业态打造开源模型算法库，依托</w:t>
      </w:r>
      <w:r>
        <w:rPr>
          <w:rFonts w:hint="eastAsia" w:ascii="Times New Roman" w:hAnsi="Times New Roman" w:eastAsia="方正仿宋_GBK" w:cs="方正仿宋_GBK"/>
          <w:color w:val="auto"/>
          <w:sz w:val="32"/>
          <w:szCs w:val="32"/>
          <w:highlight w:val="none"/>
          <w:lang w:val="en-US" w:eastAsia="zh-CN"/>
        </w:rPr>
        <w:t>重庆大学</w:t>
      </w:r>
      <w:r>
        <w:rPr>
          <w:rFonts w:hint="eastAsia" w:ascii="Times New Roman" w:hAnsi="Times New Roman" w:eastAsia="方正仿宋_GBK" w:cs="方正仿宋_GBK"/>
          <w:color w:val="auto"/>
          <w:sz w:val="32"/>
          <w:szCs w:val="32"/>
          <w:highlight w:val="none"/>
        </w:rPr>
        <w:t>、</w:t>
      </w:r>
      <w:r>
        <w:rPr>
          <w:rFonts w:hint="eastAsia" w:ascii="Times New Roman" w:hAnsi="Times New Roman" w:eastAsia="方正仿宋_GBK" w:cs="方正仿宋_GBK"/>
          <w:color w:val="auto"/>
          <w:sz w:val="32"/>
          <w:szCs w:val="32"/>
          <w:highlight w:val="none"/>
          <w:lang w:val="en-US" w:eastAsia="zh-CN"/>
        </w:rPr>
        <w:t>四川美术学院</w:t>
      </w:r>
      <w:r>
        <w:rPr>
          <w:rFonts w:hint="eastAsia" w:ascii="Times New Roman" w:hAnsi="Times New Roman" w:eastAsia="方正仿宋_GBK" w:cs="方正仿宋_GBK"/>
          <w:color w:val="auto"/>
          <w:sz w:val="32"/>
          <w:szCs w:val="32"/>
          <w:highlight w:val="none"/>
        </w:rPr>
        <w:t>等资源引育世界级设计公司，打造全栈式数据与智能体开发平台</w:t>
      </w:r>
      <w:r>
        <w:rPr>
          <w:rFonts w:hint="eastAsia" w:ascii="Times New Roman" w:hAnsi="Times New Roman" w:eastAsia="方正仿宋_GBK" w:cs="方正仿宋_GBK"/>
          <w:color w:val="auto"/>
          <w:sz w:val="32"/>
          <w:szCs w:val="32"/>
          <w:highlight w:val="none"/>
          <w:lang w:val="en-US" w:eastAsia="zh-CN"/>
        </w:rPr>
        <w:t>以及</w:t>
      </w:r>
      <w:r>
        <w:rPr>
          <w:rFonts w:hint="eastAsia" w:ascii="Times New Roman" w:hAnsi="Times New Roman" w:eastAsia="方正仿宋_GBK" w:cs="方正仿宋_GBK"/>
          <w:color w:val="auto"/>
          <w:sz w:val="32"/>
          <w:szCs w:val="32"/>
          <w:highlight w:val="none"/>
        </w:rPr>
        <w:t>数字内容渲染、算力平台，开启“一人公司”创业的高新范式。汽车软件领域</w:t>
      </w:r>
      <w:r>
        <w:rPr>
          <w:rFonts w:hint="eastAsia" w:ascii="Times New Roman" w:hAnsi="Times New Roman" w:eastAsia="方正仿宋_GBK" w:cs="方正仿宋_GBK"/>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围绕企业需求，建立“设计需求+制造能力”对接</w:t>
      </w:r>
      <w:r>
        <w:rPr>
          <w:rFonts w:hint="eastAsia" w:ascii="Times New Roman" w:hAnsi="Times New Roman" w:eastAsia="方正仿宋_GBK" w:cs="Times New Roman"/>
          <w:color w:val="auto"/>
          <w:sz w:val="32"/>
          <w:szCs w:val="32"/>
          <w:highlight w:val="none"/>
          <w:lang w:val="en-US" w:eastAsia="zh-CN"/>
        </w:rPr>
        <w:t>渠道</w:t>
      </w:r>
      <w:r>
        <w:rPr>
          <w:rFonts w:hint="eastAsia" w:ascii="Times New Roman" w:hAnsi="Times New Roman" w:eastAsia="方正仿宋_GBK" w:cs="Times New Roman"/>
          <w:color w:val="auto"/>
          <w:sz w:val="32"/>
          <w:szCs w:val="32"/>
          <w:highlight w:val="none"/>
        </w:rPr>
        <w:t>，推广“设、研、产、销”一体化服务模式。工业软件领域。做优商飞工业软件创新重庆中心，推动国产CAE软件成果落地转化。依托芯片创新服务平台，为车规</w:t>
      </w:r>
      <w:r>
        <w:rPr>
          <w:rFonts w:hint="eastAsia" w:ascii="Times New Roman" w:hAnsi="Times New Roman" w:eastAsia="方正仿宋_GBK" w:cs="Times New Roman"/>
          <w:color w:val="auto"/>
          <w:sz w:val="32"/>
          <w:szCs w:val="32"/>
          <w:highlight w:val="none"/>
          <w:lang w:val="en-US" w:eastAsia="zh-CN"/>
        </w:rPr>
        <w:t>级</w:t>
      </w:r>
      <w:r>
        <w:rPr>
          <w:rFonts w:hint="eastAsia" w:ascii="Times New Roman" w:hAnsi="Times New Roman" w:eastAsia="方正仿宋_GBK" w:cs="Times New Roman"/>
          <w:color w:val="auto"/>
          <w:sz w:val="32"/>
          <w:szCs w:val="32"/>
          <w:highlight w:val="none"/>
        </w:rPr>
        <w:t>功率半导体设计企业提供公共技术服务。数字文创领域。打造“科技+文化”融合新地标，推动“工业设计+数字文创”，</w:t>
      </w:r>
      <w:r>
        <w:rPr>
          <w:rFonts w:hint="eastAsia" w:ascii="Times New Roman" w:hAnsi="Times New Roman" w:eastAsia="方正仿宋_GBK" w:cs="Times New Roman"/>
          <w:color w:val="auto"/>
          <w:sz w:val="32"/>
          <w:szCs w:val="32"/>
          <w:highlight w:val="none"/>
          <w:lang w:val="en-US" w:eastAsia="zh-CN"/>
        </w:rPr>
        <w:t>鼓励</w:t>
      </w:r>
      <w:r>
        <w:rPr>
          <w:rFonts w:hint="eastAsia" w:ascii="Times New Roman" w:hAnsi="Times New Roman" w:eastAsia="方正仿宋_GBK" w:cs="Times New Roman"/>
          <w:color w:val="auto"/>
          <w:sz w:val="32"/>
          <w:szCs w:val="32"/>
          <w:highlight w:val="none"/>
        </w:rPr>
        <w:t>企业将汽车、电子产品等工业成果转化为文创IP、开发衍生产品，围绕数字内容、网络直播、IT外包、人工智能等业态开展“订单式”人才培养。到2030年，软件和信息服务产业营收规模达到200亿元。</w:t>
      </w:r>
    </w:p>
    <w:p w14:paraId="5E7C82CB">
      <w:pPr>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13</w:t>
      </w:r>
      <w:r>
        <w:rPr>
          <w:rFonts w:hint="eastAsia" w:ascii="Times New Roman" w:hAnsi="Times New Roman" w:eastAsia="方正黑体_GBK" w:cs="方正黑体_GBK"/>
          <w:color w:val="auto"/>
          <w:kern w:val="0"/>
          <w:sz w:val="32"/>
          <w:szCs w:val="32"/>
          <w:highlight w:val="none"/>
          <w:u w:val="none"/>
          <w:lang w:bidi="ar"/>
        </w:rPr>
        <w:t xml:space="preserve"> 软件和信息服务产业重点领域</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1240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02C34855">
            <w:pPr>
              <w:widowControl/>
              <w:numPr>
                <w:ilvl w:val="0"/>
                <w:numId w:val="0"/>
              </w:numPr>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工业设计。</w:t>
            </w:r>
            <w:r>
              <w:rPr>
                <w:rFonts w:hint="eastAsia" w:ascii="Times New Roman" w:hAnsi="Times New Roman" w:eastAsia="方正书宋_GBK" w:cs="Times New Roman"/>
                <w:color w:val="auto"/>
                <w:kern w:val="0"/>
                <w:sz w:val="24"/>
                <w:highlight w:val="none"/>
                <w:u w:val="none"/>
                <w:lang w:bidi="ar-SA"/>
              </w:rPr>
              <w:t>围绕高端装备、智能终端、汽车电子、消费电子等重点领域，发展外观设计、结构设计、交互与服务设计、智能化设计、可持续设计等前沿方向，补齐样机制作、3D打印、模具设计中试环节。</w:t>
            </w:r>
          </w:p>
          <w:p w14:paraId="546190DD">
            <w:pPr>
              <w:widowControl/>
              <w:numPr>
                <w:ilvl w:val="0"/>
                <w:numId w:val="0"/>
              </w:numPr>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汽车软件。</w:t>
            </w:r>
            <w:r>
              <w:rPr>
                <w:rFonts w:hint="eastAsia" w:ascii="Times New Roman" w:hAnsi="Times New Roman" w:eastAsia="方正书宋_GBK" w:cs="Times New Roman"/>
                <w:color w:val="auto"/>
                <w:kern w:val="0"/>
                <w:sz w:val="24"/>
                <w:highlight w:val="none"/>
                <w:u w:val="none"/>
                <w:lang w:bidi="ar-SA"/>
              </w:rPr>
              <w:t>重点突破AI+智能驾驶、车载操作系统（OS）、车控软件、车联网平台、测试验证工具等领域，发展智能驾驶系统、智能座舱、车云协同平台等核心软件产品。</w:t>
            </w:r>
          </w:p>
          <w:p w14:paraId="348B2654">
            <w:pPr>
              <w:widowControl/>
              <w:numPr>
                <w:ilvl w:val="0"/>
                <w:numId w:val="0"/>
              </w:numPr>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工业软件。</w:t>
            </w:r>
            <w:r>
              <w:rPr>
                <w:rFonts w:hint="eastAsia" w:ascii="Times New Roman" w:hAnsi="Times New Roman" w:eastAsia="方正书宋_GBK" w:cs="Times New Roman"/>
                <w:color w:val="auto"/>
                <w:kern w:val="0"/>
                <w:sz w:val="24"/>
                <w:highlight w:val="none"/>
                <w:u w:val="none"/>
                <w:lang w:bidi="ar-SA"/>
              </w:rPr>
              <w:t>围绕研发设计类</w:t>
            </w:r>
            <w:r>
              <w:rPr>
                <w:rFonts w:hint="eastAsia" w:ascii="Times New Roman" w:hAnsi="Times New Roman" w:eastAsia="方正书宋_GBK" w:cs="Times New Roman"/>
                <w:color w:val="auto"/>
                <w:kern w:val="0"/>
                <w:sz w:val="24"/>
                <w:highlight w:val="none"/>
                <w:u w:val="none"/>
                <w:lang w:val="en-US" w:eastAsia="zh-CN" w:bidi="ar-SA"/>
              </w:rPr>
              <w:t>软件</w:t>
            </w:r>
            <w:r>
              <w:rPr>
                <w:rFonts w:hint="eastAsia" w:ascii="Times New Roman" w:hAnsi="Times New Roman" w:eastAsia="方正书宋_GBK" w:cs="Times New Roman"/>
                <w:color w:val="auto"/>
                <w:kern w:val="0"/>
                <w:sz w:val="24"/>
                <w:highlight w:val="none"/>
                <w:u w:val="none"/>
                <w:lang w:bidi="ar-SA"/>
              </w:rPr>
              <w:t>、生产控制类</w:t>
            </w:r>
            <w:r>
              <w:rPr>
                <w:rFonts w:hint="eastAsia" w:ascii="Times New Roman" w:hAnsi="Times New Roman" w:eastAsia="方正书宋_GBK" w:cs="Times New Roman"/>
                <w:color w:val="auto"/>
                <w:kern w:val="0"/>
                <w:sz w:val="24"/>
                <w:highlight w:val="none"/>
                <w:u w:val="none"/>
                <w:lang w:val="en-US" w:eastAsia="zh-CN" w:bidi="ar-SA"/>
              </w:rPr>
              <w:t>软件</w:t>
            </w:r>
            <w:r>
              <w:rPr>
                <w:rFonts w:hint="eastAsia" w:ascii="Times New Roman" w:hAnsi="Times New Roman" w:eastAsia="方正书宋_GBK" w:cs="Times New Roman"/>
                <w:color w:val="auto"/>
                <w:kern w:val="0"/>
                <w:sz w:val="24"/>
                <w:highlight w:val="none"/>
                <w:u w:val="none"/>
                <w:lang w:bidi="ar-SA"/>
              </w:rPr>
              <w:t>、嵌入式软件等关键领域，结合重庆汽车、集成电路、装备等制造业优势，开发具有行业特色的工业软件产品，打造智能工厂、数字化研发等示范应用场景。</w:t>
            </w:r>
          </w:p>
          <w:p w14:paraId="62AC42C2">
            <w:pPr>
              <w:widowControl/>
              <w:numPr>
                <w:ilvl w:val="0"/>
                <w:numId w:val="0"/>
              </w:numPr>
              <w:overflowPunct w:val="0"/>
              <w:snapToGrid w:val="0"/>
              <w:spacing w:line="380" w:lineRule="exact"/>
              <w:ind w:firstLine="480" w:firstLineChars="200"/>
              <w:jc w:val="left"/>
              <w:rPr>
                <w:rFonts w:ascii="Times New Roman" w:hAnsi="Times New Roman" w:eastAsia="方正仿宋_GBK" w:cs="Times New Roman"/>
                <w:color w:val="auto"/>
                <w:sz w:val="32"/>
                <w:szCs w:val="32"/>
                <w:highlight w:val="none"/>
              </w:rPr>
            </w:pPr>
            <w:r>
              <w:rPr>
                <w:rFonts w:hint="eastAsia" w:ascii="Times New Roman" w:hAnsi="Times New Roman" w:eastAsia="方正黑体_GBK" w:cs="方正黑体_GBK"/>
                <w:color w:val="auto"/>
                <w:kern w:val="0"/>
                <w:sz w:val="24"/>
                <w:highlight w:val="none"/>
                <w:u w:val="none"/>
                <w:lang w:val="en-US" w:eastAsia="zh-CN" w:bidi="ar-SA"/>
              </w:rPr>
              <w:t>4</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数字文创。</w:t>
            </w:r>
            <w:r>
              <w:rPr>
                <w:rFonts w:hint="eastAsia" w:ascii="Times New Roman" w:hAnsi="Times New Roman" w:eastAsia="方正书宋_GBK" w:cs="Times New Roman"/>
                <w:color w:val="auto"/>
                <w:kern w:val="0"/>
                <w:sz w:val="24"/>
                <w:highlight w:val="none"/>
                <w:u w:val="none"/>
                <w:lang w:bidi="ar-SA"/>
              </w:rPr>
              <w:t>重点发展游戏动漫、数字出版、文博数字化、AI创作、IP衍生与跨界等领域，培育原创IP与数字品牌，开发沉浸式文化体验产品、游戏动漫引擎、影视制作工具、互动娱乐等产品。</w:t>
            </w:r>
          </w:p>
        </w:tc>
      </w:tr>
      <w:bookmarkEnd w:id="280"/>
      <w:bookmarkEnd w:id="281"/>
      <w:bookmarkEnd w:id="282"/>
      <w:bookmarkEnd w:id="283"/>
    </w:tbl>
    <w:p w14:paraId="34896510">
      <w:pPr>
        <w:overflowPunct w:val="0"/>
        <w:adjustRightInd w:val="0"/>
        <w:snapToGrid w:val="0"/>
        <w:spacing w:line="600" w:lineRule="exact"/>
        <w:jc w:val="center"/>
        <w:outlineLvl w:val="2"/>
        <w:rPr>
          <w:rFonts w:hint="eastAsia" w:ascii="Times New Roman" w:hAnsi="Times New Roman" w:eastAsia="方正楷体_GBK" w:cs="方正楷体_GBK"/>
          <w:color w:val="auto"/>
          <w:kern w:val="2"/>
          <w:sz w:val="32"/>
          <w:szCs w:val="32"/>
          <w:highlight w:val="none"/>
          <w:lang w:bidi="ar"/>
        </w:rPr>
      </w:pPr>
      <w:bookmarkStart w:id="284" w:name="_Toc1656125643"/>
      <w:bookmarkStart w:id="285" w:name="_Toc976579936"/>
      <w:bookmarkStart w:id="286" w:name="_Toc11356"/>
      <w:bookmarkStart w:id="287" w:name="_Toc4176"/>
      <w:bookmarkStart w:id="288" w:name="_Toc8441"/>
      <w:bookmarkStart w:id="289" w:name="_Toc2498"/>
      <w:bookmarkStart w:id="290" w:name="_Toc14150"/>
      <w:r>
        <w:rPr>
          <w:rFonts w:hint="eastAsia" w:ascii="Times New Roman" w:hAnsi="Times New Roman" w:eastAsia="方正楷体_GBK" w:cs="方正楷体_GBK"/>
          <w:color w:val="auto"/>
          <w:sz w:val="32"/>
          <w:szCs w:val="32"/>
          <w:highlight w:val="none"/>
        </w:rPr>
        <w:t xml:space="preserve">第二节 </w:t>
      </w:r>
      <w:r>
        <w:rPr>
          <w:rFonts w:hint="eastAsia" w:ascii="Times New Roman" w:hAnsi="Times New Roman" w:eastAsia="方正楷体_GBK" w:cs="方正楷体_GBK"/>
          <w:color w:val="auto"/>
          <w:sz w:val="32"/>
          <w:szCs w:val="32"/>
          <w:highlight w:val="none"/>
          <w:lang w:eastAsia="zh-CN"/>
        </w:rPr>
        <w:t>聚力</w:t>
      </w:r>
      <w:r>
        <w:rPr>
          <w:rFonts w:hint="eastAsia" w:ascii="Times New Roman" w:hAnsi="Times New Roman" w:eastAsia="方正楷体_GBK" w:cs="方正楷体_GBK"/>
          <w:color w:val="auto"/>
          <w:sz w:val="32"/>
          <w:szCs w:val="32"/>
          <w:highlight w:val="none"/>
        </w:rPr>
        <w:t>发展科技服务产业</w:t>
      </w:r>
      <w:bookmarkEnd w:id="284"/>
      <w:bookmarkEnd w:id="285"/>
      <w:bookmarkEnd w:id="286"/>
    </w:p>
    <w:p w14:paraId="6E6E68F6">
      <w:pPr>
        <w:pStyle w:val="19"/>
        <w:overflowPunct w:val="0"/>
        <w:adjustRightInd w:val="0"/>
        <w:snapToGrid w:val="0"/>
        <w:spacing w:beforeAutospacing="0" w:afterAutospacing="0" w:line="600" w:lineRule="exact"/>
        <w:ind w:firstLine="640" w:firstLineChars="200"/>
        <w:jc w:val="both"/>
        <w:rPr>
          <w:rFonts w:ascii="Times New Roman" w:hAnsi="Times New Roman" w:eastAsia="方正仿宋_GBK" w:cs="方正仿宋_GBK"/>
          <w:color w:val="auto"/>
          <w:sz w:val="32"/>
          <w:szCs w:val="32"/>
          <w:highlight w:val="none"/>
        </w:rPr>
      </w:pPr>
      <w:r>
        <w:rPr>
          <w:rFonts w:hint="eastAsia" w:ascii="Times New Roman" w:hAnsi="Times New Roman" w:eastAsia="方正仿宋_GBK"/>
          <w:color w:val="auto"/>
          <w:sz w:val="32"/>
          <w:szCs w:val="32"/>
          <w:highlight w:val="none"/>
          <w:lang w:bidi="ar"/>
        </w:rPr>
        <w:t>依托</w:t>
      </w:r>
      <w:r>
        <w:rPr>
          <w:rFonts w:ascii="Times New Roman" w:hAnsi="Times New Roman" w:eastAsia="方正仿宋_GBK"/>
          <w:color w:val="auto"/>
          <w:sz w:val="32"/>
          <w:szCs w:val="32"/>
          <w:highlight w:val="none"/>
        </w:rPr>
        <w:t>国家质检基地、国家检验检测高技术服务业集聚区</w:t>
      </w:r>
      <w:r>
        <w:rPr>
          <w:rFonts w:hint="eastAsia" w:ascii="Times New Roman" w:hAnsi="Times New Roman" w:eastAsia="方正仿宋_GBK"/>
          <w:color w:val="auto"/>
          <w:sz w:val="32"/>
          <w:szCs w:val="32"/>
          <w:highlight w:val="none"/>
        </w:rPr>
        <w:t>“金字招牌”，加速建设金凤科技服务集聚区等科技服务高地，系统推进科技创新与产业融合。持续</w:t>
      </w:r>
      <w:r>
        <w:rPr>
          <w:rFonts w:hint="eastAsia" w:ascii="Times New Roman" w:hAnsi="Times New Roman" w:eastAsia="方正仿宋_GBK"/>
          <w:color w:val="auto"/>
          <w:sz w:val="32"/>
          <w:szCs w:val="32"/>
          <w:highlight w:val="none"/>
          <w:lang w:bidi="ar"/>
        </w:rPr>
        <w:t>壮大检验检测服务规模</w:t>
      </w:r>
      <w:r>
        <w:rPr>
          <w:rFonts w:hint="eastAsia"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lang w:bidi="ar"/>
        </w:rPr>
        <w:t>聚焦新能源及智能网联汽车、生物医药及医疗器械、集成电路及电子元器件检测、智能装备检测等领域，争取国家检验检测认证能力布局，探索建设中试平台矩阵体系。打造高知名度科技服务品牌，成立</w:t>
      </w:r>
      <w:r>
        <w:rPr>
          <w:rFonts w:hint="eastAsia" w:ascii="方正仿宋_GBK" w:hAnsi="方正仿宋_GBK" w:eastAsia="方正仿宋_GBK" w:cs="方正仿宋_GBK"/>
          <w:color w:val="auto"/>
          <w:kern w:val="2"/>
          <w:sz w:val="32"/>
          <w:szCs w:val="32"/>
          <w:highlight w:val="none"/>
          <w:lang w:bidi="ar"/>
        </w:rPr>
        <w:t>“重庆市智能网联新能源汽车检验检测联盟”，推动</w:t>
      </w:r>
      <w:r>
        <w:rPr>
          <w:rFonts w:hint="eastAsia" w:ascii="Times New Roman" w:hAnsi="Times New Roman" w:eastAsia="方正仿宋_GBK"/>
          <w:color w:val="auto"/>
          <w:sz w:val="32"/>
          <w:szCs w:val="32"/>
          <w:highlight w:val="none"/>
        </w:rPr>
        <w:t>“汽车生态大会”“EC-PAC全国新能源商用车性能评价公益赛”等品牌永久落户重庆高新区，完善智能网联新能源汽摩检验检测“一站式”服务体系</w:t>
      </w:r>
      <w:r>
        <w:rPr>
          <w:rFonts w:hint="eastAsia" w:ascii="Times New Roman" w:hAnsi="Times New Roman" w:eastAsia="方正仿宋_GBK"/>
          <w:color w:val="auto"/>
          <w:kern w:val="2"/>
          <w:sz w:val="32"/>
          <w:highlight w:val="none"/>
        </w:rPr>
        <w:t>。</w:t>
      </w:r>
    </w:p>
    <w:p w14:paraId="4636BE6C">
      <w:pPr>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14</w:t>
      </w:r>
      <w:r>
        <w:rPr>
          <w:rFonts w:hint="eastAsia" w:ascii="Times New Roman" w:hAnsi="Times New Roman" w:eastAsia="方正黑体_GBK" w:cs="方正黑体_GBK"/>
          <w:color w:val="auto"/>
          <w:kern w:val="0"/>
          <w:sz w:val="32"/>
          <w:szCs w:val="32"/>
          <w:highlight w:val="none"/>
          <w:u w:val="none"/>
          <w:lang w:bidi="ar"/>
        </w:rPr>
        <w:t xml:space="preserve"> 科技服务业重点领域</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5461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5E483AE4">
            <w:pPr>
              <w:pStyle w:val="19"/>
              <w:keepNext w:val="0"/>
              <w:keepLines w:val="0"/>
              <w:pageBreakBefore w:val="0"/>
              <w:kinsoku/>
              <w:wordWrap/>
              <w:overflowPunct w:val="0"/>
              <w:topLinePunct w:val="0"/>
              <w:autoSpaceDE/>
              <w:autoSpaceDN/>
              <w:bidi w:val="0"/>
              <w:adjustRightInd/>
              <w:snapToGrid w:val="0"/>
              <w:spacing w:beforeAutospacing="0" w:afterAutospacing="0" w:line="380" w:lineRule="exact"/>
              <w:ind w:firstLine="480" w:firstLineChars="200"/>
              <w:jc w:val="both"/>
              <w:textAlignment w:val="auto"/>
              <w:rPr>
                <w:rFonts w:hint="eastAsia" w:ascii="Times New Roman" w:hAnsi="Times New Roman" w:eastAsia="方正书宋_GBK" w:cs="Times New Roman"/>
                <w:color w:val="auto"/>
                <w:kern w:val="0"/>
                <w:sz w:val="24"/>
                <w:szCs w:val="24"/>
                <w:highlight w:val="none"/>
                <w:u w:val="none"/>
                <w:lang w:val="en-US" w:eastAsia="zh-CN" w:bidi="ar-SA"/>
              </w:rPr>
            </w:pPr>
            <w:r>
              <w:rPr>
                <w:rFonts w:hint="default" w:ascii="Times New Roman" w:hAnsi="Times New Roman" w:eastAsia="方正黑体_GBK" w:cs="Times New Roman"/>
                <w:color w:val="auto"/>
                <w:kern w:val="0"/>
                <w:sz w:val="24"/>
                <w:szCs w:val="24"/>
                <w:highlight w:val="none"/>
                <w:u w:val="none"/>
                <w:lang w:val="en-US" w:eastAsia="zh-CN" w:bidi="ar-SA"/>
              </w:rPr>
              <w:t>1</w:t>
            </w:r>
            <w:r>
              <w:rPr>
                <w:rFonts w:hint="default" w:ascii="Times New Roman" w:hAnsi="Times New Roman" w:eastAsia="方正黑体_GBK" w:cs="Times New Roman"/>
                <w:color w:val="auto"/>
                <w:sz w:val="24"/>
                <w:szCs w:val="24"/>
                <w:highlight w:val="none"/>
                <w:u w:val="none"/>
              </w:rPr>
              <w:t>．</w:t>
            </w:r>
            <w:r>
              <w:rPr>
                <w:rFonts w:hint="default" w:ascii="Times New Roman" w:hAnsi="Times New Roman" w:eastAsia="方正黑体_GBK" w:cs="Times New Roman"/>
                <w:color w:val="auto"/>
                <w:kern w:val="0"/>
                <w:sz w:val="24"/>
                <w:szCs w:val="24"/>
                <w:highlight w:val="none"/>
                <w:u w:val="none"/>
                <w:lang w:val="en-US" w:eastAsia="zh-CN" w:bidi="ar-SA"/>
              </w:rPr>
              <w:t>技术转移转化。</w:t>
            </w:r>
            <w:r>
              <w:rPr>
                <w:rFonts w:hint="eastAsia" w:ascii="Times New Roman" w:hAnsi="Times New Roman" w:eastAsia="方正书宋_GBK" w:cs="Times New Roman"/>
                <w:color w:val="auto"/>
                <w:kern w:val="0"/>
                <w:sz w:val="24"/>
                <w:szCs w:val="24"/>
                <w:highlight w:val="none"/>
                <w:u w:val="none"/>
                <w:lang w:val="en-US" w:eastAsia="zh-CN" w:bidi="ar-SA"/>
              </w:rPr>
              <w:t>创新研究环节，围绕产业链部署创新链，整合区内现有科研资源，开展技术攻关研究。概念验证环节，布局建设一批概念验证中心。技术转移环节，搭建技术交易或转移平台，通过投资或合作方式推进技术转移。中试熟化环节，加强产品试制、产业化载体等服务，无缝衔接研发与生产。创业孵化环节，构建“院校—平台—产业”成果快转协同体系。</w:t>
            </w:r>
          </w:p>
          <w:p w14:paraId="22319798">
            <w:pPr>
              <w:keepNext w:val="0"/>
              <w:keepLines w:val="0"/>
              <w:pageBreakBefore w:val="0"/>
              <w:widowControl/>
              <w:kinsoku/>
              <w:wordWrap/>
              <w:overflowPunct w:val="0"/>
              <w:topLinePunct w:val="0"/>
              <w:autoSpaceDE/>
              <w:autoSpaceDN/>
              <w:bidi w:val="0"/>
              <w:adjustRightInd/>
              <w:snapToGrid w:val="0"/>
              <w:spacing w:line="380" w:lineRule="exact"/>
              <w:ind w:firstLine="480" w:firstLineChars="200"/>
              <w:jc w:val="left"/>
              <w:textAlignment w:val="auto"/>
              <w:rPr>
                <w:rFonts w:ascii="Times New Roman" w:hAnsi="Times New Roman" w:eastAsia="方正仿宋_GBK" w:cs="Times New Roman"/>
                <w:color w:val="auto"/>
                <w:sz w:val="32"/>
                <w:szCs w:val="32"/>
                <w:highlight w:val="none"/>
              </w:rPr>
            </w:pPr>
            <w:r>
              <w:rPr>
                <w:rFonts w:hint="default" w:ascii="Times New Roman" w:hAnsi="Times New Roman" w:eastAsia="方正黑体_GBK" w:cs="Times New Roman"/>
                <w:color w:val="auto"/>
                <w:kern w:val="0"/>
                <w:sz w:val="24"/>
                <w:szCs w:val="24"/>
                <w:highlight w:val="none"/>
                <w:u w:val="none"/>
                <w:lang w:val="en-US" w:eastAsia="zh-CN" w:bidi="ar-SA"/>
              </w:rPr>
              <w:t>2</w:t>
            </w:r>
            <w:r>
              <w:rPr>
                <w:rFonts w:hint="default" w:ascii="Times New Roman" w:hAnsi="Times New Roman" w:eastAsia="方正黑体_GBK" w:cs="Times New Roman"/>
                <w:color w:val="auto"/>
                <w:sz w:val="24"/>
                <w:szCs w:val="24"/>
                <w:highlight w:val="none"/>
                <w:u w:val="none"/>
              </w:rPr>
              <w:t>．</w:t>
            </w:r>
            <w:r>
              <w:rPr>
                <w:rFonts w:hint="default" w:ascii="Times New Roman" w:hAnsi="Times New Roman" w:eastAsia="方正黑体_GBK" w:cs="Times New Roman"/>
                <w:color w:val="auto"/>
                <w:kern w:val="0"/>
                <w:sz w:val="24"/>
                <w:szCs w:val="24"/>
                <w:highlight w:val="none"/>
                <w:u w:val="none"/>
                <w:lang w:val="en-US" w:eastAsia="zh-CN" w:bidi="ar-SA"/>
              </w:rPr>
              <w:t>检验检测认证。</w:t>
            </w:r>
            <w:r>
              <w:rPr>
                <w:rFonts w:hint="eastAsia" w:ascii="Times New Roman" w:hAnsi="Times New Roman" w:eastAsia="方正书宋_GBK" w:cs="Times New Roman"/>
                <w:color w:val="auto"/>
                <w:kern w:val="0"/>
                <w:sz w:val="24"/>
                <w:szCs w:val="24"/>
                <w:highlight w:val="none"/>
                <w:u w:val="none"/>
                <w:lang w:val="en-US" w:eastAsia="zh-CN" w:bidi="ar-SA"/>
              </w:rPr>
              <w:t>汽摩检测领域，做强汽车摩托车检测认证。集成电路检测领域，提供笔电、集成电路等电子元器件检测、认证服务。生物医药及医疗器械检测领域，做好生物医药安全评价及医疗器械检测认证。智能装备检测领域，开展智能制造核心零部件检验检测认证服务。</w:t>
            </w:r>
          </w:p>
        </w:tc>
      </w:tr>
    </w:tbl>
    <w:p w14:paraId="761AE96E">
      <w:p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291" w:name="_Toc25394"/>
      <w:bookmarkStart w:id="292" w:name="_Toc32720"/>
      <w:bookmarkStart w:id="293" w:name="_Toc8404"/>
      <w:bookmarkStart w:id="294" w:name="_Toc161470331"/>
      <w:bookmarkStart w:id="295" w:name="_Toc968133134"/>
      <w:bookmarkStart w:id="296" w:name="_Toc7060"/>
      <w:r>
        <w:rPr>
          <w:rFonts w:hint="eastAsia" w:ascii="Times New Roman" w:hAnsi="Times New Roman" w:eastAsia="方正楷体_GBK" w:cs="方正楷体_GBK"/>
          <w:color w:val="auto"/>
          <w:sz w:val="32"/>
          <w:szCs w:val="32"/>
          <w:highlight w:val="none"/>
        </w:rPr>
        <w:t>第三节 全力发展金融服务产业</w:t>
      </w:r>
      <w:bookmarkEnd w:id="287"/>
      <w:bookmarkEnd w:id="288"/>
      <w:bookmarkEnd w:id="289"/>
      <w:bookmarkEnd w:id="290"/>
      <w:bookmarkEnd w:id="291"/>
      <w:bookmarkEnd w:id="292"/>
      <w:bookmarkEnd w:id="293"/>
      <w:bookmarkEnd w:id="294"/>
      <w:bookmarkEnd w:id="295"/>
      <w:bookmarkEnd w:id="296"/>
    </w:p>
    <w:p w14:paraId="59865433">
      <w:pPr>
        <w:overflowPunct/>
        <w:adjustRightInd w:val="0"/>
        <w:snapToGrid w:val="0"/>
        <w:spacing w:line="600" w:lineRule="exact"/>
        <w:ind w:firstLine="640" w:firstLineChars="200"/>
        <w:jc w:val="left"/>
        <w:textAlignment w:val="baseline"/>
        <w:rPr>
          <w:rFonts w:hint="eastAsia" w:ascii="Times New Roman" w:hAnsi="Times New Roman" w:eastAsia="方正黑体_GBK" w:cs="方正黑体_GBK"/>
          <w:color w:val="auto"/>
          <w:kern w:val="0"/>
          <w:sz w:val="32"/>
          <w:szCs w:val="32"/>
          <w:highlight w:val="none"/>
          <w:u w:val="none"/>
          <w:lang w:bidi="ar"/>
        </w:rPr>
      </w:pPr>
      <w:bookmarkStart w:id="297" w:name="_Toc1560006956"/>
      <w:bookmarkStart w:id="298" w:name="_Toc6049"/>
      <w:bookmarkStart w:id="299" w:name="_Toc27781"/>
      <w:bookmarkStart w:id="300" w:name="_Toc26812"/>
      <w:bookmarkStart w:id="301" w:name="_Toc2077473466"/>
      <w:bookmarkStart w:id="302" w:name="_Toc26066"/>
      <w:bookmarkStart w:id="303" w:name="_Toc7370"/>
      <w:bookmarkStart w:id="304" w:name="_Toc25613"/>
      <w:bookmarkStart w:id="305" w:name="_Toc16994"/>
      <w:r>
        <w:rPr>
          <w:rFonts w:hint="eastAsia" w:ascii="Times New Roman" w:hAnsi="Times New Roman" w:eastAsia="方正仿宋_GBK" w:cs="Times New Roman"/>
          <w:color w:val="auto"/>
          <w:sz w:val="32"/>
          <w:szCs w:val="22"/>
          <w:highlight w:val="none"/>
        </w:rPr>
        <w:t>扎实推进智融惠畅工程，持续建设西部金融中心创新金融引领区</w:t>
      </w:r>
      <w:r>
        <w:rPr>
          <w:rFonts w:hint="eastAsia" w:ascii="Times New Roman" w:hAnsi="Times New Roman" w:eastAsia="方正仿宋_GBK" w:cs="Times New Roman"/>
          <w:color w:val="auto"/>
          <w:sz w:val="32"/>
          <w:szCs w:val="22"/>
          <w:highlight w:val="none"/>
          <w:lang w:eastAsia="zh-CN"/>
        </w:rPr>
        <w:t>。</w:t>
      </w:r>
      <w:r>
        <w:rPr>
          <w:rFonts w:hint="eastAsia" w:ascii="Times New Roman" w:hAnsi="Times New Roman" w:eastAsia="方正仿宋_GBK" w:cs="Times New Roman"/>
          <w:color w:val="auto"/>
          <w:sz w:val="32"/>
          <w:szCs w:val="22"/>
          <w:highlight w:val="none"/>
          <w:lang w:val="en-US" w:eastAsia="zh-CN"/>
        </w:rPr>
        <w:t>培育多层次金融服务主体。</w:t>
      </w:r>
      <w:r>
        <w:rPr>
          <w:rFonts w:hint="eastAsia" w:eastAsia="方正仿宋_GBK"/>
          <w:color w:val="auto"/>
          <w:sz w:val="32"/>
          <w:szCs w:val="22"/>
          <w:highlight w:val="none"/>
          <w:lang w:val="en-US" w:eastAsia="zh-CN"/>
        </w:rPr>
        <w:t>整合银行、证券、保险、基金等金融机构资源，</w:t>
      </w:r>
      <w:r>
        <w:rPr>
          <w:rFonts w:hint="default" w:ascii="Times New Roman" w:hAnsi="Times New Roman" w:eastAsia="方正仿宋_GBK" w:cs="Times New Roman"/>
          <w:color w:val="auto"/>
          <w:sz w:val="32"/>
          <w:szCs w:val="32"/>
          <w:highlight w:val="none"/>
          <w:lang w:val="en-US" w:eastAsia="zh-CN"/>
        </w:rPr>
        <w:t>争取国际性、全国性金融机构（组织）在</w:t>
      </w:r>
      <w:r>
        <w:rPr>
          <w:rFonts w:hint="eastAsia" w:ascii="Times New Roman" w:hAnsi="Times New Roman" w:eastAsia="方正仿宋_GBK" w:cs="Times New Roman"/>
          <w:color w:val="auto"/>
          <w:sz w:val="32"/>
          <w:szCs w:val="32"/>
          <w:highlight w:val="none"/>
          <w:lang w:val="en-US" w:eastAsia="zh-CN"/>
        </w:rPr>
        <w:t>区</w:t>
      </w:r>
      <w:r>
        <w:rPr>
          <w:rFonts w:hint="default" w:ascii="Times New Roman" w:hAnsi="Times New Roman" w:eastAsia="方正仿宋_GBK" w:cs="Times New Roman"/>
          <w:color w:val="auto"/>
          <w:sz w:val="32"/>
          <w:szCs w:val="32"/>
          <w:highlight w:val="none"/>
          <w:lang w:val="en-US" w:eastAsia="zh-CN"/>
        </w:rPr>
        <w:t>设立区域性、功能性总部，</w:t>
      </w:r>
      <w:r>
        <w:rPr>
          <w:rFonts w:hint="eastAsia" w:ascii="Times New Roman" w:hAnsi="Times New Roman" w:eastAsia="方正仿宋_GBK" w:cs="Times New Roman"/>
          <w:color w:val="auto"/>
          <w:sz w:val="32"/>
          <w:szCs w:val="32"/>
          <w:highlight w:val="none"/>
          <w:lang w:val="en-US" w:eastAsia="zh-CN"/>
        </w:rPr>
        <w:t>鼓励</w:t>
      </w:r>
      <w:r>
        <w:rPr>
          <w:rFonts w:hint="default" w:ascii="Times New Roman" w:hAnsi="Times New Roman" w:eastAsia="方正仿宋_GBK" w:cs="Times New Roman"/>
          <w:color w:val="auto"/>
          <w:sz w:val="32"/>
          <w:szCs w:val="32"/>
          <w:highlight w:val="none"/>
          <w:lang w:val="en-US" w:eastAsia="zh-CN"/>
        </w:rPr>
        <w:t>金融机构争取更多业务牌照，促进融资担保、融资租赁等地方金融组织稳健发展。</w:t>
      </w:r>
      <w:r>
        <w:rPr>
          <w:rFonts w:hint="eastAsia" w:ascii="Times New Roman" w:hAnsi="Times New Roman" w:eastAsia="方正仿宋_GBK" w:cs="Times New Roman"/>
          <w:color w:val="auto"/>
          <w:sz w:val="32"/>
          <w:szCs w:val="32"/>
          <w:highlight w:val="none"/>
          <w:lang w:val="en-US" w:eastAsia="zh-CN"/>
        </w:rPr>
        <w:t>完善股权融资体系。</w:t>
      </w:r>
      <w:r>
        <w:rPr>
          <w:rFonts w:hint="eastAsia" w:ascii="方正仿宋_GBK" w:hAnsi="方正仿宋_GBK" w:eastAsia="方正仿宋_GBK" w:cs="方正仿宋_GBK"/>
          <w:color w:val="auto"/>
          <w:sz w:val="32"/>
          <w:szCs w:val="32"/>
          <w:highlight w:val="none"/>
        </w:rPr>
        <w:t>持续推进企业上市“千里马”行动，</w:t>
      </w:r>
      <w:r>
        <w:rPr>
          <w:rFonts w:hint="eastAsia" w:ascii="方正仿宋_GBK" w:hAnsi="方正仿宋_GBK" w:eastAsia="方正仿宋_GBK" w:cs="方正仿宋_GBK"/>
          <w:color w:val="auto"/>
          <w:sz w:val="32"/>
          <w:szCs w:val="32"/>
          <w:highlight w:val="none"/>
          <w:lang w:val="en-US" w:eastAsia="zh-CN"/>
        </w:rPr>
        <w:t>鼓励</w:t>
      </w:r>
      <w:r>
        <w:rPr>
          <w:rFonts w:hint="eastAsia" w:ascii="方正仿宋_GBK" w:hAnsi="方正仿宋_GBK" w:eastAsia="方正仿宋_GBK" w:cs="方正仿宋_GBK"/>
          <w:color w:val="auto"/>
          <w:sz w:val="32"/>
          <w:szCs w:val="32"/>
          <w:highlight w:val="none"/>
        </w:rPr>
        <w:t>企业丰富上市、并购重组、再融资等直接融资渠道。</w:t>
      </w:r>
      <w:r>
        <w:rPr>
          <w:rFonts w:hint="default" w:ascii="Times New Roman" w:hAnsi="Times New Roman" w:eastAsia="方正仿宋_GBK" w:cs="Times New Roman"/>
          <w:color w:val="auto"/>
          <w:sz w:val="32"/>
          <w:szCs w:val="32"/>
          <w:highlight w:val="none"/>
          <w:lang w:val="en-US" w:eastAsia="zh-CN"/>
        </w:rPr>
        <w:t>加强产品和服务创新</w:t>
      </w:r>
      <w:r>
        <w:rPr>
          <w:rFonts w:hint="eastAsia" w:eastAsia="方正仿宋_GBK"/>
          <w:color w:val="auto"/>
          <w:sz w:val="32"/>
          <w:szCs w:val="22"/>
          <w:highlight w:val="none"/>
          <w:lang w:eastAsia="zh-CN"/>
        </w:rPr>
        <w:t>。</w:t>
      </w:r>
      <w:r>
        <w:rPr>
          <w:rFonts w:hint="eastAsia" w:ascii="Times New Roman" w:hAnsi="Times New Roman" w:eastAsia="方正仿宋_GBK" w:cs="Times New Roman"/>
          <w:color w:val="auto"/>
          <w:sz w:val="32"/>
          <w:szCs w:val="32"/>
          <w:highlight w:val="none"/>
          <w:lang w:val="en-US" w:eastAsia="zh-CN"/>
        </w:rPr>
        <w:t>畅通“投贷联动”机制，</w:t>
      </w:r>
      <w:r>
        <w:rPr>
          <w:rFonts w:hint="eastAsia" w:eastAsia="方正仿宋_GBK"/>
          <w:color w:val="auto"/>
          <w:sz w:val="32"/>
          <w:szCs w:val="22"/>
          <w:highlight w:val="none"/>
        </w:rPr>
        <w:t>组合</w:t>
      </w:r>
      <w:r>
        <w:rPr>
          <w:rFonts w:hint="eastAsia" w:ascii="方正仿宋_GBK" w:hAnsi="方正仿宋_GBK" w:eastAsia="方正仿宋_GBK" w:cs="方正仿宋_GBK"/>
          <w:color w:val="auto"/>
          <w:sz w:val="32"/>
          <w:szCs w:val="32"/>
          <w:highlight w:val="none"/>
        </w:rPr>
        <w:t>运用产业基金、融资担保、贷款贴息等工具，深入推广知识价值信用贷、梯度贷、积分贷等创新金融产品应用</w:t>
      </w:r>
      <w:r>
        <w:rPr>
          <w:rFonts w:hint="eastAsia" w:ascii="方正仿宋_GBK" w:hAnsi="方正仿宋_GBK" w:eastAsia="方正仿宋_GBK" w:cs="方正仿宋_GBK"/>
          <w:color w:val="auto"/>
          <w:sz w:val="32"/>
          <w:szCs w:val="32"/>
          <w:highlight w:val="none"/>
          <w:lang w:eastAsia="zh-CN"/>
        </w:rPr>
        <w:t>，构建覆盖</w:t>
      </w:r>
      <w:r>
        <w:rPr>
          <w:rFonts w:hint="eastAsia" w:ascii="方正仿宋_GBK" w:hAnsi="方正仿宋_GBK" w:eastAsia="方正仿宋_GBK" w:cs="方正仿宋_GBK"/>
          <w:color w:val="auto"/>
          <w:sz w:val="32"/>
          <w:szCs w:val="32"/>
          <w:highlight w:val="none"/>
          <w:lang w:val="en-US" w:eastAsia="zh-CN"/>
        </w:rPr>
        <w:t>经营主体</w:t>
      </w:r>
      <w:r>
        <w:rPr>
          <w:rFonts w:hint="eastAsia" w:ascii="方正仿宋_GBK" w:hAnsi="方正仿宋_GBK" w:eastAsia="方正仿宋_GBK" w:cs="方正仿宋_GBK"/>
          <w:color w:val="auto"/>
          <w:sz w:val="32"/>
          <w:szCs w:val="32"/>
          <w:highlight w:val="none"/>
          <w:lang w:eastAsia="zh-CN"/>
        </w:rPr>
        <w:t>全生命周期的金融服务体系。</w:t>
      </w:r>
    </w:p>
    <w:p w14:paraId="72D52CD4">
      <w:pPr>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15</w:t>
      </w:r>
      <w:r>
        <w:rPr>
          <w:rFonts w:hint="eastAsia" w:ascii="Times New Roman" w:hAnsi="Times New Roman" w:eastAsia="方正黑体_GBK" w:cs="方正黑体_GBK"/>
          <w:color w:val="auto"/>
          <w:kern w:val="0"/>
          <w:sz w:val="32"/>
          <w:szCs w:val="32"/>
          <w:highlight w:val="none"/>
          <w:u w:val="none"/>
          <w:lang w:bidi="ar"/>
        </w:rPr>
        <w:t xml:space="preserve"> 金融服务业重点领域</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4457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75F2B008">
            <w:pPr>
              <w:pStyle w:val="19"/>
              <w:overflowPunct w:val="0"/>
              <w:snapToGrid w:val="0"/>
              <w:spacing w:beforeAutospacing="0" w:afterAutospacing="0" w:line="380" w:lineRule="exact"/>
              <w:ind w:firstLine="480" w:firstLineChars="200"/>
              <w:jc w:val="both"/>
              <w:rPr>
                <w:rFonts w:hint="eastAsia" w:ascii="方正书宋_GBK" w:hAnsi="方正书宋_GBK" w:eastAsia="方正书宋_GBK" w:cs="方正书宋_GBK"/>
                <w:color w:val="auto"/>
                <w:sz w:val="24"/>
                <w:szCs w:val="24"/>
                <w:highlight w:val="none"/>
              </w:rPr>
            </w:pPr>
            <w:r>
              <w:rPr>
                <w:rFonts w:hint="eastAsia" w:ascii="Times New Roman" w:hAnsi="Times New Roman" w:eastAsia="方正黑体_GBK" w:cs="方正黑体_GBK"/>
                <w:color w:val="auto"/>
                <w:sz w:val="24"/>
                <w:szCs w:val="24"/>
                <w:highlight w:val="none"/>
                <w:u w:val="none"/>
                <w:lang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sz w:val="24"/>
                <w:szCs w:val="24"/>
                <w:highlight w:val="none"/>
                <w:u w:val="none"/>
                <w:lang w:bidi="ar-SA"/>
              </w:rPr>
              <w:t>科技金融。</w:t>
            </w:r>
            <w:r>
              <w:rPr>
                <w:rFonts w:hint="eastAsia" w:ascii="方正书宋_GBK" w:hAnsi="方正书宋_GBK" w:eastAsia="方正书宋_GBK" w:cs="方正书宋_GBK"/>
                <w:color w:val="auto"/>
                <w:highlight w:val="none"/>
                <w:lang w:bidi="ar"/>
              </w:rPr>
              <w:t>积极搭建</w:t>
            </w:r>
            <w:r>
              <w:rPr>
                <w:rFonts w:hint="eastAsia" w:ascii="方正书宋_GBK" w:hAnsi="方正书宋_GBK" w:eastAsia="方正书宋_GBK" w:cs="方正书宋_GBK"/>
                <w:color w:val="auto"/>
                <w:highlight w:val="none"/>
                <w:lang w:eastAsia="zh-CN" w:bidi="ar"/>
              </w:rPr>
              <w:t>“</w:t>
            </w:r>
            <w:r>
              <w:rPr>
                <w:rFonts w:hint="eastAsia" w:ascii="方正书宋_GBK" w:hAnsi="方正书宋_GBK" w:eastAsia="方正书宋_GBK" w:cs="方正书宋_GBK"/>
                <w:color w:val="auto"/>
                <w:highlight w:val="none"/>
                <w:lang w:bidi="ar"/>
              </w:rPr>
              <w:t>政金企</w:t>
            </w:r>
            <w:r>
              <w:rPr>
                <w:rFonts w:hint="eastAsia" w:ascii="方正书宋_GBK" w:hAnsi="方正书宋_GBK" w:eastAsia="方正书宋_GBK" w:cs="方正书宋_GBK"/>
                <w:color w:val="auto"/>
                <w:highlight w:val="none"/>
                <w:lang w:eastAsia="zh-CN" w:bidi="ar"/>
              </w:rPr>
              <w:t>”</w:t>
            </w:r>
            <w:r>
              <w:rPr>
                <w:rFonts w:hint="eastAsia" w:ascii="方正书宋_GBK" w:hAnsi="方正书宋_GBK" w:eastAsia="方正书宋_GBK" w:cs="方正书宋_GBK"/>
                <w:color w:val="auto"/>
                <w:highlight w:val="none"/>
                <w:lang w:bidi="ar"/>
              </w:rPr>
              <w:t>对接交流平台，引导股权投资、银行、担保等机构强化服务联动，为重研发、轻资产、有人才、有技术的科技型企业提供差异化金融产品和服务，推动金融机构创新赋能</w:t>
            </w:r>
            <w:r>
              <w:rPr>
                <w:rFonts w:hint="eastAsia" w:ascii="方正书宋_GBK" w:hAnsi="方正书宋_GBK" w:eastAsia="方正书宋_GBK" w:cs="方正书宋_GBK"/>
                <w:color w:val="auto"/>
                <w:highlight w:val="none"/>
                <w:lang w:eastAsia="zh-CN" w:bidi="ar"/>
              </w:rPr>
              <w:t>，</w:t>
            </w:r>
            <w:r>
              <w:rPr>
                <w:rFonts w:hint="eastAsia" w:ascii="方正书宋_GBK" w:hAnsi="方正书宋_GBK" w:eastAsia="方正书宋_GBK" w:cs="方正书宋_GBK"/>
                <w:color w:val="auto"/>
                <w:highlight w:val="none"/>
                <w:lang w:bidi="ar"/>
              </w:rPr>
              <w:t>精准破解融资梗阻</w:t>
            </w:r>
            <w:r>
              <w:rPr>
                <w:rFonts w:hint="eastAsia" w:ascii="方正书宋_GBK" w:hAnsi="方正书宋_GBK" w:eastAsia="方正书宋_GBK" w:cs="方正书宋_GBK"/>
                <w:color w:val="auto"/>
                <w:sz w:val="24"/>
                <w:szCs w:val="24"/>
                <w:highlight w:val="none"/>
              </w:rPr>
              <w:t>。</w:t>
            </w:r>
          </w:p>
          <w:p w14:paraId="57B56C07">
            <w:pPr>
              <w:pStyle w:val="19"/>
              <w:overflowPunct w:val="0"/>
              <w:snapToGrid w:val="0"/>
              <w:spacing w:beforeAutospacing="0" w:afterAutospacing="0" w:line="380" w:lineRule="exact"/>
              <w:ind w:firstLine="480" w:firstLineChars="200"/>
              <w:jc w:val="both"/>
              <w:rPr>
                <w:rFonts w:hint="eastAsia" w:ascii="方正书宋_GBK" w:hAnsi="方正书宋_GBK" w:eastAsia="方正书宋_GBK" w:cs="方正书宋_GBK"/>
                <w:color w:val="auto"/>
                <w:sz w:val="24"/>
                <w:szCs w:val="24"/>
                <w:highlight w:val="none"/>
              </w:rPr>
            </w:pPr>
            <w:r>
              <w:rPr>
                <w:rFonts w:hint="eastAsia" w:ascii="Times New Roman" w:hAnsi="Times New Roman" w:eastAsia="方正黑体_GBK" w:cs="方正黑体_GBK"/>
                <w:color w:val="auto"/>
                <w:sz w:val="24"/>
                <w:szCs w:val="24"/>
                <w:highlight w:val="none"/>
                <w:u w:val="none"/>
                <w:lang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sz w:val="24"/>
                <w:szCs w:val="24"/>
                <w:highlight w:val="none"/>
                <w:u w:val="none"/>
                <w:lang w:bidi="ar-SA"/>
              </w:rPr>
              <w:t>绿色金融。</w:t>
            </w:r>
            <w:r>
              <w:rPr>
                <w:rFonts w:hint="eastAsia" w:ascii="方正书宋_GBK" w:hAnsi="方正书宋_GBK" w:eastAsia="方正书宋_GBK" w:cs="方正书宋_GBK"/>
                <w:color w:val="auto"/>
                <w:sz w:val="24"/>
                <w:szCs w:val="24"/>
                <w:highlight w:val="none"/>
                <w:lang w:bidi="ar"/>
              </w:rPr>
              <w:t>加大对绿色制造、绿色能源等绿色项目培育力度，强化节能降碳、资源循环利用等重点领域信贷支持，优化绿色金融产品服务。</w:t>
            </w:r>
          </w:p>
          <w:p w14:paraId="68A76916">
            <w:pPr>
              <w:pStyle w:val="19"/>
              <w:overflowPunct w:val="0"/>
              <w:snapToGrid w:val="0"/>
              <w:spacing w:beforeAutospacing="0" w:afterAutospacing="0" w:line="380" w:lineRule="exact"/>
              <w:ind w:firstLine="480" w:firstLineChars="200"/>
              <w:jc w:val="both"/>
              <w:rPr>
                <w:rFonts w:hint="eastAsia" w:ascii="方正书宋_GBK" w:hAnsi="方正书宋_GBK" w:eastAsia="方正书宋_GBK" w:cs="方正书宋_GBK"/>
                <w:color w:val="auto"/>
                <w:sz w:val="24"/>
                <w:szCs w:val="24"/>
                <w:highlight w:val="none"/>
              </w:rPr>
            </w:pPr>
            <w:r>
              <w:rPr>
                <w:rFonts w:hint="eastAsia" w:ascii="Times New Roman" w:hAnsi="Times New Roman" w:eastAsia="方正黑体_GBK" w:cs="方正黑体_GBK"/>
                <w:color w:val="auto"/>
                <w:sz w:val="24"/>
                <w:szCs w:val="24"/>
                <w:highlight w:val="none"/>
                <w:u w:val="none"/>
                <w:lang w:bidi="ar-SA"/>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sz w:val="24"/>
                <w:szCs w:val="24"/>
                <w:highlight w:val="none"/>
                <w:u w:val="none"/>
                <w:lang w:bidi="ar-SA"/>
              </w:rPr>
              <w:t>普惠金融。</w:t>
            </w:r>
            <w:r>
              <w:rPr>
                <w:rFonts w:hint="eastAsia" w:ascii="方正书宋_GBK" w:hAnsi="方正书宋_GBK" w:eastAsia="方正书宋_GBK" w:cs="方正书宋_GBK"/>
                <w:color w:val="auto"/>
                <w:sz w:val="24"/>
                <w:szCs w:val="24"/>
                <w:highlight w:val="none"/>
              </w:rPr>
              <w:t>发挥政府性融资担保公司作用，持续实行低担保费率，引导更多金融资源流向小微企业、三农等普惠领域。健全多层次普惠金融机构组织体系，提升普惠领域金融服务可得性和便利性。</w:t>
            </w:r>
          </w:p>
          <w:p w14:paraId="120E3F21">
            <w:pPr>
              <w:pStyle w:val="19"/>
              <w:overflowPunct w:val="0"/>
              <w:snapToGrid w:val="0"/>
              <w:spacing w:beforeAutospacing="0" w:afterAutospacing="0" w:line="380" w:lineRule="exact"/>
              <w:ind w:firstLine="480" w:firstLineChars="200"/>
              <w:jc w:val="both"/>
              <w:rPr>
                <w:rFonts w:hint="eastAsia" w:ascii="方正书宋_GBK" w:hAnsi="方正书宋_GBK" w:eastAsia="方正书宋_GBK" w:cs="方正书宋_GBK"/>
                <w:color w:val="auto"/>
                <w:sz w:val="24"/>
                <w:szCs w:val="24"/>
                <w:highlight w:val="none"/>
              </w:rPr>
            </w:pPr>
            <w:r>
              <w:rPr>
                <w:rFonts w:hint="eastAsia" w:ascii="Times New Roman" w:hAnsi="Times New Roman" w:eastAsia="方正黑体_GBK" w:cs="方正黑体_GBK"/>
                <w:color w:val="auto"/>
                <w:sz w:val="24"/>
                <w:szCs w:val="24"/>
                <w:highlight w:val="none"/>
                <w:u w:val="none"/>
                <w:lang w:bidi="ar-SA"/>
              </w:rPr>
              <w:t>4</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sz w:val="24"/>
                <w:szCs w:val="24"/>
                <w:highlight w:val="none"/>
                <w:u w:val="none"/>
                <w:lang w:bidi="ar-SA"/>
              </w:rPr>
              <w:t>养老金融。</w:t>
            </w:r>
            <w:r>
              <w:rPr>
                <w:rFonts w:hint="eastAsia" w:ascii="方正书宋_GBK" w:hAnsi="方正书宋_GBK" w:eastAsia="方正书宋_GBK" w:cs="方正书宋_GBK"/>
                <w:color w:val="auto"/>
                <w:sz w:val="24"/>
                <w:szCs w:val="24"/>
                <w:highlight w:val="none"/>
                <w:lang w:bidi="ar"/>
              </w:rPr>
              <w:t>鼓励金融机构探索养老、度假、避暑、文旅相融合的金融支持模式，稳步发展具有养老属性的储蓄、理财、保险、基金等产品，加快发展长期护理保险、商业保险年金等。</w:t>
            </w:r>
          </w:p>
          <w:p w14:paraId="35AA8E64">
            <w:pPr>
              <w:widowControl/>
              <w:overflowPunct w:val="0"/>
              <w:snapToGrid w:val="0"/>
              <w:spacing w:line="380" w:lineRule="exact"/>
              <w:ind w:firstLine="480" w:firstLineChars="200"/>
              <w:jc w:val="left"/>
              <w:rPr>
                <w:rFonts w:ascii="Times New Roman" w:hAnsi="Times New Roman" w:eastAsia="方正仿宋_GBK" w:cs="Times New Roman"/>
                <w:color w:val="auto"/>
                <w:sz w:val="32"/>
                <w:szCs w:val="32"/>
                <w:highlight w:val="none"/>
              </w:rPr>
            </w:pPr>
            <w:r>
              <w:rPr>
                <w:rFonts w:hint="eastAsia" w:ascii="Times New Roman" w:hAnsi="Times New Roman" w:eastAsia="方正黑体_GBK" w:cs="方正黑体_GBK"/>
                <w:color w:val="auto"/>
                <w:kern w:val="0"/>
                <w:sz w:val="24"/>
                <w:szCs w:val="24"/>
                <w:highlight w:val="none"/>
                <w:u w:val="none"/>
                <w:lang w:bidi="ar-SA"/>
              </w:rPr>
              <w:t>5</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bidi="ar-SA"/>
              </w:rPr>
              <w:t>数字金融。</w:t>
            </w:r>
            <w:r>
              <w:rPr>
                <w:rFonts w:hint="eastAsia" w:ascii="方正书宋_GBK" w:hAnsi="方正书宋_GBK" w:eastAsia="方正书宋_GBK" w:cs="方正书宋_GBK"/>
                <w:color w:val="auto"/>
                <w:sz w:val="24"/>
                <w:szCs w:val="24"/>
                <w:highlight w:val="none"/>
              </w:rPr>
              <w:t>对接数字重庆建设，用好科创资本通等市区贯通数字平台，强化数字金融服务能力。加快数字金融创新，引导金融机构稳妥推进数字人民币推广运用，强化地方金融组织数字金融工具应用管理，引导地方性数字金融建设合规发展。</w:t>
            </w:r>
          </w:p>
        </w:tc>
      </w:tr>
    </w:tbl>
    <w:p w14:paraId="2008DB41">
      <w:p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306" w:name="_Toc23037"/>
      <w:r>
        <w:rPr>
          <w:rFonts w:hint="eastAsia" w:ascii="Times New Roman" w:hAnsi="Times New Roman" w:eastAsia="方正楷体_GBK" w:cs="方正楷体_GBK"/>
          <w:color w:val="auto"/>
          <w:sz w:val="32"/>
          <w:szCs w:val="32"/>
          <w:highlight w:val="none"/>
        </w:rPr>
        <w:t>第四节 提质发展商贸服务产业</w:t>
      </w:r>
      <w:bookmarkEnd w:id="297"/>
      <w:bookmarkEnd w:id="298"/>
      <w:bookmarkEnd w:id="299"/>
      <w:bookmarkEnd w:id="300"/>
      <w:bookmarkEnd w:id="301"/>
      <w:bookmarkEnd w:id="302"/>
      <w:bookmarkEnd w:id="303"/>
      <w:bookmarkEnd w:id="304"/>
      <w:bookmarkEnd w:id="305"/>
      <w:bookmarkEnd w:id="306"/>
    </w:p>
    <w:p w14:paraId="55DA7E27">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围绕“科、产、商、城”协同发展，逐步打造“前沿科技原创—高端制造转化—国际商贸通达”一体化的创新融合现代商贸发展示范区。打造一流商业载体，推动金凤城市中心建设，吸引国际高端知名品牌、高级定制品牌及潮流首店入驻，带动办公楼宇招租，快速盘活国有资产。围绕科学会堂规划布局特色商业街区、科学里等重点商业载体空间，引入科技体验、商务餐饮、咖啡书店等业态。加快建设含谷机车小镇赛事IP与主题文旅项目，升级</w:t>
      </w:r>
      <w:r>
        <w:rPr>
          <w:rFonts w:hint="eastAsia" w:ascii="Times New Roman" w:hAnsi="Times New Roman" w:eastAsia="方正仿宋_GBK" w:cs="Times New Roman"/>
          <w:color w:val="auto"/>
          <w:sz w:val="32"/>
          <w:szCs w:val="32"/>
          <w:highlight w:val="none"/>
          <w:lang w:val="en-US" w:eastAsia="zh-CN"/>
        </w:rPr>
        <w:t>温泉</w:t>
      </w:r>
      <w:r>
        <w:rPr>
          <w:rFonts w:hint="eastAsia" w:ascii="Times New Roman" w:hAnsi="Times New Roman" w:eastAsia="方正仿宋_GBK" w:cs="Times New Roman"/>
          <w:color w:val="auto"/>
          <w:sz w:val="32"/>
          <w:szCs w:val="32"/>
          <w:highlight w:val="none"/>
        </w:rPr>
        <w:t>自然疗愈目的地，将科技、制造、文化资源转化为可体验、可消费的产品与服务。</w:t>
      </w:r>
      <w:r>
        <w:rPr>
          <w:rFonts w:hint="eastAsia" w:ascii="Times New Roman" w:hAnsi="Times New Roman" w:eastAsia="方正仿宋_GBK" w:cs="Times New Roman"/>
          <w:color w:val="auto"/>
          <w:sz w:val="32"/>
          <w:szCs w:val="32"/>
          <w:highlight w:val="none"/>
          <w:lang w:val="en-US" w:eastAsia="zh-CN"/>
        </w:rPr>
        <w:t>提升商贸流通配套能级，</w:t>
      </w:r>
      <w:r>
        <w:rPr>
          <w:rFonts w:hint="eastAsia" w:eastAsia="方正仿宋_GBK"/>
          <w:color w:val="auto"/>
          <w:sz w:val="32"/>
          <w:szCs w:val="22"/>
          <w:highlight w:val="none"/>
          <w:lang w:val="en-US" w:eastAsia="zh-CN"/>
        </w:rPr>
        <w:t>强化走马智慧物流产业功能支撑，围绕</w:t>
      </w:r>
      <w:r>
        <w:rPr>
          <w:rFonts w:hint="eastAsia" w:ascii="方正仿宋_GBK" w:hAnsi="方正仿宋_GBK" w:eastAsia="方正仿宋_GBK" w:cs="方正仿宋_GBK"/>
          <w:color w:val="auto"/>
          <w:kern w:val="0"/>
          <w:sz w:val="32"/>
          <w:szCs w:val="32"/>
          <w:highlight w:val="none"/>
          <w:lang w:val="en-US" w:eastAsia="zh-CN"/>
        </w:rPr>
        <w:t>高洁净、高时效</w:t>
      </w:r>
      <w:r>
        <w:rPr>
          <w:rFonts w:hint="eastAsia" w:ascii="方正仿宋_GBK" w:hAnsi="方正仿宋_GBK" w:eastAsia="方正仿宋_GBK" w:cs="方正仿宋_GBK"/>
          <w:color w:val="auto"/>
          <w:kern w:val="0"/>
          <w:sz w:val="32"/>
          <w:szCs w:val="32"/>
          <w:highlight w:val="none"/>
        </w:rPr>
        <w:t>、定制化供应链需求</w:t>
      </w:r>
      <w:r>
        <w:rPr>
          <w:rFonts w:hint="eastAsia" w:eastAsia="方正仿宋_GBK"/>
          <w:color w:val="auto"/>
          <w:sz w:val="32"/>
          <w:szCs w:val="22"/>
          <w:highlight w:val="none"/>
          <w:lang w:val="en-US" w:eastAsia="zh-CN"/>
        </w:rPr>
        <w:t>，完善洁净物流专区、生物医药冷链智能仓、零部件共配与循环包装设施等专业化分拨体系建设。</w:t>
      </w:r>
      <w:r>
        <w:rPr>
          <w:rFonts w:hint="eastAsia" w:ascii="Times New Roman" w:hAnsi="Times New Roman" w:eastAsia="方正仿宋_GBK" w:cs="Times New Roman"/>
          <w:color w:val="auto"/>
          <w:sz w:val="32"/>
          <w:szCs w:val="32"/>
          <w:highlight w:val="none"/>
        </w:rPr>
        <w:t>培育智慧零售与消费新场景，布局新能源汽车体验中心、新零售赋能中心、直播基地、无人超市、跨界书店等新兴场景，构建线上线下融合的科技体验消费中心。优化核心人群消费供给，针对科技人才等核心群体需求优化商业布局与业态。打造城市消费节，设立“高新造”精品馆推广本土特色，提升区域消费品牌形象。</w:t>
      </w:r>
    </w:p>
    <w:p w14:paraId="496D4E90">
      <w:pPr>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专栏1</w:t>
      </w:r>
      <w:r>
        <w:rPr>
          <w:rFonts w:hint="eastAsia" w:ascii="Times New Roman" w:hAnsi="Times New Roman" w:eastAsia="方正黑体_GBK" w:cs="方正黑体_GBK"/>
          <w:color w:val="auto"/>
          <w:kern w:val="0"/>
          <w:sz w:val="32"/>
          <w:szCs w:val="32"/>
          <w:highlight w:val="none"/>
          <w:u w:val="none"/>
          <w:lang w:val="en-US" w:eastAsia="zh-CN" w:bidi="ar"/>
        </w:rPr>
        <w:t>6</w:t>
      </w:r>
      <w:r>
        <w:rPr>
          <w:rFonts w:hint="eastAsia" w:ascii="Times New Roman" w:hAnsi="Times New Roman" w:eastAsia="方正黑体_GBK" w:cs="方正黑体_GBK"/>
          <w:color w:val="auto"/>
          <w:kern w:val="0"/>
          <w:sz w:val="32"/>
          <w:szCs w:val="32"/>
          <w:highlight w:val="none"/>
          <w:u w:val="none"/>
          <w:lang w:bidi="ar"/>
        </w:rPr>
        <w:t xml:space="preserve"> 商贸服务业重点领域</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3CFA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493A8CB0">
            <w:pPr>
              <w:pStyle w:val="19"/>
              <w:overflowPunct w:val="0"/>
              <w:snapToGrid w:val="0"/>
              <w:spacing w:beforeAutospacing="0" w:afterAutospacing="0" w:line="360" w:lineRule="exact"/>
              <w:ind w:firstLine="480" w:firstLineChars="200"/>
              <w:jc w:val="both"/>
              <w:rPr>
                <w:rFonts w:hint="eastAsia" w:ascii="方正书宋_GBK" w:hAnsi="方正书宋_GBK" w:eastAsia="方正书宋_GBK" w:cs="方正书宋_GBK"/>
                <w:color w:val="auto"/>
                <w:sz w:val="24"/>
                <w:szCs w:val="24"/>
                <w:highlight w:val="none"/>
              </w:rPr>
            </w:pPr>
            <w:r>
              <w:rPr>
                <w:rFonts w:hint="eastAsia" w:ascii="Times New Roman" w:hAnsi="Times New Roman" w:eastAsia="方正黑体_GBK" w:cs="方正黑体_GBK"/>
                <w:color w:val="auto"/>
                <w:sz w:val="24"/>
                <w:szCs w:val="24"/>
                <w:highlight w:val="none"/>
                <w:u w:val="none"/>
                <w:lang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sz w:val="24"/>
                <w:szCs w:val="24"/>
                <w:highlight w:val="none"/>
                <w:u w:val="none"/>
                <w:lang w:bidi="ar-SA"/>
              </w:rPr>
              <w:t>主体商业与首店经济。</w:t>
            </w:r>
            <w:r>
              <w:rPr>
                <w:rFonts w:hint="eastAsia" w:ascii="方正书宋_GBK" w:hAnsi="方正书宋_GBK" w:eastAsia="方正书宋_GBK" w:cs="方正书宋_GBK"/>
                <w:color w:val="auto"/>
                <w:sz w:val="24"/>
                <w:szCs w:val="24"/>
                <w:highlight w:val="none"/>
                <w:lang w:bidi="ar"/>
              </w:rPr>
              <w:t>科技旗舰店、主理人品牌、国际知名连锁首店、精品咖啡与书店、独立设计品牌、中式糕点旗舰店。</w:t>
            </w:r>
          </w:p>
          <w:p w14:paraId="0654DBC1">
            <w:pPr>
              <w:pStyle w:val="19"/>
              <w:overflowPunct w:val="0"/>
              <w:snapToGrid w:val="0"/>
              <w:spacing w:beforeAutospacing="0" w:afterAutospacing="0" w:line="360" w:lineRule="exact"/>
              <w:ind w:firstLine="480" w:firstLineChars="200"/>
              <w:jc w:val="both"/>
              <w:rPr>
                <w:rFonts w:hint="eastAsia" w:ascii="方正书宋_GBK" w:hAnsi="方正书宋_GBK" w:eastAsia="方正书宋_GBK" w:cs="方正书宋_GBK"/>
                <w:color w:val="auto"/>
                <w:sz w:val="24"/>
                <w:szCs w:val="24"/>
                <w:highlight w:val="none"/>
              </w:rPr>
            </w:pPr>
            <w:r>
              <w:rPr>
                <w:rFonts w:hint="eastAsia" w:ascii="Times New Roman" w:hAnsi="Times New Roman" w:eastAsia="方正黑体_GBK" w:cs="方正黑体_GBK"/>
                <w:color w:val="auto"/>
                <w:sz w:val="24"/>
                <w:szCs w:val="24"/>
                <w:highlight w:val="none"/>
                <w:u w:val="none"/>
                <w:lang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sz w:val="24"/>
                <w:szCs w:val="24"/>
                <w:highlight w:val="none"/>
                <w:u w:val="none"/>
                <w:lang w:bidi="ar-SA"/>
              </w:rPr>
              <w:t>科技体验与数字消费。</w:t>
            </w:r>
            <w:r>
              <w:rPr>
                <w:rFonts w:hint="eastAsia" w:ascii="方正书宋_GBK" w:hAnsi="方正书宋_GBK" w:eastAsia="方正书宋_GBK" w:cs="方正书宋_GBK"/>
                <w:color w:val="auto"/>
                <w:sz w:val="24"/>
                <w:szCs w:val="24"/>
                <w:highlight w:val="none"/>
                <w:lang w:bidi="ar"/>
              </w:rPr>
              <w:t>新能源汽车体验中心、智能终端展示与互动体验</w:t>
            </w:r>
            <w:r>
              <w:rPr>
                <w:rFonts w:hint="eastAsia" w:ascii="方正书宋_GBK" w:hAnsi="方正书宋_GBK" w:eastAsia="方正书宋_GBK" w:cs="方正书宋_GBK"/>
                <w:color w:val="auto"/>
                <w:sz w:val="24"/>
                <w:szCs w:val="24"/>
                <w:highlight w:val="none"/>
                <w:lang w:val="en-US" w:eastAsia="zh-CN" w:bidi="ar"/>
              </w:rPr>
              <w:t>中心</w:t>
            </w:r>
            <w:r>
              <w:rPr>
                <w:rFonts w:hint="eastAsia" w:ascii="方正书宋_GBK" w:hAnsi="方正书宋_GBK" w:eastAsia="方正书宋_GBK" w:cs="方正书宋_GBK"/>
                <w:color w:val="auto"/>
                <w:sz w:val="24"/>
                <w:szCs w:val="24"/>
                <w:highlight w:val="none"/>
                <w:lang w:bidi="ar"/>
              </w:rPr>
              <w:t>、VR/AR沉浸式娱乐</w:t>
            </w:r>
            <w:r>
              <w:rPr>
                <w:rFonts w:hint="eastAsia" w:ascii="方正书宋_GBK" w:hAnsi="方正书宋_GBK" w:eastAsia="方正书宋_GBK" w:cs="方正书宋_GBK"/>
                <w:color w:val="auto"/>
                <w:sz w:val="24"/>
                <w:szCs w:val="24"/>
                <w:highlight w:val="none"/>
                <w:lang w:val="en-US" w:eastAsia="zh-CN" w:bidi="ar"/>
              </w:rPr>
              <w:t>中心</w:t>
            </w:r>
            <w:r>
              <w:rPr>
                <w:rFonts w:hint="eastAsia" w:ascii="方正书宋_GBK" w:hAnsi="方正书宋_GBK" w:eastAsia="方正书宋_GBK" w:cs="方正书宋_GBK"/>
                <w:color w:val="auto"/>
                <w:sz w:val="24"/>
                <w:szCs w:val="24"/>
                <w:highlight w:val="none"/>
                <w:lang w:bidi="ar"/>
              </w:rPr>
              <w:t>、直播电商基地、智慧旅游服务平台。</w:t>
            </w:r>
          </w:p>
          <w:p w14:paraId="7E0A0A22">
            <w:pPr>
              <w:pStyle w:val="19"/>
              <w:overflowPunct w:val="0"/>
              <w:snapToGrid w:val="0"/>
              <w:spacing w:beforeAutospacing="0" w:afterAutospacing="0" w:line="360" w:lineRule="exact"/>
              <w:ind w:firstLine="480" w:firstLineChars="200"/>
              <w:jc w:val="both"/>
              <w:rPr>
                <w:rFonts w:hint="eastAsia" w:ascii="方正书宋_GBK" w:hAnsi="方正书宋_GBK" w:eastAsia="方正书宋_GBK" w:cs="方正书宋_GBK"/>
                <w:color w:val="auto"/>
                <w:sz w:val="24"/>
                <w:szCs w:val="24"/>
                <w:highlight w:val="none"/>
              </w:rPr>
            </w:pPr>
            <w:r>
              <w:rPr>
                <w:rFonts w:hint="eastAsia" w:ascii="Times New Roman" w:hAnsi="Times New Roman" w:eastAsia="方正黑体_GBK" w:cs="方正黑体_GBK"/>
                <w:color w:val="auto"/>
                <w:sz w:val="24"/>
                <w:szCs w:val="24"/>
                <w:highlight w:val="none"/>
                <w:u w:val="none"/>
                <w:lang w:bidi="ar-SA"/>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sz w:val="24"/>
                <w:szCs w:val="24"/>
                <w:highlight w:val="none"/>
                <w:u w:val="none"/>
                <w:lang w:bidi="ar-SA"/>
              </w:rPr>
              <w:t>沉浸式文旅体验。</w:t>
            </w:r>
            <w:r>
              <w:rPr>
                <w:rFonts w:hint="eastAsia" w:ascii="方正书宋_GBK" w:hAnsi="方正书宋_GBK" w:eastAsia="方正书宋_GBK" w:cs="方正书宋_GBK"/>
                <w:color w:val="auto"/>
                <w:sz w:val="24"/>
                <w:szCs w:val="24"/>
                <w:highlight w:val="none"/>
                <w:lang w:bidi="ar"/>
              </w:rPr>
              <w:t>机车赛事IP与主题乐园、音乐Livehouse与演艺、游戏IP实景商业街区、自然疗愈度假产品（森林音乐节、温泉养生）、中高端主题民宿。</w:t>
            </w:r>
          </w:p>
          <w:p w14:paraId="67A5D029">
            <w:pPr>
              <w:pStyle w:val="19"/>
              <w:overflowPunct w:val="0"/>
              <w:snapToGrid w:val="0"/>
              <w:spacing w:beforeAutospacing="0" w:afterAutospacing="0" w:line="360" w:lineRule="exact"/>
              <w:ind w:firstLine="480" w:firstLineChars="200"/>
              <w:jc w:val="both"/>
              <w:rPr>
                <w:rFonts w:hint="eastAsia" w:ascii="方正书宋_GBK" w:hAnsi="方正书宋_GBK" w:eastAsia="方正书宋_GBK" w:cs="方正书宋_GBK"/>
                <w:color w:val="auto"/>
                <w:sz w:val="24"/>
                <w:szCs w:val="24"/>
                <w:highlight w:val="none"/>
              </w:rPr>
            </w:pPr>
            <w:r>
              <w:rPr>
                <w:rFonts w:hint="eastAsia" w:ascii="Times New Roman" w:hAnsi="Times New Roman" w:eastAsia="方正黑体_GBK" w:cs="方正黑体_GBK"/>
                <w:color w:val="auto"/>
                <w:sz w:val="24"/>
                <w:szCs w:val="24"/>
                <w:highlight w:val="none"/>
                <w:u w:val="none"/>
                <w:lang w:bidi="ar-SA"/>
              </w:rPr>
              <w:t>4</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sz w:val="24"/>
                <w:szCs w:val="24"/>
                <w:highlight w:val="none"/>
                <w:u w:val="none"/>
                <w:lang w:bidi="ar-SA"/>
              </w:rPr>
              <w:t>智慧零售。</w:t>
            </w:r>
            <w:r>
              <w:rPr>
                <w:rFonts w:hint="eastAsia" w:ascii="方正书宋_GBK" w:hAnsi="方正书宋_GBK" w:eastAsia="方正书宋_GBK" w:cs="方正书宋_GBK"/>
                <w:color w:val="auto"/>
                <w:sz w:val="24"/>
                <w:szCs w:val="24"/>
                <w:highlight w:val="none"/>
                <w:lang w:bidi="ar"/>
              </w:rPr>
              <w:t>无人超市、跨界书店、生鲜新零售、智能配送服务站、智慧健康管理、线上线下融合体验店。</w:t>
            </w:r>
          </w:p>
          <w:p w14:paraId="02CE4064">
            <w:pPr>
              <w:widowControl/>
              <w:overflowPunct w:val="0"/>
              <w:snapToGrid w:val="0"/>
              <w:spacing w:line="360" w:lineRule="exact"/>
              <w:ind w:firstLine="480" w:firstLineChars="200"/>
              <w:jc w:val="left"/>
              <w:rPr>
                <w:rFonts w:ascii="Times New Roman" w:hAnsi="Times New Roman" w:eastAsia="方正仿宋_GBK" w:cs="Times New Roman"/>
                <w:color w:val="auto"/>
                <w:sz w:val="24"/>
                <w:szCs w:val="24"/>
                <w:highlight w:val="none"/>
              </w:rPr>
            </w:pPr>
            <w:r>
              <w:rPr>
                <w:rFonts w:hint="eastAsia" w:ascii="Times New Roman" w:hAnsi="Times New Roman" w:eastAsia="方正黑体_GBK" w:cs="方正黑体_GBK"/>
                <w:color w:val="auto"/>
                <w:kern w:val="0"/>
                <w:sz w:val="24"/>
                <w:szCs w:val="24"/>
                <w:highlight w:val="none"/>
                <w:u w:val="none"/>
                <w:lang w:bidi="ar-SA"/>
              </w:rPr>
              <w:t>5</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bidi="ar-SA"/>
              </w:rPr>
              <w:t>文创与特色衍生。</w:t>
            </w:r>
            <w:r>
              <w:rPr>
                <w:rFonts w:hint="eastAsia" w:ascii="方正书宋_GBK" w:hAnsi="方正书宋_GBK" w:eastAsia="方正书宋_GBK" w:cs="方正书宋_GBK"/>
                <w:color w:val="auto"/>
                <w:sz w:val="24"/>
                <w:szCs w:val="24"/>
                <w:highlight w:val="none"/>
                <w:lang w:bidi="ar"/>
              </w:rPr>
              <w:t>非遗数字文创产品、艺术展览与衍生品、动漫游戏内容开发、特色美食品牌化体验。</w:t>
            </w:r>
          </w:p>
        </w:tc>
      </w:tr>
    </w:tbl>
    <w:p w14:paraId="57FA2BBB">
      <w:p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307" w:name="_Toc22475"/>
      <w:bookmarkStart w:id="308" w:name="_Toc29880"/>
      <w:bookmarkStart w:id="309" w:name="_Toc6950"/>
      <w:bookmarkStart w:id="310" w:name="_Toc31406"/>
      <w:bookmarkStart w:id="311" w:name="_Toc409063269"/>
      <w:bookmarkStart w:id="312" w:name="_Toc21450"/>
      <w:bookmarkStart w:id="313" w:name="_Toc24304"/>
      <w:bookmarkStart w:id="314" w:name="_Toc159926489"/>
      <w:bookmarkStart w:id="315" w:name="_Toc18030"/>
      <w:bookmarkStart w:id="316" w:name="_Toc14381"/>
      <w:r>
        <w:rPr>
          <w:rFonts w:hint="eastAsia" w:ascii="Times New Roman" w:hAnsi="Times New Roman" w:eastAsia="方正楷体_GBK" w:cs="方正楷体_GBK"/>
          <w:color w:val="auto"/>
          <w:sz w:val="32"/>
          <w:szCs w:val="32"/>
          <w:highlight w:val="none"/>
        </w:rPr>
        <w:t>第五节 提速发展跨境电商产业</w:t>
      </w:r>
      <w:bookmarkEnd w:id="307"/>
      <w:bookmarkEnd w:id="308"/>
      <w:bookmarkEnd w:id="309"/>
      <w:bookmarkEnd w:id="310"/>
      <w:bookmarkEnd w:id="311"/>
      <w:bookmarkEnd w:id="312"/>
      <w:bookmarkEnd w:id="313"/>
      <w:bookmarkEnd w:id="314"/>
      <w:bookmarkEnd w:id="315"/>
      <w:bookmarkEnd w:id="316"/>
    </w:p>
    <w:p w14:paraId="4F954EB7">
      <w:pPr>
        <w:adjustRightInd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围绕建成全市跨境电商高质量发展示范区、西部陆海新通道产业发展重要承载平台建设</w:t>
      </w:r>
      <w:r>
        <w:rPr>
          <w:rFonts w:hint="eastAsia" w:ascii="Times New Roman" w:hAnsi="Times New Roman" w:eastAsia="方正仿宋_GBK" w:cs="Times New Roman"/>
          <w:color w:val="auto"/>
          <w:sz w:val="32"/>
          <w:szCs w:val="32"/>
          <w:highlight w:val="none"/>
          <w:lang w:val="en-US" w:eastAsia="zh-CN"/>
        </w:rPr>
        <w:t>目标</w:t>
      </w:r>
      <w:r>
        <w:rPr>
          <w:rFonts w:hint="eastAsia" w:ascii="Times New Roman" w:hAnsi="Times New Roman" w:eastAsia="方正仿宋_GBK" w:cs="Times New Roman"/>
          <w:color w:val="auto"/>
          <w:sz w:val="32"/>
          <w:szCs w:val="32"/>
          <w:highlight w:val="none"/>
        </w:rPr>
        <w:t>，</w:t>
      </w:r>
      <w:r>
        <w:rPr>
          <w:rFonts w:hint="eastAsia" w:eastAsia="方正仿宋_GBK"/>
          <w:color w:val="auto"/>
          <w:sz w:val="32"/>
          <w:szCs w:val="22"/>
          <w:highlight w:val="none"/>
        </w:rPr>
        <w:t>全面提升贸易便利化水平，做大做强跨境电商与特色物流枢纽，推动外贸转型升级与产值规模双提升。促进跨境电商提质升级。重点引进国内购物平台，扩大跨境进口保税仓规模。依托跨境电商孵化中心精准招引</w:t>
      </w:r>
      <w:r>
        <w:rPr>
          <w:rFonts w:hint="eastAsia" w:eastAsia="方正仿宋_GBK"/>
          <w:color w:val="auto"/>
          <w:sz w:val="32"/>
          <w:szCs w:val="22"/>
          <w:highlight w:val="none"/>
          <w:lang w:val="en-US" w:eastAsia="zh-CN"/>
        </w:rPr>
        <w:t>优质</w:t>
      </w:r>
      <w:r>
        <w:rPr>
          <w:rFonts w:hint="eastAsia" w:eastAsia="方正仿宋_GBK"/>
          <w:color w:val="auto"/>
          <w:sz w:val="32"/>
          <w:szCs w:val="22"/>
          <w:highlight w:val="none"/>
        </w:rPr>
        <w:t>平台</w:t>
      </w:r>
      <w:r>
        <w:rPr>
          <w:rFonts w:hint="eastAsia" w:eastAsia="方正仿宋_GBK"/>
          <w:color w:val="auto"/>
          <w:sz w:val="32"/>
          <w:szCs w:val="22"/>
          <w:highlight w:val="none"/>
          <w:lang w:val="en-US" w:eastAsia="zh-CN"/>
        </w:rPr>
        <w:t>与</w:t>
      </w:r>
      <w:r>
        <w:rPr>
          <w:rFonts w:hint="eastAsia" w:eastAsia="方正仿宋_GBK"/>
          <w:color w:val="auto"/>
          <w:sz w:val="32"/>
          <w:szCs w:val="22"/>
          <w:highlight w:val="none"/>
        </w:rPr>
        <w:t>服务商</w:t>
      </w:r>
      <w:r>
        <w:rPr>
          <w:rFonts w:hint="eastAsia" w:eastAsia="方正仿宋_GBK"/>
          <w:color w:val="auto"/>
          <w:sz w:val="32"/>
          <w:szCs w:val="22"/>
          <w:highlight w:val="none"/>
          <w:lang w:eastAsia="zh-CN"/>
        </w:rPr>
        <w:t>、</w:t>
      </w:r>
      <w:r>
        <w:rPr>
          <w:rFonts w:hint="eastAsia" w:eastAsia="方正仿宋_GBK"/>
          <w:color w:val="auto"/>
          <w:sz w:val="32"/>
          <w:szCs w:val="22"/>
          <w:highlight w:val="none"/>
        </w:rPr>
        <w:t>标杆卖家，搭建“产业带</w:t>
      </w:r>
      <w:r>
        <w:rPr>
          <w:rFonts w:hint="default" w:ascii="Times New Roman" w:hAnsi="Times New Roman" w:eastAsia="方正仿宋_GBK" w:cs="Times New Roman"/>
          <w:color w:val="auto"/>
          <w:sz w:val="32"/>
          <w:szCs w:val="22"/>
          <w:highlight w:val="none"/>
          <w:lang w:val="en-US" w:eastAsia="zh-CN"/>
        </w:rPr>
        <w:t>+</w:t>
      </w:r>
      <w:r>
        <w:rPr>
          <w:rFonts w:hint="eastAsia" w:eastAsia="方正仿宋_GBK"/>
          <w:color w:val="auto"/>
          <w:sz w:val="32"/>
          <w:szCs w:val="22"/>
          <w:highlight w:val="none"/>
        </w:rPr>
        <w:t>数字化平台”赋能体系，优化通关、退税等服务保障。助力外贸规模稳量提质。稳住加工贸易基本盘，引导笔电企业向价值链上游延伸，大力拓展关键零部件、主板模组等“中间品”贸易与制造</w:t>
      </w:r>
      <w:r>
        <w:rPr>
          <w:rFonts w:hint="eastAsia" w:eastAsia="方正仿宋_GBK"/>
          <w:color w:val="auto"/>
          <w:sz w:val="32"/>
          <w:szCs w:val="22"/>
          <w:highlight w:val="none"/>
          <w:lang w:eastAsia="zh-CN"/>
        </w:rPr>
        <w:t>，</w:t>
      </w:r>
      <w:r>
        <w:rPr>
          <w:rFonts w:hint="eastAsia" w:eastAsia="方正仿宋_GBK"/>
          <w:color w:val="auto"/>
          <w:sz w:val="32"/>
          <w:szCs w:val="22"/>
          <w:highlight w:val="none"/>
        </w:rPr>
        <w:t>积极布局飞机零部件保税维修、新能源汽车及</w:t>
      </w:r>
      <w:r>
        <w:rPr>
          <w:rFonts w:hint="default" w:ascii="Times New Roman" w:hAnsi="Times New Roman" w:eastAsia="方正仿宋_GBK" w:cs="Times New Roman"/>
          <w:color w:val="auto"/>
          <w:sz w:val="32"/>
          <w:szCs w:val="22"/>
          <w:highlight w:val="none"/>
        </w:rPr>
        <w:t>KD件等高附加值</w:t>
      </w:r>
      <w:r>
        <w:rPr>
          <w:rFonts w:hint="eastAsia" w:ascii="Times New Roman" w:hAnsi="Times New Roman" w:eastAsia="方正仿宋_GBK" w:cs="Times New Roman"/>
          <w:color w:val="auto"/>
          <w:sz w:val="32"/>
          <w:szCs w:val="22"/>
          <w:highlight w:val="none"/>
          <w:lang w:val="en-US" w:eastAsia="zh-CN"/>
        </w:rPr>
        <w:t>业态</w:t>
      </w:r>
      <w:r>
        <w:rPr>
          <w:rFonts w:hint="default" w:ascii="Times New Roman" w:hAnsi="Times New Roman" w:eastAsia="方正仿宋_GBK" w:cs="Times New Roman"/>
          <w:color w:val="auto"/>
          <w:sz w:val="32"/>
          <w:szCs w:val="22"/>
          <w:highlight w:val="none"/>
        </w:rPr>
        <w:t>。</w:t>
      </w:r>
      <w:r>
        <w:rPr>
          <w:rFonts w:hint="eastAsia" w:eastAsia="方正仿宋_GBK"/>
          <w:color w:val="auto"/>
          <w:sz w:val="32"/>
          <w:szCs w:val="22"/>
          <w:highlight w:val="none"/>
        </w:rPr>
        <w:t>提升通道物流服务能级。完善“铁水空公”多式联运体系，推动监管模式创新，优化监管流程。</w:t>
      </w:r>
      <w:r>
        <w:rPr>
          <w:rFonts w:eastAsia="方正仿宋_GBK"/>
          <w:color w:val="auto"/>
          <w:sz w:val="32"/>
          <w:szCs w:val="22"/>
          <w:highlight w:val="none"/>
        </w:rPr>
        <w:t>加快推动西永航空前置货站投入运行，完善航空物流配套设施，提升航空货运集散能力</w:t>
      </w:r>
      <w:r>
        <w:rPr>
          <w:rFonts w:hint="eastAsia" w:eastAsia="方正仿宋_GBK"/>
          <w:color w:val="auto"/>
          <w:sz w:val="32"/>
          <w:szCs w:val="22"/>
          <w:highlight w:val="none"/>
        </w:rPr>
        <w:t>。</w:t>
      </w:r>
      <w:r>
        <w:rPr>
          <w:rFonts w:eastAsia="方正仿宋_GBK"/>
          <w:color w:val="auto"/>
          <w:sz w:val="32"/>
          <w:szCs w:val="22"/>
          <w:highlight w:val="none"/>
        </w:rPr>
        <w:t>探索建设西永综保区铁路口岸前置货站，打通铁路物流</w:t>
      </w:r>
      <w:r>
        <w:rPr>
          <w:rFonts w:hint="eastAsia" w:eastAsia="方正仿宋_GBK"/>
          <w:color w:val="auto"/>
          <w:sz w:val="32"/>
          <w:szCs w:val="22"/>
          <w:highlight w:val="none"/>
        </w:rPr>
        <w:t>“</w:t>
      </w:r>
      <w:r>
        <w:rPr>
          <w:rFonts w:eastAsia="方正仿宋_GBK"/>
          <w:color w:val="auto"/>
          <w:sz w:val="32"/>
          <w:szCs w:val="22"/>
          <w:highlight w:val="none"/>
        </w:rPr>
        <w:t>最后一公里</w:t>
      </w:r>
      <w:r>
        <w:rPr>
          <w:rFonts w:hint="eastAsia" w:eastAsia="方正仿宋_GBK"/>
          <w:color w:val="auto"/>
          <w:sz w:val="32"/>
          <w:szCs w:val="22"/>
          <w:highlight w:val="none"/>
        </w:rPr>
        <w:t>”</w:t>
      </w:r>
      <w:r>
        <w:rPr>
          <w:rFonts w:eastAsia="方正仿宋_GBK"/>
          <w:color w:val="auto"/>
          <w:sz w:val="32"/>
          <w:szCs w:val="22"/>
          <w:highlight w:val="none"/>
        </w:rPr>
        <w:t>，强化铁路物流枢纽支撑</w:t>
      </w:r>
      <w:r>
        <w:rPr>
          <w:rFonts w:hint="eastAsia" w:eastAsia="方正仿宋_GBK"/>
          <w:color w:val="auto"/>
          <w:sz w:val="32"/>
          <w:szCs w:val="22"/>
          <w:highlight w:val="none"/>
        </w:rPr>
        <w:t>。</w:t>
      </w:r>
      <w:r>
        <w:rPr>
          <w:rFonts w:eastAsia="方正仿宋_GBK"/>
          <w:color w:val="auto"/>
          <w:sz w:val="32"/>
          <w:szCs w:val="22"/>
          <w:highlight w:val="none"/>
        </w:rPr>
        <w:t>探索西永综保区与水港监管互认，实现监管资源共享、流程衔接</w:t>
      </w:r>
      <w:r>
        <w:rPr>
          <w:rFonts w:hint="eastAsia" w:eastAsia="方正仿宋_GBK"/>
          <w:color w:val="auto"/>
          <w:sz w:val="32"/>
          <w:szCs w:val="22"/>
          <w:highlight w:val="none"/>
        </w:rPr>
        <w:t>。推动跨境产业融合发展。持续完善关、税、汇、仓、配一体化服务链条，健全跨境物流、通关便利、金融支持、风险防控等全流程服务体系。探索建设跨境贸易公共服务平台，整合税务服务、市场服务、数据服务、法律服务等资源，实现一站式、智能化服务。探索与云南、广西重点跨境园区的合作机制，搭建东盟贸易双向对接通道，推动两地企业资源互通、货物直达。</w:t>
      </w:r>
    </w:p>
    <w:p w14:paraId="19D08931">
      <w:pPr>
        <w:overflowPunct w:val="0"/>
        <w:jc w:val="center"/>
        <w:rPr>
          <w:rFonts w:hint="eastAsia" w:ascii="Times New Roman" w:hAnsi="Times New Roman" w:eastAsia="方正黑体_GBK" w:cs="方正黑体_GBK"/>
          <w:color w:val="auto"/>
          <w:kern w:val="0"/>
          <w:sz w:val="32"/>
          <w:szCs w:val="32"/>
          <w:highlight w:val="none"/>
          <w:u w:val="none"/>
          <w:lang w:bidi="ar"/>
        </w:rPr>
      </w:pPr>
      <w:bookmarkStart w:id="317" w:name="_Toc10580"/>
      <w:r>
        <w:rPr>
          <w:rFonts w:hint="eastAsia" w:ascii="Times New Roman" w:hAnsi="Times New Roman" w:eastAsia="方正黑体_GBK" w:cs="方正黑体_GBK"/>
          <w:color w:val="auto"/>
          <w:kern w:val="0"/>
          <w:sz w:val="32"/>
          <w:szCs w:val="32"/>
          <w:highlight w:val="none"/>
          <w:u w:val="none"/>
          <w:lang w:bidi="ar"/>
        </w:rPr>
        <w:t>专栏1</w:t>
      </w:r>
      <w:r>
        <w:rPr>
          <w:rFonts w:hint="eastAsia" w:ascii="Times New Roman" w:hAnsi="Times New Roman" w:eastAsia="方正黑体_GBK" w:cs="方正黑体_GBK"/>
          <w:color w:val="auto"/>
          <w:kern w:val="0"/>
          <w:sz w:val="32"/>
          <w:szCs w:val="32"/>
          <w:highlight w:val="none"/>
          <w:u w:val="none"/>
          <w:lang w:val="en-US" w:eastAsia="zh-CN" w:bidi="ar"/>
        </w:rPr>
        <w:t>7</w:t>
      </w:r>
      <w:r>
        <w:rPr>
          <w:rFonts w:hint="eastAsia" w:ascii="Times New Roman" w:hAnsi="Times New Roman" w:eastAsia="方正黑体_GBK" w:cs="方正黑体_GBK"/>
          <w:color w:val="auto"/>
          <w:kern w:val="0"/>
          <w:sz w:val="32"/>
          <w:szCs w:val="32"/>
          <w:highlight w:val="none"/>
          <w:u w:val="none"/>
          <w:lang w:bidi="ar"/>
        </w:rPr>
        <w:t xml:space="preserve"> 跨境电商产业重点领域</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30B7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6F0A6440">
            <w:pPr>
              <w:pStyle w:val="19"/>
              <w:overflowPunct w:val="0"/>
              <w:snapToGrid w:val="0"/>
              <w:spacing w:beforeAutospacing="0" w:afterAutospacing="0" w:line="360" w:lineRule="exact"/>
              <w:ind w:firstLine="480" w:firstLineChars="200"/>
              <w:jc w:val="both"/>
              <w:rPr>
                <w:rFonts w:hint="eastAsia" w:ascii="Times New Roman" w:hAnsi="Times New Roman" w:eastAsia="方正书宋_GBK" w:cs="Times New Roman"/>
                <w:color w:val="auto"/>
                <w:sz w:val="24"/>
                <w:szCs w:val="24"/>
                <w:highlight w:val="none"/>
                <w:u w:val="none"/>
              </w:rPr>
            </w:pPr>
            <w:r>
              <w:rPr>
                <w:rFonts w:hint="eastAsia" w:ascii="Times New Roman" w:hAnsi="Times New Roman" w:eastAsia="方正黑体_GBK" w:cs="方正黑体_GBK"/>
                <w:color w:val="auto"/>
                <w:sz w:val="24"/>
                <w:szCs w:val="24"/>
                <w:highlight w:val="none"/>
                <w:u w:val="none"/>
                <w:lang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sz w:val="24"/>
                <w:szCs w:val="24"/>
                <w:highlight w:val="none"/>
                <w:u w:val="none"/>
                <w:lang w:bidi="ar-SA"/>
              </w:rPr>
              <w:t>跨境B2B领域。</w:t>
            </w:r>
            <w:r>
              <w:rPr>
                <w:rFonts w:hint="eastAsia" w:ascii="Times New Roman" w:hAnsi="Times New Roman" w:eastAsia="方正书宋_GBK" w:cs="Times New Roman"/>
                <w:color w:val="auto"/>
                <w:sz w:val="24"/>
                <w:szCs w:val="24"/>
                <w:highlight w:val="none"/>
                <w:u w:val="none"/>
                <w:lang w:bidi="ar-SA"/>
              </w:rPr>
              <w:t>重点推动</w:t>
            </w:r>
            <w:r>
              <w:rPr>
                <w:rFonts w:hint="eastAsia" w:ascii="Times New Roman" w:hAnsi="Times New Roman" w:eastAsia="方正书宋_GBK" w:cs="Times New Roman"/>
                <w:color w:val="auto"/>
                <w:sz w:val="24"/>
                <w:szCs w:val="24"/>
                <w:highlight w:val="none"/>
                <w:u w:val="none"/>
                <w:lang w:val="en-US" w:eastAsia="zh-CN" w:bidi="ar-SA"/>
              </w:rPr>
              <w:t>各类跨境电商平台</w:t>
            </w:r>
            <w:r>
              <w:rPr>
                <w:rFonts w:hint="eastAsia" w:ascii="Times New Roman" w:hAnsi="Times New Roman" w:eastAsia="方正书宋_GBK" w:cs="Times New Roman"/>
                <w:color w:val="auto"/>
                <w:sz w:val="24"/>
                <w:szCs w:val="24"/>
                <w:highlight w:val="none"/>
                <w:u w:val="none"/>
                <w:lang w:bidi="ar-SA"/>
              </w:rPr>
              <w:t>发展扩容，为电子信息、</w:t>
            </w:r>
            <w:r>
              <w:rPr>
                <w:rFonts w:hint="eastAsia" w:ascii="Times New Roman" w:hAnsi="Times New Roman" w:eastAsia="方正书宋_GBK" w:cs="Times New Roman"/>
                <w:color w:val="auto"/>
                <w:sz w:val="24"/>
                <w:szCs w:val="24"/>
                <w:highlight w:val="none"/>
                <w:u w:val="none"/>
                <w:lang w:val="en-US" w:eastAsia="zh-CN" w:bidi="ar-SA"/>
              </w:rPr>
              <w:t>新能源</w:t>
            </w:r>
            <w:r>
              <w:rPr>
                <w:rFonts w:hint="eastAsia" w:ascii="Times New Roman" w:hAnsi="Times New Roman" w:eastAsia="方正书宋_GBK" w:cs="Times New Roman"/>
                <w:color w:val="auto"/>
                <w:sz w:val="24"/>
                <w:szCs w:val="24"/>
                <w:highlight w:val="none"/>
                <w:u w:val="none"/>
                <w:lang w:bidi="ar-SA"/>
              </w:rPr>
              <w:t>汽摩等特色产业出海赋能。探索保税维修、保税研发、保税展示等新业态新模式。</w:t>
            </w:r>
          </w:p>
          <w:p w14:paraId="4B91D34E">
            <w:pPr>
              <w:pStyle w:val="19"/>
              <w:overflowPunct w:val="0"/>
              <w:snapToGrid w:val="0"/>
              <w:spacing w:beforeAutospacing="0" w:afterAutospacing="0" w:line="360" w:lineRule="exact"/>
              <w:ind w:firstLine="480" w:firstLineChars="200"/>
              <w:jc w:val="both"/>
              <w:rPr>
                <w:rFonts w:hint="eastAsia" w:ascii="Times New Roman" w:hAnsi="Times New Roman" w:eastAsia="方正书宋_GBK" w:cs="Times New Roman"/>
                <w:color w:val="auto"/>
                <w:sz w:val="24"/>
                <w:szCs w:val="24"/>
                <w:highlight w:val="none"/>
                <w:u w:val="none"/>
              </w:rPr>
            </w:pPr>
            <w:r>
              <w:rPr>
                <w:rFonts w:hint="eastAsia" w:ascii="Times New Roman" w:hAnsi="Times New Roman" w:eastAsia="方正黑体_GBK" w:cs="方正黑体_GBK"/>
                <w:color w:val="auto"/>
                <w:sz w:val="24"/>
                <w:szCs w:val="24"/>
                <w:highlight w:val="none"/>
                <w:u w:val="none"/>
                <w:lang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sz w:val="24"/>
                <w:szCs w:val="24"/>
                <w:highlight w:val="none"/>
                <w:u w:val="none"/>
                <w:lang w:bidi="ar-SA"/>
              </w:rPr>
              <w:t>跨境B2C领域。</w:t>
            </w:r>
            <w:r>
              <w:rPr>
                <w:rFonts w:hint="eastAsia" w:ascii="Times New Roman" w:hAnsi="Times New Roman" w:eastAsia="方正书宋_GBK" w:cs="Times New Roman"/>
                <w:color w:val="auto"/>
                <w:sz w:val="24"/>
                <w:szCs w:val="24"/>
                <w:highlight w:val="none"/>
                <w:u w:val="none"/>
                <w:lang w:bidi="ar-SA"/>
              </w:rPr>
              <w:t>重点打造跨境卖家聚集区，加强卖家合规性建设，提供关务、税务等统筹服务。</w:t>
            </w:r>
          </w:p>
          <w:p w14:paraId="15EBCC6A">
            <w:pPr>
              <w:pStyle w:val="19"/>
              <w:overflowPunct w:val="0"/>
              <w:snapToGrid w:val="0"/>
              <w:spacing w:beforeAutospacing="0" w:afterAutospacing="0" w:line="360" w:lineRule="exact"/>
              <w:ind w:firstLine="480" w:firstLineChars="200"/>
              <w:jc w:val="both"/>
              <w:rPr>
                <w:rFonts w:hint="eastAsia" w:ascii="Times New Roman" w:hAnsi="Times New Roman" w:eastAsia="方正书宋_GBK" w:cs="Times New Roman"/>
                <w:color w:val="auto"/>
                <w:sz w:val="24"/>
                <w:szCs w:val="24"/>
                <w:highlight w:val="none"/>
                <w:u w:val="none"/>
              </w:rPr>
            </w:pPr>
            <w:r>
              <w:rPr>
                <w:rFonts w:hint="default" w:ascii="Times New Roman" w:hAnsi="Times New Roman" w:eastAsia="方正黑体_GBK" w:cs="Times New Roman"/>
                <w:color w:val="auto"/>
                <w:sz w:val="24"/>
                <w:szCs w:val="24"/>
                <w:highlight w:val="none"/>
                <w:u w:val="none"/>
                <w:lang w:bidi="ar-SA"/>
              </w:rPr>
              <w:t>3</w:t>
            </w:r>
            <w:r>
              <w:rPr>
                <w:rFonts w:hint="default" w:ascii="Times New Roman" w:hAnsi="Times New Roman" w:eastAsia="方正黑体_GBK" w:cs="Times New Roman"/>
                <w:color w:val="auto"/>
                <w:sz w:val="24"/>
                <w:szCs w:val="24"/>
                <w:highlight w:val="none"/>
                <w:u w:val="none"/>
              </w:rPr>
              <w:t>．</w:t>
            </w:r>
            <w:r>
              <w:rPr>
                <w:rFonts w:hint="eastAsia" w:ascii="方正黑体_GBK" w:hAnsi="方正黑体_GBK" w:eastAsia="方正黑体_GBK" w:cs="方正黑体_GBK"/>
                <w:color w:val="auto"/>
                <w:sz w:val="24"/>
                <w:szCs w:val="24"/>
                <w:highlight w:val="none"/>
                <w:u w:val="none"/>
                <w:lang w:bidi="ar-SA"/>
              </w:rPr>
              <w:t>通关物流领域。</w:t>
            </w:r>
            <w:r>
              <w:rPr>
                <w:rFonts w:hint="eastAsia" w:ascii="Times New Roman" w:hAnsi="Times New Roman" w:eastAsia="方正书宋_GBK" w:cs="Times New Roman"/>
                <w:color w:val="auto"/>
                <w:sz w:val="24"/>
                <w:szCs w:val="24"/>
                <w:highlight w:val="none"/>
                <w:u w:val="none"/>
                <w:lang w:bidi="ar-SA"/>
              </w:rPr>
              <w:t>重点推动跨口岸的物流监管模式创新，助力北投西永东盟陆港项目提质升级。升级智慧综保区通关功能，探索开发智能制单系统。</w:t>
            </w:r>
          </w:p>
          <w:p w14:paraId="682F0B7A">
            <w:pPr>
              <w:widowControl/>
              <w:overflowPunct w:val="0"/>
              <w:snapToGrid w:val="0"/>
              <w:spacing w:line="360" w:lineRule="exact"/>
              <w:ind w:firstLine="480" w:firstLineChars="200"/>
              <w:jc w:val="left"/>
              <w:rPr>
                <w:rFonts w:ascii="Times New Roman" w:hAnsi="Times New Roman" w:eastAsia="方正仿宋_GBK" w:cs="Times New Roman"/>
                <w:color w:val="auto"/>
                <w:sz w:val="24"/>
                <w:szCs w:val="24"/>
                <w:highlight w:val="none"/>
              </w:rPr>
            </w:pPr>
            <w:r>
              <w:rPr>
                <w:rFonts w:hint="eastAsia" w:ascii="Times New Roman" w:hAnsi="Times New Roman" w:eastAsia="方正黑体_GBK" w:cs="方正黑体_GBK"/>
                <w:color w:val="auto"/>
                <w:kern w:val="0"/>
                <w:sz w:val="24"/>
                <w:szCs w:val="24"/>
                <w:highlight w:val="none"/>
                <w:u w:val="none"/>
                <w:lang w:bidi="ar-SA"/>
              </w:rPr>
              <w:t>4</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bidi="ar-SA"/>
              </w:rPr>
              <w:t>生态体系领域。</w:t>
            </w:r>
            <w:r>
              <w:rPr>
                <w:rFonts w:hint="eastAsia" w:ascii="Times New Roman" w:hAnsi="Times New Roman" w:eastAsia="方正书宋_GBK" w:cs="Times New Roman"/>
                <w:color w:val="auto"/>
                <w:kern w:val="0"/>
                <w:sz w:val="24"/>
                <w:szCs w:val="24"/>
                <w:highlight w:val="none"/>
                <w:u w:val="none"/>
                <w:lang w:bidi="ar-SA"/>
              </w:rPr>
              <w:t>重点打通出口海外仓离境退税难点，健全跨境服务体系产业链条，建立跨境电商综合服务平台，健全跨境贸易生态体系构建，提升产业发展环境。</w:t>
            </w:r>
          </w:p>
        </w:tc>
      </w:tr>
    </w:tbl>
    <w:p w14:paraId="3B3804FB">
      <w:pPr>
        <w:overflowPunct w:val="0"/>
        <w:adjustRightInd w:val="0"/>
        <w:snapToGrid w:val="0"/>
        <w:spacing w:line="600" w:lineRule="exact"/>
        <w:ind w:firstLine="640" w:firstLineChars="200"/>
        <w:rPr>
          <w:rFonts w:hint="eastAsia" w:ascii="Times New Roman" w:hAnsi="Times New Roman" w:eastAsia="方正仿宋_GBK" w:cs="Times New Roman"/>
          <w:color w:val="auto"/>
          <w:sz w:val="32"/>
          <w:szCs w:val="32"/>
          <w:highlight w:val="none"/>
        </w:rPr>
      </w:pPr>
      <w:bookmarkStart w:id="318" w:name="_Toc10837"/>
      <w:bookmarkStart w:id="319" w:name="_Toc266"/>
      <w:bookmarkStart w:id="320" w:name="_Toc1031208036"/>
      <w:bookmarkStart w:id="321" w:name="_Toc1382458226"/>
    </w:p>
    <w:p w14:paraId="3E822C25">
      <w:pPr>
        <w:overflowPunct w:val="0"/>
        <w:adjustRightInd w:val="0"/>
        <w:snapToGrid w:val="0"/>
        <w:spacing w:line="600" w:lineRule="exact"/>
        <w:jc w:val="center"/>
        <w:outlineLvl w:val="1"/>
        <w:rPr>
          <w:rFonts w:ascii="Times New Roman" w:hAnsi="Times New Roman" w:eastAsia="方正黑体_GBK" w:cs="方正黑体_GBK"/>
          <w:color w:val="auto"/>
          <w:sz w:val="32"/>
          <w:szCs w:val="32"/>
          <w:highlight w:val="none"/>
        </w:rPr>
      </w:pPr>
      <w:bookmarkStart w:id="322" w:name="_Toc31634"/>
      <w:r>
        <w:rPr>
          <w:rFonts w:hint="eastAsia" w:ascii="Times New Roman" w:hAnsi="Times New Roman" w:eastAsia="方正黑体_GBK" w:cs="方正黑体_GBK"/>
          <w:color w:val="auto"/>
          <w:sz w:val="32"/>
          <w:szCs w:val="32"/>
          <w:highlight w:val="none"/>
        </w:rPr>
        <w:t>第四章 全力打造三大产业片区</w:t>
      </w:r>
      <w:bookmarkEnd w:id="242"/>
      <w:bookmarkEnd w:id="243"/>
      <w:bookmarkEnd w:id="244"/>
      <w:bookmarkEnd w:id="245"/>
      <w:bookmarkEnd w:id="272"/>
      <w:bookmarkEnd w:id="317"/>
      <w:bookmarkEnd w:id="318"/>
      <w:bookmarkEnd w:id="319"/>
      <w:bookmarkEnd w:id="320"/>
      <w:bookmarkEnd w:id="321"/>
      <w:bookmarkEnd w:id="322"/>
    </w:p>
    <w:p w14:paraId="30761031">
      <w:pPr>
        <w:overflowPunct w:val="0"/>
        <w:adjustRightInd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按照“土地集约、产业集群、项目集中、要素集聚”原则，持续优化产业空间布局，以片区为空间载体、园区为核心平台、楼宇为功能节点，打造北部、中部、南部三大产业片区，梯度推动主导产业成链、配套产业成团</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产业链上下游</w:t>
      </w:r>
      <w:r>
        <w:rPr>
          <w:rFonts w:hint="eastAsia" w:ascii="Times New Roman" w:hAnsi="Times New Roman" w:eastAsia="方正仿宋_GBK" w:cs="Times New Roman"/>
          <w:color w:val="auto"/>
          <w:sz w:val="32"/>
          <w:szCs w:val="32"/>
          <w:highlight w:val="none"/>
          <w:lang w:eastAsia="zh-CN"/>
        </w:rPr>
        <w:t>成群，加快</w:t>
      </w:r>
      <w:r>
        <w:rPr>
          <w:rFonts w:hint="eastAsia" w:ascii="Times New Roman" w:hAnsi="Times New Roman" w:eastAsia="方正仿宋_GBK" w:cs="Times New Roman"/>
          <w:color w:val="auto"/>
          <w:sz w:val="32"/>
          <w:szCs w:val="32"/>
          <w:highlight w:val="none"/>
        </w:rPr>
        <w:t>构建优势互补、协同高效的产业发展新格局。</w:t>
      </w:r>
    </w:p>
    <w:p w14:paraId="376CA59D">
      <w:pPr>
        <w:overflowPunct w:val="0"/>
        <w:jc w:val="center"/>
        <w:rPr>
          <w:rFonts w:hint="eastAsia" w:ascii="Times New Roman" w:hAnsi="Times New Roman" w:eastAsia="方正黑体_GBK" w:cs="方正黑体_GBK"/>
          <w:color w:val="auto"/>
          <w:sz w:val="28"/>
          <w:szCs w:val="28"/>
          <w:highlight w:val="none"/>
          <w:lang w:bidi="ar"/>
        </w:rPr>
      </w:pPr>
      <w:r>
        <w:rPr>
          <w:rFonts w:hint="eastAsia" w:ascii="Times New Roman" w:hAnsi="Times New Roman" w:eastAsia="方正黑体_GBK" w:cs="方正黑体_GBK"/>
          <w:color w:val="auto"/>
          <w:kern w:val="0"/>
          <w:sz w:val="32"/>
          <w:szCs w:val="32"/>
          <w:highlight w:val="none"/>
          <w:u w:val="none"/>
          <w:lang w:bidi="ar"/>
        </w:rPr>
        <w:t>专栏1</w:t>
      </w:r>
      <w:r>
        <w:rPr>
          <w:rFonts w:hint="eastAsia" w:ascii="Times New Roman" w:hAnsi="Times New Roman" w:eastAsia="方正黑体_GBK" w:cs="方正黑体_GBK"/>
          <w:color w:val="auto"/>
          <w:kern w:val="0"/>
          <w:sz w:val="32"/>
          <w:szCs w:val="32"/>
          <w:highlight w:val="none"/>
          <w:u w:val="none"/>
          <w:lang w:val="en-US" w:eastAsia="zh-CN" w:bidi="ar"/>
        </w:rPr>
        <w:t>8</w:t>
      </w:r>
      <w:r>
        <w:rPr>
          <w:rFonts w:hint="eastAsia" w:ascii="Times New Roman" w:hAnsi="Times New Roman" w:eastAsia="方正黑体_GBK" w:cs="方正黑体_GBK"/>
          <w:color w:val="auto"/>
          <w:kern w:val="0"/>
          <w:sz w:val="32"/>
          <w:szCs w:val="32"/>
          <w:highlight w:val="none"/>
          <w:u w:val="none"/>
          <w:lang w:bidi="ar"/>
        </w:rPr>
        <w:t xml:space="preserve"> 三大产业片区发展重点</w:t>
      </w:r>
    </w:p>
    <w:tbl>
      <w:tblPr>
        <w:tblStyle w:val="22"/>
        <w:tblW w:w="9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23FD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90" w:type="dxa"/>
            <w:vAlign w:val="top"/>
          </w:tcPr>
          <w:p w14:paraId="7F7E4C9C">
            <w:pPr>
              <w:pStyle w:val="19"/>
              <w:overflowPunct w:val="0"/>
              <w:snapToGrid w:val="0"/>
              <w:spacing w:beforeAutospacing="0" w:afterAutospacing="0" w:line="360" w:lineRule="exact"/>
              <w:ind w:firstLine="480" w:firstLineChars="200"/>
              <w:jc w:val="both"/>
              <w:rPr>
                <w:rFonts w:hint="eastAsia" w:ascii="Times New Roman" w:hAnsi="Times New Roman" w:eastAsia="方正书宋_GBK" w:cs="Times New Roman"/>
                <w:color w:val="auto"/>
                <w:sz w:val="24"/>
                <w:szCs w:val="24"/>
                <w:highlight w:val="none"/>
                <w:u w:val="none"/>
              </w:rPr>
            </w:pPr>
            <w:r>
              <w:rPr>
                <w:rFonts w:hint="eastAsia" w:ascii="Times New Roman" w:hAnsi="Times New Roman" w:eastAsia="方正黑体_GBK" w:cs="方正黑体_GBK"/>
                <w:color w:val="auto"/>
                <w:sz w:val="24"/>
                <w:szCs w:val="24"/>
                <w:highlight w:val="none"/>
                <w:u w:val="none"/>
              </w:rPr>
              <w:t>1．北部片区。</w:t>
            </w:r>
            <w:r>
              <w:rPr>
                <w:rFonts w:hint="eastAsia" w:ascii="Times New Roman" w:hAnsi="Times New Roman" w:eastAsia="方正书宋_GBK" w:cs="Times New Roman"/>
                <w:color w:val="auto"/>
                <w:sz w:val="24"/>
                <w:szCs w:val="24"/>
                <w:highlight w:val="none"/>
                <w:u w:val="none"/>
              </w:rPr>
              <w:t>位于成渝高铁</w:t>
            </w:r>
            <w:r>
              <w:rPr>
                <w:rFonts w:hint="eastAsia" w:ascii="Times New Roman" w:hAnsi="Times New Roman" w:eastAsia="方正书宋_GBK" w:cs="Times New Roman"/>
                <w:color w:val="auto"/>
                <w:sz w:val="24"/>
                <w:szCs w:val="24"/>
                <w:highlight w:val="none"/>
                <w:u w:val="none"/>
                <w:lang w:eastAsia="zh-CN"/>
              </w:rPr>
              <w:t>以北、寨山坪以西</w:t>
            </w:r>
            <w:r>
              <w:rPr>
                <w:rFonts w:hint="eastAsia" w:ascii="Times New Roman" w:hAnsi="Times New Roman" w:eastAsia="方正书宋_GBK" w:cs="Times New Roman"/>
                <w:color w:val="auto"/>
                <w:sz w:val="24"/>
                <w:szCs w:val="24"/>
                <w:highlight w:val="none"/>
                <w:u w:val="none"/>
              </w:rPr>
              <w:t>区域，主要包括大学城组团、曾家</w:t>
            </w:r>
            <w:r>
              <w:rPr>
                <w:rFonts w:hint="eastAsia" w:ascii="Times New Roman" w:hAnsi="Times New Roman" w:eastAsia="方正书宋_GBK" w:cs="Times New Roman"/>
                <w:color w:val="auto"/>
                <w:sz w:val="24"/>
                <w:szCs w:val="24"/>
                <w:highlight w:val="none"/>
                <w:u w:val="none"/>
                <w:lang w:val="en-US" w:eastAsia="zh-CN"/>
              </w:rPr>
              <w:t>组团</w:t>
            </w:r>
            <w:r>
              <w:rPr>
                <w:rFonts w:hint="eastAsia" w:ascii="Times New Roman" w:hAnsi="Times New Roman" w:eastAsia="方正书宋_GBK" w:cs="Times New Roman"/>
                <w:color w:val="auto"/>
                <w:sz w:val="24"/>
                <w:szCs w:val="24"/>
                <w:highlight w:val="none"/>
                <w:u w:val="none"/>
              </w:rPr>
              <w:t>、香炉山组团，重点发展新型智能终端、新能源汽摩、软件和信息服务、科技服务</w:t>
            </w:r>
            <w:r>
              <w:rPr>
                <w:rFonts w:hint="eastAsia" w:ascii="Times New Roman" w:hAnsi="Times New Roman" w:eastAsia="方正书宋_GBK" w:cs="Times New Roman"/>
                <w:color w:val="auto"/>
                <w:kern w:val="0"/>
                <w:sz w:val="24"/>
                <w:szCs w:val="24"/>
                <w:highlight w:val="none"/>
                <w:u w:val="none"/>
                <w:lang w:val="en-US" w:eastAsia="zh-CN"/>
              </w:rPr>
              <w:t>等</w:t>
            </w:r>
            <w:r>
              <w:rPr>
                <w:rFonts w:hint="eastAsia" w:ascii="Times New Roman" w:hAnsi="Times New Roman" w:eastAsia="方正书宋_GBK" w:cs="Times New Roman"/>
                <w:color w:val="auto"/>
                <w:sz w:val="24"/>
                <w:szCs w:val="24"/>
                <w:highlight w:val="none"/>
                <w:u w:val="none"/>
              </w:rPr>
              <w:t>产业链，优先推进综保区B区</w:t>
            </w:r>
            <w:r>
              <w:rPr>
                <w:rFonts w:hint="eastAsia" w:ascii="Times New Roman" w:hAnsi="Times New Roman" w:eastAsia="方正书宋_GBK" w:cs="Times New Roman"/>
                <w:color w:val="auto"/>
                <w:sz w:val="24"/>
                <w:szCs w:val="24"/>
                <w:highlight w:val="none"/>
                <w:u w:val="none"/>
                <w:lang w:val="en-US" w:eastAsia="zh-CN"/>
              </w:rPr>
              <w:t>内</w:t>
            </w:r>
            <w:r>
              <w:rPr>
                <w:rFonts w:hint="eastAsia" w:ascii="Times New Roman" w:hAnsi="Times New Roman" w:eastAsia="方正书宋_GBK" w:cs="Times New Roman"/>
                <w:color w:val="auto"/>
                <w:sz w:val="24"/>
                <w:szCs w:val="24"/>
                <w:highlight w:val="none"/>
                <w:u w:val="none"/>
              </w:rPr>
              <w:t>及</w:t>
            </w:r>
            <w:r>
              <w:rPr>
                <w:rFonts w:hint="eastAsia" w:ascii="Times New Roman" w:hAnsi="Times New Roman" w:eastAsia="方正书宋_GBK" w:cs="Times New Roman"/>
                <w:color w:val="auto"/>
                <w:sz w:val="24"/>
                <w:szCs w:val="24"/>
                <w:highlight w:val="none"/>
                <w:u w:val="none"/>
                <w:lang w:val="en-US" w:eastAsia="zh-CN"/>
              </w:rPr>
              <w:t>金凤电子信息产业园</w:t>
            </w:r>
            <w:r>
              <w:rPr>
                <w:rFonts w:hint="eastAsia" w:ascii="Times New Roman" w:hAnsi="Times New Roman" w:eastAsia="方正书宋_GBK" w:cs="Times New Roman"/>
                <w:color w:val="auto"/>
                <w:sz w:val="24"/>
                <w:szCs w:val="24"/>
                <w:highlight w:val="none"/>
                <w:u w:val="none"/>
              </w:rPr>
              <w:t>周边区域建设，持续培育金凤软件园（虎溪园）、国际创谷等产业载体，重点打造全市智能网联新能源汽车关键零部件、软信产业核心承载区等。</w:t>
            </w:r>
          </w:p>
          <w:p w14:paraId="4AD42D12">
            <w:pPr>
              <w:pStyle w:val="19"/>
              <w:overflowPunct w:val="0"/>
              <w:snapToGrid w:val="0"/>
              <w:spacing w:beforeAutospacing="0" w:afterAutospacing="0" w:line="360" w:lineRule="exact"/>
              <w:ind w:firstLine="480" w:firstLineChars="200"/>
              <w:jc w:val="both"/>
              <w:rPr>
                <w:rFonts w:hint="eastAsia" w:ascii="Times New Roman" w:hAnsi="Times New Roman" w:eastAsia="方正书宋_GBK" w:cs="Times New Roman"/>
                <w:color w:val="auto"/>
                <w:sz w:val="24"/>
                <w:szCs w:val="24"/>
                <w:highlight w:val="none"/>
                <w:u w:val="none"/>
              </w:rPr>
            </w:pPr>
            <w:r>
              <w:rPr>
                <w:rFonts w:hint="eastAsia" w:ascii="Times New Roman" w:hAnsi="Times New Roman" w:eastAsia="方正黑体_GBK" w:cs="方正黑体_GBK"/>
                <w:color w:val="auto"/>
                <w:sz w:val="24"/>
                <w:szCs w:val="24"/>
                <w:highlight w:val="none"/>
                <w:u w:val="none"/>
              </w:rPr>
              <w:t>2．中部片区。</w:t>
            </w:r>
            <w:r>
              <w:rPr>
                <w:rFonts w:hint="eastAsia" w:ascii="Times New Roman" w:hAnsi="Times New Roman" w:eastAsia="方正书宋_GBK" w:cs="Times New Roman"/>
                <w:color w:val="auto"/>
                <w:sz w:val="24"/>
                <w:szCs w:val="24"/>
                <w:highlight w:val="none"/>
                <w:u w:val="none"/>
              </w:rPr>
              <w:t>位于成渝高铁</w:t>
            </w:r>
            <w:r>
              <w:rPr>
                <w:rFonts w:hint="eastAsia" w:ascii="Times New Roman" w:hAnsi="Times New Roman" w:eastAsia="方正书宋_GBK" w:cs="Times New Roman"/>
                <w:color w:val="auto"/>
                <w:sz w:val="24"/>
                <w:szCs w:val="24"/>
                <w:highlight w:val="none"/>
                <w:u w:val="none"/>
                <w:lang w:eastAsia="zh-CN"/>
              </w:rPr>
              <w:t>以南、寨山坪以东、</w:t>
            </w:r>
            <w:r>
              <w:rPr>
                <w:rFonts w:hint="eastAsia" w:ascii="Times New Roman" w:hAnsi="Times New Roman" w:eastAsia="方正书宋_GBK" w:cs="Times New Roman"/>
                <w:color w:val="auto"/>
                <w:kern w:val="0"/>
                <w:sz w:val="24"/>
                <w:szCs w:val="24"/>
                <w:highlight w:val="none"/>
                <w:u w:val="none"/>
              </w:rPr>
              <w:t>成渝高速以</w:t>
            </w:r>
            <w:r>
              <w:rPr>
                <w:rFonts w:hint="eastAsia" w:ascii="Times New Roman" w:hAnsi="Times New Roman" w:eastAsia="方正书宋_GBK" w:cs="Times New Roman"/>
                <w:color w:val="auto"/>
                <w:kern w:val="0"/>
                <w:sz w:val="24"/>
                <w:szCs w:val="24"/>
                <w:highlight w:val="none"/>
                <w:u w:val="none"/>
                <w:lang w:eastAsia="zh-CN"/>
              </w:rPr>
              <w:t>北</w:t>
            </w:r>
            <w:r>
              <w:rPr>
                <w:rFonts w:hint="eastAsia" w:ascii="Times New Roman" w:hAnsi="Times New Roman" w:eastAsia="方正书宋_GBK" w:cs="Times New Roman"/>
                <w:color w:val="auto"/>
                <w:sz w:val="24"/>
                <w:szCs w:val="24"/>
                <w:highlight w:val="none"/>
                <w:u w:val="none"/>
              </w:rPr>
              <w:t>区域，主要包括西永组团、金凤城市中心组团，重点发展集成电路、新型智能终端、生物医药、未来产业、软件和信息服务、科技服务、金融服务、跨境电商等产业链，优先推进西永微电园、综保区A区、科学谷建设，用好</w:t>
            </w:r>
            <w:r>
              <w:rPr>
                <w:rFonts w:hint="eastAsia" w:ascii="Times New Roman" w:hAnsi="Times New Roman" w:eastAsia="方正书宋_GBK" w:cs="Times New Roman"/>
                <w:color w:val="auto"/>
                <w:sz w:val="24"/>
                <w:szCs w:val="24"/>
                <w:highlight w:val="none"/>
                <w:u w:val="none"/>
                <w:lang w:val="en-US" w:eastAsia="zh-CN"/>
              </w:rPr>
              <w:t>数字医疗产业园</w:t>
            </w:r>
            <w:r>
              <w:rPr>
                <w:rFonts w:hint="eastAsia" w:ascii="Times New Roman" w:hAnsi="Times New Roman" w:eastAsia="方正书宋_GBK" w:cs="Times New Roman"/>
                <w:color w:val="auto"/>
                <w:sz w:val="24"/>
                <w:szCs w:val="24"/>
                <w:highlight w:val="none"/>
                <w:u w:val="none"/>
              </w:rPr>
              <w:t>、国家生物产业基地等</w:t>
            </w:r>
            <w:r>
              <w:rPr>
                <w:rFonts w:hint="eastAsia" w:ascii="Times New Roman" w:hAnsi="Times New Roman" w:eastAsia="方正书宋_GBK" w:cs="Times New Roman"/>
                <w:color w:val="auto"/>
                <w:sz w:val="24"/>
                <w:szCs w:val="24"/>
                <w:highlight w:val="none"/>
                <w:u w:val="none"/>
                <w:lang w:val="en-US" w:eastAsia="zh-CN"/>
              </w:rPr>
              <w:t>产业</w:t>
            </w:r>
            <w:r>
              <w:rPr>
                <w:rFonts w:hint="eastAsia" w:ascii="Times New Roman" w:hAnsi="Times New Roman" w:eastAsia="方正书宋_GBK" w:cs="Times New Roman"/>
                <w:color w:val="auto"/>
                <w:sz w:val="24"/>
                <w:szCs w:val="24"/>
                <w:highlight w:val="none"/>
                <w:u w:val="none"/>
              </w:rPr>
              <w:t>载体，打造全球重要的智能终端设备制造基地、全市集成电路产业主要集聚地、科创商贸融合示范区等。</w:t>
            </w:r>
          </w:p>
          <w:p w14:paraId="230895F1">
            <w:pPr>
              <w:widowControl/>
              <w:overflowPunct w:val="0"/>
              <w:snapToGrid w:val="0"/>
              <w:spacing w:line="360" w:lineRule="exact"/>
              <w:ind w:firstLine="480" w:firstLineChars="200"/>
              <w:jc w:val="left"/>
              <w:rPr>
                <w:rFonts w:ascii="Times New Roman" w:hAnsi="Times New Roman" w:eastAsia="方正仿宋_GBK" w:cs="Times New Roman"/>
                <w:color w:val="auto"/>
                <w:sz w:val="24"/>
                <w:szCs w:val="24"/>
                <w:highlight w:val="none"/>
              </w:rPr>
            </w:pPr>
            <w:r>
              <w:rPr>
                <w:rFonts w:hint="eastAsia" w:ascii="Times New Roman" w:hAnsi="Times New Roman" w:eastAsia="方正黑体_GBK" w:cs="方正黑体_GBK"/>
                <w:color w:val="auto"/>
                <w:kern w:val="0"/>
                <w:sz w:val="24"/>
                <w:szCs w:val="24"/>
                <w:highlight w:val="none"/>
                <w:u w:val="none"/>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rPr>
              <w:t>南部片区。</w:t>
            </w:r>
            <w:r>
              <w:rPr>
                <w:rFonts w:hint="eastAsia" w:ascii="Times New Roman" w:hAnsi="Times New Roman" w:eastAsia="方正书宋_GBK" w:cs="Times New Roman"/>
                <w:color w:val="auto"/>
                <w:kern w:val="0"/>
                <w:sz w:val="24"/>
                <w:szCs w:val="24"/>
                <w:highlight w:val="none"/>
                <w:u w:val="none"/>
              </w:rPr>
              <w:t>位于成渝高速以南区域，主要包括白市驿走马组团、巴福石板组团，重点发展新能源汽摩、生物医药（药食健康）、未来产业等产业链，优先推进白市驿、巴福生物医药产业</w:t>
            </w:r>
            <w:r>
              <w:rPr>
                <w:rFonts w:hint="eastAsia" w:ascii="Times New Roman" w:hAnsi="Times New Roman" w:eastAsia="方正书宋_GBK" w:cs="Times New Roman"/>
                <w:color w:val="auto"/>
                <w:kern w:val="0"/>
                <w:sz w:val="24"/>
                <w:szCs w:val="24"/>
                <w:highlight w:val="none"/>
                <w:u w:val="none"/>
                <w:lang w:eastAsia="zh-CN"/>
              </w:rPr>
              <w:t>融合区</w:t>
            </w:r>
            <w:r>
              <w:rPr>
                <w:rFonts w:hint="eastAsia" w:ascii="Times New Roman" w:hAnsi="Times New Roman" w:eastAsia="方正书宋_GBK" w:cs="Times New Roman"/>
                <w:color w:val="auto"/>
                <w:kern w:val="0"/>
                <w:sz w:val="24"/>
                <w:szCs w:val="24"/>
                <w:highlight w:val="none"/>
                <w:u w:val="none"/>
              </w:rPr>
              <w:t>、石板药食健康产业</w:t>
            </w:r>
            <w:r>
              <w:rPr>
                <w:rFonts w:hint="eastAsia" w:ascii="Times New Roman" w:hAnsi="Times New Roman" w:eastAsia="方正书宋_GBK" w:cs="Times New Roman"/>
                <w:color w:val="auto"/>
                <w:kern w:val="0"/>
                <w:sz w:val="24"/>
                <w:szCs w:val="24"/>
                <w:highlight w:val="none"/>
                <w:u w:val="none"/>
                <w:lang w:eastAsia="zh-CN"/>
              </w:rPr>
              <w:t>融合区</w:t>
            </w:r>
            <w:r>
              <w:rPr>
                <w:rFonts w:hint="eastAsia" w:ascii="Times New Roman" w:hAnsi="Times New Roman" w:eastAsia="方正书宋_GBK" w:cs="Times New Roman"/>
                <w:color w:val="auto"/>
                <w:kern w:val="0"/>
                <w:sz w:val="24"/>
                <w:szCs w:val="24"/>
                <w:highlight w:val="none"/>
                <w:u w:val="none"/>
              </w:rPr>
              <w:t>建设，持续培育石板大健康产业园、</w:t>
            </w:r>
            <w:r>
              <w:rPr>
                <w:rFonts w:hint="eastAsia" w:ascii="Times New Roman" w:hAnsi="Times New Roman" w:eastAsia="方正书宋_GBK" w:cs="Times New Roman"/>
                <w:color w:val="auto"/>
                <w:kern w:val="0"/>
                <w:sz w:val="24"/>
                <w:szCs w:val="24"/>
                <w:highlight w:val="none"/>
                <w:u w:val="none"/>
                <w:lang w:val="en-US" w:eastAsia="zh-CN"/>
              </w:rPr>
              <w:t>巴福</w:t>
            </w:r>
            <w:r>
              <w:rPr>
                <w:rFonts w:hint="eastAsia" w:ascii="Times New Roman" w:hAnsi="Times New Roman" w:eastAsia="方正书宋_GBK" w:cs="Times New Roman"/>
                <w:color w:val="auto"/>
                <w:kern w:val="0"/>
                <w:sz w:val="24"/>
                <w:szCs w:val="24"/>
                <w:highlight w:val="none"/>
                <w:u w:val="none"/>
              </w:rPr>
              <w:t>大健康产业园等产业载体，打造国家级未来产业先导区、全市智能网联新能源汽摩产业重要承载地、西部药械创新转化集聚区等。</w:t>
            </w:r>
          </w:p>
        </w:tc>
      </w:tr>
    </w:tbl>
    <w:p w14:paraId="6CB226C2">
      <w:pP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br w:type="page"/>
      </w:r>
    </w:p>
    <w:p w14:paraId="21B6F70C">
      <w:pPr>
        <w:overflowPunct w:val="0"/>
        <w:jc w:val="center"/>
        <w:rPr>
          <w:rFonts w:hint="eastAsia" w:ascii="Times New Roman" w:hAnsi="Times New Roman" w:eastAsia="方正黑体_GBK" w:cs="方正黑体_GBK"/>
          <w:color w:val="auto"/>
          <w:kern w:val="0"/>
          <w:sz w:val="32"/>
          <w:szCs w:val="32"/>
          <w:highlight w:val="none"/>
          <w:u w:val="none"/>
          <w:lang w:val="en-US" w:eastAsia="zh-CN" w:bidi="ar"/>
        </w:rPr>
      </w:pPr>
      <w:r>
        <w:rPr>
          <w:rFonts w:hint="eastAsia" w:ascii="Times New Roman" w:hAnsi="Times New Roman" w:eastAsia="方正黑体_GBK" w:cs="方正黑体_GBK"/>
          <w:color w:val="auto"/>
          <w:kern w:val="0"/>
          <w:sz w:val="32"/>
          <w:szCs w:val="32"/>
          <w:highlight w:val="none"/>
          <w:u w:val="none"/>
          <w:lang w:bidi="ar"/>
        </w:rPr>
        <w:t>图</w:t>
      </w:r>
      <w:r>
        <w:rPr>
          <w:rFonts w:hint="eastAsia" w:ascii="Times New Roman" w:hAnsi="Times New Roman" w:eastAsia="方正黑体_GBK" w:cs="方正黑体_GBK"/>
          <w:color w:val="auto"/>
          <w:kern w:val="0"/>
          <w:sz w:val="32"/>
          <w:szCs w:val="32"/>
          <w:highlight w:val="none"/>
          <w:u w:val="none"/>
          <w:lang w:val="en-US" w:eastAsia="zh-CN" w:bidi="ar"/>
        </w:rPr>
        <w:t>2</w:t>
      </w:r>
      <w:r>
        <w:rPr>
          <w:rFonts w:hint="eastAsia" w:ascii="Times New Roman" w:hAnsi="Times New Roman" w:eastAsia="方正黑体_GBK" w:cs="方正黑体_GBK"/>
          <w:color w:val="auto"/>
          <w:kern w:val="0"/>
          <w:sz w:val="32"/>
          <w:szCs w:val="32"/>
          <w:highlight w:val="none"/>
          <w:u w:val="none"/>
          <w:lang w:bidi="ar"/>
        </w:rPr>
        <w:t xml:space="preserve"> </w:t>
      </w:r>
      <w:r>
        <w:rPr>
          <w:rFonts w:hint="eastAsia" w:ascii="Times New Roman" w:hAnsi="Times New Roman" w:eastAsia="方正黑体_GBK" w:cs="方正黑体_GBK"/>
          <w:color w:val="auto"/>
          <w:kern w:val="0"/>
          <w:sz w:val="32"/>
          <w:szCs w:val="32"/>
          <w:highlight w:val="none"/>
          <w:u w:val="none"/>
          <w:lang w:val="en-US" w:eastAsia="zh-CN" w:bidi="ar"/>
        </w:rPr>
        <w:t>北、中、南三大产业片区空间示意图</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0ADF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7" w:hRule="atLeast"/>
          <w:jc w:val="center"/>
        </w:trPr>
        <w:tc>
          <w:tcPr>
            <w:tcW w:w="9190" w:type="dxa"/>
          </w:tcPr>
          <w:p w14:paraId="36FD0753">
            <w:pPr>
              <w:widowControl/>
              <w:overflowPunct w:val="0"/>
              <w:snapToGrid w:val="0"/>
              <w:ind w:firstLine="0" w:firstLineChars="0"/>
              <w:jc w:val="center"/>
              <w:rPr>
                <w:rFonts w:hint="eastAsia" w:ascii="Times New Roman" w:hAnsi="Times New Roman" w:cs="Times New Roman" w:eastAsiaTheme="minorEastAsia"/>
                <w:color w:val="auto"/>
                <w:sz w:val="24"/>
                <w:szCs w:val="24"/>
                <w:highlight w:val="none"/>
                <w:lang w:eastAsia="zh-CN"/>
              </w:rPr>
            </w:pPr>
            <w:r>
              <w:drawing>
                <wp:inline distT="0" distB="0" distL="114300" distR="114300">
                  <wp:extent cx="5039995" cy="7128510"/>
                  <wp:effectExtent l="0" t="0" r="8255" b="1524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1"/>
                          <a:stretch>
                            <a:fillRect/>
                          </a:stretch>
                        </pic:blipFill>
                        <pic:spPr>
                          <a:xfrm>
                            <a:off x="0" y="0"/>
                            <a:ext cx="5039995" cy="7128510"/>
                          </a:xfrm>
                          <a:prstGeom prst="rect">
                            <a:avLst/>
                          </a:prstGeom>
                        </pic:spPr>
                      </pic:pic>
                    </a:graphicData>
                  </a:graphic>
                </wp:inline>
              </w:drawing>
            </w:r>
            <w:r>
              <w:drawing>
                <wp:inline distT="0" distB="0" distL="114300" distR="114300">
                  <wp:extent cx="5039995" cy="7127240"/>
                  <wp:effectExtent l="0" t="0" r="8255" b="1651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2"/>
                          <a:stretch>
                            <a:fillRect/>
                          </a:stretch>
                        </pic:blipFill>
                        <pic:spPr>
                          <a:xfrm>
                            <a:off x="0" y="0"/>
                            <a:ext cx="5039995" cy="7127240"/>
                          </a:xfrm>
                          <a:prstGeom prst="rect">
                            <a:avLst/>
                          </a:prstGeom>
                        </pic:spPr>
                      </pic:pic>
                    </a:graphicData>
                  </a:graphic>
                </wp:inline>
              </w:drawing>
            </w:r>
          </w:p>
        </w:tc>
      </w:tr>
      <w:bookmarkEnd w:id="14"/>
      <w:bookmarkEnd w:id="15"/>
      <w:bookmarkEnd w:id="16"/>
      <w:bookmarkEnd w:id="17"/>
      <w:bookmarkEnd w:id="18"/>
      <w:bookmarkEnd w:id="19"/>
      <w:bookmarkEnd w:id="20"/>
      <w:bookmarkEnd w:id="21"/>
      <w:bookmarkEnd w:id="22"/>
      <w:bookmarkEnd w:id="23"/>
      <w:bookmarkEnd w:id="24"/>
      <w:bookmarkEnd w:id="25"/>
    </w:tbl>
    <w:p w14:paraId="0BAC210E">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default" w:ascii="Times New Roman" w:hAnsi="Times New Roman" w:eastAsia="方正仿宋_GBK" w:cs="Times New Roman"/>
          <w:color w:val="auto"/>
          <w:sz w:val="32"/>
          <w:szCs w:val="32"/>
          <w:highlight w:val="none"/>
        </w:rPr>
      </w:pPr>
      <w:bookmarkStart w:id="323" w:name="_Toc28838"/>
      <w:bookmarkStart w:id="324" w:name="_Toc1277966699"/>
      <w:bookmarkStart w:id="325" w:name="_Toc31262"/>
      <w:bookmarkStart w:id="326" w:name="_Toc1914825351"/>
      <w:bookmarkStart w:id="327" w:name="_Toc28117"/>
      <w:bookmarkStart w:id="328" w:name="_Toc6774"/>
      <w:bookmarkStart w:id="329" w:name="_Toc1246"/>
      <w:bookmarkStart w:id="330" w:name="_Toc23860"/>
      <w:r>
        <w:rPr>
          <w:rFonts w:hint="default" w:ascii="Times New Roman" w:hAnsi="Times New Roman" w:eastAsia="方正仿宋_GBK" w:cs="Times New Roman"/>
          <w:color w:val="auto"/>
          <w:sz w:val="21"/>
          <w:szCs w:val="21"/>
          <w:highlight w:val="none"/>
          <w:lang w:val="en-US" w:eastAsia="zh-CN"/>
        </w:rPr>
        <w:t>备注：</w:t>
      </w:r>
      <w:r>
        <w:rPr>
          <w:rFonts w:hint="eastAsia" w:ascii="Times New Roman" w:hAnsi="Times New Roman" w:eastAsia="方正仿宋_GBK" w:cs="Times New Roman"/>
          <w:color w:val="auto"/>
          <w:sz w:val="21"/>
          <w:szCs w:val="21"/>
          <w:highlight w:val="none"/>
          <w:lang w:val="en-US" w:eastAsia="zh-CN"/>
        </w:rPr>
        <w:t>“</w:t>
      </w:r>
      <w:r>
        <w:rPr>
          <w:rFonts w:hint="default" w:ascii="Times New Roman" w:hAnsi="Times New Roman" w:eastAsia="方正仿宋_GBK" w:cs="Times New Roman"/>
          <w:color w:val="auto"/>
          <w:sz w:val="21"/>
          <w:szCs w:val="21"/>
          <w:highlight w:val="none"/>
          <w:lang w:val="en-US" w:eastAsia="zh-CN"/>
        </w:rPr>
        <w:t>示意图</w:t>
      </w:r>
      <w:r>
        <w:rPr>
          <w:rFonts w:hint="eastAsia" w:ascii="Times New Roman" w:hAnsi="Times New Roman" w:eastAsia="方正仿宋_GBK" w:cs="Times New Roman"/>
          <w:color w:val="auto"/>
          <w:sz w:val="21"/>
          <w:szCs w:val="21"/>
          <w:highlight w:val="none"/>
          <w:lang w:val="en-US" w:eastAsia="zh-CN"/>
        </w:rPr>
        <w:t>”</w:t>
      </w:r>
      <w:r>
        <w:rPr>
          <w:rFonts w:hint="default" w:ascii="Times New Roman" w:hAnsi="Times New Roman" w:eastAsia="方正仿宋_GBK" w:cs="Times New Roman"/>
          <w:color w:val="auto"/>
          <w:sz w:val="21"/>
          <w:szCs w:val="21"/>
          <w:highlight w:val="none"/>
          <w:lang w:val="en-US" w:eastAsia="zh-CN"/>
        </w:rPr>
        <w:t>坚持空间与产业深度融合，发挥统筹布局和宏观引导作用；实施期限为2026—2030年，远景展望至2035年。</w:t>
      </w:r>
      <w:r>
        <w:rPr>
          <w:rFonts w:hint="eastAsia" w:ascii="Times New Roman" w:hAnsi="Times New Roman" w:eastAsia="方正仿宋_GBK" w:cs="Times New Roman"/>
          <w:color w:val="auto"/>
          <w:sz w:val="21"/>
          <w:szCs w:val="21"/>
          <w:highlight w:val="none"/>
          <w:lang w:val="en-US" w:eastAsia="zh-CN"/>
        </w:rPr>
        <w:t>①</w:t>
      </w:r>
      <w:r>
        <w:rPr>
          <w:rFonts w:hint="default" w:ascii="Times New Roman" w:hAnsi="Times New Roman" w:eastAsia="方正仿宋_GBK" w:cs="Times New Roman"/>
          <w:color w:val="auto"/>
          <w:sz w:val="21"/>
          <w:szCs w:val="21"/>
          <w:highlight w:val="none"/>
          <w:lang w:val="en-US" w:eastAsia="zh-CN"/>
        </w:rPr>
        <w:t>总体按照</w:t>
      </w:r>
      <w:r>
        <w:rPr>
          <w:rFonts w:hint="eastAsia" w:ascii="Times New Roman" w:hAnsi="Times New Roman" w:eastAsia="方正仿宋_GBK" w:cs="Times New Roman"/>
          <w:color w:val="auto"/>
          <w:sz w:val="21"/>
          <w:szCs w:val="21"/>
          <w:highlight w:val="none"/>
          <w:lang w:val="en-US" w:eastAsia="zh-CN"/>
        </w:rPr>
        <w:t>“</w:t>
      </w:r>
      <w:r>
        <w:rPr>
          <w:rFonts w:hint="default" w:ascii="Times New Roman" w:hAnsi="Times New Roman" w:eastAsia="方正仿宋_GBK" w:cs="Times New Roman"/>
          <w:color w:val="auto"/>
          <w:sz w:val="21"/>
          <w:szCs w:val="21"/>
          <w:highlight w:val="none"/>
          <w:lang w:val="en-US" w:eastAsia="zh-CN"/>
        </w:rPr>
        <w:t>新企业新办法、老企业老办法</w:t>
      </w:r>
      <w:r>
        <w:rPr>
          <w:rFonts w:hint="eastAsia" w:ascii="Times New Roman" w:hAnsi="Times New Roman" w:eastAsia="方正仿宋_GBK" w:cs="Times New Roman"/>
          <w:color w:val="auto"/>
          <w:sz w:val="21"/>
          <w:szCs w:val="21"/>
          <w:highlight w:val="none"/>
          <w:lang w:val="en-US" w:eastAsia="zh-CN"/>
        </w:rPr>
        <w:t>”</w:t>
      </w:r>
      <w:r>
        <w:rPr>
          <w:rFonts w:hint="default" w:ascii="Times New Roman" w:hAnsi="Times New Roman" w:eastAsia="方正仿宋_GBK" w:cs="Times New Roman"/>
          <w:color w:val="auto"/>
          <w:sz w:val="21"/>
          <w:szCs w:val="21"/>
          <w:highlight w:val="none"/>
          <w:lang w:val="en-US" w:eastAsia="zh-CN"/>
        </w:rPr>
        <w:t>原则，新增企业原则上按照产业地图分区落位，引导存量企业向产业规划区域聚集，存量企业扩能升级可优先就近安排用地；</w:t>
      </w:r>
      <w:r>
        <w:rPr>
          <w:rFonts w:hint="eastAsia" w:ascii="Times New Roman" w:hAnsi="Times New Roman" w:eastAsia="方正仿宋_GBK" w:cs="Times New Roman"/>
          <w:color w:val="auto"/>
          <w:sz w:val="21"/>
          <w:szCs w:val="21"/>
          <w:highlight w:val="none"/>
          <w:lang w:val="en-US" w:eastAsia="zh-CN"/>
        </w:rPr>
        <w:t>②</w:t>
      </w:r>
      <w:r>
        <w:rPr>
          <w:rFonts w:hint="default" w:ascii="Times New Roman" w:hAnsi="Times New Roman" w:eastAsia="方正仿宋_GBK" w:cs="Times New Roman"/>
          <w:color w:val="auto"/>
          <w:sz w:val="21"/>
          <w:szCs w:val="21"/>
          <w:highlight w:val="none"/>
          <w:lang w:val="en-US" w:eastAsia="zh-CN"/>
        </w:rPr>
        <w:t>对用地空间有特殊要求的重大产业项目可</w:t>
      </w:r>
      <w:r>
        <w:rPr>
          <w:rFonts w:hint="eastAsia" w:ascii="Times New Roman" w:hAnsi="Times New Roman" w:eastAsia="方正仿宋_GBK" w:cs="Times New Roman"/>
          <w:color w:val="auto"/>
          <w:sz w:val="21"/>
          <w:szCs w:val="21"/>
          <w:highlight w:val="none"/>
          <w:lang w:val="en-US" w:eastAsia="zh-CN"/>
        </w:rPr>
        <w:t>“</w:t>
      </w:r>
      <w:r>
        <w:rPr>
          <w:rFonts w:hint="default" w:ascii="Times New Roman" w:hAnsi="Times New Roman" w:eastAsia="方正仿宋_GBK" w:cs="Times New Roman"/>
          <w:color w:val="auto"/>
          <w:sz w:val="21"/>
          <w:szCs w:val="21"/>
          <w:highlight w:val="none"/>
          <w:lang w:val="en-US" w:eastAsia="zh-CN"/>
        </w:rPr>
        <w:t>一事一议</w:t>
      </w:r>
      <w:r>
        <w:rPr>
          <w:rFonts w:hint="eastAsia" w:ascii="Times New Roman" w:hAnsi="Times New Roman" w:eastAsia="方正仿宋_GBK" w:cs="Times New Roman"/>
          <w:color w:val="auto"/>
          <w:sz w:val="21"/>
          <w:szCs w:val="21"/>
          <w:highlight w:val="none"/>
          <w:lang w:val="en-US" w:eastAsia="zh-CN"/>
        </w:rPr>
        <w:t>”</w:t>
      </w:r>
      <w:r>
        <w:rPr>
          <w:rFonts w:hint="default" w:ascii="Times New Roman" w:hAnsi="Times New Roman" w:eastAsia="方正仿宋_GBK" w:cs="Times New Roman"/>
          <w:color w:val="auto"/>
          <w:sz w:val="21"/>
          <w:szCs w:val="21"/>
          <w:highlight w:val="none"/>
          <w:lang w:val="en-US" w:eastAsia="zh-CN"/>
        </w:rPr>
        <w:t>；</w:t>
      </w:r>
      <w:r>
        <w:rPr>
          <w:rFonts w:hint="eastAsia" w:ascii="Times New Roman" w:hAnsi="Times New Roman" w:eastAsia="方正仿宋_GBK" w:cs="Times New Roman"/>
          <w:color w:val="auto"/>
          <w:sz w:val="21"/>
          <w:szCs w:val="21"/>
          <w:highlight w:val="none"/>
          <w:lang w:val="en-US" w:eastAsia="zh-CN"/>
        </w:rPr>
        <w:t>③</w:t>
      </w:r>
      <w:r>
        <w:rPr>
          <w:rFonts w:hint="default" w:ascii="Times New Roman" w:hAnsi="Times New Roman" w:eastAsia="方正仿宋_GBK" w:cs="Times New Roman"/>
          <w:color w:val="auto"/>
          <w:sz w:val="21"/>
          <w:szCs w:val="21"/>
          <w:highlight w:val="none"/>
          <w:lang w:val="en-US" w:eastAsia="zh-CN"/>
        </w:rPr>
        <w:t>产业融合区内的规划预留建设用地，根据项目实际需求可跨融合区适度调剂；</w:t>
      </w:r>
      <w:r>
        <w:rPr>
          <w:rFonts w:hint="eastAsia" w:ascii="Times New Roman" w:hAnsi="Times New Roman" w:eastAsia="方正仿宋_GBK" w:cs="Times New Roman"/>
          <w:color w:val="auto"/>
          <w:sz w:val="21"/>
          <w:szCs w:val="21"/>
          <w:highlight w:val="none"/>
          <w:lang w:val="en-US" w:eastAsia="zh-CN"/>
        </w:rPr>
        <w:t>④</w:t>
      </w:r>
      <w:r>
        <w:rPr>
          <w:rFonts w:hint="default" w:ascii="Times New Roman" w:hAnsi="Times New Roman" w:eastAsia="方正仿宋_GBK" w:cs="Times New Roman"/>
          <w:color w:val="auto"/>
          <w:sz w:val="21"/>
          <w:szCs w:val="21"/>
          <w:highlight w:val="none"/>
          <w:lang w:val="en-US" w:eastAsia="zh-CN"/>
        </w:rPr>
        <w:t>根据科产城融合发展需求，对产业地图适时更新。</w:t>
      </w:r>
    </w:p>
    <w:p w14:paraId="2362EE88">
      <w:pPr>
        <w:overflowPunct w:val="0"/>
        <w:adjustRightInd w:val="0"/>
        <w:snapToGrid w:val="0"/>
        <w:spacing w:line="600" w:lineRule="exact"/>
        <w:jc w:val="center"/>
        <w:outlineLvl w:val="0"/>
        <w:rPr>
          <w:rFonts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第</w:t>
      </w:r>
      <w:r>
        <w:rPr>
          <w:rFonts w:hint="eastAsia" w:ascii="Times New Roman" w:hAnsi="Times New Roman" w:eastAsia="方正黑体_GBK"/>
          <w:bCs/>
          <w:color w:val="auto"/>
          <w:sz w:val="32"/>
          <w:highlight w:val="none"/>
        </w:rPr>
        <w:t>四</w:t>
      </w:r>
      <w:r>
        <w:rPr>
          <w:rFonts w:hint="eastAsia" w:ascii="Times New Roman" w:hAnsi="Times New Roman" w:eastAsia="方正黑体_GBK" w:cs="方正黑体_GBK"/>
          <w:color w:val="auto"/>
          <w:sz w:val="32"/>
          <w:szCs w:val="32"/>
          <w:highlight w:val="none"/>
        </w:rPr>
        <w:t xml:space="preserve">篇 </w:t>
      </w:r>
      <w:bookmarkEnd w:id="323"/>
      <w:r>
        <w:rPr>
          <w:rFonts w:hint="eastAsia" w:ascii="Times New Roman" w:hAnsi="Times New Roman" w:eastAsia="方正黑体_GBK"/>
          <w:bCs/>
          <w:color w:val="auto"/>
          <w:sz w:val="32"/>
          <w:highlight w:val="none"/>
        </w:rPr>
        <w:t>建设宜学宜研、宜居宜业的现代化人民城市</w:t>
      </w:r>
      <w:bookmarkEnd w:id="324"/>
      <w:bookmarkEnd w:id="325"/>
      <w:bookmarkEnd w:id="326"/>
    </w:p>
    <w:p w14:paraId="76256A88">
      <w:pPr>
        <w:adjustRightInd w:val="0"/>
        <w:snapToGrid w:val="0"/>
        <w:spacing w:line="600" w:lineRule="exact"/>
        <w:ind w:firstLine="640" w:firstLineChars="200"/>
        <w:jc w:val="left"/>
        <w:rPr>
          <w:rFonts w:hint="eastAsia" w:ascii="方正仿宋_GBK" w:hAnsi="Times New Roman" w:eastAsia="方正仿宋_GBK" w:cs="Times New Roman"/>
          <w:bCs/>
          <w:color w:val="auto"/>
          <w:sz w:val="32"/>
          <w:szCs w:val="32"/>
          <w:highlight w:val="none"/>
        </w:rPr>
      </w:pPr>
    </w:p>
    <w:p w14:paraId="53851608">
      <w:pPr>
        <w:overflowPunct w:val="0"/>
        <w:adjustRightInd w:val="0"/>
        <w:snapToGrid w:val="0"/>
        <w:spacing w:line="600" w:lineRule="exact"/>
        <w:ind w:firstLine="640" w:firstLineChars="200"/>
        <w:jc w:val="left"/>
        <w:rPr>
          <w:rFonts w:hint="eastAsia" w:ascii="方正仿宋_GBK" w:hAnsi="方正仿宋_GBK" w:eastAsia="方正仿宋_GBK" w:cs="方正仿宋_GBK"/>
          <w:color w:val="auto"/>
          <w:sz w:val="32"/>
          <w:szCs w:val="32"/>
          <w:highlight w:val="none"/>
          <w:lang w:bidi="ar"/>
        </w:rPr>
      </w:pPr>
      <w:bookmarkStart w:id="331" w:name="_Toc10579"/>
      <w:r>
        <w:rPr>
          <w:rFonts w:hint="eastAsia" w:ascii="方正仿宋_GBK" w:hAnsi="Times New Roman" w:eastAsia="方正仿宋_GBK" w:cs="Times New Roman"/>
          <w:bCs/>
          <w:color w:val="auto"/>
          <w:sz w:val="32"/>
          <w:szCs w:val="32"/>
          <w:highlight w:val="none"/>
        </w:rPr>
        <w:t>坚持人民城市人民建，人民城市为人民，</w:t>
      </w:r>
      <w:r>
        <w:rPr>
          <w:rFonts w:hint="eastAsia" w:ascii="方正仿宋_GBK" w:hAnsi="方正仿宋_GBK" w:eastAsia="方正仿宋_GBK" w:cs="方正仿宋_GBK"/>
          <w:color w:val="auto"/>
          <w:sz w:val="32"/>
          <w:szCs w:val="32"/>
          <w:highlight w:val="none"/>
          <w:lang w:bidi="ar"/>
        </w:rPr>
        <w:t>统筹推进创新、宜居、美丽、韧性、文明、智慧现代化人民城市建设，着力</w:t>
      </w:r>
      <w:r>
        <w:rPr>
          <w:rFonts w:hint="eastAsia" w:ascii="方正仿宋_GBK" w:hAnsi="Times New Roman" w:eastAsia="方正仿宋_GBK" w:cs="Times New Roman"/>
          <w:bCs/>
          <w:color w:val="auto"/>
          <w:sz w:val="32"/>
          <w:szCs w:val="32"/>
          <w:highlight w:val="none"/>
        </w:rPr>
        <w:t>构建“</w:t>
      </w:r>
      <w:r>
        <w:rPr>
          <w:rFonts w:ascii="Times New Roman" w:hAnsi="Times New Roman" w:eastAsia="方正仿宋_GBK" w:cs="Times New Roman"/>
          <w:bCs/>
          <w:color w:val="auto"/>
          <w:sz w:val="32"/>
          <w:szCs w:val="32"/>
          <w:highlight w:val="none"/>
        </w:rPr>
        <w:t>1236</w:t>
      </w:r>
      <w:r>
        <w:rPr>
          <w:rFonts w:hint="eastAsia" w:ascii="方正仿宋_GBK" w:hAnsi="Times New Roman" w:eastAsia="方正仿宋_GBK" w:cs="Times New Roman"/>
          <w:bCs/>
          <w:color w:val="auto"/>
          <w:sz w:val="32"/>
          <w:szCs w:val="32"/>
          <w:highlight w:val="none"/>
        </w:rPr>
        <w:t>”总体功能布局，围绕科研机构研发创新和企业群众生产生活需求</w:t>
      </w:r>
      <w:r>
        <w:rPr>
          <w:rFonts w:hint="eastAsia" w:ascii="方正仿宋_GBK" w:hAnsi="Calibri" w:eastAsia="方正仿宋_GBK" w:cs="Times New Roman"/>
          <w:bCs/>
          <w:sz w:val="32"/>
          <w:szCs w:val="32"/>
          <w:highlight w:val="none"/>
          <w:u w:val="none" w:color="auto"/>
          <w:lang w:val="en-US" w:eastAsia="zh-CN"/>
        </w:rPr>
        <w:t>，加快补齐基础设施、教育医疗、商业商务、绿色生态等功能短板</w:t>
      </w:r>
      <w:r>
        <w:rPr>
          <w:rFonts w:hint="eastAsia" w:ascii="方正仿宋_GBK" w:hAnsi="Times New Roman" w:eastAsia="方正仿宋_GBK" w:cs="Times New Roman"/>
          <w:bCs/>
          <w:color w:val="auto"/>
          <w:sz w:val="32"/>
          <w:szCs w:val="32"/>
          <w:highlight w:val="none"/>
          <w:lang w:eastAsia="zh-CN"/>
        </w:rPr>
        <w:t>，</w:t>
      </w:r>
      <w:r>
        <w:rPr>
          <w:rFonts w:hint="eastAsia" w:ascii="方正仿宋_GBK" w:hAnsi="Times New Roman" w:eastAsia="方正仿宋_GBK" w:cs="Times New Roman"/>
          <w:bCs/>
          <w:color w:val="auto"/>
          <w:sz w:val="32"/>
          <w:szCs w:val="32"/>
          <w:highlight w:val="none"/>
        </w:rPr>
        <w:t>持续提升城市资产价值，按照“北研发、中转化、南生成”思路，打造城市功能复合共融、山水园城有机共生的西部地区科产城融合发展示范区，提升宜研宜学、宜居宜业水平</w:t>
      </w:r>
      <w:r>
        <w:rPr>
          <w:rFonts w:hint="eastAsia" w:ascii="方正仿宋_GBK" w:hAnsi="方正仿宋_GBK" w:eastAsia="方正仿宋_GBK" w:cs="方正仿宋_GBK"/>
          <w:color w:val="auto"/>
          <w:sz w:val="32"/>
          <w:szCs w:val="32"/>
          <w:highlight w:val="none"/>
          <w:lang w:bidi="ar"/>
        </w:rPr>
        <w:t>。</w:t>
      </w:r>
    </w:p>
    <w:p w14:paraId="3D9FC15A">
      <w:pPr>
        <w:adjustRightInd w:val="0"/>
        <w:snapToGrid w:val="0"/>
        <w:spacing w:line="600" w:lineRule="exact"/>
        <w:ind w:firstLine="640" w:firstLineChars="200"/>
        <w:jc w:val="left"/>
        <w:rPr>
          <w:rFonts w:hint="eastAsia" w:ascii="方正仿宋_GBK" w:hAnsi="Times New Roman" w:eastAsia="方正仿宋_GBK" w:cs="Times New Roman"/>
          <w:bCs/>
          <w:color w:val="auto"/>
          <w:sz w:val="32"/>
          <w:szCs w:val="32"/>
          <w:highlight w:val="none"/>
        </w:rPr>
      </w:pPr>
    </w:p>
    <w:p w14:paraId="28CB984D">
      <w:pPr>
        <w:overflowPunct w:val="0"/>
        <w:adjustRightInd w:val="0"/>
        <w:snapToGrid w:val="0"/>
        <w:spacing w:line="600" w:lineRule="exact"/>
        <w:jc w:val="center"/>
        <w:outlineLvl w:val="1"/>
        <w:rPr>
          <w:bCs/>
          <w:color w:val="auto"/>
          <w:highlight w:val="none"/>
        </w:rPr>
      </w:pPr>
      <w:bookmarkStart w:id="332" w:name="_Toc16569"/>
      <w:bookmarkStart w:id="333" w:name="_Toc5767"/>
      <w:bookmarkStart w:id="334" w:name="_Toc15485"/>
      <w:bookmarkStart w:id="335" w:name="_Toc279740315"/>
      <w:bookmarkStart w:id="336" w:name="_Toc1802356446"/>
      <w:r>
        <w:rPr>
          <w:rFonts w:ascii="Times New Roman" w:hAnsi="Times New Roman" w:eastAsia="方正黑体_GBK" w:cs="Times New Roman"/>
          <w:bCs/>
          <w:color w:val="auto"/>
          <w:sz w:val="32"/>
          <w:szCs w:val="32"/>
          <w:highlight w:val="none"/>
        </w:rPr>
        <w:t xml:space="preserve">第一章 </w:t>
      </w:r>
      <w:bookmarkEnd w:id="332"/>
      <w:bookmarkEnd w:id="333"/>
      <w:r>
        <w:rPr>
          <w:rFonts w:hint="eastAsia" w:ascii="Times New Roman" w:hAnsi="Times New Roman" w:eastAsia="方正黑体_GBK" w:cs="Times New Roman"/>
          <w:bCs/>
          <w:color w:val="auto"/>
          <w:sz w:val="32"/>
          <w:szCs w:val="32"/>
          <w:highlight w:val="none"/>
        </w:rPr>
        <w:t>建设科产城融合发展示范区</w:t>
      </w:r>
      <w:bookmarkEnd w:id="334"/>
      <w:bookmarkEnd w:id="335"/>
      <w:bookmarkEnd w:id="336"/>
    </w:p>
    <w:p w14:paraId="6D775548">
      <w:pPr>
        <w:widowControl/>
        <w:adjustRightInd w:val="0"/>
        <w:snapToGrid w:val="0"/>
        <w:spacing w:line="600" w:lineRule="exact"/>
        <w:ind w:firstLine="640" w:firstLineChars="200"/>
        <w:rPr>
          <w:rFonts w:hint="eastAsia" w:ascii="Times New Roman" w:hAnsi="Times New Roman" w:eastAsia="方正仿宋_GBK" w:cs="Times New Roman"/>
          <w:bCs/>
          <w:color w:val="auto"/>
          <w:sz w:val="32"/>
          <w:szCs w:val="32"/>
          <w:highlight w:val="none"/>
          <w:lang w:eastAsia="zh-CN"/>
        </w:rPr>
      </w:pPr>
      <w:r>
        <w:rPr>
          <w:rFonts w:hint="eastAsia" w:ascii="Times New Roman" w:hAnsi="Times New Roman" w:eastAsia="方正仿宋_GBK" w:cs="Times New Roman"/>
          <w:bCs/>
          <w:color w:val="auto"/>
          <w:sz w:val="32"/>
          <w:szCs w:val="32"/>
          <w:highlight w:val="none"/>
        </w:rPr>
        <w:t>锚定科产城融合发展功能区建设目标，推动科技创新、产业发展和城市建设“三篇文章”在空间上相互交织、有机耦合、协调发展，全方位塑造科产城融合高品质城市发展格局</w:t>
      </w:r>
      <w:r>
        <w:rPr>
          <w:rFonts w:hint="eastAsia" w:ascii="Times New Roman" w:hAnsi="Times New Roman" w:eastAsia="方正仿宋_GBK" w:cs="Times New Roman"/>
          <w:bCs/>
          <w:color w:val="auto"/>
          <w:sz w:val="32"/>
          <w:szCs w:val="32"/>
          <w:highlight w:val="none"/>
          <w:lang w:eastAsia="zh-CN"/>
        </w:rPr>
        <w:t>。</w:t>
      </w:r>
    </w:p>
    <w:p w14:paraId="132646C2">
      <w:pPr>
        <w:adjustRightInd w:val="0"/>
        <w:snapToGrid w:val="0"/>
        <w:spacing w:line="600" w:lineRule="exact"/>
        <w:jc w:val="center"/>
        <w:outlineLvl w:val="2"/>
        <w:rPr>
          <w:rFonts w:hint="eastAsia" w:ascii="Times New Roman" w:hAnsi="Times New Roman" w:eastAsia="方正楷体_GBK" w:cs="Times New Roman"/>
          <w:color w:val="auto"/>
          <w:sz w:val="32"/>
          <w:szCs w:val="22"/>
          <w:highlight w:val="none"/>
        </w:rPr>
      </w:pPr>
      <w:bookmarkStart w:id="337" w:name="_Toc753770922"/>
      <w:bookmarkStart w:id="338" w:name="_Toc7239"/>
      <w:bookmarkStart w:id="339" w:name="_Toc1947946987"/>
      <w:r>
        <w:rPr>
          <w:rFonts w:hint="eastAsia" w:ascii="Times New Roman" w:hAnsi="Times New Roman" w:eastAsia="方正楷体_GBK" w:cs="Times New Roman"/>
          <w:color w:val="auto"/>
          <w:sz w:val="32"/>
          <w:szCs w:val="22"/>
          <w:highlight w:val="none"/>
        </w:rPr>
        <w:fldChar w:fldCharType="begin"/>
      </w:r>
      <w:r>
        <w:rPr>
          <w:rFonts w:hint="eastAsia" w:ascii="Times New Roman" w:hAnsi="Times New Roman" w:eastAsia="方正楷体_GBK" w:cs="Times New Roman"/>
          <w:color w:val="auto"/>
          <w:sz w:val="32"/>
          <w:szCs w:val="22"/>
          <w:highlight w:val="none"/>
        </w:rPr>
        <w:instrText xml:space="preserve"> HYPERLINK \l "_Toc13590" </w:instrText>
      </w:r>
      <w:r>
        <w:rPr>
          <w:rFonts w:hint="eastAsia" w:ascii="Times New Roman" w:hAnsi="Times New Roman" w:eastAsia="方正楷体_GBK" w:cs="Times New Roman"/>
          <w:color w:val="auto"/>
          <w:sz w:val="32"/>
          <w:szCs w:val="22"/>
          <w:highlight w:val="none"/>
        </w:rPr>
        <w:fldChar w:fldCharType="separate"/>
      </w:r>
      <w:r>
        <w:rPr>
          <w:rFonts w:hint="eastAsia" w:ascii="Times New Roman" w:hAnsi="Times New Roman" w:eastAsia="方正楷体_GBK" w:cs="Times New Roman"/>
          <w:bCs w:val="0"/>
          <w:color w:val="auto"/>
          <w:sz w:val="32"/>
          <w:szCs w:val="22"/>
          <w:highlight w:val="none"/>
        </w:rPr>
        <w:t>第一节 优化构建“1236”</w:t>
      </w:r>
      <w:r>
        <w:rPr>
          <w:rFonts w:hint="eastAsia" w:ascii="Times New Roman" w:hAnsi="Times New Roman" w:eastAsia="方正楷体_GBK" w:cs="Times New Roman"/>
          <w:bCs w:val="0"/>
          <w:color w:val="auto"/>
          <w:sz w:val="32"/>
          <w:szCs w:val="22"/>
          <w:highlight w:val="none"/>
          <w:lang w:val="en-US" w:eastAsia="zh-CN"/>
        </w:rPr>
        <w:t>城市</w:t>
      </w:r>
      <w:r>
        <w:rPr>
          <w:rFonts w:hint="eastAsia" w:ascii="Times New Roman" w:hAnsi="Times New Roman" w:eastAsia="方正楷体_GBK" w:cs="Times New Roman"/>
          <w:bCs w:val="0"/>
          <w:color w:val="auto"/>
          <w:sz w:val="32"/>
          <w:szCs w:val="22"/>
          <w:highlight w:val="none"/>
        </w:rPr>
        <w:t>总体功能布局</w:t>
      </w:r>
      <w:r>
        <w:rPr>
          <w:rFonts w:hint="eastAsia" w:ascii="Times New Roman" w:hAnsi="Times New Roman" w:eastAsia="方正楷体_GBK" w:cs="Times New Roman"/>
          <w:color w:val="auto"/>
          <w:sz w:val="32"/>
          <w:szCs w:val="22"/>
          <w:highlight w:val="none"/>
        </w:rPr>
        <w:fldChar w:fldCharType="end"/>
      </w:r>
      <w:bookmarkEnd w:id="337"/>
      <w:bookmarkEnd w:id="338"/>
      <w:bookmarkEnd w:id="339"/>
    </w:p>
    <w:p w14:paraId="15CB2AD9">
      <w:pPr>
        <w:widowControl/>
        <w:adjustRightInd w:val="0"/>
        <w:snapToGrid w:val="0"/>
        <w:spacing w:line="600" w:lineRule="exact"/>
        <w:ind w:firstLine="640" w:firstLineChars="200"/>
        <w:rPr>
          <w:rFonts w:hint="default" w:ascii="Times New Roman" w:hAnsi="Times New Roman" w:eastAsia="方正仿宋_GBK" w:cs="Times New Roman"/>
          <w:bCs/>
          <w:color w:val="auto"/>
          <w:sz w:val="32"/>
          <w:szCs w:val="32"/>
          <w:highlight w:val="none"/>
          <w:lang w:val="en-US" w:eastAsia="zh-CN"/>
        </w:rPr>
      </w:pPr>
      <w:r>
        <w:rPr>
          <w:rFonts w:ascii="Times New Roman" w:hAnsi="Times New Roman" w:eastAsia="方正仿宋_GBK" w:cs="Times New Roman"/>
          <w:bCs/>
          <w:color w:val="auto"/>
          <w:sz w:val="32"/>
          <w:szCs w:val="32"/>
          <w:highlight w:val="none"/>
        </w:rPr>
        <w:t>依托</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一坪</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两山</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四河</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多廊</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自然生态本底</w:t>
      </w:r>
      <w:r>
        <w:rPr>
          <w:rFonts w:hint="eastAsia" w:ascii="Times New Roman" w:hAnsi="Times New Roman" w:eastAsia="方正仿宋_GBK" w:cs="Times New Roman"/>
          <w:bCs/>
          <w:color w:val="auto"/>
          <w:sz w:val="32"/>
          <w:szCs w:val="32"/>
          <w:highlight w:val="none"/>
        </w:rPr>
        <w:t>，强化</w:t>
      </w:r>
      <w:r>
        <w:rPr>
          <w:rFonts w:hint="eastAsia" w:ascii="Times New Roman" w:hAnsi="Times New Roman" w:eastAsia="方正仿宋_GBK" w:cs="Times New Roman"/>
          <w:bCs/>
          <w:color w:val="auto"/>
          <w:sz w:val="32"/>
          <w:szCs w:val="32"/>
          <w:highlight w:val="none"/>
          <w:lang w:val="en-US" w:eastAsia="zh-CN"/>
        </w:rPr>
        <w:t>产业发展、</w:t>
      </w:r>
      <w:r>
        <w:rPr>
          <w:rFonts w:hint="eastAsia" w:ascii="Times New Roman" w:hAnsi="Times New Roman" w:eastAsia="方正仿宋_GBK" w:cs="Times New Roman"/>
          <w:bCs/>
          <w:color w:val="auto"/>
          <w:sz w:val="32"/>
          <w:szCs w:val="32"/>
          <w:highlight w:val="none"/>
        </w:rPr>
        <w:t>科技创新、城市建设等核心功能</w:t>
      </w:r>
      <w:r>
        <w:rPr>
          <w:rFonts w:ascii="Times New Roman" w:hAnsi="Times New Roman" w:eastAsia="方正仿宋_GBK" w:cs="Times New Roman"/>
          <w:bCs/>
          <w:color w:val="auto"/>
          <w:sz w:val="32"/>
          <w:szCs w:val="32"/>
          <w:highlight w:val="none"/>
        </w:rPr>
        <w:t>，</w:t>
      </w:r>
      <w:r>
        <w:rPr>
          <w:rFonts w:hint="eastAsia" w:ascii="Times New Roman" w:hAnsi="Times New Roman" w:eastAsia="方正仿宋_GBK" w:cs="Times New Roman"/>
          <w:bCs/>
          <w:color w:val="auto"/>
          <w:sz w:val="32"/>
          <w:szCs w:val="32"/>
          <w:highlight w:val="none"/>
        </w:rPr>
        <w:t>统筹科创、生产、生活、生态空间联动发展，综合评估要素资源匹配度</w:t>
      </w:r>
      <w:r>
        <w:rPr>
          <w:rFonts w:hint="eastAsia" w:ascii="Times New Roman" w:hAnsi="Times New Roman" w:eastAsia="方正仿宋_GBK" w:cs="Times New Roman"/>
          <w:bCs/>
          <w:color w:val="auto"/>
          <w:sz w:val="32"/>
          <w:szCs w:val="32"/>
          <w:highlight w:val="none"/>
          <w:lang w:eastAsia="zh-CN"/>
        </w:rPr>
        <w:t>，</w:t>
      </w:r>
      <w:r>
        <w:rPr>
          <w:rFonts w:hint="eastAsia" w:ascii="Times New Roman" w:hAnsi="Times New Roman" w:eastAsia="方正仿宋_GBK" w:cs="Times New Roman"/>
          <w:bCs/>
          <w:color w:val="auto"/>
          <w:sz w:val="32"/>
          <w:szCs w:val="32"/>
          <w:highlight w:val="none"/>
        </w:rPr>
        <w:t>精准补齐功能短板</w:t>
      </w:r>
      <w:r>
        <w:rPr>
          <w:rFonts w:hint="eastAsia" w:ascii="Times New Roman" w:hAnsi="Times New Roman" w:eastAsia="方正仿宋_GBK" w:cs="Times New Roman"/>
          <w:bCs/>
          <w:color w:val="auto"/>
          <w:sz w:val="32"/>
          <w:szCs w:val="32"/>
          <w:highlight w:val="none"/>
          <w:lang w:eastAsia="zh-CN"/>
        </w:rPr>
        <w:t>，加快人口和产业集聚，</w:t>
      </w:r>
      <w:r>
        <w:rPr>
          <w:rFonts w:hint="eastAsia" w:ascii="Times New Roman" w:hAnsi="Times New Roman" w:eastAsia="方正仿宋_GBK" w:cs="Times New Roman"/>
          <w:bCs/>
          <w:color w:val="auto"/>
          <w:sz w:val="32"/>
          <w:szCs w:val="32"/>
          <w:highlight w:val="none"/>
          <w:lang w:val="en-US" w:eastAsia="zh-CN"/>
        </w:rPr>
        <w:t>全力提升</w:t>
      </w:r>
      <w:r>
        <w:rPr>
          <w:rFonts w:hint="eastAsia" w:ascii="Times New Roman" w:hAnsi="Times New Roman" w:eastAsia="方正仿宋_GBK" w:cs="Times New Roman"/>
          <w:bCs/>
          <w:color w:val="auto"/>
          <w:sz w:val="32"/>
          <w:szCs w:val="32"/>
          <w:highlight w:val="none"/>
          <w:lang w:eastAsia="zh-CN"/>
        </w:rPr>
        <w:t>“金凤—大学城—西永”</w:t>
      </w:r>
      <w:r>
        <w:rPr>
          <w:rFonts w:hint="eastAsia" w:ascii="Times New Roman" w:hAnsi="Times New Roman" w:eastAsia="方正仿宋_GBK" w:cs="Times New Roman"/>
          <w:bCs/>
          <w:color w:val="auto"/>
          <w:sz w:val="32"/>
          <w:szCs w:val="32"/>
          <w:highlight w:val="none"/>
          <w:lang w:val="en-US" w:eastAsia="zh-CN"/>
        </w:rPr>
        <w:t>发展</w:t>
      </w:r>
      <w:r>
        <w:rPr>
          <w:rFonts w:hint="eastAsia" w:ascii="Times New Roman" w:hAnsi="Times New Roman" w:eastAsia="方正仿宋_GBK" w:cs="Times New Roman"/>
          <w:bCs/>
          <w:color w:val="auto"/>
          <w:sz w:val="32"/>
          <w:szCs w:val="32"/>
          <w:highlight w:val="none"/>
          <w:lang w:eastAsia="zh-CN"/>
        </w:rPr>
        <w:t>能级。</w:t>
      </w:r>
      <w:r>
        <w:rPr>
          <w:rFonts w:hint="eastAsia" w:ascii="Times New Roman" w:hAnsi="Times New Roman" w:eastAsia="方正仿宋_GBK" w:cs="Times New Roman"/>
          <w:bCs/>
          <w:color w:val="auto"/>
          <w:sz w:val="32"/>
          <w:szCs w:val="32"/>
          <w:highlight w:val="none"/>
          <w:lang w:val="en-US" w:eastAsia="zh-CN"/>
        </w:rPr>
        <w:t>总体</w:t>
      </w:r>
      <w:r>
        <w:rPr>
          <w:rFonts w:ascii="Times New Roman" w:hAnsi="Times New Roman" w:eastAsia="方正仿宋_GBK" w:cs="Times New Roman"/>
          <w:bCs/>
          <w:color w:val="auto"/>
          <w:sz w:val="32"/>
          <w:szCs w:val="32"/>
          <w:highlight w:val="none"/>
        </w:rPr>
        <w:t>构建</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一心、两副、三片、六组</w:t>
      </w:r>
      <w:r>
        <w:rPr>
          <w:rFonts w:hint="eastAsia" w:ascii="Times New Roman" w:hAnsi="Times New Roman" w:eastAsia="方正仿宋_GBK" w:cs="Times New Roman"/>
          <w:bCs/>
          <w:color w:val="auto"/>
          <w:sz w:val="32"/>
          <w:szCs w:val="32"/>
          <w:highlight w:val="none"/>
        </w:rPr>
        <w:t>团”</w:t>
      </w:r>
      <w:r>
        <w:rPr>
          <w:rFonts w:ascii="Times New Roman" w:hAnsi="Times New Roman" w:eastAsia="方正仿宋_GBK" w:cs="Times New Roman"/>
          <w:bCs/>
          <w:color w:val="auto"/>
          <w:sz w:val="32"/>
          <w:szCs w:val="32"/>
          <w:highlight w:val="none"/>
        </w:rPr>
        <w:t>的</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1236</w:t>
      </w:r>
      <w:r>
        <w:rPr>
          <w:rFonts w:hint="eastAsia" w:ascii="Times New Roman" w:hAnsi="Times New Roman" w:eastAsia="方正仿宋_GBK" w:cs="Times New Roman"/>
          <w:bCs/>
          <w:color w:val="auto"/>
          <w:sz w:val="32"/>
          <w:szCs w:val="32"/>
          <w:highlight w:val="none"/>
        </w:rPr>
        <w:t>”</w:t>
      </w:r>
      <w:r>
        <w:rPr>
          <w:rFonts w:hint="eastAsia" w:ascii="Times New Roman" w:hAnsi="Times New Roman" w:eastAsia="方正仿宋_GBK" w:cs="Times New Roman"/>
          <w:bCs/>
          <w:color w:val="auto"/>
          <w:sz w:val="32"/>
          <w:szCs w:val="32"/>
          <w:highlight w:val="none"/>
          <w:lang w:val="en-US" w:eastAsia="zh-CN"/>
        </w:rPr>
        <w:t>城市</w:t>
      </w:r>
      <w:r>
        <w:rPr>
          <w:rFonts w:hint="eastAsia" w:ascii="Times New Roman" w:hAnsi="Times New Roman" w:eastAsia="方正仿宋_GBK" w:cs="Times New Roman"/>
          <w:bCs/>
          <w:color w:val="auto"/>
          <w:sz w:val="32"/>
          <w:szCs w:val="32"/>
          <w:highlight w:val="none"/>
        </w:rPr>
        <w:t>总体功能布局</w:t>
      </w:r>
      <w:r>
        <w:rPr>
          <w:rFonts w:hint="eastAsia" w:ascii="Times New Roman" w:hAnsi="Times New Roman" w:eastAsia="方正仿宋_GBK" w:cs="Times New Roman"/>
          <w:bCs/>
          <w:color w:val="auto"/>
          <w:sz w:val="32"/>
          <w:szCs w:val="32"/>
          <w:highlight w:val="none"/>
          <w:lang w:eastAsia="zh-CN"/>
        </w:rPr>
        <w:t>，</w:t>
      </w:r>
      <w:r>
        <w:rPr>
          <w:rFonts w:hint="eastAsia" w:ascii="Times New Roman" w:hAnsi="Times New Roman" w:eastAsia="方正仿宋_GBK" w:cs="Times New Roman"/>
          <w:bCs/>
          <w:color w:val="auto"/>
          <w:sz w:val="32"/>
          <w:szCs w:val="32"/>
          <w:highlight w:val="none"/>
          <w:lang w:val="en-US" w:eastAsia="zh-CN"/>
        </w:rPr>
        <w:t>着力发展金凤</w:t>
      </w:r>
      <w:r>
        <w:rPr>
          <w:rFonts w:hint="eastAsia" w:ascii="Times New Roman" w:hAnsi="Times New Roman" w:eastAsia="方正仿宋_GBK" w:cs="Times New Roman"/>
          <w:bCs/>
          <w:color w:val="auto"/>
          <w:sz w:val="32"/>
          <w:szCs w:val="32"/>
          <w:highlight w:val="none"/>
        </w:rPr>
        <w:t>城市中心</w:t>
      </w:r>
      <w:r>
        <w:rPr>
          <w:rFonts w:hint="eastAsia" w:ascii="Times New Roman" w:hAnsi="Times New Roman" w:eastAsia="方正仿宋_GBK" w:cs="Times New Roman"/>
          <w:bCs/>
          <w:color w:val="auto"/>
          <w:sz w:val="32"/>
          <w:szCs w:val="32"/>
          <w:highlight w:val="none"/>
          <w:lang w:val="en-US" w:eastAsia="zh-CN"/>
        </w:rPr>
        <w:t>，做强</w:t>
      </w:r>
      <w:r>
        <w:rPr>
          <w:rFonts w:hint="eastAsia" w:ascii="Times New Roman" w:hAnsi="Times New Roman" w:eastAsia="方正仿宋_GBK" w:cs="Times New Roman"/>
          <w:bCs/>
          <w:color w:val="auto"/>
          <w:sz w:val="32"/>
          <w:szCs w:val="32"/>
          <w:highlight w:val="none"/>
        </w:rPr>
        <w:t>大学城、西永微电园</w:t>
      </w:r>
      <w:r>
        <w:rPr>
          <w:rFonts w:hint="eastAsia" w:ascii="Times New Roman" w:hAnsi="Times New Roman" w:eastAsia="方正仿宋_GBK" w:cs="Times New Roman"/>
          <w:bCs/>
          <w:color w:val="auto"/>
          <w:sz w:val="32"/>
          <w:szCs w:val="32"/>
          <w:highlight w:val="none"/>
          <w:lang w:val="en-US" w:eastAsia="zh-CN"/>
        </w:rPr>
        <w:t>两个高新区</w:t>
      </w:r>
      <w:r>
        <w:rPr>
          <w:rFonts w:hint="eastAsia" w:ascii="Times New Roman" w:hAnsi="Times New Roman" w:eastAsia="方正仿宋_GBK" w:cs="Times New Roman"/>
          <w:bCs/>
          <w:color w:val="auto"/>
          <w:sz w:val="32"/>
          <w:szCs w:val="32"/>
          <w:highlight w:val="none"/>
        </w:rPr>
        <w:t>城市副中心，夯实</w:t>
      </w:r>
      <w:r>
        <w:rPr>
          <w:rFonts w:hint="eastAsia" w:ascii="方正仿宋_GBK" w:hAnsi="Times New Roman" w:eastAsia="方正仿宋_GBK" w:cs="Times New Roman"/>
          <w:bCs/>
          <w:color w:val="auto"/>
          <w:sz w:val="32"/>
          <w:szCs w:val="32"/>
          <w:highlight w:val="none"/>
        </w:rPr>
        <w:t>北部研发策源片区、中部技术创新片区、南部产业生成片区三大功能片区，协同</w:t>
      </w:r>
      <w:r>
        <w:rPr>
          <w:rFonts w:hint="eastAsia" w:ascii="Times New Roman" w:hAnsi="Times New Roman" w:eastAsia="方正仿宋_GBK" w:cs="Times New Roman"/>
          <w:bCs/>
          <w:color w:val="auto"/>
          <w:sz w:val="32"/>
          <w:szCs w:val="32"/>
          <w:highlight w:val="none"/>
        </w:rPr>
        <w:t>推进大学城组团、曾家香炉山组团、西永组团、金凤城市中心组团、白市驿走马组团、巴福石板组团六个城市组团功能品质提升</w:t>
      </w:r>
      <w:r>
        <w:rPr>
          <w:rFonts w:hint="eastAsia" w:ascii="Times New Roman" w:hAnsi="Times New Roman" w:eastAsia="方正仿宋_GBK" w:cs="Times New Roman"/>
          <w:bCs/>
          <w:color w:val="auto"/>
          <w:sz w:val="32"/>
          <w:szCs w:val="32"/>
          <w:highlight w:val="none"/>
          <w:lang w:val="en-US" w:eastAsia="zh-CN"/>
        </w:rPr>
        <w:t>。</w:t>
      </w:r>
    </w:p>
    <w:bookmarkEnd w:id="331"/>
    <w:p w14:paraId="0F12A13D">
      <w:pPr>
        <w:widowControl/>
        <w:overflowPunct w:val="0"/>
        <w:jc w:val="center"/>
        <w:rPr>
          <w:rFonts w:hint="eastAsia" w:ascii="Times New Roman" w:hAnsi="Times New Roman" w:eastAsia="方正黑体_GBK" w:cs="方正黑体_GBK"/>
          <w:color w:val="auto"/>
          <w:kern w:val="0"/>
          <w:sz w:val="32"/>
          <w:szCs w:val="32"/>
          <w:highlight w:val="none"/>
          <w:u w:val="none"/>
          <w:lang w:val="en-US" w:eastAsia="zh-CN" w:bidi="ar"/>
        </w:rPr>
      </w:pPr>
      <w:bookmarkStart w:id="340" w:name="_Toc168"/>
      <w:bookmarkStart w:id="341" w:name="_Toc16273"/>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19</w:t>
      </w:r>
      <w:r>
        <w:rPr>
          <w:rFonts w:hint="eastAsia" w:ascii="Times New Roman" w:hAnsi="Times New Roman" w:eastAsia="方正黑体_GBK" w:cs="方正黑体_GBK"/>
          <w:color w:val="auto"/>
          <w:kern w:val="0"/>
          <w:sz w:val="32"/>
          <w:szCs w:val="32"/>
          <w:highlight w:val="none"/>
          <w:u w:val="none"/>
          <w:lang w:bidi="ar"/>
        </w:rPr>
        <w:t xml:space="preserve"> </w:t>
      </w:r>
      <w:r>
        <w:rPr>
          <w:rFonts w:hint="eastAsia" w:ascii="Times New Roman" w:hAnsi="Times New Roman" w:eastAsia="方正黑体_GBK" w:cs="方正黑体_GBK"/>
          <w:bCs w:val="0"/>
          <w:color w:val="auto"/>
          <w:kern w:val="0"/>
          <w:sz w:val="32"/>
          <w:szCs w:val="32"/>
          <w:highlight w:val="none"/>
          <w:u w:val="none"/>
          <w:lang w:bidi="ar"/>
        </w:rPr>
        <w:t>“1236”</w:t>
      </w:r>
      <w:r>
        <w:rPr>
          <w:rFonts w:hint="eastAsia" w:ascii="Times New Roman" w:hAnsi="Times New Roman" w:eastAsia="方正黑体_GBK" w:cs="方正黑体_GBK"/>
          <w:bCs w:val="0"/>
          <w:color w:val="auto"/>
          <w:kern w:val="0"/>
          <w:sz w:val="32"/>
          <w:szCs w:val="32"/>
          <w:highlight w:val="none"/>
          <w:u w:val="none"/>
          <w:lang w:val="en-US" w:eastAsia="zh-CN" w:bidi="ar"/>
        </w:rPr>
        <w:t>城市</w:t>
      </w:r>
      <w:r>
        <w:rPr>
          <w:rFonts w:hint="eastAsia" w:ascii="Times New Roman" w:hAnsi="Times New Roman" w:eastAsia="方正黑体_GBK" w:cs="方正黑体_GBK"/>
          <w:bCs w:val="0"/>
          <w:color w:val="auto"/>
          <w:kern w:val="0"/>
          <w:sz w:val="32"/>
          <w:szCs w:val="32"/>
          <w:highlight w:val="none"/>
          <w:u w:val="none"/>
          <w:lang w:bidi="ar"/>
        </w:rPr>
        <w:t>总体功能布局</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79A0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5D2F1F37">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default" w:ascii="Times New Roman" w:hAnsi="Times New Roman" w:eastAsia="方正黑体_GBK" w:cs="Times New Roman"/>
                <w:color w:val="auto"/>
                <w:kern w:val="0"/>
                <w:sz w:val="24"/>
                <w:highlight w:val="none"/>
                <w:u w:val="none"/>
                <w:lang w:val="en-US" w:eastAsia="zh-CN" w:bidi="ar-SA"/>
              </w:rPr>
              <w:t>1</w:t>
            </w:r>
            <w:r>
              <w:rPr>
                <w:rFonts w:hint="default" w:ascii="Times New Roman" w:hAnsi="Times New Roman" w:eastAsia="方正黑体_GBK" w:cs="Times New Roman"/>
                <w:color w:val="auto"/>
                <w:kern w:val="0"/>
                <w:sz w:val="24"/>
                <w:szCs w:val="24"/>
                <w:highlight w:val="none"/>
                <w:u w:val="none"/>
              </w:rPr>
              <w:t>．</w:t>
            </w:r>
            <w:r>
              <w:rPr>
                <w:rFonts w:hint="default" w:ascii="Times New Roman" w:hAnsi="Times New Roman" w:eastAsia="方正黑体_GBK" w:cs="Times New Roman"/>
                <w:color w:val="auto"/>
                <w:kern w:val="0"/>
                <w:sz w:val="24"/>
                <w:highlight w:val="none"/>
                <w:u w:val="none"/>
                <w:lang w:bidi="ar-SA"/>
              </w:rPr>
              <w:t>一心：</w:t>
            </w:r>
            <w:r>
              <w:rPr>
                <w:rFonts w:hint="eastAsia" w:ascii="Times New Roman" w:hAnsi="Times New Roman" w:eastAsia="方正书宋_GBK" w:cs="Times New Roman"/>
                <w:color w:val="auto"/>
                <w:kern w:val="0"/>
                <w:sz w:val="24"/>
                <w:highlight w:val="none"/>
                <w:u w:val="none"/>
                <w:lang w:bidi="ar-SA"/>
              </w:rPr>
              <w:t>金凤城市中心。聚焦科技研发、技术孵化、产业转化、科技金融、国际交往交流、高端商业居住等核心功能，高水平建设重庆高新区城市主中心。</w:t>
            </w:r>
          </w:p>
          <w:p w14:paraId="085D91D5">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2</w:t>
            </w:r>
            <w:r>
              <w:rPr>
                <w:rFonts w:hint="eastAsia" w:ascii="Times New Roman" w:hAnsi="Times New Roman" w:eastAsia="方正书宋_GBK" w:cs="Times New Roman"/>
                <w:color w:val="auto"/>
                <w:kern w:val="0"/>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两副</w:t>
            </w:r>
            <w:r>
              <w:rPr>
                <w:rFonts w:hint="eastAsia" w:ascii="Times New Roman" w:hAnsi="Times New Roman" w:eastAsia="方正书宋_GBK" w:cs="Times New Roman"/>
                <w:color w:val="auto"/>
                <w:kern w:val="0"/>
                <w:sz w:val="24"/>
                <w:highlight w:val="none"/>
                <w:u w:val="none"/>
                <w:lang w:bidi="ar-SA"/>
              </w:rPr>
              <w:t>：大学城城市副中心和西永微电园城市副中心。</w:t>
            </w:r>
            <w:r>
              <w:rPr>
                <w:rFonts w:hint="eastAsia" w:ascii="Times New Roman" w:hAnsi="Times New Roman" w:eastAsia="方正黑体_GBK" w:cs="方正黑体_GBK"/>
                <w:color w:val="auto"/>
                <w:kern w:val="0"/>
                <w:sz w:val="24"/>
                <w:highlight w:val="none"/>
                <w:u w:val="none"/>
                <w:lang w:bidi="ar-SA"/>
              </w:rPr>
              <w:t>大学城</w:t>
            </w:r>
            <w:r>
              <w:rPr>
                <w:rFonts w:hint="eastAsia" w:ascii="Times New Roman" w:hAnsi="Times New Roman" w:eastAsia="方正黑体_GBK" w:cs="方正黑体_GBK"/>
                <w:color w:val="auto"/>
                <w:kern w:val="0"/>
                <w:sz w:val="24"/>
                <w:highlight w:val="none"/>
                <w:u w:val="none"/>
                <w:lang w:eastAsia="zh-CN" w:bidi="ar-SA"/>
              </w:rPr>
              <w:t>城市</w:t>
            </w:r>
            <w:r>
              <w:rPr>
                <w:rFonts w:hint="eastAsia" w:ascii="Times New Roman" w:hAnsi="Times New Roman" w:eastAsia="方正黑体_GBK" w:cs="方正黑体_GBK"/>
                <w:color w:val="auto"/>
                <w:kern w:val="0"/>
                <w:sz w:val="24"/>
                <w:highlight w:val="none"/>
                <w:u w:val="none"/>
                <w:lang w:bidi="ar-SA"/>
              </w:rPr>
              <w:t>副中心</w:t>
            </w:r>
            <w:r>
              <w:rPr>
                <w:rFonts w:hint="eastAsia" w:ascii="Times New Roman" w:hAnsi="Times New Roman" w:eastAsia="方正书宋_GBK" w:cs="Times New Roman"/>
                <w:color w:val="auto"/>
                <w:kern w:val="0"/>
                <w:sz w:val="24"/>
                <w:highlight w:val="none"/>
                <w:u w:val="none"/>
                <w:lang w:bidi="ar-SA"/>
              </w:rPr>
              <w:t>，立足大学城高校、科研院所资源优势，加力推动科学城和大学城深度融合，打造环大学城创新生态圈。</w:t>
            </w:r>
            <w:r>
              <w:rPr>
                <w:rFonts w:hint="eastAsia" w:ascii="Times New Roman" w:hAnsi="Times New Roman" w:eastAsia="方正黑体_GBK" w:cs="方正黑体_GBK"/>
                <w:color w:val="auto"/>
                <w:kern w:val="0"/>
                <w:sz w:val="24"/>
                <w:highlight w:val="none"/>
                <w:u w:val="none"/>
                <w:lang w:bidi="ar-SA"/>
              </w:rPr>
              <w:t>西永</w:t>
            </w:r>
            <w:r>
              <w:rPr>
                <w:rFonts w:hint="eastAsia" w:ascii="Times New Roman" w:hAnsi="Times New Roman" w:eastAsia="方正黑体_GBK" w:cs="方正黑体_GBK"/>
                <w:color w:val="auto"/>
                <w:kern w:val="0"/>
                <w:sz w:val="24"/>
                <w:highlight w:val="none"/>
                <w:u w:val="none"/>
                <w:lang w:eastAsia="zh-CN" w:bidi="ar-SA"/>
              </w:rPr>
              <w:t>微电园城市</w:t>
            </w:r>
            <w:r>
              <w:rPr>
                <w:rFonts w:hint="eastAsia" w:ascii="Times New Roman" w:hAnsi="Times New Roman" w:eastAsia="方正黑体_GBK" w:cs="方正黑体_GBK"/>
                <w:color w:val="auto"/>
                <w:kern w:val="0"/>
                <w:sz w:val="24"/>
                <w:highlight w:val="none"/>
                <w:u w:val="none"/>
                <w:lang w:bidi="ar-SA"/>
              </w:rPr>
              <w:t>副中心</w:t>
            </w:r>
            <w:r>
              <w:rPr>
                <w:rFonts w:hint="eastAsia" w:ascii="Times New Roman" w:hAnsi="Times New Roman" w:eastAsia="方正书宋_GBK" w:cs="Times New Roman"/>
                <w:color w:val="auto"/>
                <w:kern w:val="0"/>
                <w:sz w:val="24"/>
                <w:highlight w:val="none"/>
                <w:u w:val="none"/>
                <w:lang w:bidi="ar-SA"/>
              </w:rPr>
              <w:t>，依托西永产业基础，夯实商业商务、研发制造、生产性和生活性服务业等功能，持续</w:t>
            </w:r>
            <w:r>
              <w:rPr>
                <w:rFonts w:hint="eastAsia" w:ascii="Times New Roman" w:hAnsi="Times New Roman" w:eastAsia="方正书宋_GBK" w:cs="Times New Roman"/>
                <w:color w:val="auto"/>
                <w:kern w:val="0"/>
                <w:sz w:val="24"/>
                <w:highlight w:val="none"/>
                <w:u w:val="none"/>
                <w:lang w:eastAsia="zh-CN" w:bidi="ar-SA"/>
              </w:rPr>
              <w:t>推进</w:t>
            </w:r>
            <w:r>
              <w:rPr>
                <w:rFonts w:hint="eastAsia" w:ascii="Times New Roman" w:hAnsi="Times New Roman" w:eastAsia="方正书宋_GBK" w:cs="Times New Roman"/>
                <w:color w:val="auto"/>
                <w:kern w:val="0"/>
                <w:sz w:val="24"/>
                <w:highlight w:val="none"/>
                <w:u w:val="none"/>
                <w:lang w:val="en-US" w:eastAsia="zh-CN" w:bidi="ar-SA"/>
              </w:rPr>
              <w:t>现代</w:t>
            </w:r>
            <w:r>
              <w:rPr>
                <w:rFonts w:hint="eastAsia" w:ascii="Times New Roman" w:hAnsi="Times New Roman" w:eastAsia="方正书宋_GBK" w:cs="Times New Roman"/>
                <w:color w:val="auto"/>
                <w:kern w:val="0"/>
                <w:sz w:val="24"/>
                <w:highlight w:val="none"/>
                <w:u w:val="none"/>
                <w:lang w:bidi="ar-SA"/>
              </w:rPr>
              <w:t>制造业和现代服务业</w:t>
            </w:r>
            <w:r>
              <w:rPr>
                <w:rFonts w:hint="eastAsia" w:ascii="Times New Roman" w:hAnsi="Times New Roman" w:eastAsia="方正书宋_GBK" w:cs="Times New Roman"/>
                <w:color w:val="auto"/>
                <w:kern w:val="0"/>
                <w:sz w:val="24"/>
                <w:highlight w:val="none"/>
                <w:u w:val="none"/>
                <w:lang w:eastAsia="zh-CN" w:bidi="ar-SA"/>
              </w:rPr>
              <w:t>深度融合</w:t>
            </w:r>
            <w:r>
              <w:rPr>
                <w:rFonts w:hint="eastAsia" w:ascii="Times New Roman" w:hAnsi="Times New Roman" w:eastAsia="方正书宋_GBK" w:cs="Times New Roman"/>
                <w:color w:val="auto"/>
                <w:kern w:val="0"/>
                <w:sz w:val="24"/>
                <w:highlight w:val="none"/>
                <w:u w:val="none"/>
                <w:lang w:bidi="ar-SA"/>
              </w:rPr>
              <w:t>。</w:t>
            </w:r>
          </w:p>
          <w:p w14:paraId="338A2CBE">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书宋_GBK" w:cs="Times New Roman"/>
                <w:color w:val="auto"/>
                <w:kern w:val="0"/>
                <w:sz w:val="24"/>
                <w:highlight w:val="none"/>
                <w:u w:val="none"/>
                <w:lang w:val="en-US" w:eastAsia="zh-CN" w:bidi="ar-SA"/>
              </w:rPr>
              <w:t>3</w:t>
            </w:r>
            <w:r>
              <w:rPr>
                <w:rFonts w:hint="eastAsia" w:ascii="Times New Roman" w:hAnsi="Times New Roman" w:eastAsia="方正书宋_GBK" w:cs="Times New Roman"/>
                <w:color w:val="auto"/>
                <w:kern w:val="0"/>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三片</w:t>
            </w:r>
            <w:r>
              <w:rPr>
                <w:rFonts w:hint="eastAsia" w:ascii="Times New Roman" w:hAnsi="Times New Roman" w:eastAsia="方正书宋_GBK" w:cs="Times New Roman"/>
                <w:color w:val="auto"/>
                <w:kern w:val="0"/>
                <w:sz w:val="24"/>
                <w:highlight w:val="none"/>
                <w:u w:val="none"/>
                <w:lang w:bidi="ar-SA"/>
              </w:rPr>
              <w:t>：北部研发策源片区、中部技术创新片区、南部产业生成片区。</w:t>
            </w:r>
            <w:r>
              <w:rPr>
                <w:rFonts w:hint="eastAsia" w:ascii="Times New Roman" w:hAnsi="Times New Roman" w:eastAsia="方正黑体_GBK" w:cs="方正黑体_GBK"/>
                <w:color w:val="auto"/>
                <w:kern w:val="0"/>
                <w:sz w:val="24"/>
                <w:highlight w:val="none"/>
                <w:u w:val="none"/>
                <w:lang w:bidi="ar-SA"/>
              </w:rPr>
              <w:t>北研发</w:t>
            </w:r>
            <w:r>
              <w:rPr>
                <w:rFonts w:hint="eastAsia" w:ascii="Times New Roman" w:hAnsi="Times New Roman" w:eastAsia="方正书宋_GBK" w:cs="Times New Roman"/>
                <w:color w:val="auto"/>
                <w:kern w:val="0"/>
                <w:sz w:val="24"/>
                <w:highlight w:val="none"/>
                <w:u w:val="none"/>
                <w:lang w:bidi="ar-SA"/>
              </w:rPr>
              <w:t>，依托大学城资源，强化基础研究、人才培育和创新策源等核心功能。</w:t>
            </w:r>
            <w:r>
              <w:rPr>
                <w:rFonts w:hint="eastAsia" w:ascii="Times New Roman" w:hAnsi="Times New Roman" w:eastAsia="方正黑体_GBK" w:cs="方正黑体_GBK"/>
                <w:color w:val="auto"/>
                <w:kern w:val="0"/>
                <w:sz w:val="24"/>
                <w:highlight w:val="none"/>
                <w:u w:val="none"/>
                <w:lang w:bidi="ar-SA"/>
              </w:rPr>
              <w:t>中转化</w:t>
            </w:r>
            <w:r>
              <w:rPr>
                <w:rFonts w:hint="eastAsia" w:ascii="Times New Roman" w:hAnsi="Times New Roman" w:eastAsia="方正书宋_GBK" w:cs="Times New Roman"/>
                <w:color w:val="auto"/>
                <w:kern w:val="0"/>
                <w:sz w:val="24"/>
                <w:highlight w:val="none"/>
                <w:u w:val="none"/>
                <w:lang w:bidi="ar-SA"/>
              </w:rPr>
              <w:t>，依托创新型企业、研发机构、金融机构等集聚优势，承接</w:t>
            </w:r>
            <w:r>
              <w:rPr>
                <w:rFonts w:hint="eastAsia" w:ascii="Times New Roman" w:hAnsi="Times New Roman" w:eastAsia="方正书宋_GBK" w:cs="Times New Roman"/>
                <w:color w:val="auto"/>
                <w:kern w:val="0"/>
                <w:sz w:val="24"/>
                <w:highlight w:val="none"/>
                <w:u w:val="none"/>
                <w:lang w:val="en-US" w:eastAsia="zh-CN" w:bidi="ar-SA"/>
              </w:rPr>
              <w:t>小试</w:t>
            </w:r>
            <w:r>
              <w:rPr>
                <w:rFonts w:hint="eastAsia" w:ascii="Times New Roman" w:hAnsi="Times New Roman" w:eastAsia="方正书宋_GBK" w:cs="Times New Roman"/>
                <w:color w:val="auto"/>
                <w:kern w:val="0"/>
                <w:sz w:val="24"/>
                <w:highlight w:val="none"/>
                <w:u w:val="none"/>
                <w:lang w:bidi="ar-SA"/>
              </w:rPr>
              <w:t>中试、成果转化</w:t>
            </w:r>
            <w:r>
              <w:rPr>
                <w:rFonts w:hint="eastAsia" w:ascii="Times New Roman" w:hAnsi="Times New Roman" w:eastAsia="方正书宋_GBK" w:cs="Times New Roman"/>
                <w:color w:val="auto"/>
                <w:kern w:val="0"/>
                <w:sz w:val="24"/>
                <w:highlight w:val="none"/>
                <w:u w:val="none"/>
                <w:lang w:eastAsia="zh-CN" w:bidi="ar-SA"/>
              </w:rPr>
              <w:t>、</w:t>
            </w:r>
            <w:r>
              <w:rPr>
                <w:rFonts w:hint="eastAsia" w:ascii="Times New Roman" w:hAnsi="Times New Roman" w:eastAsia="方正书宋_GBK" w:cs="Times New Roman"/>
                <w:color w:val="auto"/>
                <w:kern w:val="0"/>
                <w:sz w:val="24"/>
                <w:highlight w:val="none"/>
                <w:u w:val="none"/>
                <w:lang w:bidi="ar-SA"/>
              </w:rPr>
              <w:t>创新服务、高端商业、国际交往等功能，打造功能复合的城市核心片区。</w:t>
            </w:r>
            <w:r>
              <w:rPr>
                <w:rFonts w:hint="eastAsia" w:ascii="Times New Roman" w:hAnsi="Times New Roman" w:eastAsia="方正黑体_GBK" w:cs="方正黑体_GBK"/>
                <w:color w:val="auto"/>
                <w:kern w:val="0"/>
                <w:sz w:val="24"/>
                <w:highlight w:val="none"/>
                <w:u w:val="none"/>
                <w:lang w:bidi="ar-SA"/>
              </w:rPr>
              <w:t>南制造</w:t>
            </w:r>
            <w:r>
              <w:rPr>
                <w:rFonts w:hint="eastAsia" w:ascii="Times New Roman" w:hAnsi="Times New Roman" w:eastAsia="方正书宋_GBK" w:cs="Times New Roman"/>
                <w:color w:val="auto"/>
                <w:kern w:val="0"/>
                <w:sz w:val="24"/>
                <w:highlight w:val="none"/>
                <w:u w:val="none"/>
                <w:lang w:bidi="ar-SA"/>
              </w:rPr>
              <w:t>，聚焦主导产业培育，打造特色鲜明、链条完整的制造业集群</w:t>
            </w:r>
            <w:r>
              <w:rPr>
                <w:rFonts w:hint="eastAsia" w:ascii="Times New Roman" w:hAnsi="Times New Roman" w:eastAsia="方正书宋_GBK" w:cs="Times New Roman"/>
                <w:color w:val="auto"/>
                <w:kern w:val="0"/>
                <w:sz w:val="24"/>
                <w:highlight w:val="none"/>
                <w:u w:val="none"/>
                <w:lang w:eastAsia="zh-CN" w:bidi="ar-SA"/>
              </w:rPr>
              <w:t>，</w:t>
            </w:r>
            <w:r>
              <w:rPr>
                <w:rFonts w:hint="eastAsia" w:ascii="Times New Roman" w:hAnsi="Times New Roman" w:eastAsia="方正书宋_GBK" w:cs="Times New Roman"/>
                <w:color w:val="auto"/>
                <w:kern w:val="0"/>
                <w:sz w:val="24"/>
                <w:highlight w:val="none"/>
                <w:u w:val="none"/>
                <w:lang w:bidi="ar-SA"/>
              </w:rPr>
              <w:t>增强城市综合服务能力，促进产业发展、人口集聚、城市空间拓展良性互动，推动传统产业园区逐步向产城融合的现代化城区转型。</w:t>
            </w:r>
          </w:p>
          <w:p w14:paraId="255CC35D">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szCs w:val="24"/>
                <w:highlight w:val="none"/>
                <w:u w:val="none"/>
                <w:lang w:eastAsia="zh-CN"/>
              </w:rPr>
            </w:pPr>
            <w:r>
              <w:rPr>
                <w:rFonts w:hint="eastAsia" w:ascii="Times New Roman" w:hAnsi="Times New Roman" w:eastAsia="方正书宋_GBK" w:cs="Times New Roman"/>
                <w:color w:val="auto"/>
                <w:kern w:val="0"/>
                <w:sz w:val="24"/>
                <w:highlight w:val="none"/>
                <w:u w:val="none"/>
                <w:lang w:val="en-US" w:eastAsia="zh-CN" w:bidi="ar-SA"/>
              </w:rPr>
              <w:t>4</w:t>
            </w:r>
            <w:r>
              <w:rPr>
                <w:rFonts w:hint="eastAsia" w:ascii="Times New Roman" w:hAnsi="Times New Roman" w:eastAsia="方正书宋_GBK" w:cs="Times New Roman"/>
                <w:color w:val="auto"/>
                <w:kern w:val="0"/>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六组团</w:t>
            </w:r>
            <w:r>
              <w:rPr>
                <w:rFonts w:hint="eastAsia" w:ascii="Times New Roman" w:hAnsi="Times New Roman" w:eastAsia="方正书宋_GBK" w:cs="Times New Roman"/>
                <w:color w:val="auto"/>
                <w:kern w:val="0"/>
                <w:sz w:val="24"/>
                <w:highlight w:val="none"/>
                <w:u w:val="none"/>
                <w:lang w:bidi="ar-SA"/>
              </w:rPr>
              <w:t>：大学城组团、曾家香炉山组团、西永组团、金凤城市中心组团、白市驿走马组团、巴福石板组团。</w:t>
            </w:r>
            <w:r>
              <w:rPr>
                <w:rFonts w:hint="eastAsia" w:ascii="Times New Roman" w:hAnsi="Times New Roman" w:eastAsia="方正黑体_GBK" w:cs="方正黑体_GBK"/>
                <w:color w:val="auto"/>
                <w:kern w:val="0"/>
                <w:sz w:val="24"/>
                <w:highlight w:val="none"/>
                <w:u w:val="none"/>
                <w:lang w:bidi="ar-SA"/>
              </w:rPr>
              <w:t>大学城组团</w:t>
            </w:r>
            <w:r>
              <w:rPr>
                <w:rFonts w:hint="eastAsia" w:ascii="Times New Roman" w:hAnsi="Times New Roman" w:eastAsia="方正书宋_GBK" w:cs="Times New Roman"/>
                <w:color w:val="auto"/>
                <w:kern w:val="0"/>
                <w:sz w:val="24"/>
                <w:highlight w:val="none"/>
                <w:u w:val="none"/>
                <w:lang w:bidi="ar-SA"/>
              </w:rPr>
              <w:t>，布局软件和信息服务、科技服务、商贸服务等产业链，盘活存量闲置空间资源，打造众创空间、孵化器载体，依托金凤软件园（虎溪园）、国际创谷等打造“星级楼宇”，加快完善科创、商务服务功能，发挥创新要素聚集优势。</w:t>
            </w:r>
            <w:r>
              <w:rPr>
                <w:rFonts w:hint="eastAsia" w:ascii="Times New Roman" w:hAnsi="Times New Roman" w:eastAsia="方正黑体_GBK" w:cs="方正黑体_GBK"/>
                <w:color w:val="auto"/>
                <w:kern w:val="0"/>
                <w:sz w:val="24"/>
                <w:highlight w:val="none"/>
                <w:u w:val="none"/>
                <w:lang w:bidi="ar-SA"/>
              </w:rPr>
              <w:t>曾家香炉山组团</w:t>
            </w:r>
            <w:r>
              <w:rPr>
                <w:rFonts w:hint="eastAsia" w:ascii="Times New Roman" w:hAnsi="Times New Roman" w:eastAsia="方正书宋_GBK" w:cs="Times New Roman"/>
                <w:color w:val="auto"/>
                <w:kern w:val="0"/>
                <w:sz w:val="24"/>
                <w:highlight w:val="none"/>
                <w:u w:val="none"/>
                <w:lang w:bidi="ar-SA"/>
              </w:rPr>
              <w:t>，布局新型智能终端、新能源汽摩等产业链，推进科研港、综保区B区及周边区域建设，加快落地重庆大学智谷校区等重点科创空间，完善区域配套与服务功能。</w:t>
            </w:r>
            <w:r>
              <w:rPr>
                <w:rFonts w:hint="eastAsia" w:ascii="Times New Roman" w:hAnsi="Times New Roman" w:eastAsia="方正黑体_GBK" w:cs="方正黑体_GBK"/>
                <w:color w:val="auto"/>
                <w:kern w:val="0"/>
                <w:sz w:val="24"/>
                <w:highlight w:val="none"/>
                <w:u w:val="none"/>
                <w:lang w:bidi="ar-SA"/>
              </w:rPr>
              <w:t>西永组团</w:t>
            </w:r>
            <w:r>
              <w:rPr>
                <w:rFonts w:hint="eastAsia" w:ascii="Times New Roman" w:hAnsi="Times New Roman" w:eastAsia="方正书宋_GBK" w:cs="Times New Roman"/>
                <w:color w:val="auto"/>
                <w:kern w:val="0"/>
                <w:sz w:val="24"/>
                <w:highlight w:val="none"/>
                <w:u w:val="none"/>
                <w:lang w:bidi="ar-SA"/>
              </w:rPr>
              <w:t>，布局集成电路、新型智能终端、软件和信息服务、跨境电商等产业链，升级打造西永微电园、综保区A区等重大载体，推进微电园轨道站点周边开发建设，积极培育科学公园至西永广场的活力中轴，打造高品质未来社区样板。</w:t>
            </w:r>
            <w:r>
              <w:rPr>
                <w:rFonts w:hint="eastAsia" w:ascii="Times New Roman" w:hAnsi="Times New Roman" w:eastAsia="方正黑体_GBK" w:cs="方正黑体_GBK"/>
                <w:color w:val="auto"/>
                <w:kern w:val="0"/>
                <w:sz w:val="24"/>
                <w:highlight w:val="none"/>
                <w:u w:val="none"/>
                <w:lang w:bidi="ar-SA"/>
              </w:rPr>
              <w:t>金凤城市中心组团</w:t>
            </w:r>
            <w:r>
              <w:rPr>
                <w:rFonts w:hint="eastAsia" w:ascii="Times New Roman" w:hAnsi="Times New Roman" w:eastAsia="方正书宋_GBK" w:cs="Times New Roman"/>
                <w:color w:val="auto"/>
                <w:kern w:val="0"/>
                <w:sz w:val="24"/>
                <w:highlight w:val="none"/>
                <w:u w:val="none"/>
                <w:lang w:bidi="ar-SA"/>
              </w:rPr>
              <w:t>，布局生物医药、软件和信息服务、科技服务、金融服务等产业链，打造科学谷、生命岛等科创空间，推进凤鸣湖生态科技商务区、重庆科技大学智慧创新中心等服务平台与产业载体建设，完善科学交往、商务、居住、公服、交通等功能，集聚服务成渝的科技创新和城市服务功能，形成科产城人文融合发展城市空间形态。</w:t>
            </w:r>
            <w:r>
              <w:rPr>
                <w:rFonts w:hint="eastAsia" w:ascii="Times New Roman" w:hAnsi="Times New Roman" w:eastAsia="方正黑体_GBK" w:cs="方正黑体_GBK"/>
                <w:color w:val="auto"/>
                <w:kern w:val="0"/>
                <w:sz w:val="24"/>
                <w:highlight w:val="none"/>
                <w:u w:val="none"/>
                <w:lang w:bidi="ar-SA"/>
              </w:rPr>
              <w:t>白市驿走马组团</w:t>
            </w:r>
            <w:r>
              <w:rPr>
                <w:rFonts w:hint="eastAsia" w:ascii="Times New Roman" w:hAnsi="Times New Roman" w:eastAsia="方正书宋_GBK" w:cs="Times New Roman"/>
                <w:color w:val="auto"/>
                <w:kern w:val="0"/>
                <w:sz w:val="24"/>
                <w:highlight w:val="none"/>
                <w:u w:val="none"/>
                <w:lang w:bidi="ar-SA"/>
              </w:rPr>
              <w:t>，布局新能源汽摩、未来产业等产业链，推动生活性服务业提档升级，建设新能源汽摩产业基地、含谷高端装备制造园等产业载体，依托走马古镇打造文化发展重要节点，引导传统产业转型升级，盘活低效产业用地，提质升级走马智慧低碳物流功能，促进产城人文协同发展。</w:t>
            </w:r>
            <w:r>
              <w:rPr>
                <w:rFonts w:hint="eastAsia" w:ascii="Times New Roman" w:hAnsi="Times New Roman" w:eastAsia="方正黑体_GBK" w:cs="方正黑体_GBK"/>
                <w:color w:val="auto"/>
                <w:kern w:val="0"/>
                <w:sz w:val="24"/>
                <w:highlight w:val="none"/>
                <w:u w:val="none"/>
                <w:lang w:bidi="ar-SA"/>
              </w:rPr>
              <w:t>巴福石板组团</w:t>
            </w:r>
            <w:r>
              <w:rPr>
                <w:rFonts w:hint="eastAsia" w:ascii="Times New Roman" w:hAnsi="Times New Roman" w:eastAsia="方正书宋_GBK" w:cs="Times New Roman"/>
                <w:color w:val="auto"/>
                <w:kern w:val="0"/>
                <w:sz w:val="24"/>
                <w:highlight w:val="none"/>
                <w:u w:val="none"/>
                <w:lang w:bidi="ar-SA"/>
              </w:rPr>
              <w:t>，布局新能源汽摩和生物医药等产业链，培育石板</w:t>
            </w:r>
            <w:r>
              <w:rPr>
                <w:rFonts w:hint="eastAsia" w:ascii="Times New Roman" w:hAnsi="Times New Roman" w:eastAsia="方正书宋_GBK" w:cs="Times New Roman"/>
                <w:color w:val="auto"/>
                <w:kern w:val="0"/>
                <w:sz w:val="24"/>
                <w:highlight w:val="none"/>
                <w:u w:val="none"/>
                <w:lang w:eastAsia="zh-CN" w:bidi="ar-SA"/>
              </w:rPr>
              <w:t>—</w:t>
            </w:r>
            <w:r>
              <w:rPr>
                <w:rFonts w:hint="eastAsia" w:ascii="Times New Roman" w:hAnsi="Times New Roman" w:eastAsia="方正书宋_GBK" w:cs="Times New Roman"/>
                <w:color w:val="auto"/>
                <w:kern w:val="0"/>
                <w:sz w:val="24"/>
                <w:highlight w:val="none"/>
                <w:u w:val="none"/>
                <w:lang w:bidi="ar-SA"/>
              </w:rPr>
              <w:t>巴福大健康产业园，围绕中子源科学装置建设中子技术应用、材料、药物研发等平台，落实重大交通枢纽布局，优化路网及产业空间布局，推进巴福制造业重镇建设。</w:t>
            </w:r>
          </w:p>
        </w:tc>
      </w:tr>
    </w:tbl>
    <w:p w14:paraId="5820681A">
      <w:pPr>
        <w:widowControl/>
        <w:overflowPunct w:val="0"/>
        <w:jc w:val="center"/>
        <w:rPr>
          <w:rFonts w:hint="eastAsia" w:ascii="Times New Roman" w:hAnsi="Times New Roman" w:eastAsia="方正黑体_GBK" w:cs="方正黑体_GBK"/>
          <w:bCs w:val="0"/>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图</w:t>
      </w:r>
      <w:r>
        <w:rPr>
          <w:rFonts w:hint="eastAsia" w:ascii="Times New Roman" w:hAnsi="Times New Roman" w:eastAsia="方正黑体_GBK" w:cs="方正黑体_GBK"/>
          <w:color w:val="auto"/>
          <w:kern w:val="0"/>
          <w:sz w:val="32"/>
          <w:szCs w:val="32"/>
          <w:highlight w:val="none"/>
          <w:u w:val="none"/>
          <w:lang w:val="en-US" w:eastAsia="zh-CN" w:bidi="ar"/>
        </w:rPr>
        <w:t>3</w:t>
      </w:r>
      <w:r>
        <w:rPr>
          <w:rFonts w:hint="eastAsia" w:ascii="Times New Roman" w:hAnsi="Times New Roman" w:eastAsia="方正黑体_GBK" w:cs="方正黑体_GBK"/>
          <w:color w:val="auto"/>
          <w:kern w:val="0"/>
          <w:sz w:val="32"/>
          <w:szCs w:val="32"/>
          <w:highlight w:val="none"/>
          <w:u w:val="none"/>
          <w:lang w:bidi="ar"/>
        </w:rPr>
        <w:t xml:space="preserve"> 重庆高新区“一心两副三片六组”总体功能布局</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52CD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7" w:hRule="atLeast"/>
          <w:jc w:val="center"/>
        </w:trPr>
        <w:tc>
          <w:tcPr>
            <w:tcW w:w="9190" w:type="dxa"/>
          </w:tcPr>
          <w:p w14:paraId="7FD66CA2">
            <w:pPr>
              <w:widowControl/>
              <w:overflowPunct w:val="0"/>
              <w:snapToGrid w:val="0"/>
              <w:ind w:firstLine="0" w:firstLineChars="0"/>
              <w:jc w:val="center"/>
              <w:rPr>
                <w:rFonts w:hint="eastAsia" w:ascii="Times New Roman" w:hAnsi="Times New Roman" w:cs="Times New Roman" w:eastAsiaTheme="minorEastAsia"/>
                <w:color w:val="auto"/>
                <w:sz w:val="24"/>
                <w:szCs w:val="24"/>
                <w:highlight w:val="none"/>
                <w:lang w:eastAsia="zh-CN"/>
              </w:rPr>
            </w:pPr>
            <w:r>
              <w:rPr>
                <w:rFonts w:hint="eastAsia" w:ascii="Times New Roman" w:hAnsi="Times New Roman" w:cs="Times New Roman" w:eastAsiaTheme="minorEastAsia"/>
                <w:color w:val="auto"/>
                <w:sz w:val="24"/>
                <w:szCs w:val="24"/>
                <w:highlight w:val="none"/>
                <w:lang w:eastAsia="zh-CN"/>
              </w:rPr>
              <w:drawing>
                <wp:inline distT="0" distB="0" distL="114300" distR="114300">
                  <wp:extent cx="3474720" cy="5666105"/>
                  <wp:effectExtent l="0" t="0" r="11430" b="10795"/>
                  <wp:docPr id="10" name="图片 10" descr="公开件图片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公开件图片_01"/>
                          <pic:cNvPicPr>
                            <a:picLocks noChangeAspect="1"/>
                          </pic:cNvPicPr>
                        </pic:nvPicPr>
                        <pic:blipFill>
                          <a:blip r:embed="rId13"/>
                          <a:stretch>
                            <a:fillRect/>
                          </a:stretch>
                        </pic:blipFill>
                        <pic:spPr>
                          <a:xfrm>
                            <a:off x="0" y="0"/>
                            <a:ext cx="3474720" cy="5666105"/>
                          </a:xfrm>
                          <a:prstGeom prst="rect">
                            <a:avLst/>
                          </a:prstGeom>
                        </pic:spPr>
                      </pic:pic>
                    </a:graphicData>
                  </a:graphic>
                </wp:inline>
              </w:drawing>
            </w:r>
          </w:p>
        </w:tc>
      </w:tr>
    </w:tbl>
    <w:p w14:paraId="0EB36F75">
      <w:pPr>
        <w:adjustRightInd w:val="0"/>
        <w:snapToGrid w:val="0"/>
        <w:spacing w:line="600" w:lineRule="exact"/>
        <w:jc w:val="center"/>
        <w:outlineLvl w:val="2"/>
        <w:rPr>
          <w:rFonts w:hint="eastAsia" w:ascii="Times New Roman" w:hAnsi="Times New Roman" w:eastAsia="方正楷体_GBK" w:cs="Times New Roman"/>
          <w:color w:val="auto"/>
          <w:sz w:val="32"/>
          <w:szCs w:val="22"/>
          <w:highlight w:val="none"/>
        </w:rPr>
      </w:pPr>
      <w:bookmarkStart w:id="342" w:name="_Toc621852401"/>
      <w:bookmarkStart w:id="343" w:name="_Toc9576"/>
      <w:bookmarkStart w:id="344" w:name="_Toc756811994"/>
      <w:bookmarkStart w:id="345" w:name="_Toc8067"/>
      <w:bookmarkStart w:id="346" w:name="_Toc18579"/>
      <w:r>
        <w:rPr>
          <w:rFonts w:hint="eastAsia" w:ascii="Times New Roman" w:hAnsi="Times New Roman" w:eastAsia="方正楷体_GBK" w:cs="Times New Roman"/>
          <w:color w:val="auto"/>
          <w:sz w:val="32"/>
          <w:szCs w:val="22"/>
          <w:highlight w:val="none"/>
        </w:rPr>
        <w:t>第二节 高水平建设金凤城市中心</w:t>
      </w:r>
      <w:bookmarkEnd w:id="342"/>
      <w:bookmarkEnd w:id="343"/>
      <w:bookmarkEnd w:id="344"/>
    </w:p>
    <w:bookmarkEnd w:id="340"/>
    <w:bookmarkEnd w:id="341"/>
    <w:bookmarkEnd w:id="345"/>
    <w:bookmarkEnd w:id="346"/>
    <w:p w14:paraId="6719517E">
      <w:pPr>
        <w:adjustRightInd w:val="0"/>
        <w:snapToGrid w:val="0"/>
        <w:spacing w:line="600" w:lineRule="exact"/>
        <w:ind w:firstLine="640" w:firstLineChars="200"/>
        <w:jc w:val="left"/>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按照主题突出、功能混合、协同联动原则，构建凤鸣湖生态科技商务区、金凤医学中心、数字医疗产业区、科学谷数智科创园、科学会堂交往区和科学城生态门户6大功能片区</w:t>
      </w:r>
      <w:r>
        <w:rPr>
          <w:rFonts w:hint="eastAsia" w:ascii="Times New Roman" w:hAnsi="Times New Roman" w:eastAsia="方正仿宋_GBK" w:cs="Times New Roman"/>
          <w:color w:val="auto"/>
          <w:sz w:val="32"/>
          <w:szCs w:val="32"/>
          <w:highlight w:val="none"/>
          <w:lang w:val="en-US" w:eastAsia="zh-CN"/>
        </w:rPr>
        <w:t>的</w:t>
      </w:r>
      <w:r>
        <w:rPr>
          <w:rFonts w:hint="eastAsia" w:ascii="Times New Roman" w:hAnsi="Times New Roman" w:eastAsia="方正仿宋_GBK" w:cs="Times New Roman"/>
          <w:color w:val="auto"/>
          <w:sz w:val="32"/>
          <w:szCs w:val="32"/>
          <w:highlight w:val="none"/>
        </w:rPr>
        <w:t>金凤城市中心“6</w:t>
      </w:r>
      <w:r>
        <w:rPr>
          <w:rFonts w:hint="eastAsia" w:ascii="宋体" w:hAnsi="宋体" w:eastAsia="宋体" w:cs="宋体"/>
          <w:color w:val="auto"/>
          <w:sz w:val="32"/>
          <w:szCs w:val="32"/>
          <w:highlight w:val="none"/>
        </w:rPr>
        <w:t>+</w:t>
      </w:r>
      <w:r>
        <w:rPr>
          <w:rFonts w:hint="eastAsia" w:ascii="Times New Roman" w:hAnsi="Times New Roman" w:eastAsia="方正仿宋_GBK" w:cs="Times New Roman"/>
          <w:color w:val="auto"/>
          <w:sz w:val="32"/>
          <w:szCs w:val="32"/>
          <w:highlight w:val="none"/>
        </w:rPr>
        <w:t>18”功能分区体系</w:t>
      </w:r>
      <w:r>
        <w:rPr>
          <w:rFonts w:ascii="Times New Roman" w:hAnsi="Times New Roman" w:eastAsia="方正仿宋_GBK" w:cs="Times New Roman"/>
          <w:color w:val="auto"/>
          <w:sz w:val="32"/>
          <w:szCs w:val="32"/>
          <w:highlight w:val="none"/>
        </w:rPr>
        <w:t>。按照补足功能短板、集中连片发展原则，以服务创新人才、吸引创新人才为核心，</w:t>
      </w:r>
      <w:r>
        <w:rPr>
          <w:rFonts w:hint="eastAsia" w:ascii="Times New Roman" w:hAnsi="Times New Roman" w:eastAsia="方正仿宋_GBK" w:cs="Times New Roman"/>
          <w:color w:val="auto"/>
          <w:sz w:val="32"/>
          <w:szCs w:val="32"/>
          <w:highlight w:val="none"/>
        </w:rPr>
        <w:t>加快构建城市交通系统骨架，建设服务平台与产业载体，完善公服、居住配套功能，提升城市公共空间品质，</w:t>
      </w:r>
      <w:r>
        <w:rPr>
          <w:rFonts w:hint="eastAsia" w:ascii="Times New Roman" w:hAnsi="Times New Roman" w:eastAsia="方正仿宋_GBK" w:cs="Times New Roman"/>
          <w:color w:val="auto"/>
          <w:sz w:val="32"/>
          <w:szCs w:val="32"/>
          <w:highlight w:val="none"/>
          <w:lang w:val="en-US" w:eastAsia="zh-CN"/>
        </w:rPr>
        <w:t>集聚</w:t>
      </w:r>
      <w:r>
        <w:rPr>
          <w:rFonts w:hint="eastAsia" w:ascii="Times New Roman" w:hAnsi="Times New Roman" w:eastAsia="方正仿宋_GBK" w:cs="Times New Roman"/>
          <w:color w:val="auto"/>
          <w:sz w:val="32"/>
          <w:szCs w:val="32"/>
          <w:highlight w:val="none"/>
        </w:rPr>
        <w:t>提升服务成渝的科技创新和城市服务功能，到2030年，金凤城市中心建成区面积达</w:t>
      </w:r>
      <w:r>
        <w:rPr>
          <w:rFonts w:hint="eastAsia" w:ascii="Times New Roman" w:hAnsi="Times New Roman" w:eastAsia="方正仿宋_GBK" w:cs="Times New Roman"/>
          <w:color w:val="auto"/>
          <w:sz w:val="32"/>
          <w:szCs w:val="32"/>
          <w:highlight w:val="none"/>
          <w:lang w:val="en-US" w:eastAsia="zh-CN"/>
        </w:rPr>
        <w:t>7.8</w:t>
      </w:r>
      <w:r>
        <w:rPr>
          <w:rFonts w:hint="eastAsia" w:ascii="Times New Roman" w:hAnsi="Times New Roman" w:eastAsia="方正仿宋_GBK" w:cs="Times New Roman"/>
          <w:color w:val="auto"/>
          <w:sz w:val="32"/>
          <w:szCs w:val="32"/>
          <w:highlight w:val="none"/>
        </w:rPr>
        <w:t>平方公里</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建成区面积翻番</w:t>
      </w:r>
      <w:r>
        <w:rPr>
          <w:rFonts w:hint="eastAsia" w:ascii="Times New Roman" w:hAnsi="Times New Roman" w:eastAsia="方正仿宋_GBK" w:cs="Times New Roman"/>
          <w:color w:val="auto"/>
          <w:sz w:val="32"/>
          <w:szCs w:val="32"/>
          <w:highlight w:val="none"/>
        </w:rPr>
        <w:t>，充分展现未来城市“新样板”。</w:t>
      </w:r>
    </w:p>
    <w:p w14:paraId="046F4F60">
      <w:pPr>
        <w:adjustRightInd w:val="0"/>
        <w:snapToGrid w:val="0"/>
        <w:spacing w:line="600" w:lineRule="exact"/>
        <w:ind w:firstLine="640" w:firstLineChars="200"/>
        <w:jc w:val="left"/>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构建城市交通系统骨架，至2027年，轨道17号线建成通车，至2028年，轨道7号线建成通车，至2032年，市郊铁路C4线建成通车。加快建设“四横四纵”城市骨架路网，至2027年，建成约36公里快速路及主干路，结合片区开发建设计划，逐步完善次支路网。补足静态交通设施，</w:t>
      </w:r>
      <w:r>
        <w:rPr>
          <w:rFonts w:hint="eastAsia" w:ascii="Times New Roman" w:hAnsi="Times New Roman" w:eastAsia="方正仿宋_GBK" w:cs="Times New Roman"/>
          <w:color w:val="auto"/>
          <w:sz w:val="32"/>
          <w:szCs w:val="32"/>
          <w:highlight w:val="none"/>
          <w:lang w:val="en-US" w:eastAsia="zh-CN"/>
        </w:rPr>
        <w:t>协调</w:t>
      </w:r>
      <w:r>
        <w:rPr>
          <w:rFonts w:hint="eastAsia" w:ascii="Times New Roman" w:hAnsi="Times New Roman" w:eastAsia="方正仿宋_GBK" w:cs="Times New Roman"/>
          <w:color w:val="auto"/>
          <w:sz w:val="32"/>
          <w:szCs w:val="32"/>
          <w:highlight w:val="none"/>
        </w:rPr>
        <w:t>建成公共交通站场6处，公共社会停车场4处。</w:t>
      </w:r>
    </w:p>
    <w:p w14:paraId="66D9A76B">
      <w:pPr>
        <w:adjustRightInd w:val="0"/>
        <w:snapToGrid w:val="0"/>
        <w:spacing w:line="600" w:lineRule="exact"/>
        <w:ind w:firstLine="640" w:firstLineChars="200"/>
        <w:jc w:val="left"/>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建设服务平台与产业载体。推进凤鸣湖生态科技商务区、重庆科技大学智慧创新中心、国际贸易总部长廊、数字总部办公区、科学谷二期</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华中师大重庆学校等实验研发、科创办公、商务楼宇载体开发建设，建设高品质商务楼宇，到2030年，累计建成建筑规模约550万平方米。</w:t>
      </w:r>
    </w:p>
    <w:p w14:paraId="5A755BD2">
      <w:pPr>
        <w:adjustRightInd w:val="0"/>
        <w:snapToGrid w:val="0"/>
        <w:spacing w:line="600" w:lineRule="exact"/>
        <w:ind w:firstLine="640" w:firstLineChars="200"/>
        <w:jc w:val="left"/>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完善公服、居住配套功能。推进金凤未来商务中心北区等</w:t>
      </w:r>
      <w:r>
        <w:rPr>
          <w:rFonts w:ascii="Times New Roman" w:hAnsi="Times New Roman" w:eastAsia="方正仿宋_GBK" w:cs="Times New Roman"/>
          <w:color w:val="auto"/>
          <w:sz w:val="32"/>
          <w:szCs w:val="32"/>
          <w:highlight w:val="none"/>
        </w:rPr>
        <w:t>各类城市公共服务、居住配套</w:t>
      </w:r>
      <w:r>
        <w:rPr>
          <w:rFonts w:hint="eastAsia" w:ascii="Times New Roman" w:hAnsi="Times New Roman" w:eastAsia="方正仿宋_GBK" w:cs="Times New Roman"/>
          <w:color w:val="auto"/>
          <w:sz w:val="32"/>
          <w:szCs w:val="32"/>
          <w:highlight w:val="none"/>
        </w:rPr>
        <w:t>建设。到2030年，建成高质量基础教育学校1所，社区家园</w:t>
      </w:r>
      <w:r>
        <w:rPr>
          <w:rFonts w:hint="eastAsia" w:ascii="Times New Roman" w:hAnsi="Times New Roman" w:eastAsia="方正仿宋_GBK" w:cs="Times New Roman"/>
          <w:color w:val="auto"/>
          <w:sz w:val="32"/>
          <w:szCs w:val="32"/>
          <w:highlight w:val="none"/>
          <w:lang w:val="en-US" w:eastAsia="zh-CN"/>
        </w:rPr>
        <w:t>4</w:t>
      </w:r>
      <w:r>
        <w:rPr>
          <w:rFonts w:hint="eastAsia" w:ascii="Times New Roman" w:hAnsi="Times New Roman" w:eastAsia="方正仿宋_GBK" w:cs="Times New Roman"/>
          <w:color w:val="auto"/>
          <w:sz w:val="32"/>
          <w:szCs w:val="32"/>
          <w:highlight w:val="none"/>
        </w:rPr>
        <w:t>处，积极引入</w:t>
      </w:r>
      <w:r>
        <w:rPr>
          <w:rFonts w:hint="eastAsia" w:ascii="方正仿宋_GBK" w:hAnsi="方正仿宋_GBK" w:eastAsia="方正仿宋_GBK" w:cs="方正仿宋_GBK"/>
          <w:color w:val="auto"/>
          <w:sz w:val="32"/>
          <w:szCs w:val="32"/>
          <w:highlight w:val="none"/>
          <w:lang w:val="en-US" w:eastAsia="zh-CN"/>
        </w:rPr>
        <w:t>经营主体</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提供</w:t>
      </w:r>
      <w:r>
        <w:rPr>
          <w:rFonts w:hint="eastAsia" w:ascii="Times New Roman" w:hAnsi="Times New Roman" w:eastAsia="方正仿宋_GBK" w:cs="Times New Roman"/>
          <w:color w:val="auto"/>
          <w:sz w:val="32"/>
          <w:szCs w:val="32"/>
          <w:highlight w:val="none"/>
        </w:rPr>
        <w:t>面向不同人群需求的城市住宅与商业配套服务，集聚城市人气。</w:t>
      </w:r>
    </w:p>
    <w:p w14:paraId="7BE5305A">
      <w:pPr>
        <w:adjustRightInd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提升城市公共空间品质，打造升级霞羽公园、曾家场沟公园等11处城市公园，至2030年，建成城市公园绿地约1.8平方公里，连通城市各类开敞空间与功能配套，形成网络化的蓝绿空间系统。</w:t>
      </w:r>
    </w:p>
    <w:p w14:paraId="6DA0FBD1">
      <w:pPr>
        <w:widowControl/>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专栏2</w:t>
      </w:r>
      <w:r>
        <w:rPr>
          <w:rFonts w:hint="eastAsia" w:ascii="Times New Roman" w:hAnsi="Times New Roman" w:eastAsia="方正黑体_GBK" w:cs="方正黑体_GBK"/>
          <w:color w:val="auto"/>
          <w:kern w:val="0"/>
          <w:sz w:val="32"/>
          <w:szCs w:val="32"/>
          <w:highlight w:val="none"/>
          <w:u w:val="none"/>
          <w:lang w:val="en-US" w:eastAsia="zh-CN" w:bidi="ar"/>
        </w:rPr>
        <w:t>0</w:t>
      </w:r>
      <w:r>
        <w:rPr>
          <w:rFonts w:hint="eastAsia" w:ascii="Times New Roman" w:hAnsi="Times New Roman" w:eastAsia="方正黑体_GBK" w:cs="方正黑体_GBK"/>
          <w:color w:val="auto"/>
          <w:kern w:val="0"/>
          <w:sz w:val="32"/>
          <w:szCs w:val="32"/>
          <w:highlight w:val="none"/>
          <w:u w:val="none"/>
          <w:lang w:bidi="ar"/>
        </w:rPr>
        <w:t xml:space="preserve"> 金凤城市中心六大功能分区及重点建设项目</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505B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3EEA0705">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凤鸣湖生态科技商务区。</w:t>
            </w:r>
            <w:r>
              <w:rPr>
                <w:rFonts w:hint="eastAsia" w:ascii="Times New Roman" w:hAnsi="Times New Roman" w:eastAsia="方正书宋_GBK" w:cs="Times New Roman"/>
                <w:color w:val="auto"/>
                <w:kern w:val="0"/>
                <w:sz w:val="24"/>
                <w:highlight w:val="none"/>
                <w:u w:val="none"/>
                <w:lang w:bidi="ar-SA"/>
              </w:rPr>
              <w:t>布局形成金凤未来商务基地、花园总部办公基地、青年创新社区、国家生物医药产业基地四大功能板块。</w:t>
            </w:r>
            <w:r>
              <w:rPr>
                <w:rFonts w:hint="eastAsia" w:ascii="Times New Roman" w:hAnsi="Times New Roman" w:eastAsia="方正书宋_GBK" w:cs="Times New Roman"/>
                <w:color w:val="auto"/>
                <w:kern w:val="0"/>
                <w:sz w:val="24"/>
                <w:highlight w:val="none"/>
                <w:u w:val="none"/>
                <w:lang w:val="en-US" w:eastAsia="zh-CN" w:bidi="ar-SA"/>
              </w:rPr>
              <w:t>至2027年，建成数字总部办公区。</w:t>
            </w:r>
            <w:r>
              <w:rPr>
                <w:rFonts w:hint="eastAsia" w:ascii="Times New Roman" w:hAnsi="Times New Roman" w:eastAsia="方正书宋_GBK" w:cs="Times New Roman"/>
                <w:color w:val="auto"/>
                <w:kern w:val="0"/>
                <w:sz w:val="24"/>
                <w:highlight w:val="none"/>
                <w:u w:val="none"/>
                <w:lang w:bidi="ar-SA"/>
              </w:rPr>
              <w:t>至2030年，建成光大人工智能产业基地、国际贸易总部长廊</w:t>
            </w:r>
            <w:r>
              <w:rPr>
                <w:rFonts w:hint="eastAsia" w:ascii="Times New Roman" w:hAnsi="Times New Roman" w:eastAsia="方正书宋_GBK" w:cs="Times New Roman"/>
                <w:color w:val="auto"/>
                <w:kern w:val="0"/>
                <w:sz w:val="24"/>
                <w:highlight w:val="none"/>
                <w:u w:val="none"/>
                <w:lang w:eastAsia="zh-CN" w:bidi="ar-SA"/>
              </w:rPr>
              <w:t>，</w:t>
            </w:r>
            <w:r>
              <w:rPr>
                <w:rFonts w:hint="eastAsia" w:ascii="Times New Roman" w:hAnsi="Times New Roman" w:eastAsia="方正书宋_GBK" w:cs="Times New Roman"/>
                <w:color w:val="auto"/>
                <w:kern w:val="0"/>
                <w:sz w:val="24"/>
                <w:highlight w:val="none"/>
                <w:u w:val="none"/>
                <w:lang w:val="en-US" w:eastAsia="zh-CN" w:bidi="ar-SA"/>
              </w:rPr>
              <w:t>适时建设</w:t>
            </w:r>
            <w:r>
              <w:rPr>
                <w:rFonts w:hint="eastAsia" w:ascii="Times New Roman" w:hAnsi="Times New Roman" w:eastAsia="方正书宋_GBK" w:cs="Times New Roman"/>
                <w:color w:val="auto"/>
                <w:kern w:val="0"/>
                <w:sz w:val="24"/>
                <w:highlight w:val="none"/>
                <w:u w:val="none"/>
                <w:lang w:bidi="ar-SA"/>
              </w:rPr>
              <w:t>金凤未来商务中心北区。</w:t>
            </w:r>
          </w:p>
          <w:p w14:paraId="23C157C5">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金凤医学中心。</w:t>
            </w:r>
            <w:r>
              <w:rPr>
                <w:rFonts w:hint="eastAsia" w:ascii="Times New Roman" w:hAnsi="Times New Roman" w:eastAsia="方正书宋_GBK" w:cs="Times New Roman"/>
                <w:color w:val="auto"/>
                <w:kern w:val="0"/>
                <w:sz w:val="24"/>
                <w:highlight w:val="none"/>
                <w:u w:val="none"/>
                <w:lang w:bidi="ar-SA"/>
              </w:rPr>
              <w:t>布局医疗</w:t>
            </w:r>
            <w:r>
              <w:rPr>
                <w:rFonts w:hint="eastAsia" w:ascii="Times New Roman" w:hAnsi="Times New Roman" w:eastAsia="方正书宋_GBK" w:cs="Times New Roman"/>
                <w:color w:val="auto"/>
                <w:kern w:val="0"/>
                <w:sz w:val="24"/>
                <w:highlight w:val="none"/>
                <w:u w:val="none"/>
                <w:lang w:eastAsia="zh-CN" w:bidi="ar-SA"/>
              </w:rPr>
              <w:t>、</w:t>
            </w:r>
            <w:r>
              <w:rPr>
                <w:rFonts w:hint="eastAsia" w:ascii="Times New Roman" w:hAnsi="Times New Roman" w:eastAsia="方正书宋_GBK" w:cs="Times New Roman"/>
                <w:color w:val="auto"/>
                <w:kern w:val="0"/>
                <w:sz w:val="24"/>
                <w:highlight w:val="none"/>
                <w:u w:val="none"/>
                <w:lang w:bidi="ar-SA"/>
              </w:rPr>
              <w:t>医教、医养和商务服务、研发孵化等板块。至20</w:t>
            </w:r>
            <w:r>
              <w:rPr>
                <w:rFonts w:hint="eastAsia" w:ascii="Times New Roman" w:hAnsi="Times New Roman" w:eastAsia="方正书宋_GBK" w:cs="Times New Roman"/>
                <w:color w:val="auto"/>
                <w:kern w:val="0"/>
                <w:sz w:val="24"/>
                <w:highlight w:val="none"/>
                <w:u w:val="none"/>
                <w:lang w:val="en-US" w:eastAsia="zh-CN" w:bidi="ar-SA"/>
              </w:rPr>
              <w:t>27</w:t>
            </w:r>
            <w:r>
              <w:rPr>
                <w:rFonts w:hint="eastAsia" w:ascii="Times New Roman" w:hAnsi="Times New Roman" w:eastAsia="方正书宋_GBK" w:cs="Times New Roman"/>
                <w:color w:val="auto"/>
                <w:kern w:val="0"/>
                <w:sz w:val="24"/>
                <w:highlight w:val="none"/>
                <w:u w:val="none"/>
                <w:lang w:bidi="ar-SA"/>
              </w:rPr>
              <w:t>年，建成重科大智慧创新中心</w:t>
            </w:r>
            <w:r>
              <w:rPr>
                <w:rFonts w:hint="eastAsia" w:ascii="Times New Roman" w:hAnsi="Times New Roman" w:eastAsia="方正书宋_GBK" w:cs="Times New Roman"/>
                <w:color w:val="auto"/>
                <w:kern w:val="0"/>
                <w:sz w:val="24"/>
                <w:highlight w:val="none"/>
                <w:u w:val="none"/>
                <w:lang w:eastAsia="zh-CN" w:bidi="ar-SA"/>
              </w:rPr>
              <w:t>。</w:t>
            </w:r>
            <w:r>
              <w:rPr>
                <w:rFonts w:hint="eastAsia" w:ascii="Times New Roman" w:hAnsi="Times New Roman" w:eastAsia="方正书宋_GBK" w:cs="Times New Roman"/>
                <w:color w:val="auto"/>
                <w:kern w:val="0"/>
                <w:sz w:val="24"/>
                <w:highlight w:val="none"/>
                <w:u w:val="none"/>
                <w:lang w:val="en-US" w:eastAsia="zh-CN" w:bidi="ar-SA"/>
              </w:rPr>
              <w:t>至2030年，适时建设西部（重庆）科学城医学科技创新园</w:t>
            </w:r>
            <w:r>
              <w:rPr>
                <w:rFonts w:hint="eastAsia" w:ascii="Times New Roman" w:hAnsi="Times New Roman" w:eastAsia="方正书宋_GBK" w:cs="Times New Roman"/>
                <w:color w:val="auto"/>
                <w:kern w:val="0"/>
                <w:sz w:val="24"/>
                <w:highlight w:val="none"/>
                <w:u w:val="none"/>
                <w:lang w:bidi="ar-SA"/>
              </w:rPr>
              <w:t>。</w:t>
            </w:r>
          </w:p>
          <w:p w14:paraId="1B5B2AEB">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bidi="ar-SA"/>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数字医疗产业区。</w:t>
            </w:r>
            <w:r>
              <w:rPr>
                <w:rFonts w:hint="eastAsia" w:ascii="Times New Roman" w:hAnsi="Times New Roman" w:eastAsia="方正书宋_GBK" w:cs="Times New Roman"/>
                <w:color w:val="auto"/>
                <w:kern w:val="0"/>
                <w:sz w:val="24"/>
                <w:highlight w:val="none"/>
                <w:u w:val="none"/>
                <w:lang w:bidi="ar-SA"/>
              </w:rPr>
              <w:t>布局形成数字医疗研发基地、电子信息产业基地、城市居住社区三大功能板块。至2030年，建成轨道17号线双龙村站、达丰电脑生活区南侧青年社区。</w:t>
            </w:r>
          </w:p>
          <w:p w14:paraId="201A9D22">
            <w:pPr>
              <w:widowControl/>
              <w:overflowPunct w:val="0"/>
              <w:snapToGrid w:val="0"/>
              <w:spacing w:line="380" w:lineRule="exact"/>
              <w:ind w:firstLine="480" w:firstLineChars="200"/>
              <w:jc w:val="left"/>
              <w:rPr>
                <w:rFonts w:hint="eastAsia" w:ascii="Times New Roman" w:hAnsi="Times New Roman" w:eastAsia="方正黑体_GBK" w:cs="方正黑体_GBK"/>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bidi="ar-SA"/>
              </w:rPr>
              <w:t>4</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科学谷数智科创园。</w:t>
            </w:r>
            <w:r>
              <w:rPr>
                <w:rFonts w:hint="eastAsia" w:ascii="Times New Roman" w:hAnsi="Times New Roman" w:eastAsia="方正书宋_GBK" w:cs="Times New Roman"/>
                <w:color w:val="auto"/>
                <w:kern w:val="0"/>
                <w:sz w:val="24"/>
                <w:highlight w:val="none"/>
                <w:u w:val="none"/>
                <w:lang w:bidi="ar-SA"/>
              </w:rPr>
              <w:t>以高技术服务业为核心，协同发展新一代信息技术、人工智能与绿色低碳产业，布局形成科学谷数智科创产业园、城市居住社区两大功能板块。</w:t>
            </w:r>
            <w:r>
              <w:rPr>
                <w:rFonts w:hint="eastAsia" w:ascii="Times New Roman" w:hAnsi="Times New Roman" w:eastAsia="方正书宋_GBK" w:cs="Times New Roman"/>
                <w:color w:val="auto"/>
                <w:kern w:val="0"/>
                <w:sz w:val="24"/>
                <w:highlight w:val="none"/>
                <w:u w:val="none"/>
                <w:lang w:val="en-US" w:eastAsia="zh-CN" w:bidi="ar-SA"/>
              </w:rPr>
              <w:t>至2027年，建成科学谷二期。</w:t>
            </w:r>
            <w:r>
              <w:rPr>
                <w:rFonts w:hint="eastAsia" w:ascii="Times New Roman" w:hAnsi="Times New Roman" w:eastAsia="方正书宋_GBK" w:cs="Times New Roman"/>
                <w:color w:val="auto"/>
                <w:kern w:val="0"/>
                <w:sz w:val="24"/>
                <w:highlight w:val="none"/>
                <w:u w:val="none"/>
                <w:lang w:bidi="ar-SA"/>
              </w:rPr>
              <w:t>至2030年，建成金科居住小区</w:t>
            </w:r>
            <w:r>
              <w:rPr>
                <w:rFonts w:hint="eastAsia" w:ascii="Times New Roman" w:hAnsi="Times New Roman" w:eastAsia="方正书宋_GBK" w:cs="Times New Roman"/>
                <w:color w:val="auto"/>
                <w:kern w:val="0"/>
                <w:sz w:val="24"/>
                <w:highlight w:val="none"/>
                <w:u w:val="none"/>
                <w:lang w:eastAsia="zh-CN" w:bidi="ar-SA"/>
              </w:rPr>
              <w:t>，</w:t>
            </w:r>
            <w:r>
              <w:rPr>
                <w:rFonts w:hint="eastAsia" w:ascii="Times New Roman" w:hAnsi="Times New Roman" w:eastAsia="方正书宋_GBK" w:cs="Times New Roman"/>
                <w:color w:val="auto"/>
                <w:kern w:val="0"/>
                <w:sz w:val="24"/>
                <w:highlight w:val="none"/>
                <w:u w:val="none"/>
                <w:lang w:val="en-US" w:eastAsia="zh-CN" w:bidi="ar-SA"/>
              </w:rPr>
              <w:t>适时建设科学谷三期</w:t>
            </w:r>
            <w:r>
              <w:rPr>
                <w:rFonts w:hint="eastAsia" w:ascii="Times New Roman" w:hAnsi="Times New Roman" w:eastAsia="方正书宋_GBK" w:cs="Times New Roman"/>
                <w:color w:val="auto"/>
                <w:kern w:val="0"/>
                <w:sz w:val="24"/>
                <w:highlight w:val="none"/>
                <w:u w:val="none"/>
                <w:lang w:bidi="ar-SA"/>
              </w:rPr>
              <w:t>。</w:t>
            </w:r>
          </w:p>
          <w:p w14:paraId="7A599498">
            <w:pPr>
              <w:widowControl/>
              <w:overflowPunct w:val="0"/>
              <w:snapToGrid w:val="0"/>
              <w:spacing w:line="380" w:lineRule="exact"/>
              <w:ind w:firstLine="480" w:firstLineChars="200"/>
              <w:jc w:val="left"/>
              <w:rPr>
                <w:rFonts w:hint="eastAsia" w:ascii="Times New Roman" w:hAnsi="Times New Roman" w:eastAsia="方正黑体_GBK" w:cs="方正黑体_GBK"/>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bidi="ar-SA"/>
              </w:rPr>
              <w:t>5</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科学会堂交往区。</w:t>
            </w:r>
            <w:r>
              <w:rPr>
                <w:rFonts w:hint="eastAsia" w:ascii="Times New Roman" w:hAnsi="Times New Roman" w:eastAsia="方正书宋_GBK" w:cs="Times New Roman"/>
                <w:color w:val="auto"/>
                <w:kern w:val="0"/>
                <w:sz w:val="24"/>
                <w:highlight w:val="none"/>
                <w:u w:val="none"/>
                <w:lang w:bidi="ar-SA"/>
              </w:rPr>
              <w:t>布局科学会堂交流中心、联合创新中心、城市居住社区等功能板块。</w:t>
            </w:r>
            <w:r>
              <w:rPr>
                <w:rFonts w:hint="eastAsia" w:ascii="Times New Roman" w:hAnsi="Times New Roman" w:eastAsia="方正书宋_GBK" w:cs="Times New Roman"/>
                <w:color w:val="auto"/>
                <w:kern w:val="0"/>
                <w:sz w:val="24"/>
                <w:highlight w:val="none"/>
                <w:u w:val="none"/>
                <w:lang w:val="en-US" w:eastAsia="zh-CN" w:bidi="ar-SA"/>
              </w:rPr>
              <w:t>至2027年，建成华中师大重庆学校、凤玺台居住小区。</w:t>
            </w:r>
            <w:r>
              <w:rPr>
                <w:rFonts w:hint="eastAsia" w:ascii="Times New Roman" w:hAnsi="Times New Roman" w:eastAsia="方正书宋_GBK" w:cs="Times New Roman"/>
                <w:color w:val="auto"/>
                <w:kern w:val="0"/>
                <w:sz w:val="24"/>
                <w:highlight w:val="none"/>
                <w:u w:val="none"/>
                <w:lang w:bidi="ar-SA"/>
              </w:rPr>
              <w:t>至2030年，建成</w:t>
            </w:r>
            <w:r>
              <w:rPr>
                <w:rFonts w:hint="eastAsia" w:ascii="Times New Roman" w:hAnsi="Times New Roman" w:eastAsia="方正书宋_GBK" w:cs="Times New Roman"/>
                <w:color w:val="auto"/>
                <w:kern w:val="0"/>
                <w:sz w:val="24"/>
                <w:highlight w:val="none"/>
                <w:u w:val="none"/>
                <w:lang w:val="en-US" w:eastAsia="zh-CN" w:bidi="ar-SA"/>
              </w:rPr>
              <w:t>凤玺台东侧城市居住小区，适时建设科学城商业街一、二期</w:t>
            </w:r>
            <w:r>
              <w:rPr>
                <w:rFonts w:hint="eastAsia" w:ascii="Times New Roman" w:hAnsi="Times New Roman" w:eastAsia="方正书宋_GBK" w:cs="Times New Roman"/>
                <w:color w:val="auto"/>
                <w:kern w:val="0"/>
                <w:sz w:val="24"/>
                <w:highlight w:val="none"/>
                <w:u w:val="none"/>
                <w:lang w:bidi="ar-SA"/>
              </w:rPr>
              <w:t>。</w:t>
            </w:r>
          </w:p>
          <w:p w14:paraId="73B683D6">
            <w:pPr>
              <w:widowControl/>
              <w:overflowPunct w:val="0"/>
              <w:snapToGrid w:val="0"/>
              <w:spacing w:line="380" w:lineRule="exact"/>
              <w:ind w:firstLine="480" w:firstLineChars="200"/>
              <w:jc w:val="left"/>
              <w:rPr>
                <w:rFonts w:ascii="Times New Roman" w:hAnsi="Times New Roman" w:eastAsia="方正仿宋_GBK" w:cs="Times New Roman"/>
                <w:color w:val="auto"/>
                <w:sz w:val="32"/>
                <w:szCs w:val="32"/>
                <w:highlight w:val="none"/>
              </w:rPr>
            </w:pPr>
            <w:r>
              <w:rPr>
                <w:rFonts w:hint="eastAsia" w:ascii="Times New Roman" w:hAnsi="Times New Roman" w:eastAsia="方正黑体_GBK" w:cs="方正黑体_GBK"/>
                <w:color w:val="auto"/>
                <w:kern w:val="0"/>
                <w:sz w:val="24"/>
                <w:highlight w:val="none"/>
                <w:u w:val="none"/>
                <w:lang w:bidi="ar-SA"/>
              </w:rPr>
              <w:t>6</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科学城生态门户。</w:t>
            </w:r>
            <w:r>
              <w:rPr>
                <w:rFonts w:hint="eastAsia" w:ascii="Times New Roman" w:hAnsi="Times New Roman" w:eastAsia="方正书宋_GBK" w:cs="Times New Roman"/>
                <w:color w:val="auto"/>
                <w:kern w:val="0"/>
                <w:sz w:val="24"/>
                <w:highlight w:val="none"/>
                <w:u w:val="none"/>
                <w:lang w:bidi="ar-SA"/>
              </w:rPr>
              <w:t>作为科学城重要生态空间，布局科学城公共中心与科学公园生态绿心两大功能板块。谋划布局科学公园区域，打通寨山坪国有农用地盘活路径。</w:t>
            </w:r>
          </w:p>
        </w:tc>
      </w:tr>
    </w:tbl>
    <w:p w14:paraId="3EC712EB">
      <w:pPr>
        <w:numPr>
          <w:ilvl w:val="-1"/>
          <w:numId w:val="0"/>
        </w:numPr>
        <w:overflowPunct w:val="0"/>
        <w:adjustRightInd w:val="0"/>
        <w:snapToGrid w:val="0"/>
        <w:spacing w:line="600" w:lineRule="exact"/>
        <w:jc w:val="center"/>
        <w:outlineLvl w:val="1"/>
        <w:rPr>
          <w:rFonts w:ascii="Times New Roman" w:hAnsi="Times New Roman" w:eastAsia="方正黑体_GBK" w:cs="Times New Roman"/>
          <w:bCs/>
          <w:color w:val="auto"/>
          <w:sz w:val="32"/>
          <w:szCs w:val="32"/>
          <w:highlight w:val="none"/>
        </w:rPr>
      </w:pPr>
      <w:bookmarkStart w:id="347" w:name="_Toc193541977"/>
      <w:bookmarkStart w:id="348" w:name="_Toc1817877305"/>
      <w:bookmarkStart w:id="349" w:name="_Toc6183"/>
      <w:bookmarkStart w:id="350" w:name="_Toc30966"/>
      <w:bookmarkStart w:id="351" w:name="_Toc5084"/>
      <w:bookmarkStart w:id="352" w:name="_Toc2917"/>
      <w:bookmarkStart w:id="353" w:name="_Toc5412"/>
      <w:r>
        <w:rPr>
          <w:rFonts w:hint="eastAsia" w:ascii="Times New Roman" w:hAnsi="Times New Roman" w:eastAsia="方正黑体_GBK" w:cs="Times New Roman"/>
          <w:bCs/>
          <w:color w:val="auto"/>
          <w:sz w:val="32"/>
          <w:szCs w:val="32"/>
          <w:highlight w:val="none"/>
          <w:lang w:val="en-US" w:eastAsia="zh-CN"/>
        </w:rPr>
        <w:t xml:space="preserve">第二章 </w:t>
      </w:r>
      <w:r>
        <w:rPr>
          <w:rFonts w:hint="default" w:ascii="Times New Roman" w:hAnsi="Times New Roman" w:eastAsia="方正黑体_GBK" w:cs="Times New Roman"/>
          <w:bCs/>
          <w:color w:val="auto"/>
          <w:sz w:val="32"/>
          <w:szCs w:val="32"/>
          <w:highlight w:val="none"/>
        </w:rPr>
        <w:t>建设富有活力的创新城市</w:t>
      </w:r>
      <w:bookmarkEnd w:id="347"/>
      <w:bookmarkEnd w:id="348"/>
      <w:bookmarkEnd w:id="349"/>
      <w:bookmarkEnd w:id="350"/>
      <w:bookmarkEnd w:id="351"/>
      <w:bookmarkEnd w:id="352"/>
      <w:bookmarkEnd w:id="353"/>
    </w:p>
    <w:p w14:paraId="0E8E9701">
      <w:pPr>
        <w:adjustRightInd w:val="0"/>
        <w:snapToGrid w:val="0"/>
        <w:spacing w:line="600" w:lineRule="exact"/>
        <w:ind w:firstLine="640" w:firstLineChars="200"/>
        <w:jc w:val="left"/>
        <w:textAlignment w:val="baseline"/>
        <w:outlineLvl w:val="9"/>
        <w:rPr>
          <w:rFonts w:hint="eastAsia" w:ascii="Times New Roman" w:hAnsi="Times New Roman" w:eastAsia="方正楷体_GBK" w:cs="Times New Roman"/>
          <w:color w:val="auto"/>
          <w:sz w:val="32"/>
          <w:highlight w:val="none"/>
        </w:rPr>
      </w:pPr>
      <w:r>
        <w:rPr>
          <w:rFonts w:hint="eastAsia" w:ascii="Times New Roman" w:hAnsi="Times New Roman" w:eastAsia="方正仿宋_GBK" w:cs="Times New Roman"/>
          <w:color w:val="auto"/>
          <w:sz w:val="32"/>
          <w:szCs w:val="32"/>
          <w:highlight w:val="none"/>
        </w:rPr>
        <w:t>以存量空间提质增效为基础，以高质量城市更新推动城市内涵式发展</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聚力建设青年</w:t>
      </w:r>
      <w:r>
        <w:rPr>
          <w:rFonts w:hint="eastAsia" w:ascii="Times New Roman" w:hAnsi="Times New Roman" w:eastAsia="方正仿宋_GBK" w:cs="Times New Roman"/>
          <w:color w:val="auto"/>
          <w:sz w:val="32"/>
          <w:szCs w:val="32"/>
          <w:highlight w:val="none"/>
          <w:lang w:val="en-US" w:eastAsia="zh-CN"/>
        </w:rPr>
        <w:t>创新创业友好</w:t>
      </w:r>
      <w:r>
        <w:rPr>
          <w:rFonts w:hint="eastAsia" w:ascii="Times New Roman" w:hAnsi="Times New Roman" w:eastAsia="方正仿宋_GBK" w:cs="Times New Roman"/>
          <w:color w:val="auto"/>
          <w:sz w:val="32"/>
          <w:szCs w:val="32"/>
          <w:highlight w:val="none"/>
        </w:rPr>
        <w:t>型城市，构建活力迸发的创新城市发展格局</w:t>
      </w:r>
      <w:r>
        <w:rPr>
          <w:rFonts w:hint="eastAsia" w:ascii="Times New Roman" w:hAnsi="Times New Roman" w:eastAsia="方正仿宋_GBK" w:cs="Times New Roman"/>
          <w:color w:val="auto"/>
          <w:sz w:val="32"/>
          <w:szCs w:val="32"/>
          <w:highlight w:val="none"/>
          <w:lang w:eastAsia="zh-CN"/>
        </w:rPr>
        <w:t>。</w:t>
      </w:r>
      <w:bookmarkStart w:id="354" w:name="_Toc7897"/>
      <w:bookmarkStart w:id="355" w:name="_Toc225750226"/>
      <w:bookmarkStart w:id="356" w:name="_Toc18836"/>
      <w:bookmarkStart w:id="357" w:name="_Toc30365"/>
      <w:bookmarkStart w:id="358" w:name="_Toc814019266"/>
      <w:bookmarkStart w:id="359" w:name="_Toc10188"/>
      <w:bookmarkStart w:id="360" w:name="_Toc1569765881"/>
      <w:bookmarkStart w:id="361" w:name="_Toc9585"/>
      <w:bookmarkStart w:id="362" w:name="_Toc7676"/>
      <w:bookmarkStart w:id="363" w:name="_Toc1310071731"/>
      <w:bookmarkStart w:id="364" w:name="_Toc21899"/>
      <w:bookmarkStart w:id="365" w:name="_Toc4841"/>
    </w:p>
    <w:p w14:paraId="4B4EFCE6">
      <w:pPr>
        <w:adjustRightInd w:val="0"/>
        <w:snapToGrid w:val="0"/>
        <w:spacing w:line="600" w:lineRule="exact"/>
        <w:jc w:val="center"/>
        <w:outlineLvl w:val="2"/>
        <w:rPr>
          <w:rFonts w:ascii="Times New Roman" w:hAnsi="Times New Roman" w:eastAsia="方正仿宋_GBK" w:cs="Times New Roman"/>
          <w:color w:val="auto"/>
          <w:sz w:val="32"/>
          <w:szCs w:val="32"/>
          <w:highlight w:val="none"/>
        </w:rPr>
      </w:pPr>
      <w:bookmarkStart w:id="366" w:name="_Toc14375"/>
      <w:r>
        <w:rPr>
          <w:rFonts w:hint="eastAsia" w:ascii="Times New Roman" w:hAnsi="Times New Roman" w:eastAsia="方正楷体_GBK" w:cs="Times New Roman"/>
          <w:color w:val="auto"/>
          <w:sz w:val="32"/>
          <w:highlight w:val="none"/>
        </w:rPr>
        <w:t>第一节 推动存量空间提质增效</w:t>
      </w:r>
      <w:bookmarkEnd w:id="354"/>
      <w:bookmarkEnd w:id="355"/>
      <w:bookmarkEnd w:id="356"/>
      <w:bookmarkEnd w:id="357"/>
      <w:bookmarkEnd w:id="358"/>
      <w:bookmarkEnd w:id="359"/>
      <w:bookmarkEnd w:id="360"/>
      <w:bookmarkEnd w:id="361"/>
      <w:bookmarkEnd w:id="362"/>
      <w:bookmarkEnd w:id="366"/>
      <w:bookmarkStart w:id="367" w:name="_Toc24180"/>
    </w:p>
    <w:p w14:paraId="361D5E9B">
      <w:pPr>
        <w:overflowPunct w:val="0"/>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加快存量土地盘活。</w:t>
      </w:r>
      <w:r>
        <w:rPr>
          <w:rFonts w:hint="default" w:ascii="方正仿宋_GBK" w:hAnsi="方正仿宋_GBK" w:eastAsia="方正仿宋_GBK" w:cs="方正仿宋_GBK"/>
          <w:bCs/>
          <w:color w:val="auto"/>
          <w:kern w:val="2"/>
          <w:sz w:val="32"/>
          <w:szCs w:val="32"/>
          <w:highlight w:val="none"/>
          <w:u w:val="none" w:color="auto"/>
        </w:rPr>
        <w:t>落实土地要素市场化配置综合改革措施</w:t>
      </w:r>
      <w:r>
        <w:rPr>
          <w:rFonts w:hint="eastAsia" w:ascii="方正仿宋_GBK" w:hAnsi="方正仿宋_GBK" w:eastAsia="方正仿宋_GBK" w:cs="方正仿宋_GBK"/>
          <w:bCs/>
          <w:color w:val="auto"/>
          <w:kern w:val="2"/>
          <w:sz w:val="32"/>
          <w:szCs w:val="32"/>
          <w:highlight w:val="none"/>
          <w:u w:val="none" w:color="auto"/>
          <w:lang w:eastAsia="zh-CN"/>
        </w:rPr>
        <w:t>，</w:t>
      </w:r>
      <w:r>
        <w:rPr>
          <w:rFonts w:hint="eastAsia" w:ascii="Times New Roman" w:hAnsi="Times New Roman" w:eastAsia="方正仿宋_GBK" w:cs="Times New Roman"/>
          <w:color w:val="auto"/>
          <w:sz w:val="32"/>
          <w:szCs w:val="32"/>
          <w:highlight w:val="none"/>
        </w:rPr>
        <w:t>提高现有存量用地消化速度，优先利用批而未供的存量用地，重点推动西永微电园、金凤、含谷用地供应。积极开展1.5级短期利用，针对含谷镇、曾家镇、香炉山街道等区域内未纳入供应计划的储备土地，按程序短期利用，盘活土地资源。积极开展2.5级出让开发利用，开展已供未建闲置地块处置，突出灵活高效和规范有序，兼顾社会效益与经济效益。结合国土空间与土地资源利用支持政策，推进高新大道以北的市级储备土地和国有农用地闲置资源盘活利用。推进闲置低效空间利用。有序实施科学谷数智科创园、金凤软件园、巴福镇标准厂房等重点厂房楼宇“满园满楼”行动，全力打造一批“星级楼宇”“特色楼宇”</w:t>
      </w:r>
      <w:r>
        <w:rPr>
          <w:rFonts w:hint="eastAsia" w:ascii="Times New Roman" w:hAnsi="Times New Roman" w:eastAsia="方正仿宋_GBK" w:cs="Times New Roman"/>
          <w:color w:val="auto"/>
          <w:sz w:val="32"/>
          <w:szCs w:val="32"/>
          <w:highlight w:val="none"/>
          <w:lang w:eastAsia="zh-CN"/>
        </w:rPr>
        <w:t>，</w:t>
      </w:r>
      <w:r>
        <w:rPr>
          <w:rFonts w:hint="default" w:ascii="方正仿宋_GBK" w:hAnsi="方正仿宋_GBK" w:eastAsia="方正仿宋_GBK" w:cs="方正仿宋_GBK"/>
          <w:color w:val="auto"/>
          <w:kern w:val="2"/>
          <w:sz w:val="32"/>
          <w:szCs w:val="32"/>
          <w:highlight w:val="none"/>
          <w:u w:val="none" w:color="auto"/>
        </w:rPr>
        <w:t>培育一批具备稳定现金流的核心优质资产，打造一批多元融合、活力彰显的城市新空间</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通过</w:t>
      </w:r>
      <w:r>
        <w:rPr>
          <w:rFonts w:hint="eastAsia" w:ascii="Times New Roman" w:hAnsi="Times New Roman" w:eastAsia="方正仿宋_GBK" w:cs="Times New Roman"/>
          <w:color w:val="auto"/>
          <w:sz w:val="32"/>
          <w:szCs w:val="32"/>
          <w:highlight w:val="none"/>
        </w:rPr>
        <w:t>功能转化、招商盘活、改造提升等方式加快盘活利用西宸中心、协信西区商业用地等闲置商业、商办用房。充分利用城市边角地和绿色空间</w:t>
      </w:r>
      <w:r>
        <w:rPr>
          <w:rFonts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建设</w:t>
      </w:r>
      <w:r>
        <w:rPr>
          <w:rFonts w:hint="eastAsia" w:ascii="Times New Roman" w:hAnsi="Times New Roman" w:eastAsia="方正仿宋_GBK" w:cs="Times New Roman"/>
          <w:color w:val="auto"/>
          <w:sz w:val="32"/>
          <w:szCs w:val="32"/>
          <w:highlight w:val="none"/>
        </w:rPr>
        <w:t>临时停车场、口袋公园等</w:t>
      </w:r>
      <w:r>
        <w:rPr>
          <w:rFonts w:hint="eastAsia" w:ascii="Times New Roman" w:hAnsi="Times New Roman" w:eastAsia="方正仿宋_GBK" w:cs="Times New Roman"/>
          <w:color w:val="auto"/>
          <w:sz w:val="32"/>
          <w:szCs w:val="32"/>
          <w:highlight w:val="none"/>
          <w:lang w:val="en-US" w:eastAsia="zh-CN"/>
        </w:rPr>
        <w:t>项目</w:t>
      </w:r>
      <w:r>
        <w:rPr>
          <w:rFonts w:hint="eastAsia" w:ascii="Times New Roman" w:hAnsi="Times New Roman" w:eastAsia="方正仿宋_GBK" w:cs="Times New Roman"/>
          <w:color w:val="auto"/>
          <w:sz w:val="32"/>
          <w:szCs w:val="32"/>
          <w:highlight w:val="none"/>
        </w:rPr>
        <w:t>，缓解老城区停车难、配套弱等问题，提升城市空间品质。到2030年，盘活城市空间资源150万平方米</w:t>
      </w:r>
      <w:r>
        <w:rPr>
          <w:rFonts w:hint="eastAsia" w:ascii="Times New Roman" w:hAnsi="Times New Roman" w:eastAsia="方正仿宋_GBK" w:cs="Times New Roman"/>
          <w:color w:val="auto"/>
          <w:sz w:val="32"/>
          <w:szCs w:val="32"/>
          <w:highlight w:val="none"/>
          <w:lang w:eastAsia="zh-CN"/>
        </w:rPr>
        <w:t>，每年供应存量用地2000亩左右</w:t>
      </w:r>
      <w:r>
        <w:rPr>
          <w:rFonts w:hint="eastAsia" w:ascii="Times New Roman" w:hAnsi="Times New Roman" w:eastAsia="方正仿宋_GBK" w:cs="Times New Roman"/>
          <w:color w:val="auto"/>
          <w:sz w:val="32"/>
          <w:szCs w:val="32"/>
          <w:highlight w:val="none"/>
        </w:rPr>
        <w:t>。</w:t>
      </w:r>
    </w:p>
    <w:p w14:paraId="516A0567">
      <w:pPr>
        <w:widowControl/>
        <w:overflowPunct w:val="0"/>
        <w:jc w:val="center"/>
        <w:rPr>
          <w:rFonts w:hint="eastAsia" w:ascii="Times New Roman" w:hAnsi="Times New Roman" w:eastAsia="方正黑体_GBK" w:cs="方正黑体_GBK"/>
          <w:color w:val="auto"/>
          <w:kern w:val="0"/>
          <w:sz w:val="32"/>
          <w:szCs w:val="32"/>
          <w:highlight w:val="none"/>
          <w:u w:val="none"/>
          <w:lang w:bidi="ar"/>
        </w:rPr>
      </w:pPr>
      <w:bookmarkStart w:id="368" w:name="_Toc23020"/>
      <w:r>
        <w:rPr>
          <w:rFonts w:hint="eastAsia" w:ascii="Times New Roman" w:hAnsi="Times New Roman" w:eastAsia="方正黑体_GBK" w:cs="方正黑体_GBK"/>
          <w:color w:val="auto"/>
          <w:kern w:val="0"/>
          <w:sz w:val="32"/>
          <w:szCs w:val="32"/>
          <w:highlight w:val="none"/>
          <w:u w:val="none"/>
          <w:lang w:bidi="ar"/>
        </w:rPr>
        <w:t>专栏2</w:t>
      </w:r>
      <w:r>
        <w:rPr>
          <w:rFonts w:hint="eastAsia" w:ascii="Times New Roman" w:hAnsi="Times New Roman" w:eastAsia="方正黑体_GBK" w:cs="方正黑体_GBK"/>
          <w:color w:val="auto"/>
          <w:kern w:val="0"/>
          <w:sz w:val="32"/>
          <w:szCs w:val="32"/>
          <w:highlight w:val="none"/>
          <w:u w:val="none"/>
          <w:lang w:val="en-US" w:eastAsia="zh-CN" w:bidi="ar"/>
        </w:rPr>
        <w:t>1</w:t>
      </w:r>
      <w:r>
        <w:rPr>
          <w:rFonts w:hint="eastAsia" w:ascii="Times New Roman" w:hAnsi="Times New Roman" w:eastAsia="方正黑体_GBK" w:cs="方正黑体_GBK"/>
          <w:color w:val="auto"/>
          <w:kern w:val="0"/>
          <w:sz w:val="32"/>
          <w:szCs w:val="32"/>
          <w:highlight w:val="none"/>
          <w:u w:val="none"/>
          <w:lang w:bidi="ar"/>
        </w:rPr>
        <w:t xml:space="preserve"> 闲置载体“满园满楼”行动</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0C99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90" w:type="dxa"/>
          </w:tcPr>
          <w:p w14:paraId="6A965180">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科学谷。</w:t>
            </w:r>
            <w:r>
              <w:rPr>
                <w:rFonts w:hint="eastAsia" w:ascii="Times New Roman" w:hAnsi="Times New Roman" w:eastAsia="方正书宋_GBK" w:cs="Times New Roman"/>
                <w:color w:val="auto"/>
                <w:kern w:val="0"/>
                <w:sz w:val="24"/>
                <w:highlight w:val="none"/>
                <w:u w:val="none"/>
                <w:lang w:bidi="ar-SA"/>
              </w:rPr>
              <w:t>聚焦新能源汽摩和未来产业，引进企业研发中心、高端研发机构及领军人才团队，引导电子科大研究院、北理工研究院等存量平台入驻。</w:t>
            </w:r>
          </w:p>
          <w:p w14:paraId="7127ECC7">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金凤软件园（西永园、虎溪园）。</w:t>
            </w:r>
            <w:r>
              <w:rPr>
                <w:rFonts w:hint="eastAsia" w:ascii="Times New Roman" w:hAnsi="Times New Roman" w:eastAsia="方正书宋_GBK" w:cs="Times New Roman"/>
                <w:color w:val="auto"/>
                <w:kern w:val="0"/>
                <w:sz w:val="24"/>
                <w:highlight w:val="none"/>
                <w:u w:val="none"/>
                <w:lang w:bidi="ar-SA"/>
              </w:rPr>
              <w:t>聚焦软件和信息服务、汽车电子、数字文创等领域，定向引入软件解决方案供应商、中小企业区域总部、师生创业项目、专业化技术交易服务平台等，满足适配信创环境的软硬件产业配套需求。</w:t>
            </w:r>
          </w:p>
          <w:p w14:paraId="1DE0EBBF">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科创一期、二期。</w:t>
            </w:r>
            <w:r>
              <w:rPr>
                <w:rFonts w:hint="eastAsia" w:ascii="Times New Roman" w:hAnsi="Times New Roman" w:eastAsia="方正书宋_GBK" w:cs="Times New Roman"/>
                <w:color w:val="auto"/>
                <w:kern w:val="0"/>
                <w:sz w:val="24"/>
                <w:highlight w:val="none"/>
                <w:u w:val="none"/>
                <w:lang w:bidi="ar-SA"/>
              </w:rPr>
              <w:t>聚焦生物医药和科技服务领域，</w:t>
            </w:r>
            <w:r>
              <w:rPr>
                <w:rFonts w:hint="eastAsia" w:ascii="Times New Roman" w:hAnsi="Times New Roman" w:eastAsia="方正书宋_GBK" w:cs="Times New Roman"/>
                <w:color w:val="auto"/>
                <w:kern w:val="0"/>
                <w:sz w:val="24"/>
                <w:highlight w:val="none"/>
                <w:u w:val="none"/>
                <w:lang w:val="en-US" w:eastAsia="zh-CN" w:bidi="ar-SA"/>
              </w:rPr>
              <w:t>以</w:t>
            </w:r>
            <w:r>
              <w:rPr>
                <w:rFonts w:hint="eastAsia" w:ascii="Times New Roman" w:hAnsi="Times New Roman" w:eastAsia="方正书宋_GBK" w:cs="Times New Roman"/>
                <w:color w:val="auto"/>
                <w:kern w:val="0"/>
                <w:sz w:val="24"/>
                <w:highlight w:val="none"/>
                <w:u w:val="none"/>
                <w:lang w:bidi="ar-SA"/>
              </w:rPr>
              <w:t>药监局审评检查分中心为辐射载体，在科创一期建设公共实验中心、药品和医疗器械注册咨询服务站，科创二期建设GMP标准厂房，重点吸引企业研发中心或正处于注册申报阶段的企业入驻，打造覆盖监管咨询、临床试验、委托生产的专业化医疗产业社区。</w:t>
            </w:r>
          </w:p>
          <w:p w14:paraId="52E95298">
            <w:pPr>
              <w:widowControl/>
              <w:overflowPunct w:val="0"/>
              <w:snapToGrid w:val="0"/>
              <w:spacing w:line="380" w:lineRule="exact"/>
              <w:ind w:firstLine="480" w:firstLineChars="200"/>
              <w:jc w:val="left"/>
              <w:rPr>
                <w:rFonts w:hint="eastAsia" w:ascii="Times New Roman" w:hAnsi="Times New Roman" w:eastAsia="方正黑体_GBK" w:cs="方正黑体_GBK"/>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4</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金凤城市中心。</w:t>
            </w:r>
            <w:r>
              <w:rPr>
                <w:rFonts w:hint="eastAsia" w:ascii="Times New Roman" w:hAnsi="Times New Roman" w:eastAsia="方正书宋_GBK" w:cs="Times New Roman"/>
                <w:color w:val="auto"/>
                <w:kern w:val="0"/>
                <w:sz w:val="24"/>
                <w:highlight w:val="none"/>
                <w:u w:val="none"/>
                <w:lang w:bidi="ar-SA"/>
              </w:rPr>
              <w:t>聚焦金融服务、软件和信息服务领域，重点引入企业区域总部、研发中心、金融机构以及法律、会计、咨询等专业服务机构。</w:t>
            </w:r>
          </w:p>
          <w:p w14:paraId="56392992">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5</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石板大健康产业园、巴福大健康产业园。</w:t>
            </w:r>
            <w:r>
              <w:rPr>
                <w:rFonts w:hint="eastAsia" w:ascii="Times New Roman" w:hAnsi="Times New Roman" w:eastAsia="方正书宋_GBK" w:cs="Times New Roman"/>
                <w:color w:val="auto"/>
                <w:kern w:val="0"/>
                <w:sz w:val="24"/>
                <w:highlight w:val="none"/>
                <w:u w:val="none"/>
                <w:lang w:bidi="ar-SA"/>
              </w:rPr>
              <w:t>聚焦生物医药</w:t>
            </w:r>
            <w:r>
              <w:rPr>
                <w:rFonts w:hint="eastAsia" w:ascii="Times New Roman" w:hAnsi="Times New Roman" w:eastAsia="方正书宋_GBK" w:cs="Times New Roman"/>
                <w:color w:val="auto"/>
                <w:kern w:val="0"/>
                <w:sz w:val="24"/>
                <w:highlight w:val="none"/>
                <w:u w:val="none"/>
                <w:lang w:eastAsia="zh-CN" w:bidi="ar-SA"/>
              </w:rPr>
              <w:t>、</w:t>
            </w:r>
            <w:r>
              <w:rPr>
                <w:rFonts w:hint="eastAsia" w:ascii="Times New Roman" w:hAnsi="Times New Roman" w:eastAsia="方正书宋_GBK" w:cs="Times New Roman"/>
                <w:color w:val="auto"/>
                <w:kern w:val="0"/>
                <w:sz w:val="24"/>
                <w:highlight w:val="none"/>
                <w:u w:val="none"/>
                <w:lang w:bidi="ar-SA"/>
              </w:rPr>
              <w:t>高端医疗装备领域，完善生物医药仓储物流、危废处理等配套设施，重点引进工艺开发与规模化生产阶段项目，与金凤实验室形成前研后产协同。</w:t>
            </w:r>
          </w:p>
          <w:p w14:paraId="0022A95B">
            <w:pPr>
              <w:widowControl/>
              <w:overflowPunct w:val="0"/>
              <w:snapToGrid w:val="0"/>
              <w:spacing w:line="380" w:lineRule="exact"/>
              <w:ind w:firstLine="480" w:firstLineChars="200"/>
              <w:jc w:val="left"/>
              <w:rPr>
                <w:rFonts w:hint="eastAsia" w:ascii="方正书宋_GBK" w:hAnsi="方正书宋_GBK" w:eastAsia="方正书宋_GBK" w:cs="方正书宋_GBK"/>
                <w:color w:val="auto"/>
                <w:sz w:val="24"/>
                <w:highlight w:val="none"/>
              </w:rPr>
            </w:pPr>
            <w:r>
              <w:rPr>
                <w:rFonts w:hint="eastAsia" w:ascii="Times New Roman" w:hAnsi="Times New Roman" w:eastAsia="方正黑体_GBK" w:cs="方正黑体_GBK"/>
                <w:color w:val="auto"/>
                <w:kern w:val="0"/>
                <w:sz w:val="24"/>
                <w:highlight w:val="none"/>
                <w:u w:val="none"/>
                <w:lang w:val="en-US" w:eastAsia="zh-CN" w:bidi="ar-SA"/>
              </w:rPr>
              <w:t>6</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西永综保区A区厂房。</w:t>
            </w:r>
            <w:r>
              <w:rPr>
                <w:rFonts w:hint="eastAsia" w:ascii="Times New Roman" w:hAnsi="Times New Roman" w:eastAsia="方正书宋_GBK" w:cs="Times New Roman"/>
                <w:color w:val="auto"/>
                <w:kern w:val="0"/>
                <w:sz w:val="24"/>
                <w:highlight w:val="none"/>
                <w:u w:val="none"/>
                <w:lang w:bidi="ar-SA"/>
              </w:rPr>
              <w:t>聚焦加工贸易相关产业，以工业和仓储为主体功能，围绕方大海航、京东方上下游扩链，加</w:t>
            </w:r>
            <w:r>
              <w:rPr>
                <w:rFonts w:hint="eastAsia" w:ascii="Times New Roman" w:hAnsi="Times New Roman" w:eastAsia="方正书宋_GBK" w:cs="Times New Roman"/>
                <w:color w:val="auto"/>
                <w:kern w:val="0"/>
                <w:sz w:val="24"/>
                <w:highlight w:val="none"/>
                <w:u w:val="none"/>
                <w:lang w:val="en-US" w:eastAsia="zh-CN" w:bidi="ar-SA"/>
              </w:rPr>
              <w:t>大</w:t>
            </w:r>
            <w:r>
              <w:rPr>
                <w:rFonts w:hint="eastAsia" w:ascii="Times New Roman" w:hAnsi="Times New Roman" w:eastAsia="方正书宋_GBK" w:cs="Times New Roman"/>
                <w:color w:val="auto"/>
                <w:kern w:val="0"/>
                <w:sz w:val="24"/>
                <w:highlight w:val="none"/>
                <w:u w:val="none"/>
                <w:lang w:bidi="ar-SA"/>
              </w:rPr>
              <w:t>招商引资盘活力度，重点引进外向型加工贸易企业。</w:t>
            </w:r>
          </w:p>
        </w:tc>
      </w:tr>
    </w:tbl>
    <w:p w14:paraId="39B92BAC">
      <w:pPr>
        <w:adjustRightInd w:val="0"/>
        <w:snapToGrid w:val="0"/>
        <w:spacing w:line="600" w:lineRule="exact"/>
        <w:jc w:val="center"/>
        <w:outlineLvl w:val="2"/>
        <w:rPr>
          <w:rFonts w:ascii="Times New Roman" w:hAnsi="Times New Roman" w:eastAsia="方正楷体_GBK" w:cs="Times New Roman"/>
          <w:color w:val="auto"/>
          <w:sz w:val="32"/>
          <w:highlight w:val="none"/>
        </w:rPr>
      </w:pPr>
      <w:bookmarkStart w:id="369" w:name="_Toc24860"/>
      <w:bookmarkStart w:id="370" w:name="_Toc1750972272"/>
      <w:bookmarkStart w:id="371" w:name="_Toc30613"/>
      <w:bookmarkStart w:id="372" w:name="_Toc32067"/>
      <w:bookmarkStart w:id="373" w:name="_Toc1218558572"/>
      <w:r>
        <w:rPr>
          <w:rFonts w:hint="eastAsia" w:ascii="Times New Roman" w:hAnsi="Times New Roman" w:eastAsia="方正楷体_GBK" w:cs="Times New Roman"/>
          <w:color w:val="auto"/>
          <w:sz w:val="32"/>
          <w:highlight w:val="none"/>
        </w:rPr>
        <w:t>第二节 实施全域城市更新</w:t>
      </w:r>
      <w:r>
        <w:rPr>
          <w:rFonts w:hint="eastAsia" w:ascii="Times New Roman" w:hAnsi="Times New Roman" w:eastAsia="方正楷体_GBK" w:cs="Times New Roman"/>
          <w:color w:val="auto"/>
          <w:sz w:val="32"/>
          <w:highlight w:val="none"/>
          <w:lang w:val="en-US" w:eastAsia="zh-CN"/>
        </w:rPr>
        <w:t>行动</w:t>
      </w:r>
      <w:bookmarkEnd w:id="363"/>
      <w:bookmarkEnd w:id="364"/>
      <w:bookmarkEnd w:id="365"/>
      <w:bookmarkEnd w:id="367"/>
      <w:bookmarkEnd w:id="368"/>
      <w:bookmarkEnd w:id="369"/>
      <w:bookmarkEnd w:id="370"/>
      <w:bookmarkEnd w:id="371"/>
      <w:bookmarkEnd w:id="372"/>
      <w:bookmarkEnd w:id="373"/>
    </w:p>
    <w:p w14:paraId="02A8784E">
      <w:pPr>
        <w:widowControl/>
        <w:overflowPunct/>
        <w:spacing w:line="600" w:lineRule="exact"/>
        <w:ind w:firstLine="640" w:firstLineChars="200"/>
        <w:jc w:val="left"/>
        <w:rPr>
          <w:rFonts w:hint="eastAsia" w:ascii="Times New Roman" w:hAnsi="Times New Roman" w:eastAsia="方正仿宋_GBK" w:cs="Times New Roman"/>
          <w:color w:val="auto"/>
          <w:sz w:val="32"/>
          <w:szCs w:val="32"/>
          <w:highlight w:val="none"/>
        </w:rPr>
      </w:pPr>
      <w:bookmarkStart w:id="374" w:name="OLE_LINK32"/>
      <w:bookmarkStart w:id="375" w:name="_Toc1714427477"/>
      <w:bookmarkStart w:id="376" w:name="_Toc26474"/>
      <w:bookmarkStart w:id="377" w:name="_Toc6308"/>
      <w:bookmarkStart w:id="378" w:name="_Toc21008"/>
      <w:bookmarkStart w:id="379" w:name="_Toc20253"/>
      <w:bookmarkStart w:id="380" w:name="_Toc1058"/>
      <w:r>
        <w:rPr>
          <w:rFonts w:hint="eastAsia" w:ascii="方正仿宋_GBK" w:hAnsi="Calibri" w:eastAsia="方正仿宋_GBK" w:cs="Times New Roman"/>
          <w:bCs/>
          <w:color w:val="auto"/>
          <w:sz w:val="32"/>
          <w:szCs w:val="32"/>
          <w:highlight w:val="none"/>
          <w:u w:val="none" w:color="auto"/>
          <w:lang w:val="en-US" w:eastAsia="zh-CN"/>
        </w:rPr>
        <w:t>建立“专项规划—片区策划—项目实施方案”三级更新实施体系，</w:t>
      </w:r>
      <w:r>
        <w:rPr>
          <w:rFonts w:hint="eastAsia" w:ascii="Times New Roman" w:hAnsi="Times New Roman" w:eastAsia="方正仿宋_GBK" w:cs="Times New Roman"/>
          <w:color w:val="auto"/>
          <w:sz w:val="32"/>
          <w:szCs w:val="32"/>
          <w:highlight w:val="none"/>
          <w:u w:val="none" w:color="auto"/>
          <w:lang w:val="en-US" w:eastAsia="zh-CN"/>
        </w:rPr>
        <w:t>围绕服务科创、产业、民生，按照“体检先行、整体谋划、小切口推动、存量盘活”思路，以片区更新模式为抓手，实现</w:t>
      </w:r>
      <w:r>
        <w:rPr>
          <w:rFonts w:hint="eastAsia" w:ascii="方正仿宋_GBK" w:hAnsi="方正仿宋_GBK" w:eastAsia="方正仿宋_GBK" w:cs="方正仿宋_GBK"/>
          <w:color w:val="auto"/>
          <w:kern w:val="2"/>
          <w:sz w:val="32"/>
          <w:szCs w:val="32"/>
          <w:highlight w:val="none"/>
          <w:u w:val="none" w:color="auto"/>
          <w:lang w:eastAsia="zh"/>
        </w:rPr>
        <w:t>全域更新有序衔接。</w:t>
      </w:r>
      <w:r>
        <w:rPr>
          <w:rFonts w:hint="eastAsia" w:ascii="Times New Roman" w:hAnsi="Times New Roman" w:eastAsia="方正仿宋_GBK" w:cs="Times New Roman"/>
          <w:color w:val="auto"/>
          <w:sz w:val="32"/>
          <w:szCs w:val="32"/>
          <w:highlight w:val="none"/>
        </w:rPr>
        <w:t>坚持“以留为主、</w:t>
      </w:r>
      <w:r>
        <w:rPr>
          <w:rFonts w:hint="eastAsia" w:ascii="Times New Roman" w:hAnsi="Times New Roman" w:eastAsia="方正仿宋_GBK" w:cs="Times New Roman"/>
          <w:color w:val="auto"/>
          <w:sz w:val="32"/>
          <w:szCs w:val="32"/>
          <w:highlight w:val="none"/>
          <w:lang w:val="en-US" w:eastAsia="zh-CN"/>
        </w:rPr>
        <w:t>焕新提质</w:t>
      </w:r>
      <w:r>
        <w:rPr>
          <w:rFonts w:hint="eastAsia" w:ascii="Times New Roman" w:hAnsi="Times New Roman" w:eastAsia="方正仿宋_GBK" w:cs="Times New Roman"/>
          <w:color w:val="auto"/>
          <w:sz w:val="32"/>
          <w:szCs w:val="32"/>
          <w:highlight w:val="none"/>
        </w:rPr>
        <w:t>”理念，以改造提升、功能织补等多元化更新方式为抓手，有序推进金凤、虎溪、西永、香炉山、曾家、含谷重点片区开展全面城市更新，通过功能再造、空间重塑，盘活存量资源，完善城市功能。以小切口方式推进白市驿、石板、巴福、走马等区域零星城市更新项目，推动老旧小区改造，改善出行条件，增加服务配套，完善消防供水、消防车通道等公共消防设施建设。推进金凤</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走马、含谷</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白市驿片区城中村改造，结合规划功能和成片开发需要，整合周边低效用地、零星边角用地。到2030年，梯次更新8个片区、13平方公里。</w:t>
      </w:r>
      <w:bookmarkEnd w:id="374"/>
    </w:p>
    <w:p w14:paraId="1570AAA0">
      <w:pPr>
        <w:widowControl/>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专栏2</w:t>
      </w:r>
      <w:r>
        <w:rPr>
          <w:rFonts w:hint="eastAsia" w:ascii="Times New Roman" w:hAnsi="Times New Roman" w:eastAsia="方正黑体_GBK" w:cs="方正黑体_GBK"/>
          <w:color w:val="auto"/>
          <w:kern w:val="0"/>
          <w:sz w:val="32"/>
          <w:szCs w:val="32"/>
          <w:highlight w:val="none"/>
          <w:u w:val="none"/>
          <w:lang w:val="en-US" w:eastAsia="zh-CN" w:bidi="ar"/>
        </w:rPr>
        <w:t>2</w:t>
      </w:r>
      <w:r>
        <w:rPr>
          <w:rFonts w:hint="eastAsia" w:ascii="Times New Roman" w:hAnsi="Times New Roman" w:eastAsia="方正黑体_GBK" w:cs="方正黑体_GBK"/>
          <w:color w:val="auto"/>
          <w:kern w:val="0"/>
          <w:sz w:val="32"/>
          <w:szCs w:val="32"/>
          <w:highlight w:val="none"/>
          <w:u w:val="none"/>
          <w:lang w:bidi="ar"/>
        </w:rPr>
        <w:t xml:space="preserve"> </w:t>
      </w:r>
      <w:r>
        <w:rPr>
          <w:rFonts w:hint="eastAsia" w:ascii="Times New Roman" w:hAnsi="Times New Roman" w:eastAsia="方正黑体_GBK" w:cs="方正黑体_GBK"/>
          <w:color w:val="auto"/>
          <w:kern w:val="0"/>
          <w:sz w:val="32"/>
          <w:szCs w:val="32"/>
          <w:highlight w:val="none"/>
          <w:u w:val="none"/>
          <w:lang w:val="en-US" w:eastAsia="zh-CN" w:bidi="ar"/>
        </w:rPr>
        <w:t>8</w:t>
      </w:r>
      <w:r>
        <w:rPr>
          <w:rFonts w:hint="eastAsia" w:ascii="Times New Roman" w:hAnsi="Times New Roman" w:eastAsia="方正黑体_GBK" w:cs="方正黑体_GBK"/>
          <w:color w:val="auto"/>
          <w:kern w:val="0"/>
          <w:sz w:val="32"/>
          <w:szCs w:val="32"/>
          <w:highlight w:val="none"/>
          <w:u w:val="none"/>
          <w:lang w:bidi="ar"/>
        </w:rPr>
        <w:t>大片区城市更新指引</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1009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1D335793">
            <w:pPr>
              <w:pStyle w:val="38"/>
              <w:snapToGrid w:val="0"/>
              <w:spacing w:line="380" w:lineRule="exact"/>
              <w:ind w:firstLine="480"/>
              <w:rPr>
                <w:rFonts w:hint="eastAsia" w:ascii="Times New Roman" w:hAnsi="Times New Roman" w:eastAsia="方正书宋_GBK" w:cs="Times New Roman"/>
                <w:color w:val="auto"/>
                <w:kern w:val="0"/>
                <w:sz w:val="24"/>
                <w:szCs w:val="24"/>
                <w:highlight w:val="none"/>
                <w:u w:val="none"/>
                <w:lang w:val="en-US" w:eastAsia="zh-CN" w:bidi="ar-SA"/>
              </w:rPr>
            </w:pPr>
            <w:r>
              <w:rPr>
                <w:rFonts w:hint="eastAsia" w:ascii="Times New Roman" w:hAnsi="Times New Roman" w:eastAsia="方正黑体_GBK" w:cs="方正黑体_GBK"/>
                <w:color w:val="auto"/>
                <w:kern w:val="0"/>
                <w:sz w:val="24"/>
                <w:szCs w:val="24"/>
                <w:highlight w:val="none"/>
                <w:u w:val="none"/>
                <w:lang w:val="en-US" w:eastAsia="zh-CN"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val="en-US" w:eastAsia="zh-CN" w:bidi="ar-SA"/>
              </w:rPr>
              <w:t>金凤片区。</w:t>
            </w:r>
            <w:r>
              <w:rPr>
                <w:rFonts w:hint="eastAsia" w:ascii="Times New Roman" w:hAnsi="Times New Roman" w:eastAsia="方正书宋_GBK" w:cs="Times New Roman"/>
                <w:color w:val="auto"/>
                <w:kern w:val="0"/>
                <w:sz w:val="24"/>
                <w:szCs w:val="24"/>
                <w:highlight w:val="none"/>
                <w:u w:val="none"/>
                <w:lang w:val="en-US" w:eastAsia="zh-CN" w:bidi="ar-SA"/>
              </w:rPr>
              <w:t>推进金贸街、海含路周边老旧小区改造、沿街商业改造、三耳文化园产业升级、金凤滨水游园品质提升等项目。</w:t>
            </w:r>
          </w:p>
          <w:p w14:paraId="09783D3D">
            <w:pPr>
              <w:pStyle w:val="38"/>
              <w:snapToGrid w:val="0"/>
              <w:spacing w:line="380" w:lineRule="exact"/>
              <w:ind w:firstLine="480"/>
              <w:rPr>
                <w:rFonts w:hint="eastAsia" w:ascii="Times New Roman" w:hAnsi="Times New Roman" w:eastAsia="方正书宋_GBK" w:cs="Times New Roman"/>
                <w:color w:val="auto"/>
                <w:kern w:val="0"/>
                <w:sz w:val="24"/>
                <w:szCs w:val="24"/>
                <w:highlight w:val="none"/>
                <w:u w:val="none"/>
                <w:lang w:val="en-US" w:eastAsia="zh-CN" w:bidi="ar-SA"/>
              </w:rPr>
            </w:pPr>
            <w:r>
              <w:rPr>
                <w:rFonts w:hint="eastAsia" w:ascii="Times New Roman" w:hAnsi="Times New Roman" w:eastAsia="方正黑体_GBK" w:cs="方正黑体_GBK"/>
                <w:color w:val="auto"/>
                <w:kern w:val="0"/>
                <w:sz w:val="24"/>
                <w:szCs w:val="24"/>
                <w:highlight w:val="none"/>
                <w:u w:val="none"/>
                <w:lang w:val="en-US" w:eastAsia="zh-CN"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val="en-US" w:eastAsia="zh-CN" w:bidi="ar-SA"/>
              </w:rPr>
              <w:t>虎溪片区。</w:t>
            </w:r>
            <w:r>
              <w:rPr>
                <w:rFonts w:hint="eastAsia" w:ascii="Times New Roman" w:hAnsi="Times New Roman" w:eastAsia="方正书宋_GBK" w:cs="Times New Roman"/>
                <w:color w:val="auto"/>
                <w:kern w:val="0"/>
                <w:sz w:val="24"/>
                <w:szCs w:val="24"/>
                <w:highlight w:val="none"/>
                <w:u w:val="none"/>
                <w:lang w:val="en-US" w:eastAsia="zh-CN" w:bidi="ar-SA"/>
              </w:rPr>
              <w:t>推进片区增补公共服务设施、大学生创新创业基地升级、大成湖公园品质提升等项目，提升共享单车治理规范化水平，优化区域慢行体系。</w:t>
            </w:r>
          </w:p>
          <w:p w14:paraId="13075CED">
            <w:pPr>
              <w:pStyle w:val="38"/>
              <w:snapToGrid w:val="0"/>
              <w:spacing w:line="380" w:lineRule="exact"/>
              <w:ind w:firstLine="480"/>
              <w:rPr>
                <w:rFonts w:hint="eastAsia" w:ascii="Times New Roman" w:hAnsi="Times New Roman" w:eastAsia="方正书宋_GBK" w:cs="Times New Roman"/>
                <w:color w:val="auto"/>
                <w:kern w:val="0"/>
                <w:sz w:val="24"/>
                <w:szCs w:val="24"/>
                <w:highlight w:val="none"/>
                <w:u w:val="none"/>
                <w:lang w:val="en-US" w:eastAsia="zh-CN" w:bidi="ar-SA"/>
              </w:rPr>
            </w:pPr>
            <w:r>
              <w:rPr>
                <w:rFonts w:hint="eastAsia" w:ascii="Times New Roman" w:hAnsi="Times New Roman" w:eastAsia="方正黑体_GBK" w:cs="方正黑体_GBK"/>
                <w:color w:val="auto"/>
                <w:kern w:val="0"/>
                <w:sz w:val="24"/>
                <w:szCs w:val="24"/>
                <w:highlight w:val="none"/>
                <w:u w:val="none"/>
                <w:lang w:val="en-US" w:eastAsia="zh-CN" w:bidi="ar-SA"/>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val="en-US" w:eastAsia="zh-CN" w:bidi="ar-SA"/>
              </w:rPr>
              <w:t>西永片区。</w:t>
            </w:r>
            <w:r>
              <w:rPr>
                <w:rFonts w:hint="eastAsia" w:ascii="Times New Roman" w:hAnsi="Times New Roman" w:eastAsia="方正书宋_GBK" w:cs="Times New Roman"/>
                <w:color w:val="auto"/>
                <w:kern w:val="0"/>
                <w:sz w:val="24"/>
                <w:szCs w:val="24"/>
                <w:highlight w:val="none"/>
                <w:u w:val="none"/>
                <w:lang w:val="en-US" w:eastAsia="zh-CN" w:bidi="ar-SA"/>
              </w:rPr>
              <w:t>推进老旧小区改造、老旧街区配套用房功能提升、西永标准厂房等闲置资源盘活，实施西永天街改造等项目。</w:t>
            </w:r>
          </w:p>
          <w:p w14:paraId="217A5DA5">
            <w:pPr>
              <w:pStyle w:val="38"/>
              <w:snapToGrid w:val="0"/>
              <w:spacing w:line="380" w:lineRule="exact"/>
              <w:ind w:firstLine="480"/>
              <w:rPr>
                <w:rFonts w:hint="eastAsia" w:ascii="Times New Roman" w:hAnsi="Times New Roman" w:eastAsia="方正书宋_GBK" w:cs="Times New Roman"/>
                <w:color w:val="auto"/>
                <w:kern w:val="0"/>
                <w:sz w:val="24"/>
                <w:szCs w:val="24"/>
                <w:highlight w:val="none"/>
                <w:u w:val="none"/>
                <w:lang w:val="en-US" w:eastAsia="zh-CN" w:bidi="ar-SA"/>
              </w:rPr>
            </w:pPr>
            <w:r>
              <w:rPr>
                <w:rFonts w:hint="eastAsia" w:ascii="Times New Roman" w:hAnsi="Times New Roman" w:eastAsia="方正黑体_GBK" w:cs="方正黑体_GBK"/>
                <w:color w:val="auto"/>
                <w:kern w:val="0"/>
                <w:sz w:val="24"/>
                <w:szCs w:val="24"/>
                <w:highlight w:val="none"/>
                <w:u w:val="none"/>
                <w:lang w:val="en-US" w:eastAsia="zh-CN" w:bidi="ar-SA"/>
              </w:rPr>
              <w:t>4</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val="en-US" w:eastAsia="zh-CN" w:bidi="ar-SA"/>
              </w:rPr>
              <w:t>香炉山片区。</w:t>
            </w:r>
            <w:r>
              <w:rPr>
                <w:rFonts w:hint="eastAsia" w:ascii="Times New Roman" w:hAnsi="Times New Roman" w:eastAsia="方正书宋_GBK" w:cs="Times New Roman"/>
                <w:color w:val="auto"/>
                <w:kern w:val="0"/>
                <w:sz w:val="24"/>
                <w:szCs w:val="24"/>
                <w:highlight w:val="none"/>
                <w:u w:val="none"/>
                <w:lang w:val="en-US" w:eastAsia="zh-CN" w:bidi="ar-SA"/>
              </w:rPr>
              <w:t>聚焦补齐停车配套、提升商业服务、完善文化</w:t>
            </w:r>
            <w:r>
              <w:rPr>
                <w:rFonts w:hint="eastAsia" w:eastAsia="方正书宋_GBK" w:cs="Times New Roman"/>
                <w:color w:val="auto"/>
                <w:kern w:val="0"/>
                <w:sz w:val="24"/>
                <w:szCs w:val="24"/>
                <w:highlight w:val="none"/>
                <w:u w:val="none"/>
                <w:lang w:val="en-US" w:eastAsia="zh-CN" w:bidi="ar-SA"/>
              </w:rPr>
              <w:t>、</w:t>
            </w:r>
            <w:r>
              <w:rPr>
                <w:rFonts w:hint="eastAsia" w:ascii="Times New Roman" w:hAnsi="Times New Roman" w:eastAsia="方正书宋_GBK" w:cs="Times New Roman"/>
                <w:color w:val="auto"/>
                <w:kern w:val="0"/>
                <w:sz w:val="24"/>
                <w:szCs w:val="24"/>
                <w:highlight w:val="none"/>
                <w:u w:val="none"/>
                <w:lang w:val="en-US" w:eastAsia="zh-CN" w:bidi="ar-SA"/>
              </w:rPr>
              <w:t>养老托幼、增绿提质等关键任务，实施花花集市升级、协信北麓生活服务提升、首玺汽车步行空间提升等项目。</w:t>
            </w:r>
          </w:p>
          <w:p w14:paraId="0ED10B31">
            <w:pPr>
              <w:pStyle w:val="38"/>
              <w:snapToGrid w:val="0"/>
              <w:spacing w:line="380" w:lineRule="exact"/>
              <w:ind w:firstLine="480"/>
              <w:rPr>
                <w:rFonts w:hint="eastAsia" w:ascii="Times New Roman" w:hAnsi="Times New Roman" w:eastAsia="方正书宋_GBK" w:cs="Times New Roman"/>
                <w:color w:val="auto"/>
                <w:kern w:val="0"/>
                <w:sz w:val="24"/>
                <w:szCs w:val="24"/>
                <w:highlight w:val="none"/>
                <w:u w:val="none"/>
                <w:lang w:val="en-US" w:eastAsia="zh-CN" w:bidi="ar-SA"/>
              </w:rPr>
            </w:pPr>
            <w:r>
              <w:rPr>
                <w:rFonts w:hint="eastAsia" w:ascii="Times New Roman" w:hAnsi="Times New Roman" w:eastAsia="方正黑体_GBK" w:cs="方正黑体_GBK"/>
                <w:color w:val="auto"/>
                <w:kern w:val="0"/>
                <w:sz w:val="24"/>
                <w:szCs w:val="24"/>
                <w:highlight w:val="none"/>
                <w:u w:val="none"/>
                <w:lang w:val="en-US" w:eastAsia="zh-CN" w:bidi="ar-SA"/>
              </w:rPr>
              <w:t>5</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val="en-US" w:eastAsia="zh-CN" w:bidi="ar-SA"/>
              </w:rPr>
              <w:t>曾家片区。</w:t>
            </w:r>
            <w:r>
              <w:rPr>
                <w:rFonts w:hint="eastAsia" w:ascii="Times New Roman" w:hAnsi="Times New Roman" w:eastAsia="方正书宋_GBK" w:cs="Times New Roman"/>
                <w:color w:val="auto"/>
                <w:kern w:val="0"/>
                <w:sz w:val="24"/>
                <w:szCs w:val="24"/>
                <w:highlight w:val="none"/>
                <w:u w:val="none"/>
                <w:lang w:val="en-US" w:eastAsia="zh-CN" w:bidi="ar-SA"/>
              </w:rPr>
              <w:t>推进曾家中学停车场改造、老旧管网修复、农贸市场功能提升、吴家老院子空间改造等项目。</w:t>
            </w:r>
          </w:p>
          <w:p w14:paraId="2BDBED4E">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szCs w:val="24"/>
                <w:highlight w:val="none"/>
                <w:u w:val="none"/>
                <w:lang w:val="en-US" w:eastAsia="zh-CN" w:bidi="ar-SA"/>
              </w:rPr>
            </w:pPr>
            <w:r>
              <w:rPr>
                <w:rFonts w:hint="eastAsia" w:ascii="Times New Roman" w:hAnsi="Times New Roman" w:eastAsia="方正黑体_GBK" w:cs="方正黑体_GBK"/>
                <w:color w:val="auto"/>
                <w:kern w:val="0"/>
                <w:sz w:val="24"/>
                <w:szCs w:val="24"/>
                <w:highlight w:val="none"/>
                <w:u w:val="none"/>
                <w:lang w:val="en-US" w:eastAsia="zh-CN" w:bidi="ar-SA"/>
              </w:rPr>
              <w:t>6</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val="en-US" w:eastAsia="zh-CN" w:bidi="ar-SA"/>
              </w:rPr>
              <w:t>含谷片区。</w:t>
            </w:r>
            <w:r>
              <w:rPr>
                <w:rFonts w:hint="eastAsia" w:ascii="Times New Roman" w:hAnsi="Times New Roman" w:eastAsia="方正书宋_GBK" w:cs="Times New Roman"/>
                <w:color w:val="auto"/>
                <w:kern w:val="0"/>
                <w:sz w:val="24"/>
                <w:szCs w:val="24"/>
                <w:highlight w:val="none"/>
                <w:u w:val="none"/>
                <w:lang w:val="en-US" w:eastAsia="zh-CN" w:bidi="ar-SA"/>
              </w:rPr>
              <w:t>推进老场镇老旧小区更新改造、含谷东南片区改造、鑫源立体停车楼、梁滩河沿线公园改造等项目，盘活利用科学会堂周边闲置土地。</w:t>
            </w:r>
          </w:p>
          <w:p w14:paraId="78A61C45">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szCs w:val="24"/>
                <w:highlight w:val="none"/>
                <w:u w:val="none"/>
                <w:lang w:val="en-US" w:eastAsia="zh-CN" w:bidi="ar-SA"/>
              </w:rPr>
            </w:pPr>
            <w:r>
              <w:rPr>
                <w:rFonts w:hint="eastAsia" w:ascii="Times New Roman" w:hAnsi="Times New Roman" w:eastAsia="方正黑体_GBK" w:cs="方正黑体_GBK"/>
                <w:color w:val="auto"/>
                <w:kern w:val="0"/>
                <w:sz w:val="24"/>
                <w:szCs w:val="24"/>
                <w:highlight w:val="none"/>
                <w:u w:val="none"/>
                <w:lang w:val="en-US" w:eastAsia="zh-CN" w:bidi="ar-SA"/>
              </w:rPr>
              <w:t>7</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val="en-US" w:eastAsia="zh-CN" w:bidi="ar-SA"/>
              </w:rPr>
              <w:t>巴福片区。</w:t>
            </w:r>
            <w:r>
              <w:rPr>
                <w:rFonts w:hint="eastAsia" w:ascii="Times New Roman" w:hAnsi="Times New Roman" w:eastAsia="方正书宋_GBK" w:cs="Times New Roman"/>
                <w:color w:val="auto"/>
                <w:kern w:val="0"/>
                <w:sz w:val="24"/>
                <w:szCs w:val="24"/>
                <w:highlight w:val="none"/>
                <w:u w:val="none"/>
                <w:lang w:val="en-US" w:eastAsia="zh-CN" w:bidi="ar-SA"/>
              </w:rPr>
              <w:t>推进公租房周边更新改造、闲置商业活化、完善停车/口袋公园等基础设施，强化智能制造产业园服务配套、补齐园区停车/道路等项目。</w:t>
            </w:r>
          </w:p>
          <w:p w14:paraId="4F224F5D">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szCs w:val="24"/>
                <w:highlight w:val="none"/>
                <w:u w:val="none"/>
                <w:lang w:val="en-US" w:eastAsia="zh-CN" w:bidi="ar-SA"/>
              </w:rPr>
            </w:pPr>
            <w:r>
              <w:rPr>
                <w:rFonts w:hint="eastAsia" w:ascii="Times New Roman" w:hAnsi="Times New Roman" w:eastAsia="方正黑体_GBK" w:cs="方正黑体_GBK"/>
                <w:color w:val="auto"/>
                <w:kern w:val="0"/>
                <w:sz w:val="24"/>
                <w:szCs w:val="24"/>
                <w:highlight w:val="none"/>
                <w:u w:val="none"/>
                <w:lang w:val="en-US" w:eastAsia="zh-CN" w:bidi="ar-SA"/>
              </w:rPr>
              <w:t>8</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val="en-US" w:eastAsia="zh-CN" w:bidi="ar-SA"/>
              </w:rPr>
              <w:t>白市驿片区。</w:t>
            </w:r>
            <w:r>
              <w:rPr>
                <w:rFonts w:hint="eastAsia" w:ascii="Times New Roman" w:hAnsi="Times New Roman" w:eastAsia="方正书宋_GBK" w:cs="Times New Roman"/>
                <w:color w:val="auto"/>
                <w:kern w:val="0"/>
                <w:sz w:val="24"/>
                <w:szCs w:val="24"/>
                <w:highlight w:val="none"/>
                <w:u w:val="none"/>
                <w:lang w:val="en-US" w:eastAsia="zh-CN" w:bidi="ar-SA"/>
              </w:rPr>
              <w:t>推进片区周边停车场改造、老旧管网修复、农贸市场功能提升、口袋公园功能提升、底商立面提升，发展特色餐饮与温泉产业，形成匹配本地基因的产业协同。</w:t>
            </w:r>
          </w:p>
        </w:tc>
      </w:tr>
      <w:bookmarkEnd w:id="375"/>
      <w:bookmarkEnd w:id="376"/>
      <w:bookmarkEnd w:id="377"/>
      <w:bookmarkEnd w:id="378"/>
      <w:bookmarkEnd w:id="379"/>
      <w:bookmarkEnd w:id="380"/>
    </w:tbl>
    <w:p w14:paraId="5D8F7E69">
      <w:pPr>
        <w:adjustRightInd/>
        <w:snapToGrid/>
        <w:spacing w:line="240" w:lineRule="auto"/>
        <w:jc w:val="left"/>
        <w:outlineLvl w:val="9"/>
        <w:rPr>
          <w:rFonts w:hint="eastAsia" w:ascii="Times New Roman" w:hAnsi="Times New Roman" w:eastAsia="方正楷体_GBK" w:cs="Times New Roman"/>
          <w:color w:val="auto"/>
          <w:sz w:val="32"/>
          <w:szCs w:val="32"/>
          <w:highlight w:val="none"/>
        </w:rPr>
      </w:pPr>
      <w:bookmarkStart w:id="381" w:name="_Toc17897"/>
      <w:bookmarkStart w:id="382" w:name="_Toc1909861812"/>
      <w:bookmarkStart w:id="383" w:name="_Toc5908"/>
      <w:bookmarkStart w:id="384" w:name="_Toc28499"/>
      <w:bookmarkStart w:id="385" w:name="_Toc860840079"/>
      <w:bookmarkStart w:id="386" w:name="_Toc29633"/>
      <w:bookmarkStart w:id="387" w:name="_Toc4478"/>
      <w:bookmarkStart w:id="388" w:name="_Toc1622560663"/>
      <w:bookmarkStart w:id="389" w:name="_Toc17413"/>
      <w:bookmarkStart w:id="390" w:name="_Toc2851"/>
      <w:r>
        <w:rPr>
          <w:rFonts w:hint="eastAsia" w:ascii="Times New Roman" w:hAnsi="Times New Roman" w:eastAsia="方正楷体_GBK" w:cs="Times New Roman"/>
          <w:color w:val="auto"/>
          <w:sz w:val="32"/>
          <w:szCs w:val="32"/>
          <w:highlight w:val="none"/>
        </w:rPr>
        <w:br w:type="page"/>
      </w:r>
    </w:p>
    <w:p w14:paraId="0B884B60">
      <w:pPr>
        <w:adjustRightInd w:val="0"/>
        <w:snapToGrid w:val="0"/>
        <w:spacing w:line="600" w:lineRule="exact"/>
        <w:jc w:val="center"/>
        <w:outlineLvl w:val="2"/>
        <w:rPr>
          <w:rFonts w:hint="eastAsia" w:ascii="方正仿宋_GBK" w:hAnsi="方正仿宋_GBK" w:eastAsia="方正仿宋_GBK" w:cs="方正仿宋_GBK"/>
          <w:color w:val="auto"/>
          <w:sz w:val="32"/>
          <w:szCs w:val="32"/>
          <w:highlight w:val="none"/>
        </w:rPr>
      </w:pPr>
      <w:r>
        <w:rPr>
          <w:rFonts w:hint="eastAsia" w:ascii="Times New Roman" w:hAnsi="Times New Roman" w:eastAsia="方正楷体_GBK" w:cs="Times New Roman"/>
          <w:color w:val="auto"/>
          <w:sz w:val="32"/>
          <w:szCs w:val="32"/>
          <w:highlight w:val="none"/>
        </w:rPr>
        <w:t>第</w:t>
      </w:r>
      <w:r>
        <w:rPr>
          <w:rFonts w:hint="eastAsia" w:ascii="Times New Roman" w:hAnsi="Times New Roman" w:eastAsia="方正楷体_GBK" w:cs="Times New Roman"/>
          <w:color w:val="auto"/>
          <w:sz w:val="32"/>
          <w:szCs w:val="32"/>
          <w:highlight w:val="none"/>
          <w:lang w:val="en-US" w:eastAsia="zh-CN"/>
        </w:rPr>
        <w:t>三</w:t>
      </w:r>
      <w:r>
        <w:rPr>
          <w:rFonts w:hint="eastAsia" w:ascii="Times New Roman" w:hAnsi="Times New Roman" w:eastAsia="方正楷体_GBK" w:cs="Times New Roman"/>
          <w:color w:val="auto"/>
          <w:sz w:val="32"/>
          <w:szCs w:val="32"/>
          <w:highlight w:val="none"/>
        </w:rPr>
        <w:t xml:space="preserve">节 </w:t>
      </w:r>
      <w:r>
        <w:rPr>
          <w:rFonts w:hint="eastAsia" w:ascii="Times New Roman" w:hAnsi="Times New Roman" w:eastAsia="方正楷体_GBK" w:cs="Times New Roman"/>
          <w:color w:val="auto"/>
          <w:sz w:val="32"/>
          <w:highlight w:val="none"/>
        </w:rPr>
        <w:t>建设青年</w:t>
      </w:r>
      <w:r>
        <w:rPr>
          <w:rFonts w:hint="eastAsia" w:ascii="Times New Roman" w:hAnsi="Times New Roman" w:eastAsia="方正楷体_GBK" w:cs="Times New Roman"/>
          <w:color w:val="auto"/>
          <w:sz w:val="32"/>
          <w:highlight w:val="none"/>
          <w:lang w:val="en-US" w:eastAsia="zh-CN"/>
        </w:rPr>
        <w:t>创新创业</w:t>
      </w:r>
      <w:r>
        <w:rPr>
          <w:rFonts w:hint="eastAsia" w:ascii="Times New Roman" w:hAnsi="Times New Roman" w:eastAsia="方正楷体_GBK" w:cs="Times New Roman"/>
          <w:color w:val="auto"/>
          <w:sz w:val="32"/>
          <w:highlight w:val="none"/>
        </w:rPr>
        <w:t>友好型城市</w:t>
      </w:r>
      <w:bookmarkEnd w:id="381"/>
      <w:bookmarkEnd w:id="382"/>
      <w:bookmarkEnd w:id="383"/>
      <w:bookmarkEnd w:id="384"/>
      <w:bookmarkEnd w:id="385"/>
      <w:bookmarkEnd w:id="386"/>
      <w:bookmarkEnd w:id="387"/>
      <w:bookmarkEnd w:id="388"/>
      <w:bookmarkEnd w:id="389"/>
      <w:bookmarkEnd w:id="390"/>
      <w:bookmarkStart w:id="391" w:name="_Toc4770"/>
      <w:bookmarkStart w:id="392" w:name="_Toc541877914"/>
      <w:bookmarkStart w:id="393" w:name="_Toc27517"/>
      <w:bookmarkStart w:id="394" w:name="_Toc12375"/>
    </w:p>
    <w:p w14:paraId="1068974A">
      <w:pPr>
        <w:overflowPunct w:val="0"/>
        <w:adjustRightInd w:val="0"/>
        <w:snapToGrid w:val="0"/>
        <w:spacing w:line="600" w:lineRule="exact"/>
        <w:ind w:firstLine="640" w:firstLineChars="200"/>
        <w:textAlignment w:val="baseline"/>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rPr>
        <w:t>坚持“学在大学城，留在科学城”理念，</w:t>
      </w:r>
      <w:r>
        <w:rPr>
          <w:rFonts w:hint="eastAsia" w:ascii="Times New Roman" w:hAnsi="Times New Roman" w:eastAsia="方正仿宋_GBK" w:cs="Times New Roman"/>
          <w:color w:val="auto"/>
          <w:sz w:val="32"/>
          <w:szCs w:val="32"/>
          <w:highlight w:val="none"/>
          <w:lang w:val="en-US" w:eastAsia="zh-CN"/>
        </w:rPr>
        <w:t>以</w:t>
      </w:r>
      <w:r>
        <w:rPr>
          <w:rFonts w:hint="eastAsia" w:ascii="Times New Roman" w:hAnsi="Times New Roman" w:eastAsia="方正仿宋_GBK" w:cs="Times New Roman"/>
          <w:color w:val="auto"/>
          <w:sz w:val="32"/>
          <w:szCs w:val="32"/>
          <w:highlight w:val="none"/>
        </w:rPr>
        <w:t>“市场+保障”双轮驱动</w:t>
      </w:r>
      <w:r>
        <w:rPr>
          <w:rFonts w:hint="eastAsia" w:ascii="Times New Roman" w:hAnsi="Times New Roman" w:eastAsia="方正仿宋_GBK" w:cs="Times New Roman"/>
          <w:color w:val="auto"/>
          <w:sz w:val="32"/>
          <w:szCs w:val="32"/>
          <w:highlight w:val="none"/>
          <w:lang w:val="en-US" w:eastAsia="zh-CN"/>
        </w:rPr>
        <w:t>为牵引</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推动青年发展全周期服务与城市功能深度融合。</w:t>
      </w:r>
      <w:r>
        <w:rPr>
          <w:rFonts w:hint="eastAsia" w:ascii="Times New Roman" w:hAnsi="Times New Roman" w:eastAsia="方正仿宋_GBK" w:cs="Times New Roman"/>
          <w:color w:val="auto"/>
          <w:sz w:val="32"/>
          <w:szCs w:val="32"/>
          <w:highlight w:val="none"/>
        </w:rPr>
        <w:t>针对科学家、技术专家等高端人才，推动凤栖湖北侧、环寨山坪周边等区域现代社区建设。针对“新市民、青年人”和产业工人，</w:t>
      </w:r>
      <w:r>
        <w:rPr>
          <w:rFonts w:hint="eastAsia" w:eastAsia="方正仿宋_GBK"/>
          <w:sz w:val="32"/>
          <w:szCs w:val="32"/>
          <w:highlight w:val="none"/>
          <w:u w:val="none" w:color="auto"/>
          <w:lang w:val="en-US" w:eastAsia="zh-CN"/>
        </w:rPr>
        <w:t>在</w:t>
      </w:r>
      <w:r>
        <w:rPr>
          <w:rFonts w:eastAsia="方正仿宋_GBK"/>
          <w:sz w:val="32"/>
          <w:szCs w:val="32"/>
          <w:highlight w:val="none"/>
          <w:u w:val="none" w:color="auto"/>
        </w:rPr>
        <w:t>轨道站点、创新平台等</w:t>
      </w:r>
      <w:r>
        <w:rPr>
          <w:rFonts w:hint="eastAsia" w:eastAsia="方正仿宋_GBK"/>
          <w:sz w:val="32"/>
          <w:szCs w:val="32"/>
          <w:highlight w:val="none"/>
          <w:u w:val="none" w:color="auto"/>
          <w:lang w:val="en-US" w:eastAsia="zh-CN"/>
        </w:rPr>
        <w:t>周边</w:t>
      </w:r>
      <w:r>
        <w:rPr>
          <w:rFonts w:eastAsia="方正仿宋_GBK"/>
          <w:sz w:val="32"/>
          <w:szCs w:val="32"/>
          <w:highlight w:val="none"/>
          <w:u w:val="none" w:color="auto"/>
        </w:rPr>
        <w:t>布局建设人才公寓</w:t>
      </w:r>
      <w:r>
        <w:rPr>
          <w:rFonts w:hint="eastAsia" w:eastAsia="方正仿宋_GBK"/>
          <w:sz w:val="32"/>
          <w:szCs w:val="32"/>
          <w:highlight w:val="none"/>
          <w:u w:val="none" w:color="auto"/>
          <w:lang w:eastAsia="zh-CN"/>
        </w:rPr>
        <w:t>，</w:t>
      </w:r>
      <w:r>
        <w:rPr>
          <w:rFonts w:eastAsia="方正仿宋_GBK"/>
          <w:sz w:val="32"/>
          <w:szCs w:val="32"/>
          <w:highlight w:val="none"/>
          <w:u w:val="none" w:color="auto"/>
        </w:rPr>
        <w:t>采用</w:t>
      </w:r>
      <w:r>
        <w:rPr>
          <w:rFonts w:hint="eastAsia" w:eastAsia="方正仿宋_GBK"/>
          <w:sz w:val="32"/>
          <w:szCs w:val="32"/>
          <w:highlight w:val="none"/>
          <w:u w:val="none" w:color="auto"/>
        </w:rPr>
        <w:t>“</w:t>
      </w:r>
      <w:r>
        <w:rPr>
          <w:rFonts w:eastAsia="方正仿宋_GBK"/>
          <w:sz w:val="32"/>
          <w:szCs w:val="32"/>
          <w:highlight w:val="none"/>
          <w:u w:val="none" w:color="auto"/>
        </w:rPr>
        <w:t>小微改造</w:t>
      </w:r>
      <w:r>
        <w:rPr>
          <w:rFonts w:hint="eastAsia" w:ascii="Times New Roman" w:hAnsi="Times New Roman" w:eastAsia="方正仿宋_GBK" w:cs="Times New Roman"/>
          <w:color w:val="auto"/>
          <w:sz w:val="32"/>
          <w:szCs w:val="32"/>
          <w:highlight w:val="none"/>
          <w:lang w:val="en-US" w:eastAsia="zh-CN"/>
        </w:rPr>
        <w:t>+</w:t>
      </w:r>
      <w:r>
        <w:rPr>
          <w:rFonts w:eastAsia="方正仿宋_GBK"/>
          <w:sz w:val="32"/>
          <w:szCs w:val="32"/>
          <w:highlight w:val="none"/>
          <w:u w:val="none" w:color="auto"/>
        </w:rPr>
        <w:t>功能植入</w:t>
      </w:r>
      <w:r>
        <w:rPr>
          <w:rFonts w:hint="eastAsia" w:eastAsia="方正仿宋_GBK"/>
          <w:sz w:val="32"/>
          <w:szCs w:val="32"/>
          <w:highlight w:val="none"/>
          <w:u w:val="none" w:color="auto"/>
        </w:rPr>
        <w:t>”</w:t>
      </w:r>
      <w:r>
        <w:rPr>
          <w:rFonts w:eastAsia="方正仿宋_GBK"/>
          <w:sz w:val="32"/>
          <w:szCs w:val="32"/>
          <w:highlight w:val="none"/>
          <w:u w:val="none" w:color="auto"/>
        </w:rPr>
        <w:t>模式，配套完善无人超市、便民便利店、城市书房等公共服务设施，</w:t>
      </w:r>
      <w:r>
        <w:rPr>
          <w:rFonts w:hint="eastAsia" w:eastAsia="方正仿宋_GBK"/>
          <w:sz w:val="32"/>
          <w:szCs w:val="32"/>
          <w:highlight w:val="none"/>
          <w:u w:val="none" w:color="auto"/>
        </w:rPr>
        <w:t>建设青年发展型园区、社区、街区</w:t>
      </w:r>
      <w:r>
        <w:rPr>
          <w:rFonts w:hint="eastAsia" w:eastAsia="方正仿宋_GBK"/>
          <w:sz w:val="32"/>
          <w:szCs w:val="32"/>
          <w:highlight w:val="none"/>
          <w:u w:val="none" w:color="auto"/>
          <w:lang w:eastAsia="zh-CN"/>
        </w:rPr>
        <w:t>。</w:t>
      </w:r>
      <w:r>
        <w:rPr>
          <w:rFonts w:hint="eastAsia" w:ascii="Times New Roman" w:hAnsi="Times New Roman" w:eastAsia="方正仿宋_GBK" w:cs="Times New Roman"/>
          <w:color w:val="auto"/>
          <w:sz w:val="32"/>
          <w:szCs w:val="32"/>
          <w:highlight w:val="none"/>
        </w:rPr>
        <w:t>优化保障性租赁住房供给，提供人才公寓、产业园区配套宿舍、</w:t>
      </w:r>
      <w:r>
        <w:rPr>
          <w:rFonts w:hint="eastAsia" w:ascii="Times New Roman" w:hAnsi="Times New Roman" w:eastAsia="方正仿宋_GBK" w:cs="Times New Roman"/>
          <w:color w:val="auto"/>
          <w:sz w:val="32"/>
          <w:szCs w:val="32"/>
          <w:highlight w:val="none"/>
          <w:lang w:val="en-US" w:eastAsia="zh-CN"/>
        </w:rPr>
        <w:t>公寓</w:t>
      </w:r>
      <w:r>
        <w:rPr>
          <w:rFonts w:hint="eastAsia" w:ascii="Times New Roman" w:hAnsi="Times New Roman" w:eastAsia="方正仿宋_GBK" w:cs="Times New Roman"/>
          <w:color w:val="auto"/>
          <w:sz w:val="32"/>
          <w:szCs w:val="32"/>
          <w:highlight w:val="none"/>
        </w:rPr>
        <w:t>等多元房源类型，提质扩面青年公寓、青年人才驿站等项目，满足青年多层次住房需求与刚性保障需求。落实“金凤凰”“新凤人才”等人才政策，加大</w:t>
      </w:r>
      <w:r>
        <w:rPr>
          <w:rFonts w:hint="eastAsia" w:ascii="Times New Roman" w:hAnsi="Times New Roman" w:eastAsia="方正仿宋_GBK" w:cs="Times New Roman"/>
          <w:color w:val="auto"/>
          <w:sz w:val="32"/>
          <w:szCs w:val="32"/>
          <w:highlight w:val="none"/>
          <w:lang w:val="en-US" w:eastAsia="zh-CN"/>
        </w:rPr>
        <w:t>免费创业场所、项目资金资助等</w:t>
      </w:r>
      <w:r>
        <w:rPr>
          <w:rFonts w:hint="eastAsia" w:ascii="Times New Roman" w:hAnsi="Times New Roman" w:eastAsia="方正仿宋_GBK" w:cs="Times New Roman"/>
          <w:color w:val="auto"/>
          <w:sz w:val="32"/>
          <w:szCs w:val="32"/>
          <w:highlight w:val="none"/>
        </w:rPr>
        <w:t>青年创新创业扶持。深化“两城融合”高校毕业生就业创业服务，持续开展“青创夜市”“青创夜校”服务行动，搭建青年就业创业服务综合体平台，</w:t>
      </w:r>
      <w:r>
        <w:rPr>
          <w:rFonts w:hint="eastAsia" w:ascii="方正仿宋_GBK" w:hAnsi="方正仿宋_GBK" w:eastAsia="方正仿宋_GBK" w:cs="方正仿宋_GBK"/>
          <w:color w:val="auto"/>
          <w:sz w:val="32"/>
          <w:szCs w:val="32"/>
          <w:highlight w:val="none"/>
        </w:rPr>
        <w:t>滚动实施“我为青年办实事”项目。</w:t>
      </w:r>
      <w:r>
        <w:rPr>
          <w:rFonts w:hint="eastAsia" w:ascii="Times New Roman" w:hAnsi="Times New Roman" w:eastAsia="方正仿宋_GBK" w:cs="Times New Roman"/>
          <w:color w:val="auto"/>
          <w:sz w:val="32"/>
          <w:szCs w:val="32"/>
          <w:highlight w:val="none"/>
        </w:rPr>
        <w:t>大力培育软件</w:t>
      </w:r>
      <w:r>
        <w:rPr>
          <w:rFonts w:hint="eastAsia" w:ascii="Times New Roman" w:hAnsi="Times New Roman" w:eastAsia="方正仿宋_GBK" w:cs="Times New Roman"/>
          <w:color w:val="auto"/>
          <w:sz w:val="32"/>
          <w:szCs w:val="32"/>
          <w:highlight w:val="none"/>
          <w:lang w:val="en-US" w:eastAsia="zh-CN"/>
        </w:rPr>
        <w:t>和</w:t>
      </w:r>
      <w:r>
        <w:rPr>
          <w:rFonts w:hint="eastAsia" w:ascii="Times New Roman" w:hAnsi="Times New Roman" w:eastAsia="方正仿宋_GBK" w:cs="Times New Roman"/>
          <w:color w:val="auto"/>
          <w:sz w:val="32"/>
          <w:szCs w:val="32"/>
          <w:highlight w:val="none"/>
        </w:rPr>
        <w:t>信息服务、数字文创等青年喜爱的就业形态，鼓励发展“一人公司”、青春小店、共享办公室、科技型企业孵化器、青创园区等创新创业平台。紧扣重点产业链发展需求，推动校企合作共建实训基地，强化实践教学与产业需求精准对接。探索举办多功能多样化全时段活动，发展夜经济、潮经济，打造24小时城市社交目的地。到2030年，每年吸引青年留渝来渝在区就业创业1.5万人，提供人才公寓7000套，打造现代社区5个，完整社区覆盖率达80%，职住平衡比达0.7:1。</w:t>
      </w:r>
    </w:p>
    <w:p w14:paraId="14B97DC7">
      <w:pPr>
        <w:numPr>
          <w:ilvl w:val="-1"/>
          <w:numId w:val="0"/>
        </w:numPr>
        <w:overflowPunct/>
        <w:adjustRightInd w:val="0"/>
        <w:snapToGrid w:val="0"/>
        <w:spacing w:line="600" w:lineRule="exact"/>
        <w:ind w:firstLine="640" w:firstLineChars="200"/>
        <w:jc w:val="left"/>
        <w:textAlignment w:val="baseline"/>
        <w:outlineLvl w:val="9"/>
        <w:rPr>
          <w:rFonts w:hint="eastAsia" w:ascii="Times New Roman" w:hAnsi="Times New Roman" w:eastAsia="方正仿宋_GBK" w:cs="Times New Roman"/>
          <w:bCs w:val="0"/>
          <w:color w:val="auto"/>
          <w:sz w:val="32"/>
          <w:szCs w:val="32"/>
          <w:highlight w:val="none"/>
          <w:lang w:val="en-US" w:eastAsia="zh-CN"/>
        </w:rPr>
      </w:pPr>
      <w:bookmarkStart w:id="395" w:name="_Toc20914"/>
      <w:bookmarkStart w:id="396" w:name="_Toc15430"/>
      <w:bookmarkStart w:id="397" w:name="_Toc17431"/>
      <w:bookmarkStart w:id="398" w:name="_Toc609402575"/>
      <w:bookmarkStart w:id="399" w:name="OLE_LINK7"/>
      <w:bookmarkStart w:id="400" w:name="_Toc9089"/>
      <w:bookmarkStart w:id="401" w:name="_Toc1629713435"/>
    </w:p>
    <w:p w14:paraId="2864709C">
      <w:pPr>
        <w:numPr>
          <w:ilvl w:val="-1"/>
          <w:numId w:val="0"/>
        </w:numPr>
        <w:overflowPunct w:val="0"/>
        <w:adjustRightInd w:val="0"/>
        <w:snapToGrid w:val="0"/>
        <w:spacing w:line="600" w:lineRule="exact"/>
        <w:jc w:val="center"/>
        <w:outlineLvl w:val="1"/>
        <w:rPr>
          <w:rFonts w:ascii="Times New Roman" w:hAnsi="Times New Roman" w:eastAsia="方正黑体_GBK" w:cs="Times New Roman"/>
          <w:bCs/>
          <w:color w:val="auto"/>
          <w:sz w:val="32"/>
          <w:szCs w:val="32"/>
          <w:highlight w:val="none"/>
        </w:rPr>
      </w:pPr>
      <w:r>
        <w:rPr>
          <w:rFonts w:hint="eastAsia" w:ascii="Times New Roman" w:hAnsi="Times New Roman" w:eastAsia="方正黑体_GBK" w:cs="Times New Roman"/>
          <w:bCs/>
          <w:color w:val="auto"/>
          <w:sz w:val="32"/>
          <w:szCs w:val="32"/>
          <w:highlight w:val="none"/>
          <w:lang w:val="en-US" w:eastAsia="zh-CN"/>
        </w:rPr>
        <w:t xml:space="preserve">第三章 </w:t>
      </w:r>
      <w:r>
        <w:rPr>
          <w:rFonts w:hint="default" w:ascii="Times New Roman" w:hAnsi="Times New Roman" w:eastAsia="方正黑体_GBK" w:cs="Times New Roman"/>
          <w:bCs/>
          <w:color w:val="auto"/>
          <w:sz w:val="32"/>
          <w:szCs w:val="32"/>
          <w:highlight w:val="none"/>
        </w:rPr>
        <w:t>建设舒适便利的宜居</w:t>
      </w:r>
      <w:r>
        <w:rPr>
          <w:rFonts w:ascii="Times New Roman" w:hAnsi="Times New Roman" w:eastAsia="方正黑体_GBK" w:cs="Times New Roman"/>
          <w:bCs/>
          <w:color w:val="auto"/>
          <w:sz w:val="32"/>
          <w:szCs w:val="32"/>
          <w:highlight w:val="none"/>
        </w:rPr>
        <w:t>城市</w:t>
      </w:r>
      <w:bookmarkEnd w:id="391"/>
      <w:bookmarkEnd w:id="392"/>
      <w:bookmarkEnd w:id="393"/>
      <w:bookmarkEnd w:id="394"/>
      <w:bookmarkEnd w:id="395"/>
      <w:bookmarkEnd w:id="396"/>
      <w:bookmarkEnd w:id="397"/>
      <w:bookmarkEnd w:id="398"/>
      <w:bookmarkEnd w:id="399"/>
      <w:bookmarkEnd w:id="400"/>
      <w:bookmarkEnd w:id="401"/>
    </w:p>
    <w:p w14:paraId="131A07EE">
      <w:pPr>
        <w:widowControl/>
        <w:adjustRightInd w:val="0"/>
        <w:snapToGrid w:val="0"/>
        <w:spacing w:line="600" w:lineRule="exact"/>
        <w:ind w:firstLine="640" w:firstLineChars="200"/>
        <w:jc w:val="left"/>
        <w:outlineLvl w:val="9"/>
        <w:rPr>
          <w:rFonts w:hint="eastAsia" w:ascii="Times New Roman" w:hAnsi="Times New Roman" w:eastAsia="方正楷体_GBK" w:cs="Times New Roman"/>
          <w:color w:val="auto"/>
          <w:sz w:val="32"/>
          <w:highlight w:val="none"/>
        </w:rPr>
      </w:pPr>
      <w:bookmarkStart w:id="402" w:name="_Toc19915"/>
      <w:bookmarkStart w:id="403" w:name="_Toc26613"/>
      <w:bookmarkStart w:id="404" w:name="_Toc4253"/>
      <w:bookmarkStart w:id="405" w:name="_Toc10573"/>
      <w:bookmarkStart w:id="406" w:name="_Toc2011437318"/>
      <w:bookmarkStart w:id="407" w:name="_Toc20014"/>
      <w:r>
        <w:rPr>
          <w:rFonts w:hint="eastAsia" w:ascii="Times New Roman" w:hAnsi="Times New Roman" w:eastAsia="方正仿宋_GBK" w:cs="Times New Roman"/>
          <w:color w:val="auto"/>
          <w:sz w:val="32"/>
          <w:szCs w:val="32"/>
          <w:highlight w:val="none"/>
        </w:rPr>
        <w:t>坚持人口、产业、城镇、交通一体规划，统筹构建现代化综合交通体系，优化配置公共服务资源，健全多层次社会保障体系，全方位提升城市综合服务效能，持续增进民生福祉。</w:t>
      </w:r>
      <w:bookmarkStart w:id="408" w:name="_Toc5317"/>
      <w:bookmarkStart w:id="409" w:name="_Toc13869"/>
      <w:bookmarkStart w:id="410" w:name="_Toc7575"/>
      <w:bookmarkStart w:id="411" w:name="_Toc879565482"/>
      <w:bookmarkStart w:id="412" w:name="_Toc18716"/>
      <w:bookmarkStart w:id="413" w:name="_Toc1587268207"/>
    </w:p>
    <w:p w14:paraId="44502764">
      <w:pPr>
        <w:adjustRightInd w:val="0"/>
        <w:snapToGrid w:val="0"/>
        <w:spacing w:line="600" w:lineRule="exact"/>
        <w:jc w:val="center"/>
        <w:outlineLvl w:val="2"/>
        <w:rPr>
          <w:rFonts w:ascii="Times New Roman" w:hAnsi="Times New Roman" w:eastAsia="方正楷体_GBK" w:cs="Times New Roman"/>
          <w:color w:val="auto"/>
          <w:sz w:val="32"/>
          <w:highlight w:val="none"/>
        </w:rPr>
      </w:pPr>
      <w:r>
        <w:rPr>
          <w:rFonts w:hint="eastAsia" w:ascii="Times New Roman" w:hAnsi="Times New Roman" w:eastAsia="方正楷体_GBK" w:cs="Times New Roman"/>
          <w:color w:val="auto"/>
          <w:sz w:val="32"/>
          <w:highlight w:val="none"/>
        </w:rPr>
        <w:t>第一节 构建现代化综合交通体系</w:t>
      </w:r>
      <w:bookmarkEnd w:id="402"/>
      <w:bookmarkEnd w:id="408"/>
      <w:bookmarkEnd w:id="409"/>
      <w:bookmarkEnd w:id="410"/>
      <w:bookmarkEnd w:id="411"/>
      <w:bookmarkEnd w:id="412"/>
      <w:bookmarkEnd w:id="413"/>
    </w:p>
    <w:p w14:paraId="79ED77E3">
      <w:pPr>
        <w:widowControl/>
        <w:adjustRightInd w:val="0"/>
        <w:snapToGrid w:val="0"/>
        <w:spacing w:line="600" w:lineRule="exact"/>
        <w:ind w:firstLine="640" w:firstLineChars="200"/>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加快“四快六普”轨道交通网络建设，提速推进15号线二期、27号线、17号线一期、7号线一期等轨道交通贯通，开展轨道4号线西延伸段二期、19号线等前期工作，全面提升轨道服务覆盖率，实现内部南北轨道贯通以及与中部槽谷、东部槽谷快速轨道直连。完善“六横六纵两环”骨架路网，加快科技大道等跨区域骨架道路建设，协同完善科学会堂、科学谷等片区周边次支道路系统。加快贯通穿山隧道，推动科学城隧道、白市驿隧道2座在建隧道加快投用，争取西永隧道纳入市级重大项目开工建设，增强中西槽谷畅联程度。完善“轨道+公交+慢行”换乘接驳系统，改善站点接驳常规公交、（电动）自行车、步行系统和环境条件，提升换乘便捷性和舒适性。到2030年，轨道运营线路达72公里，新增道路里程100公里，建成通车道路里程864公里，路网密度达5.5千米/平方千米，隧道通行能力提升至6.9万</w:t>
      </w:r>
      <w:r>
        <w:rPr>
          <w:rFonts w:hint="eastAsia" w:ascii="Times New Roman" w:hAnsi="Times New Roman" w:eastAsia="方正仿宋_GBK" w:cs="Times New Roman"/>
          <w:b w:val="0"/>
          <w:bCs w:val="0"/>
          <w:i w:val="0"/>
          <w:iCs w:val="0"/>
          <w:caps w:val="0"/>
          <w:color w:val="auto"/>
          <w:spacing w:val="0"/>
          <w:sz w:val="32"/>
          <w:szCs w:val="32"/>
          <w:highlight w:val="none"/>
          <w:shd w:val="clear"/>
        </w:rPr>
        <w:t>当量标准小客车/小时</w:t>
      </w:r>
      <w:r>
        <w:rPr>
          <w:rFonts w:hint="eastAsia" w:ascii="Times New Roman" w:hAnsi="Times New Roman" w:eastAsia="方正仿宋_GBK" w:cs="Times New Roman"/>
          <w:color w:val="auto"/>
          <w:sz w:val="32"/>
          <w:szCs w:val="32"/>
          <w:highlight w:val="none"/>
        </w:rPr>
        <w:t>，穿山隧道增加至</w:t>
      </w:r>
      <w:r>
        <w:rPr>
          <w:rFonts w:ascii="Times New Roman" w:hAnsi="Times New Roman" w:eastAsia="方正仿宋_GBK" w:cs="Times New Roman"/>
          <w:color w:val="auto"/>
          <w:sz w:val="32"/>
          <w:szCs w:val="32"/>
          <w:highlight w:val="none"/>
        </w:rPr>
        <w:t>11</w:t>
      </w:r>
      <w:r>
        <w:rPr>
          <w:rFonts w:hint="eastAsia" w:ascii="Times New Roman" w:hAnsi="Times New Roman" w:eastAsia="方正仿宋_GBK" w:cs="Times New Roman"/>
          <w:color w:val="auto"/>
          <w:sz w:val="32"/>
          <w:szCs w:val="32"/>
          <w:highlight w:val="none"/>
        </w:rPr>
        <w:t>座。</w:t>
      </w:r>
    </w:p>
    <w:p w14:paraId="31E87BDD">
      <w:pPr>
        <w:widowControl/>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专栏2</w:t>
      </w:r>
      <w:r>
        <w:rPr>
          <w:rFonts w:hint="eastAsia" w:ascii="Times New Roman" w:hAnsi="Times New Roman" w:eastAsia="方正黑体_GBK" w:cs="方正黑体_GBK"/>
          <w:color w:val="auto"/>
          <w:kern w:val="0"/>
          <w:sz w:val="32"/>
          <w:szCs w:val="32"/>
          <w:highlight w:val="none"/>
          <w:u w:val="none"/>
          <w:lang w:val="en-US" w:eastAsia="zh-CN" w:bidi="ar"/>
        </w:rPr>
        <w:t>3</w:t>
      </w:r>
      <w:r>
        <w:rPr>
          <w:rFonts w:hint="eastAsia" w:ascii="Times New Roman" w:hAnsi="Times New Roman" w:eastAsia="方正黑体_GBK" w:cs="方正黑体_GBK"/>
          <w:color w:val="auto"/>
          <w:kern w:val="0"/>
          <w:sz w:val="32"/>
          <w:szCs w:val="32"/>
          <w:highlight w:val="none"/>
          <w:u w:val="none"/>
          <w:lang w:bidi="ar"/>
        </w:rPr>
        <w:t xml:space="preserve"> 综合交通体系重点建设项目</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0"/>
      </w:tblGrid>
      <w:tr w14:paraId="67F3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0DB4BEA1">
            <w:pPr>
              <w:pStyle w:val="38"/>
              <w:snapToGrid w:val="0"/>
              <w:spacing w:line="380" w:lineRule="exact"/>
              <w:ind w:firstLineChars="200"/>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城市轨道。</w:t>
            </w:r>
            <w:r>
              <w:rPr>
                <w:rFonts w:hint="eastAsia" w:ascii="Times New Roman" w:hAnsi="Times New Roman" w:eastAsia="方正书宋_GBK" w:cs="Times New Roman"/>
                <w:color w:val="auto"/>
                <w:kern w:val="0"/>
                <w:sz w:val="24"/>
                <w:highlight w:val="none"/>
                <w:u w:val="none"/>
                <w:lang w:bidi="ar-SA"/>
              </w:rPr>
              <w:t>4条轨道快线，包括3条在建轨道（15号线、27号线、市郊铁路C4线）、1条规划轨道（19号线）。6条轨道普线，包括2条现状轨道（1号线、江跳线）、2条在建轨道（7号线、17号线）、1条规划轨道（4号线）、1条远景轨道（29号线）。至2027年，15号线二期、27号线、17号线一期建成通车</w:t>
            </w:r>
            <w:r>
              <w:rPr>
                <w:rFonts w:hint="eastAsia" w:eastAsia="方正书宋_GBK" w:cs="Times New Roman"/>
                <w:color w:val="auto"/>
                <w:kern w:val="0"/>
                <w:sz w:val="24"/>
                <w:highlight w:val="none"/>
                <w:u w:val="none"/>
                <w:lang w:eastAsia="zh-CN" w:bidi="ar-SA"/>
              </w:rPr>
              <w:t>。</w:t>
            </w:r>
            <w:r>
              <w:rPr>
                <w:rFonts w:hint="eastAsia" w:ascii="Times New Roman" w:hAnsi="Times New Roman" w:eastAsia="方正书宋_GBK" w:cs="Times New Roman"/>
                <w:color w:val="auto"/>
                <w:kern w:val="0"/>
                <w:sz w:val="24"/>
                <w:highlight w:val="none"/>
                <w:u w:val="none"/>
                <w:lang w:bidi="ar-SA"/>
              </w:rPr>
              <w:t>至2028年，轨道7号线一期建成通车，轨道运营线路达6条</w:t>
            </w:r>
            <w:r>
              <w:rPr>
                <w:rFonts w:hint="eastAsia" w:eastAsia="方正书宋_GBK" w:cs="Times New Roman"/>
                <w:color w:val="auto"/>
                <w:kern w:val="0"/>
                <w:sz w:val="24"/>
                <w:highlight w:val="none"/>
                <w:u w:val="none"/>
                <w:lang w:eastAsia="zh-CN" w:bidi="ar-SA"/>
              </w:rPr>
              <w:t>、</w:t>
            </w:r>
            <w:r>
              <w:rPr>
                <w:rFonts w:hint="eastAsia" w:ascii="Times New Roman" w:hAnsi="Times New Roman" w:eastAsia="方正书宋_GBK" w:cs="Times New Roman"/>
                <w:color w:val="auto"/>
                <w:kern w:val="0"/>
                <w:sz w:val="24"/>
                <w:highlight w:val="none"/>
                <w:u w:val="none"/>
                <w:lang w:bidi="ar-SA"/>
              </w:rPr>
              <w:t>72公里。</w:t>
            </w:r>
          </w:p>
          <w:p w14:paraId="1E6F951D">
            <w:pPr>
              <w:pStyle w:val="38"/>
              <w:widowControl/>
              <w:overflowPunct w:val="0"/>
              <w:snapToGrid w:val="0"/>
              <w:spacing w:line="380" w:lineRule="exact"/>
              <w:ind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城市道路。</w:t>
            </w:r>
            <w:r>
              <w:rPr>
                <w:rFonts w:hint="eastAsia" w:ascii="Times New Roman" w:hAnsi="Times New Roman" w:eastAsia="方正书宋_GBK" w:cs="Times New Roman"/>
                <w:color w:val="auto"/>
                <w:kern w:val="0"/>
                <w:sz w:val="24"/>
                <w:highlight w:val="none"/>
                <w:u w:val="none"/>
                <w:lang w:bidi="ar-SA"/>
              </w:rPr>
              <w:t>推进科学大道二期、科技大道、新森大道、新宏大道、沿山大道、新州大道、新金大道等主要道路建设。开展虎峰路、地锦路、曾家“科研港”片区路网、金凤</w:t>
            </w:r>
            <w:r>
              <w:rPr>
                <w:rFonts w:hint="eastAsia" w:eastAsia="方正书宋_GBK" w:cs="Times New Roman"/>
                <w:color w:val="auto"/>
                <w:kern w:val="0"/>
                <w:sz w:val="24"/>
                <w:highlight w:val="none"/>
                <w:u w:val="none"/>
                <w:lang w:val="en-US" w:eastAsia="zh-CN" w:bidi="ar-SA"/>
              </w:rPr>
              <w:t>城市中心</w:t>
            </w:r>
            <w:r>
              <w:rPr>
                <w:rFonts w:hint="eastAsia" w:ascii="Times New Roman" w:hAnsi="Times New Roman" w:eastAsia="方正书宋_GBK" w:cs="Times New Roman"/>
                <w:color w:val="auto"/>
                <w:kern w:val="0"/>
                <w:sz w:val="24"/>
                <w:highlight w:val="none"/>
                <w:u w:val="none"/>
                <w:lang w:bidi="ar-SA"/>
              </w:rPr>
              <w:t>片区路网、科学中心配套道路等次支路加密项目。</w:t>
            </w:r>
          </w:p>
          <w:p w14:paraId="540E3438">
            <w:pPr>
              <w:pStyle w:val="38"/>
              <w:widowControl/>
              <w:overflowPunct w:val="0"/>
              <w:snapToGrid w:val="0"/>
              <w:spacing w:line="380" w:lineRule="exact"/>
              <w:ind w:firstLineChars="200"/>
              <w:jc w:val="left"/>
              <w:rPr>
                <w:rFonts w:hint="eastAsia" w:ascii="方正书宋_GBK" w:hAnsi="方正书宋_GBK" w:eastAsia="方正书宋_GBK" w:cs="方正书宋_GBK"/>
                <w:color w:val="auto"/>
                <w:sz w:val="24"/>
                <w:highlight w:val="none"/>
              </w:rPr>
            </w:pPr>
            <w:r>
              <w:rPr>
                <w:rFonts w:hint="eastAsia" w:ascii="Times New Roman" w:hAnsi="Times New Roman" w:eastAsia="方正黑体_GBK" w:cs="方正黑体_GBK"/>
                <w:color w:val="auto"/>
                <w:kern w:val="0"/>
                <w:sz w:val="24"/>
                <w:highlight w:val="none"/>
                <w:u w:val="none"/>
                <w:lang w:val="en-US" w:eastAsia="zh-CN" w:bidi="ar-SA"/>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穿山隧道。</w:t>
            </w:r>
            <w:r>
              <w:rPr>
                <w:rFonts w:hint="eastAsia" w:ascii="Times New Roman" w:hAnsi="Times New Roman" w:eastAsia="方正书宋_GBK" w:cs="Times New Roman"/>
                <w:color w:val="auto"/>
                <w:kern w:val="0"/>
                <w:sz w:val="24"/>
                <w:highlight w:val="none"/>
                <w:u w:val="none"/>
                <w:lang w:bidi="ar-SA"/>
              </w:rPr>
              <w:t>争取科学城隧道2026年完工通车，白市驿隧道202</w:t>
            </w:r>
            <w:r>
              <w:rPr>
                <w:rFonts w:hint="default" w:ascii="Times New Roman" w:hAnsi="Times New Roman" w:eastAsia="方正书宋_GBK" w:cs="Times New Roman"/>
                <w:color w:val="auto"/>
                <w:kern w:val="0"/>
                <w:sz w:val="24"/>
                <w:highlight w:val="none"/>
                <w:u w:val="none"/>
                <w:lang w:val="en-US" w:bidi="ar-SA"/>
              </w:rPr>
              <w:t>8</w:t>
            </w:r>
            <w:r>
              <w:rPr>
                <w:rFonts w:hint="eastAsia" w:ascii="Times New Roman" w:hAnsi="Times New Roman" w:eastAsia="方正书宋_GBK" w:cs="Times New Roman"/>
                <w:color w:val="auto"/>
                <w:kern w:val="0"/>
                <w:sz w:val="24"/>
                <w:highlight w:val="none"/>
                <w:u w:val="none"/>
                <w:lang w:bidi="ar-SA"/>
              </w:rPr>
              <w:t>年完工通车。到2030年，穿山隧道由9座增加至11座。</w:t>
            </w:r>
          </w:p>
        </w:tc>
      </w:tr>
      <w:bookmarkEnd w:id="403"/>
      <w:bookmarkEnd w:id="404"/>
      <w:bookmarkEnd w:id="405"/>
      <w:bookmarkEnd w:id="406"/>
      <w:bookmarkEnd w:id="407"/>
    </w:tbl>
    <w:p w14:paraId="68286016">
      <w:pPr>
        <w:adjustRightInd w:val="0"/>
        <w:snapToGrid w:val="0"/>
        <w:spacing w:line="600" w:lineRule="exact"/>
        <w:jc w:val="center"/>
        <w:outlineLvl w:val="2"/>
        <w:rPr>
          <w:rFonts w:ascii="Times New Roman" w:hAnsi="Times New Roman" w:eastAsia="方正仿宋_GBK" w:cs="方正仿宋_GBK"/>
          <w:color w:val="auto"/>
          <w:sz w:val="32"/>
          <w:szCs w:val="32"/>
          <w:highlight w:val="none"/>
        </w:rPr>
      </w:pPr>
      <w:bookmarkStart w:id="414" w:name="_Toc1174892015"/>
      <w:bookmarkStart w:id="415" w:name="_Toc28905"/>
      <w:bookmarkStart w:id="416" w:name="_Toc1922"/>
      <w:bookmarkStart w:id="417" w:name="_Toc17370"/>
      <w:bookmarkStart w:id="418" w:name="_Toc1727113673"/>
      <w:bookmarkStart w:id="419" w:name="_Toc11780"/>
      <w:bookmarkStart w:id="420" w:name="_Toc20555"/>
      <w:r>
        <w:rPr>
          <w:rFonts w:hint="eastAsia" w:ascii="Times New Roman" w:hAnsi="Times New Roman" w:eastAsia="方正楷体_GBK" w:cs="Times New Roman"/>
          <w:color w:val="auto"/>
          <w:sz w:val="32"/>
          <w:highlight w:val="none"/>
        </w:rPr>
        <w:t>第二节 建立多元优质公共服务体系</w:t>
      </w:r>
      <w:bookmarkEnd w:id="414"/>
      <w:bookmarkEnd w:id="415"/>
      <w:bookmarkEnd w:id="416"/>
      <w:bookmarkEnd w:id="417"/>
      <w:bookmarkEnd w:id="418"/>
      <w:bookmarkEnd w:id="419"/>
      <w:bookmarkEnd w:id="420"/>
    </w:p>
    <w:p w14:paraId="13660CE1">
      <w:pPr>
        <w:adjustRightInd w:val="0"/>
        <w:snapToGrid w:val="0"/>
        <w:spacing w:line="600" w:lineRule="exact"/>
        <w:ind w:firstLine="640" w:firstLineChars="200"/>
        <w:textAlignment w:val="baseline"/>
        <w:rPr>
          <w:rFonts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紧扣城市人口发展趋势和需求差异，分区差异化布局基础教育设施，实现人口变化与基础教育设施动态匹配。有序推进北师大重庆科学城实验学校、西永L分区公立学校（暂定名）、曾家片区小学校（暂定名）等学校建设。完善教师专业发展支持体系，实施铸魂强师行动，推进强基培优工程，打造适应未来教育需求的卓越教师队伍。推进基础教育阶段数字教育建设，提升数字教育服务效能。深化教育综合改革，健全学校家庭社会协同育人机制，优化终身学习公共服务，构建全民终身学习型社会。到2030年，新增中小学3所，成功创建全国人工智能教育示范区，基本建成西部基础教育改革先行区。</w:t>
      </w:r>
    </w:p>
    <w:p w14:paraId="25726312">
      <w:pPr>
        <w:adjustRightInd w:val="0"/>
        <w:snapToGrid w:val="0"/>
        <w:spacing w:line="600" w:lineRule="exact"/>
        <w:ind w:firstLine="640" w:firstLineChars="200"/>
        <w:jc w:val="left"/>
        <w:textAlignment w:val="baseline"/>
        <w:rPr>
          <w:rFonts w:hint="eastAsia" w:ascii="Times New Roman" w:hAnsi="方正仿宋_GBK"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打造“高校</w:t>
      </w:r>
      <w:r>
        <w:rPr>
          <w:rFonts w:hint="eastAsia"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color w:val="auto"/>
          <w:sz w:val="32"/>
          <w:szCs w:val="32"/>
          <w:highlight w:val="none"/>
        </w:rPr>
        <w:t>三甲医院</w:t>
      </w:r>
      <w:r>
        <w:rPr>
          <w:rFonts w:hint="eastAsia" w:ascii="Times New Roman" w:hAnsi="Times New Roman" w:eastAsia="方正仿宋_GBK" w:cs="方正仿宋_GBK"/>
          <w:color w:val="auto"/>
          <w:sz w:val="32"/>
          <w:szCs w:val="32"/>
          <w:highlight w:val="none"/>
          <w:lang w:val="en-US" w:eastAsia="zh-CN"/>
        </w:rPr>
        <w:t>+</w:t>
      </w:r>
      <w:r>
        <w:rPr>
          <w:rFonts w:hint="eastAsia" w:ascii="Times New Roman" w:hAnsi="Times New Roman" w:eastAsia="方正仿宋_GBK" w:cs="方正仿宋_GBK"/>
          <w:color w:val="auto"/>
          <w:sz w:val="32"/>
          <w:szCs w:val="32"/>
          <w:highlight w:val="none"/>
        </w:rPr>
        <w:t>基层医院”创新合作模式，持续推进重庆市第四人民医院科学城院区、重庆大学附属肿瘤医院科学城院区建设。</w:t>
      </w:r>
      <w:r>
        <w:rPr>
          <w:rFonts w:hint="eastAsia" w:ascii="Times New Roman" w:hAnsi="方正仿宋_GBK" w:eastAsia="方正仿宋_GBK" w:cs="方正仿宋_GBK"/>
          <w:color w:val="auto"/>
          <w:sz w:val="32"/>
          <w:szCs w:val="32"/>
          <w:highlight w:val="none"/>
        </w:rPr>
        <w:t>补齐公共卫生体系短板，进一步明晰高新区疾控机构职能定位和能力建设标准，优化疾控机构设置和人员配置，持续推进疾控体制机制创新，探索建立医防融合、平急结合工作模式。</w:t>
      </w:r>
      <w:r>
        <w:rPr>
          <w:rFonts w:hint="eastAsia" w:ascii="Times New Roman" w:hAnsi="Times New Roman" w:eastAsia="方正仿宋_GBK" w:cs="方正仿宋_GBK"/>
          <w:color w:val="auto"/>
          <w:sz w:val="32"/>
          <w:szCs w:val="32"/>
          <w:highlight w:val="none"/>
        </w:rPr>
        <w:t>提升优质医疗服务供给，</w:t>
      </w:r>
      <w:r>
        <w:rPr>
          <w:rFonts w:hint="eastAsia" w:ascii="Times New Roman" w:hAnsi="Times New Roman" w:eastAsia="方正仿宋_GBK" w:cs="Times New Roman"/>
          <w:color w:val="auto"/>
          <w:sz w:val="32"/>
          <w:szCs w:val="32"/>
          <w:highlight w:val="none"/>
        </w:rPr>
        <w:t>创建等级医院和市级重点专科、特色专科，提升区域医疗辐射带动能力。</w:t>
      </w:r>
      <w:r>
        <w:rPr>
          <w:rFonts w:hint="eastAsia" w:ascii="Times New Roman" w:hAnsi="方正仿宋_GBK" w:eastAsia="方正仿宋_GBK" w:cs="方正仿宋_GBK"/>
          <w:color w:val="auto"/>
          <w:sz w:val="32"/>
          <w:szCs w:val="32"/>
          <w:highlight w:val="none"/>
        </w:rPr>
        <w:t>开展数字健康高地建设，加强健康大数据开放共享和应用，优化区域医疗信息化系统，完善智慧医疗基础支撑体系和应急体系。到2030年，三级医院达到4个，二级医院达到4个，公立基层医疗机构达到10个。</w:t>
      </w:r>
    </w:p>
    <w:p w14:paraId="28E92EA0">
      <w:pPr>
        <w:widowControl/>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专栏2</w:t>
      </w:r>
      <w:r>
        <w:rPr>
          <w:rFonts w:hint="eastAsia" w:ascii="Times New Roman" w:hAnsi="Times New Roman" w:eastAsia="方正黑体_GBK" w:cs="方正黑体_GBK"/>
          <w:color w:val="auto"/>
          <w:kern w:val="0"/>
          <w:sz w:val="32"/>
          <w:szCs w:val="32"/>
          <w:highlight w:val="none"/>
          <w:u w:val="none"/>
          <w:lang w:val="en-US" w:eastAsia="zh-CN" w:bidi="ar"/>
        </w:rPr>
        <w:t>4</w:t>
      </w:r>
      <w:r>
        <w:rPr>
          <w:rFonts w:hint="eastAsia" w:ascii="Times New Roman" w:hAnsi="Times New Roman" w:eastAsia="方正黑体_GBK" w:cs="方正黑体_GBK"/>
          <w:color w:val="auto"/>
          <w:kern w:val="0"/>
          <w:sz w:val="32"/>
          <w:szCs w:val="32"/>
          <w:highlight w:val="none"/>
          <w:u w:val="none"/>
          <w:lang w:bidi="ar"/>
        </w:rPr>
        <w:t xml:space="preserve"> 教育医疗基础设施重点建设项目及进度计划</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5A93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09AF9FB3">
            <w:pPr>
              <w:pStyle w:val="38"/>
              <w:widowControl/>
              <w:overflowPunct w:val="0"/>
              <w:snapToGrid w:val="0"/>
              <w:spacing w:line="380" w:lineRule="exact"/>
              <w:ind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教育设施。</w:t>
            </w:r>
            <w:r>
              <w:rPr>
                <w:rFonts w:hint="eastAsia" w:ascii="Times New Roman" w:hAnsi="Times New Roman" w:eastAsia="方正书宋_GBK" w:cs="Times New Roman"/>
                <w:color w:val="auto"/>
                <w:kern w:val="0"/>
                <w:sz w:val="24"/>
                <w:highlight w:val="none"/>
                <w:u w:val="none"/>
                <w:lang w:bidi="ar-SA"/>
              </w:rPr>
              <w:t>2026年，华中师范大学重庆学校（中学部）、北京师范大学重庆科学城实验学校（小学部）、重庆市八中科学城中学校（西永校区）、西永L分区公立学校（暂定名）一期工程</w:t>
            </w:r>
            <w:r>
              <w:rPr>
                <w:rFonts w:hint="eastAsia" w:eastAsia="方正书宋_GBK" w:cs="Times New Roman"/>
                <w:color w:val="auto"/>
                <w:kern w:val="0"/>
                <w:sz w:val="24"/>
                <w:highlight w:val="none"/>
                <w:u w:val="none"/>
                <w:lang w:val="en-US" w:eastAsia="zh-CN" w:bidi="ar-SA"/>
              </w:rPr>
              <w:t>争取</w:t>
            </w:r>
            <w:r>
              <w:rPr>
                <w:rFonts w:hint="eastAsia" w:ascii="Times New Roman" w:hAnsi="Times New Roman" w:eastAsia="方正书宋_GBK" w:cs="Times New Roman"/>
                <w:color w:val="auto"/>
                <w:kern w:val="0"/>
                <w:sz w:val="24"/>
                <w:highlight w:val="none"/>
                <w:u w:val="none"/>
                <w:lang w:bidi="ar-SA"/>
              </w:rPr>
              <w:t>建成交付。</w:t>
            </w:r>
            <w:r>
              <w:rPr>
                <w:rFonts w:hint="eastAsia" w:eastAsia="方正书宋_GBK" w:cs="Times New Roman"/>
                <w:color w:val="auto"/>
                <w:kern w:val="0"/>
                <w:sz w:val="24"/>
                <w:highlight w:val="none"/>
                <w:u w:val="none"/>
                <w:lang w:val="en-US" w:eastAsia="zh-CN" w:bidi="ar-SA"/>
              </w:rPr>
              <w:t>到</w:t>
            </w:r>
            <w:r>
              <w:rPr>
                <w:rFonts w:hint="eastAsia" w:ascii="Times New Roman" w:hAnsi="Times New Roman" w:eastAsia="方正书宋_GBK" w:cs="Times New Roman"/>
                <w:color w:val="auto"/>
                <w:kern w:val="0"/>
                <w:sz w:val="24"/>
                <w:highlight w:val="none"/>
                <w:u w:val="none"/>
                <w:lang w:bidi="ar-SA"/>
              </w:rPr>
              <w:t>2027年，推动北京师范大学重庆科学城实验学校（中学部）分期建成交付。到2030年，有序推进曾家片区小学校（暂定名）等项目建设。</w:t>
            </w:r>
          </w:p>
          <w:p w14:paraId="2AA3F112">
            <w:pPr>
              <w:pStyle w:val="38"/>
              <w:widowControl/>
              <w:overflowPunct w:val="0"/>
              <w:snapToGrid w:val="0"/>
              <w:spacing w:line="380" w:lineRule="exact"/>
              <w:ind w:firstLineChars="200"/>
              <w:jc w:val="left"/>
              <w:rPr>
                <w:rFonts w:ascii="Times New Roman" w:hAnsi="Times New Roman" w:eastAsia="方正仿宋_GBK" w:cs="Times New Roman"/>
                <w:color w:val="auto"/>
                <w:sz w:val="32"/>
                <w:szCs w:val="32"/>
                <w:highlight w:val="none"/>
              </w:rPr>
            </w:pPr>
            <w:r>
              <w:rPr>
                <w:rFonts w:hint="eastAsia" w:ascii="Times New Roman" w:hAnsi="Times New Roman" w:eastAsia="方正黑体_GBK" w:cs="方正黑体_GBK"/>
                <w:color w:val="auto"/>
                <w:kern w:val="0"/>
                <w:sz w:val="24"/>
                <w:highlight w:val="none"/>
                <w:u w:val="none"/>
                <w:lang w:val="en-US" w:eastAsia="zh-CN"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医疗设施。</w:t>
            </w:r>
            <w:r>
              <w:rPr>
                <w:rFonts w:hint="eastAsia" w:ascii="Times New Roman" w:hAnsi="Times New Roman" w:eastAsia="方正书宋_GBK" w:cs="Times New Roman"/>
                <w:color w:val="auto"/>
                <w:kern w:val="0"/>
                <w:sz w:val="24"/>
                <w:highlight w:val="none"/>
                <w:u w:val="none"/>
                <w:lang w:bidi="ar-SA"/>
              </w:rPr>
              <w:t>重庆市第四人民医院科学城院区、重庆大学附属肿瘤医院科学城院区</w:t>
            </w:r>
            <w:r>
              <w:rPr>
                <w:rFonts w:hint="eastAsia" w:eastAsia="方正书宋_GBK" w:cs="Times New Roman"/>
                <w:color w:val="auto"/>
                <w:kern w:val="0"/>
                <w:sz w:val="24"/>
                <w:highlight w:val="none"/>
                <w:u w:val="none"/>
                <w:lang w:val="en-US" w:eastAsia="zh-CN" w:bidi="ar-SA"/>
              </w:rPr>
              <w:t>争取</w:t>
            </w:r>
            <w:r>
              <w:rPr>
                <w:rFonts w:hint="eastAsia" w:ascii="Times New Roman" w:hAnsi="Times New Roman" w:eastAsia="方正书宋_GBK" w:cs="Times New Roman"/>
                <w:color w:val="auto"/>
                <w:kern w:val="0"/>
                <w:sz w:val="24"/>
                <w:highlight w:val="none"/>
                <w:u w:val="none"/>
                <w:lang w:bidi="ar-SA"/>
              </w:rPr>
              <w:t>2026年建成投用，预计新增床位4000张。推动重庆高新区第一人民医院、香炉山卫生服务中心、西永卫生服务中心迁建。</w:t>
            </w:r>
            <w:bookmarkStart w:id="421" w:name="OLE_LINK1"/>
            <w:r>
              <w:rPr>
                <w:rFonts w:hint="eastAsia" w:ascii="Times New Roman" w:hAnsi="Times New Roman" w:eastAsia="方正书宋_GBK" w:cs="Times New Roman"/>
                <w:color w:val="auto"/>
                <w:kern w:val="0"/>
                <w:sz w:val="24"/>
                <w:highlight w:val="none"/>
                <w:u w:val="none"/>
                <w:lang w:bidi="ar-SA"/>
              </w:rPr>
              <w:t>到2030年，三级医院达到4个，二级医院达到4个，公立基层医疗机构达到10个</w:t>
            </w:r>
            <w:bookmarkEnd w:id="421"/>
            <w:r>
              <w:rPr>
                <w:rFonts w:hint="eastAsia" w:ascii="Times New Roman" w:hAnsi="Times New Roman" w:eastAsia="方正书宋_GBK" w:cs="Times New Roman"/>
                <w:color w:val="auto"/>
                <w:kern w:val="0"/>
                <w:sz w:val="24"/>
                <w:highlight w:val="none"/>
                <w:u w:val="none"/>
                <w:lang w:bidi="ar-SA"/>
              </w:rPr>
              <w:t>。</w:t>
            </w:r>
          </w:p>
        </w:tc>
      </w:tr>
    </w:tbl>
    <w:p w14:paraId="4978F2B3">
      <w:pPr>
        <w:adjustRightInd w:val="0"/>
        <w:snapToGrid w:val="0"/>
        <w:spacing w:line="600" w:lineRule="exact"/>
        <w:jc w:val="center"/>
        <w:outlineLvl w:val="2"/>
        <w:rPr>
          <w:rFonts w:ascii="Times New Roman" w:hAnsi="Times New Roman" w:eastAsia="方正楷体_GBK" w:cs="Times New Roman"/>
          <w:color w:val="auto"/>
          <w:sz w:val="32"/>
          <w:highlight w:val="none"/>
        </w:rPr>
      </w:pPr>
      <w:bookmarkStart w:id="422" w:name="_Toc20644"/>
      <w:bookmarkStart w:id="423" w:name="_Toc2061944423"/>
      <w:bookmarkStart w:id="424" w:name="_Toc898162913"/>
      <w:bookmarkStart w:id="425" w:name="_Toc297961940"/>
      <w:bookmarkStart w:id="426" w:name="_Toc29815"/>
      <w:bookmarkStart w:id="427" w:name="_Toc20243"/>
      <w:bookmarkStart w:id="428" w:name="_Toc63045612"/>
      <w:r>
        <w:rPr>
          <w:rFonts w:hint="eastAsia" w:ascii="Times New Roman" w:hAnsi="Times New Roman" w:eastAsia="方正楷体_GBK" w:cs="Times New Roman"/>
          <w:color w:val="auto"/>
          <w:sz w:val="32"/>
          <w:highlight w:val="none"/>
        </w:rPr>
        <w:t>第</w:t>
      </w:r>
      <w:r>
        <w:rPr>
          <w:rFonts w:hint="eastAsia" w:ascii="Times New Roman" w:hAnsi="Times New Roman" w:eastAsia="方正楷体_GBK" w:cs="Times New Roman"/>
          <w:color w:val="auto"/>
          <w:sz w:val="32"/>
          <w:highlight w:val="none"/>
          <w:lang w:val="en-US" w:eastAsia="zh-CN"/>
        </w:rPr>
        <w:t>三</w:t>
      </w:r>
      <w:r>
        <w:rPr>
          <w:rFonts w:hint="eastAsia" w:ascii="Times New Roman" w:hAnsi="Times New Roman" w:eastAsia="方正楷体_GBK" w:cs="Times New Roman"/>
          <w:color w:val="auto"/>
          <w:sz w:val="32"/>
          <w:highlight w:val="none"/>
        </w:rPr>
        <w:t xml:space="preserve">节 </w:t>
      </w:r>
      <w:r>
        <w:rPr>
          <w:rFonts w:ascii="Times New Roman" w:hAnsi="Times New Roman" w:eastAsia="方正楷体_GBK" w:cs="Times New Roman"/>
          <w:color w:val="auto"/>
          <w:sz w:val="32"/>
          <w:highlight w:val="none"/>
        </w:rPr>
        <w:t>打造</w:t>
      </w:r>
      <w:r>
        <w:rPr>
          <w:rFonts w:hint="eastAsia" w:ascii="Times New Roman" w:hAnsi="Times New Roman" w:eastAsia="方正楷体_GBK" w:cs="Times New Roman"/>
          <w:color w:val="auto"/>
          <w:sz w:val="32"/>
          <w:highlight w:val="none"/>
        </w:rPr>
        <w:t>“3+N”</w:t>
      </w:r>
      <w:r>
        <w:rPr>
          <w:rFonts w:ascii="Times New Roman" w:hAnsi="Times New Roman" w:eastAsia="方正楷体_GBK" w:cs="Times New Roman"/>
          <w:color w:val="auto"/>
          <w:sz w:val="32"/>
          <w:highlight w:val="none"/>
        </w:rPr>
        <w:t>15分钟</w:t>
      </w:r>
      <w:r>
        <w:rPr>
          <w:rFonts w:hint="eastAsia" w:ascii="Times New Roman" w:hAnsi="Times New Roman" w:eastAsia="方正楷体_GBK" w:cs="Times New Roman"/>
          <w:color w:val="auto"/>
          <w:sz w:val="32"/>
          <w:highlight w:val="none"/>
        </w:rPr>
        <w:t>高品质</w:t>
      </w:r>
      <w:r>
        <w:rPr>
          <w:rFonts w:ascii="Times New Roman" w:hAnsi="Times New Roman" w:eastAsia="方正楷体_GBK" w:cs="Times New Roman"/>
          <w:color w:val="auto"/>
          <w:sz w:val="32"/>
          <w:highlight w:val="none"/>
        </w:rPr>
        <w:t>生活服务圈</w:t>
      </w:r>
      <w:bookmarkEnd w:id="422"/>
    </w:p>
    <w:p w14:paraId="478AEF55">
      <w:pPr>
        <w:widowControl/>
        <w:adjustRightInd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“一圈多能”统筹配置基本公共服务设施和“家门口”“家周边”便民生活服务业态，推动“15分钟高品质生活服务圈”全覆盖城市建成区</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重点推进3个高品质生活服务圈</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虎溪（科教型）生活圈</w:t>
      </w:r>
      <w:r>
        <w:rPr>
          <w:rFonts w:hint="eastAsia" w:ascii="Times New Roman" w:hAnsi="Times New Roman" w:eastAsia="方正仿宋_GBK" w:cs="Times New Roman"/>
          <w:color w:val="auto"/>
          <w:sz w:val="32"/>
          <w:szCs w:val="32"/>
          <w:highlight w:val="none"/>
          <w:lang w:val="en-US" w:eastAsia="zh-CN"/>
        </w:rPr>
        <w:t>推动</w:t>
      </w:r>
      <w:r>
        <w:rPr>
          <w:rFonts w:hint="eastAsia" w:ascii="Times New Roman" w:hAnsi="Times New Roman" w:eastAsia="方正仿宋_GBK" w:cs="Times New Roman"/>
          <w:color w:val="auto"/>
          <w:sz w:val="32"/>
          <w:szCs w:val="32"/>
          <w:highlight w:val="none"/>
        </w:rPr>
        <w:t>校区、园区、社区</w:t>
      </w:r>
      <w:r>
        <w:rPr>
          <w:rFonts w:hint="eastAsia" w:ascii="Times New Roman" w:hAnsi="Times New Roman" w:eastAsia="方正仿宋_GBK" w:cs="Times New Roman"/>
          <w:color w:val="auto"/>
          <w:sz w:val="32"/>
          <w:szCs w:val="32"/>
          <w:highlight w:val="none"/>
          <w:lang w:val="en-US" w:eastAsia="zh-CN"/>
        </w:rPr>
        <w:t>相互</w:t>
      </w:r>
      <w:r>
        <w:rPr>
          <w:rFonts w:hint="eastAsia" w:ascii="Times New Roman" w:hAnsi="Times New Roman" w:eastAsia="方正仿宋_GBK" w:cs="Times New Roman"/>
          <w:color w:val="auto"/>
          <w:sz w:val="32"/>
          <w:szCs w:val="32"/>
          <w:highlight w:val="none"/>
        </w:rPr>
        <w:t>赋能。西永（产业型）生活圈围绕企业与人才需求，以产业服务配套综合体形式，一体化配置生活性服务功能，构建产居共融场景。金凤（商服型）生活圈围绕“一圈多能”统筹配置公共服务设施，实现居住、就业、公共服务深度融合。逐步开展曾家、含谷、白市驿等区域生活圈建设前期研究。到2030年，建成“15分钟高品质生活服务圈”7个、更好覆盖40万群众多样化需求。</w:t>
      </w:r>
    </w:p>
    <w:p w14:paraId="316DDE66">
      <w:pPr>
        <w:widowControl/>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专栏2</w:t>
      </w:r>
      <w:r>
        <w:rPr>
          <w:rFonts w:hint="eastAsia" w:ascii="Times New Roman" w:hAnsi="Times New Roman" w:eastAsia="方正黑体_GBK" w:cs="方正黑体_GBK"/>
          <w:color w:val="auto"/>
          <w:kern w:val="0"/>
          <w:sz w:val="32"/>
          <w:szCs w:val="32"/>
          <w:highlight w:val="none"/>
          <w:u w:val="none"/>
          <w:lang w:val="en-US" w:eastAsia="zh-CN" w:bidi="ar"/>
        </w:rPr>
        <w:t>5</w:t>
      </w:r>
      <w:r>
        <w:rPr>
          <w:rFonts w:hint="eastAsia" w:ascii="Times New Roman" w:hAnsi="Times New Roman" w:eastAsia="方正黑体_GBK" w:cs="方正黑体_GBK"/>
          <w:color w:val="auto"/>
          <w:kern w:val="0"/>
          <w:sz w:val="32"/>
          <w:szCs w:val="32"/>
          <w:highlight w:val="none"/>
          <w:u w:val="none"/>
          <w:lang w:bidi="ar"/>
        </w:rPr>
        <w:t xml:space="preserve"> 虎溪、西永、金凤15分钟高品质生活服务圈建设路径</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6CB6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215F9F68">
            <w:pPr>
              <w:pStyle w:val="38"/>
              <w:widowControl/>
              <w:overflowPunct w:val="0"/>
              <w:snapToGrid w:val="0"/>
              <w:spacing w:line="380" w:lineRule="exact"/>
              <w:ind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虎溪15分钟高品质生活服务圈。</w:t>
            </w:r>
            <w:r>
              <w:rPr>
                <w:rFonts w:hint="eastAsia" w:ascii="Times New Roman" w:hAnsi="Times New Roman" w:eastAsia="方正书宋_GBK" w:cs="Times New Roman"/>
                <w:color w:val="auto"/>
                <w:kern w:val="0"/>
                <w:sz w:val="24"/>
                <w:highlight w:val="none"/>
                <w:u w:val="none"/>
                <w:lang w:bidi="ar-SA"/>
              </w:rPr>
              <w:t>坚持校区、园区、社区“三区联动”，构建“教育驱动创新—产业转化价值—社区承载活力”的可持续发展生态，总体呈现“2+4+N”空间布局，“2”即两个15分钟生活圈中心，分别为缤纷生活芯和青春活力芯，“4”即四个5分钟生活圈中心，分别为花马、学智、学雅、熙美四个社区中心，“N”即因地制宜补齐社区食堂、社区级应急避难场所、社区养老服务驿站等服务设施载体。</w:t>
            </w:r>
          </w:p>
          <w:p w14:paraId="3C7BD60C">
            <w:pPr>
              <w:pStyle w:val="38"/>
              <w:widowControl/>
              <w:overflowPunct w:val="0"/>
              <w:snapToGrid w:val="0"/>
              <w:spacing w:line="380" w:lineRule="exact"/>
              <w:ind w:firstLineChars="200"/>
              <w:jc w:val="left"/>
              <w:rPr>
                <w:rFonts w:hint="eastAsia" w:ascii="Times New Roman" w:hAnsi="Times New Roman" w:eastAsia="方正黑体_GBK" w:cs="方正黑体_GBK"/>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西永15分钟高品质生活服务圈。</w:t>
            </w:r>
            <w:r>
              <w:rPr>
                <w:rFonts w:hint="eastAsia" w:ascii="Times New Roman" w:hAnsi="Times New Roman" w:eastAsia="方正书宋_GBK" w:cs="Times New Roman"/>
                <w:color w:val="auto"/>
                <w:kern w:val="0"/>
                <w:sz w:val="24"/>
                <w:highlight w:val="none"/>
                <w:u w:val="none"/>
                <w:lang w:bidi="ar-SA"/>
              </w:rPr>
              <w:t>聚焦产业居民需求，优先补足基本服务，构建“产业研发—人才居住—社区服务”闭环生态，总体呈现“1个核心、2个片区、N个服务要素”空间布局，“1”即一个基层智治平台（街镇党群服务中心），“2”即</w:t>
            </w:r>
            <w:r>
              <w:rPr>
                <w:rFonts w:hint="eastAsia" w:eastAsia="方正书宋_GBK" w:cs="Times New Roman"/>
                <w:color w:val="auto"/>
                <w:kern w:val="0"/>
                <w:sz w:val="24"/>
                <w:highlight w:val="none"/>
                <w:u w:val="none"/>
                <w:lang w:val="en-US" w:eastAsia="zh-CN" w:bidi="ar-SA"/>
              </w:rPr>
              <w:t>两</w:t>
            </w:r>
            <w:r>
              <w:rPr>
                <w:rFonts w:hint="eastAsia" w:ascii="Times New Roman" w:hAnsi="Times New Roman" w:eastAsia="方正书宋_GBK" w:cs="Times New Roman"/>
                <w:color w:val="auto"/>
                <w:kern w:val="0"/>
                <w:sz w:val="24"/>
                <w:highlight w:val="none"/>
                <w:u w:val="none"/>
                <w:lang w:bidi="ar-SA"/>
              </w:rPr>
              <w:t>个片区，划分永兴、富康新城</w:t>
            </w:r>
            <w:r>
              <w:rPr>
                <w:rFonts w:hint="eastAsia" w:eastAsia="方正书宋_GBK" w:cs="Times New Roman"/>
                <w:color w:val="auto"/>
                <w:kern w:val="0"/>
                <w:sz w:val="24"/>
                <w:highlight w:val="none"/>
                <w:u w:val="none"/>
                <w:lang w:val="en-US" w:eastAsia="zh-CN" w:bidi="ar-SA"/>
              </w:rPr>
              <w:t>两</w:t>
            </w:r>
            <w:r>
              <w:rPr>
                <w:rFonts w:hint="eastAsia" w:ascii="Times New Roman" w:hAnsi="Times New Roman" w:eastAsia="方正书宋_GBK" w:cs="Times New Roman"/>
                <w:color w:val="auto"/>
                <w:kern w:val="0"/>
                <w:sz w:val="24"/>
                <w:highlight w:val="none"/>
                <w:u w:val="none"/>
                <w:lang w:bidi="ar-SA"/>
              </w:rPr>
              <w:t>个片区单元，“N”即因地制宜补齐嵌入式办公、展示交流中心、社区卫生服务站、社区级应急避难所、老幼复合设施等服务设施载体。</w:t>
            </w:r>
          </w:p>
          <w:p w14:paraId="51D2AE98">
            <w:pPr>
              <w:pStyle w:val="38"/>
              <w:widowControl/>
              <w:overflowPunct w:val="0"/>
              <w:snapToGrid w:val="0"/>
              <w:spacing w:line="380" w:lineRule="exact"/>
              <w:ind w:firstLineChars="200"/>
              <w:jc w:val="left"/>
              <w:rPr>
                <w:rFonts w:hint="eastAsia" w:ascii="方正书宋_GBK" w:hAnsi="方正书宋_GBK" w:eastAsia="方正书宋_GBK" w:cs="方正书宋_GBK"/>
                <w:color w:val="auto"/>
                <w:sz w:val="24"/>
                <w:highlight w:val="none"/>
              </w:rPr>
            </w:pPr>
            <w:r>
              <w:rPr>
                <w:rFonts w:hint="eastAsia" w:ascii="Times New Roman" w:hAnsi="Times New Roman" w:eastAsia="方正黑体_GBK" w:cs="方正黑体_GBK"/>
                <w:color w:val="auto"/>
                <w:kern w:val="0"/>
                <w:sz w:val="24"/>
                <w:highlight w:val="none"/>
                <w:u w:val="none"/>
                <w:lang w:val="en-US" w:eastAsia="zh-CN" w:bidi="ar-SA"/>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金凤15分钟高品质生活服务圈。</w:t>
            </w:r>
            <w:r>
              <w:rPr>
                <w:rFonts w:hint="eastAsia" w:ascii="Times New Roman" w:hAnsi="Times New Roman" w:eastAsia="方正书宋_GBK" w:cs="Times New Roman"/>
                <w:color w:val="auto"/>
                <w:kern w:val="0"/>
                <w:sz w:val="24"/>
                <w:highlight w:val="none"/>
                <w:u w:val="none"/>
                <w:lang w:bidi="ar-SA"/>
              </w:rPr>
              <w:t>规划布局1处15分钟生活圈中心、4个5分钟生活圈中心，结合区、街道级公共服务设施用地和地块配套设施、系统落实综合商场、初中小学、养老院等基础保障型设施，布局儿童托管中心、文化展示厅、城市书房等品质提升型设施，以及长者食堂等特色引导型设施。</w:t>
            </w:r>
          </w:p>
        </w:tc>
      </w:tr>
    </w:tbl>
    <w:p w14:paraId="51E0D068">
      <w:pPr>
        <w:adjustRightInd w:val="0"/>
        <w:snapToGrid w:val="0"/>
        <w:spacing w:line="600" w:lineRule="exact"/>
        <w:jc w:val="center"/>
        <w:outlineLvl w:val="2"/>
        <w:rPr>
          <w:rFonts w:ascii="Times New Roman" w:hAnsi="Times New Roman" w:eastAsia="方正仿宋_GBK" w:cs="Times New Roman"/>
          <w:bCs/>
          <w:snapToGrid w:val="0"/>
          <w:color w:val="auto"/>
          <w:kern w:val="0"/>
          <w:sz w:val="33"/>
          <w:szCs w:val="32"/>
          <w:highlight w:val="none"/>
          <w:lang w:bidi="ar"/>
        </w:rPr>
      </w:pPr>
      <w:bookmarkStart w:id="429" w:name="_Toc2318"/>
      <w:r>
        <w:rPr>
          <w:rFonts w:hint="eastAsia" w:ascii="Times New Roman" w:hAnsi="Times New Roman" w:eastAsia="方正楷体_GBK" w:cs="Times New Roman"/>
          <w:color w:val="auto"/>
          <w:sz w:val="32"/>
          <w:highlight w:val="none"/>
        </w:rPr>
        <w:t>第</w:t>
      </w:r>
      <w:r>
        <w:rPr>
          <w:rFonts w:hint="eastAsia" w:ascii="Times New Roman" w:hAnsi="Times New Roman" w:eastAsia="方正楷体_GBK" w:cs="Times New Roman"/>
          <w:color w:val="auto"/>
          <w:sz w:val="32"/>
          <w:highlight w:val="none"/>
          <w:lang w:val="en-US" w:eastAsia="zh-CN"/>
        </w:rPr>
        <w:t>四</w:t>
      </w:r>
      <w:r>
        <w:rPr>
          <w:rFonts w:hint="eastAsia" w:ascii="Times New Roman" w:hAnsi="Times New Roman" w:eastAsia="方正楷体_GBK" w:cs="Times New Roman"/>
          <w:color w:val="auto"/>
          <w:sz w:val="32"/>
          <w:highlight w:val="none"/>
        </w:rPr>
        <w:t xml:space="preserve">节 </w:t>
      </w:r>
      <w:r>
        <w:rPr>
          <w:rFonts w:ascii="Times New Roman" w:hAnsi="Times New Roman" w:eastAsia="方正楷体_GBK" w:cs="Times New Roman"/>
          <w:color w:val="auto"/>
          <w:sz w:val="32"/>
          <w:highlight w:val="none"/>
        </w:rPr>
        <w:t>健全</w:t>
      </w:r>
      <w:r>
        <w:rPr>
          <w:rFonts w:hint="eastAsia" w:ascii="Times New Roman" w:hAnsi="Times New Roman" w:eastAsia="方正楷体_GBK" w:cs="Times New Roman"/>
          <w:color w:val="auto"/>
          <w:sz w:val="32"/>
          <w:highlight w:val="none"/>
        </w:rPr>
        <w:t>多层次</w:t>
      </w:r>
      <w:r>
        <w:rPr>
          <w:rFonts w:ascii="Times New Roman" w:hAnsi="Times New Roman" w:eastAsia="方正楷体_GBK" w:cs="Times New Roman"/>
          <w:color w:val="auto"/>
          <w:sz w:val="32"/>
          <w:highlight w:val="none"/>
        </w:rPr>
        <w:t>社会保障体系</w:t>
      </w:r>
      <w:bookmarkEnd w:id="423"/>
      <w:bookmarkEnd w:id="424"/>
      <w:bookmarkEnd w:id="429"/>
    </w:p>
    <w:p w14:paraId="6DE7B96F">
      <w:pPr>
        <w:pStyle w:val="35"/>
        <w:spacing w:before="1" w:line="600" w:lineRule="exact"/>
        <w:ind w:firstLine="640" w:firstLineChars="200"/>
        <w:jc w:val="left"/>
        <w:rPr>
          <w:rFonts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推动更高质量充分就业。实施稳岗扩容提质行动，统筹用好税费减免、贷款支持、就业补贴等政策，加强灵活就业、新就业形态和超龄劳动者就业权益保障。实施重点行业领域、城乡基层和中小微企业就业支持计划，挖掘现代制造业、生产性服务业、数字经济、绿色经济、银发经济等领域新就业增长点。开展“春风行动”“春暖农民工”等重点群体就业支持行动，规范建设零工市场、零工驿站等服务载体。实施困难人员就业帮扶行动，开发公益性岗位兜底安置，确保零就业家庭实现动态清零。</w:t>
      </w:r>
    </w:p>
    <w:p w14:paraId="3FB1769C">
      <w:pPr>
        <w:adjustRightInd w:val="0"/>
        <w:snapToGrid w:val="0"/>
        <w:spacing w:line="600" w:lineRule="exact"/>
        <w:ind w:firstLine="640" w:firstLineChars="200"/>
        <w:textAlignment w:val="baseline"/>
        <w:rPr>
          <w:rFonts w:ascii="Times New Roman" w:hAnsi="Times New Roman" w:eastAsia="方正仿宋_GBK" w:cs="Times New Roman"/>
          <w:color w:val="auto"/>
          <w:sz w:val="32"/>
          <w:highlight w:val="none"/>
        </w:rPr>
      </w:pPr>
      <w:r>
        <w:rPr>
          <w:rFonts w:ascii="Times New Roman" w:hAnsi="Times New Roman" w:eastAsia="方正仿宋_GBK" w:cs="Times New Roman"/>
          <w:color w:val="auto"/>
          <w:sz w:val="32"/>
          <w:szCs w:val="32"/>
          <w:highlight w:val="none"/>
        </w:rPr>
        <w:t>完善覆盖全民的社保医保体系</w:t>
      </w:r>
      <w:r>
        <w:rPr>
          <w:rFonts w:hint="eastAsia" w:ascii="Times New Roman" w:hAnsi="Times New Roman" w:eastAsia="方正仿宋_GBK" w:cs="Times New Roman"/>
          <w:color w:val="auto"/>
          <w:sz w:val="32"/>
          <w:szCs w:val="32"/>
          <w:highlight w:val="none"/>
        </w:rPr>
        <w:t>。深入实施高质量参保行动系列惠民举措，持续扩大参保覆盖，完善风险防控机制，强化社保基金安全长效监管。</w:t>
      </w:r>
      <w:r>
        <w:rPr>
          <w:rFonts w:ascii="Times New Roman" w:hAnsi="Times New Roman" w:eastAsia="方正仿宋_GBK" w:cs="Times New Roman"/>
          <w:color w:val="auto"/>
          <w:sz w:val="32"/>
          <w:highlight w:val="none"/>
        </w:rPr>
        <w:t>做好基本医疗保险参保扩面工作</w:t>
      </w:r>
      <w:r>
        <w:rPr>
          <w:rFonts w:hint="eastAsia" w:ascii="Times New Roman" w:hAnsi="Times New Roman" w:eastAsia="方正仿宋_GBK" w:cs="Times New Roman"/>
          <w:color w:val="auto"/>
          <w:sz w:val="32"/>
          <w:highlight w:val="none"/>
        </w:rPr>
        <w:t>，</w:t>
      </w:r>
      <w:r>
        <w:rPr>
          <w:rFonts w:ascii="Times New Roman" w:hAnsi="Times New Roman" w:eastAsia="方正仿宋_GBK" w:cs="Times New Roman"/>
          <w:color w:val="auto"/>
          <w:sz w:val="32"/>
          <w:highlight w:val="none"/>
        </w:rPr>
        <w:t>落实救助对象分类资助参保政策和救助政策</w:t>
      </w:r>
      <w:r>
        <w:rPr>
          <w:rFonts w:hint="eastAsia" w:ascii="Times New Roman" w:hAnsi="Times New Roman" w:eastAsia="方正仿宋_GBK" w:cs="Times New Roman"/>
          <w:color w:val="auto"/>
          <w:sz w:val="32"/>
          <w:highlight w:val="none"/>
        </w:rPr>
        <w:t>，</w:t>
      </w:r>
      <w:r>
        <w:rPr>
          <w:rFonts w:ascii="Times New Roman" w:hAnsi="Times New Roman" w:eastAsia="方正仿宋_GBK" w:cs="Times New Roman"/>
          <w:color w:val="auto"/>
          <w:sz w:val="32"/>
          <w:highlight w:val="none"/>
        </w:rPr>
        <w:t>提升医保经办服务水平</w:t>
      </w:r>
      <w:r>
        <w:rPr>
          <w:rFonts w:hint="eastAsia" w:ascii="Times New Roman" w:hAnsi="Times New Roman" w:eastAsia="方正仿宋_GBK" w:cs="Times New Roman"/>
          <w:color w:val="auto"/>
          <w:sz w:val="32"/>
          <w:highlight w:val="none"/>
        </w:rPr>
        <w:t>。</w:t>
      </w:r>
      <w:r>
        <w:rPr>
          <w:rFonts w:ascii="Times New Roman" w:hAnsi="Times New Roman" w:eastAsia="方正仿宋_GBK" w:cs="Times New Roman"/>
          <w:color w:val="auto"/>
          <w:sz w:val="32"/>
          <w:highlight w:val="none"/>
        </w:rPr>
        <w:t>支持金凤实验室智慧病理研究和成果转化</w:t>
      </w:r>
      <w:r>
        <w:rPr>
          <w:rFonts w:hint="eastAsia" w:ascii="Times New Roman" w:hAnsi="Times New Roman" w:eastAsia="方正仿宋_GBK" w:cs="Times New Roman"/>
          <w:color w:val="auto"/>
          <w:sz w:val="32"/>
          <w:highlight w:val="none"/>
        </w:rPr>
        <w:t>，</w:t>
      </w:r>
      <w:r>
        <w:rPr>
          <w:rFonts w:ascii="Times New Roman" w:hAnsi="Times New Roman" w:eastAsia="方正仿宋_GBK" w:cs="Times New Roman"/>
          <w:color w:val="auto"/>
          <w:sz w:val="32"/>
          <w:highlight w:val="none"/>
        </w:rPr>
        <w:t>创新药械和诊疗技术应用，探索医保行业可信数据空间融合应用。落实疾病诊断相关分组</w:t>
      </w:r>
      <w:r>
        <w:rPr>
          <w:rFonts w:hint="eastAsia" w:ascii="Times New Roman" w:hAnsi="Times New Roman" w:eastAsia="方正仿宋_GBK" w:cs="Times New Roman"/>
          <w:color w:val="auto"/>
          <w:sz w:val="32"/>
          <w:highlight w:val="none"/>
        </w:rPr>
        <w:t>（</w:t>
      </w:r>
      <w:r>
        <w:rPr>
          <w:rFonts w:ascii="Times New Roman" w:hAnsi="Times New Roman" w:eastAsia="方正仿宋_GBK" w:cs="Times New Roman"/>
          <w:color w:val="auto"/>
          <w:sz w:val="32"/>
          <w:highlight w:val="none"/>
        </w:rPr>
        <w:t>DRG</w:t>
      </w:r>
      <w:r>
        <w:rPr>
          <w:rFonts w:hint="eastAsia" w:ascii="Times New Roman" w:hAnsi="Times New Roman" w:eastAsia="方正仿宋_GBK" w:cs="Times New Roman"/>
          <w:color w:val="auto"/>
          <w:sz w:val="32"/>
          <w:highlight w:val="none"/>
        </w:rPr>
        <w:t>）</w:t>
      </w:r>
      <w:r>
        <w:rPr>
          <w:rFonts w:ascii="Times New Roman" w:hAnsi="Times New Roman" w:eastAsia="方正仿宋_GBK" w:cs="Times New Roman"/>
          <w:color w:val="auto"/>
          <w:sz w:val="32"/>
          <w:highlight w:val="none"/>
        </w:rPr>
        <w:t>、药品和医用耗材集中采购、长期护理保险等医疗保障制度改革，降低个人医疗费用负担。</w:t>
      </w:r>
    </w:p>
    <w:p w14:paraId="7BB87111">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保障妇女、未成年人、退役军人和残疾人权益。落实妇女就业创业扶持与劳动权益保护政策，完善妇女健康服务体系，持续开展适龄女性“两癌”筛查和救助。保障未成年人权益，提质扩容社区“儿童之家”，健全困境未成年人“三级联动”关爱机制。落实优待抚恤政策，推进军地互提需求、互办实事“双清单”制度落地见效，持续深化区、镇（街道）、村（社区）三级退役军人服务中心（站）标准化规范化建设，提升退役军人服务保障工作质效。提升残疾人服务水平，扩容“渝馨家园”服务载体，完善助残志愿服务体系。</w:t>
      </w:r>
    </w:p>
    <w:p w14:paraId="5967DC80">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完善多元化养老服务体系。强化居家社区养老服务供给，推进15分钟社区居家养老服务圈提质，盘活存量资源建设社区老年食堂、嵌入式服务点，完善助餐、助医、助行等便民服务，扩大困难老年人居家适老化改造覆盖面。提升机构养老服务质效，鼓励社会力量参与公建民营，优化护理型床位供给结构。深化智慧养老赋能，精准对接独居、失能老人健康监测与个性化服务需求。</w:t>
      </w:r>
    </w:p>
    <w:p w14:paraId="60E6CE49">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健全分层分类社会救助体系。完善基本生活救助，规范救助标准，健全医疗、教育、就业、住房等救助制度。完善“一户一档一策”帮扶机制，加大重特大疾病医疗救助力度，精准帮扶低保人员、低保边缘人员和特殊残疾等困难群众。通过志愿服务和购买社会服务等方式提升救助效果，优化救助审核程序，提升救助管理水平。</w:t>
      </w:r>
    </w:p>
    <w:p w14:paraId="6732674F">
      <w:pPr>
        <w:adjustRightInd w:val="0"/>
        <w:snapToGrid w:val="0"/>
        <w:spacing w:line="600" w:lineRule="exact"/>
        <w:ind w:firstLine="640" w:firstLineChars="200"/>
        <w:rPr>
          <w:rFonts w:hint="eastAsia" w:ascii="Times New Roman" w:hAnsi="Times New Roman" w:eastAsia="方正仿宋_GBK" w:cs="Times New Roman"/>
          <w:color w:val="auto"/>
          <w:sz w:val="32"/>
          <w:szCs w:val="32"/>
          <w:highlight w:val="none"/>
        </w:rPr>
      </w:pPr>
      <w:bookmarkStart w:id="430" w:name="_Toc9579"/>
      <w:bookmarkStart w:id="431" w:name="_Toc24072"/>
      <w:r>
        <w:rPr>
          <w:rFonts w:hint="eastAsia" w:ascii="Times New Roman" w:hAnsi="Times New Roman" w:eastAsia="方正仿宋_GBK" w:cs="Times New Roman"/>
          <w:color w:val="auto"/>
          <w:sz w:val="32"/>
          <w:szCs w:val="32"/>
          <w:highlight w:val="none"/>
        </w:rPr>
        <w:t>强化生育支持激励。推动</w:t>
      </w:r>
      <w:bookmarkStart w:id="432" w:name="OLE_LINK34"/>
      <w:r>
        <w:rPr>
          <w:rFonts w:hint="eastAsia" w:ascii="Times New Roman" w:hAnsi="Times New Roman" w:eastAsia="方正仿宋_GBK" w:cs="Times New Roman"/>
          <w:color w:val="auto"/>
          <w:sz w:val="32"/>
          <w:szCs w:val="32"/>
          <w:highlight w:val="none"/>
        </w:rPr>
        <w:t>生育友好医院</w:t>
      </w:r>
      <w:bookmarkEnd w:id="432"/>
      <w:r>
        <w:rPr>
          <w:rFonts w:hint="eastAsia" w:ascii="Times New Roman" w:hAnsi="Times New Roman" w:eastAsia="方正仿宋_GBK" w:cs="Times New Roman"/>
          <w:color w:val="auto"/>
          <w:sz w:val="32"/>
          <w:szCs w:val="32"/>
          <w:highlight w:val="none"/>
        </w:rPr>
        <w:t>建设，推进免费婚前医学检查和孕前优生健康检查，健全生殖健康、妇幼保健等生育全流程服务体系。推进普惠托育服务发展，支持有条件的幼儿园招收3岁以下婴幼儿，创新公建民营、民办公助等方式，发展社区嵌入式托育、家庭托育点等多种模式和医育结合服务。减轻生育养育教育负担，落实个税专项附加扣除政策，优化普惠性学前教育资源配置。</w:t>
      </w:r>
      <w:bookmarkEnd w:id="430"/>
      <w:bookmarkEnd w:id="431"/>
    </w:p>
    <w:p w14:paraId="6B988E00">
      <w:pPr>
        <w:numPr>
          <w:ilvl w:val="-1"/>
          <w:numId w:val="0"/>
        </w:numPr>
        <w:adjustRightInd w:val="0"/>
        <w:snapToGrid w:val="0"/>
        <w:spacing w:line="600" w:lineRule="exact"/>
        <w:ind w:firstLine="640" w:firstLineChars="200"/>
        <w:jc w:val="left"/>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强化劳动权益保障。健全劳动关系协商协调机制，加强劳动用工合规管理，全面保障劳动者获得劳动报酬、休息休假、工伤保障等基本权益。加强新就业形态劳动者权益保障，公平落实平台企业劳动规则、依法合规用工，构建和谐劳动关系。加强劳动保障监察执法，治理欠薪欠保、违法裁员等乱象，提升劳动关系矛盾调解仲裁效能。</w:t>
      </w:r>
    </w:p>
    <w:bookmarkEnd w:id="425"/>
    <w:bookmarkEnd w:id="426"/>
    <w:bookmarkEnd w:id="427"/>
    <w:bookmarkEnd w:id="428"/>
    <w:p w14:paraId="0D6AE40F">
      <w:pPr>
        <w:numPr>
          <w:ilvl w:val="-1"/>
          <w:numId w:val="0"/>
        </w:numPr>
        <w:adjustRightInd w:val="0"/>
        <w:snapToGrid w:val="0"/>
        <w:spacing w:line="600" w:lineRule="exact"/>
        <w:ind w:firstLine="640" w:firstLineChars="200"/>
        <w:jc w:val="left"/>
        <w:textAlignment w:val="auto"/>
        <w:rPr>
          <w:rFonts w:hint="eastAsia" w:ascii="Times New Roman" w:hAnsi="Times New Roman" w:eastAsia="方正仿宋_GBK" w:cs="Times New Roman"/>
          <w:color w:val="auto"/>
          <w:sz w:val="32"/>
          <w:szCs w:val="32"/>
          <w:highlight w:val="none"/>
          <w:lang w:val="en-US" w:eastAsia="zh-CN"/>
        </w:rPr>
      </w:pPr>
      <w:bookmarkStart w:id="433" w:name="_Toc12238"/>
      <w:bookmarkStart w:id="434" w:name="_Toc28103"/>
      <w:bookmarkStart w:id="435" w:name="_Toc15133"/>
      <w:bookmarkStart w:id="436" w:name="_Toc1156305722"/>
      <w:bookmarkStart w:id="437" w:name="_Toc27374"/>
      <w:bookmarkStart w:id="438" w:name="_Toc761524028"/>
      <w:bookmarkStart w:id="439" w:name="_Toc3680"/>
      <w:bookmarkStart w:id="440" w:name="_Toc30076"/>
      <w:bookmarkStart w:id="441" w:name="_Toc26300"/>
      <w:bookmarkStart w:id="442" w:name="_Toc31782"/>
      <w:bookmarkStart w:id="443" w:name="_Toc15435"/>
      <w:bookmarkStart w:id="444" w:name="_Toc550720067"/>
    </w:p>
    <w:p w14:paraId="79916C36">
      <w:pPr>
        <w:numPr>
          <w:ilvl w:val="-1"/>
          <w:numId w:val="0"/>
        </w:numPr>
        <w:overflowPunct w:val="0"/>
        <w:adjustRightInd w:val="0"/>
        <w:snapToGrid w:val="0"/>
        <w:spacing w:line="600" w:lineRule="exact"/>
        <w:jc w:val="center"/>
        <w:outlineLvl w:val="1"/>
        <w:rPr>
          <w:rFonts w:ascii="Times New Roman" w:hAnsi="Times New Roman" w:eastAsia="方正黑体_GBK" w:cs="Times New Roman"/>
          <w:bCs/>
          <w:color w:val="auto"/>
          <w:sz w:val="32"/>
          <w:szCs w:val="32"/>
          <w:highlight w:val="none"/>
        </w:rPr>
      </w:pPr>
      <w:r>
        <w:rPr>
          <w:rFonts w:hint="eastAsia" w:ascii="Times New Roman" w:hAnsi="Times New Roman" w:eastAsia="方正黑体_GBK" w:cs="Times New Roman"/>
          <w:bCs/>
          <w:color w:val="auto"/>
          <w:sz w:val="32"/>
          <w:szCs w:val="32"/>
          <w:highlight w:val="none"/>
          <w:lang w:val="en-US" w:eastAsia="zh-CN"/>
        </w:rPr>
        <w:t xml:space="preserve">第四章 </w:t>
      </w:r>
      <w:r>
        <w:rPr>
          <w:rFonts w:hint="default" w:ascii="Times New Roman" w:hAnsi="Times New Roman" w:eastAsia="方正黑体_GBK" w:cs="Times New Roman"/>
          <w:bCs/>
          <w:color w:val="auto"/>
          <w:sz w:val="32"/>
          <w:szCs w:val="32"/>
          <w:highlight w:val="none"/>
        </w:rPr>
        <w:t>建设绿色低碳的美丽城市</w:t>
      </w:r>
      <w:bookmarkEnd w:id="433"/>
      <w:bookmarkEnd w:id="434"/>
      <w:bookmarkEnd w:id="435"/>
      <w:bookmarkEnd w:id="436"/>
      <w:bookmarkEnd w:id="437"/>
      <w:bookmarkEnd w:id="438"/>
      <w:bookmarkEnd w:id="439"/>
    </w:p>
    <w:p w14:paraId="6B935F21">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秉持生态优先、绿色发展理念，紧扣美丽高新建设，持续改善生态环境质量，着力提升生态系统稳定性，全面推行绿色低碳生产生活方式，构建安全可控、循环高效的绿色发展格局，打造人与自然和谐共生的美丽示范城区。</w:t>
      </w:r>
    </w:p>
    <w:p w14:paraId="21B5A23E">
      <w:pPr>
        <w:adjustRightInd w:val="0"/>
        <w:snapToGrid w:val="0"/>
        <w:spacing w:line="600" w:lineRule="exact"/>
        <w:jc w:val="center"/>
        <w:outlineLvl w:val="2"/>
        <w:rPr>
          <w:rFonts w:ascii="Times New Roman" w:hAnsi="Times New Roman" w:eastAsia="方正楷体_GBK" w:cs="Times New Roman"/>
          <w:color w:val="auto"/>
          <w:sz w:val="32"/>
          <w:highlight w:val="none"/>
        </w:rPr>
      </w:pPr>
      <w:bookmarkStart w:id="445" w:name="_Toc17220"/>
      <w:bookmarkStart w:id="446" w:name="_Toc290336027"/>
      <w:bookmarkStart w:id="447" w:name="_Toc32342"/>
      <w:bookmarkStart w:id="448" w:name="_Toc32365"/>
      <w:bookmarkStart w:id="449" w:name="_Toc3169"/>
      <w:bookmarkStart w:id="450" w:name="_Toc18873"/>
      <w:bookmarkStart w:id="451" w:name="_Toc27461"/>
      <w:bookmarkStart w:id="452" w:name="_Toc18194"/>
      <w:bookmarkStart w:id="453" w:name="_Toc2079286123"/>
      <w:bookmarkStart w:id="454" w:name="_Toc1450747951"/>
      <w:bookmarkStart w:id="455" w:name="_Toc7961"/>
      <w:bookmarkStart w:id="456" w:name="_Toc11816"/>
      <w:r>
        <w:rPr>
          <w:rFonts w:hint="eastAsia" w:ascii="Times New Roman" w:hAnsi="Times New Roman" w:eastAsia="方正楷体_GBK" w:cs="Times New Roman"/>
          <w:color w:val="auto"/>
          <w:sz w:val="32"/>
          <w:highlight w:val="none"/>
        </w:rPr>
        <w:t xml:space="preserve">第一节 </w:t>
      </w:r>
      <w:bookmarkEnd w:id="445"/>
      <w:bookmarkEnd w:id="446"/>
      <w:bookmarkEnd w:id="447"/>
      <w:bookmarkEnd w:id="448"/>
      <w:bookmarkEnd w:id="449"/>
      <w:bookmarkEnd w:id="450"/>
      <w:r>
        <w:rPr>
          <w:rFonts w:hint="eastAsia" w:ascii="Times New Roman" w:hAnsi="Times New Roman" w:eastAsia="方正楷体_GBK" w:cs="Times New Roman"/>
          <w:color w:val="auto"/>
          <w:sz w:val="32"/>
          <w:highlight w:val="none"/>
        </w:rPr>
        <w:t>持续</w:t>
      </w:r>
      <w:r>
        <w:rPr>
          <w:rFonts w:ascii="Times New Roman" w:hAnsi="Times New Roman" w:eastAsia="方正楷体_GBK" w:cs="Times New Roman"/>
          <w:color w:val="auto"/>
          <w:sz w:val="32"/>
          <w:highlight w:val="none"/>
        </w:rPr>
        <w:t>改善生态环境质量</w:t>
      </w:r>
      <w:bookmarkEnd w:id="451"/>
      <w:bookmarkEnd w:id="452"/>
      <w:bookmarkEnd w:id="453"/>
      <w:bookmarkEnd w:id="454"/>
      <w:bookmarkEnd w:id="455"/>
      <w:bookmarkEnd w:id="456"/>
    </w:p>
    <w:p w14:paraId="731641DD">
      <w:pPr>
        <w:widowControl/>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强化水资源、水环境、水生态“三水统筹”，持续推进梁滩河流域打造美丽（幸福）河湖，莲花滩河、虎溪河干支流协同治理和生态修复。加快补齐城镇生活污水、工业园区污水、农村生活污水治理设施短板，提升流域水环境质量，实现重点流域水质达标。推进空气环境治理，以降低细颗粒物（PM</w:t>
      </w:r>
      <w:r>
        <w:rPr>
          <w:rFonts w:hint="eastAsia" w:ascii="Times New Roman" w:hAnsi="Times New Roman" w:eastAsia="方正仿宋_GBK" w:cs="Times New Roman"/>
          <w:color w:val="auto"/>
          <w:sz w:val="32"/>
          <w:szCs w:val="32"/>
          <w:highlight w:val="none"/>
          <w:vertAlign w:val="subscript"/>
        </w:rPr>
        <w:t>2.5</w:t>
      </w:r>
      <w:r>
        <w:rPr>
          <w:rFonts w:hint="eastAsia" w:ascii="Times New Roman" w:hAnsi="Times New Roman" w:eastAsia="方正仿宋_GBK" w:cs="Times New Roman"/>
          <w:color w:val="auto"/>
          <w:sz w:val="32"/>
          <w:szCs w:val="32"/>
          <w:highlight w:val="none"/>
        </w:rPr>
        <w:t>）浓度为主线，统筹推进结构减排、工程减排、管理减排、应急减排协同发力，精细化防控扬尘污染，加强生活源污染防治，深化重点行业大气污染防治绩效分级管理，</w:t>
      </w:r>
      <w:r>
        <w:rPr>
          <w:rFonts w:hint="eastAsia" w:ascii="Times New Roman" w:hAnsi="Times New Roman" w:eastAsia="方正仿宋_GBK" w:cs="Times New Roman"/>
          <w:i w:val="0"/>
          <w:iCs w:val="0"/>
          <w:caps w:val="0"/>
          <w:color w:val="auto"/>
          <w:spacing w:val="0"/>
          <w:sz w:val="32"/>
          <w:szCs w:val="32"/>
          <w:highlight w:val="none"/>
          <w:shd w:val="clear" w:fill="auto"/>
        </w:rPr>
        <w:t>基本淘汰国四及以下标准营运车辆</w:t>
      </w:r>
      <w:r>
        <w:rPr>
          <w:rFonts w:hint="eastAsia" w:ascii="Times New Roman" w:hAnsi="Times New Roman" w:eastAsia="方正仿宋_GBK" w:cs="Times New Roman"/>
          <w:color w:val="auto"/>
          <w:sz w:val="32"/>
          <w:szCs w:val="32"/>
          <w:highlight w:val="none"/>
        </w:rPr>
        <w:t>。推进土壤环境治理，强化建设用地土壤污染程度分级和用途分类管控，推进建设用地土壤环境质量与国土空间规划“一张图”信息共享。推进固废治理，加强生活垃圾、建筑垃圾、危险（医疗）废物综合治理，健全源头分类、专业分拣、智能清运和资源化利用的固体废物治理体系。到2030年，细颗粒物（PM</w:t>
      </w:r>
      <w:r>
        <w:rPr>
          <w:rFonts w:hint="eastAsia" w:ascii="Times New Roman" w:hAnsi="Times New Roman" w:eastAsia="方正仿宋_GBK" w:cs="Times New Roman"/>
          <w:color w:val="auto"/>
          <w:sz w:val="32"/>
          <w:szCs w:val="32"/>
          <w:highlight w:val="none"/>
          <w:vertAlign w:val="subscript"/>
        </w:rPr>
        <w:t>2.5</w:t>
      </w:r>
      <w:r>
        <w:rPr>
          <w:rFonts w:hint="eastAsia" w:ascii="Times New Roman" w:hAnsi="Times New Roman" w:eastAsia="方正仿宋_GBK" w:cs="Times New Roman"/>
          <w:color w:val="auto"/>
          <w:sz w:val="32"/>
          <w:szCs w:val="32"/>
          <w:highlight w:val="none"/>
        </w:rPr>
        <w:t>）年平均浓度控制在30微克/立方米以内，</w:t>
      </w:r>
      <w:r>
        <w:rPr>
          <w:rFonts w:hint="eastAsia" w:ascii="Times New Roman" w:hAnsi="Times New Roman" w:eastAsia="方正仿宋_GBK" w:cs="Times New Roman"/>
          <w:color w:val="auto"/>
          <w:sz w:val="32"/>
          <w:szCs w:val="32"/>
          <w:highlight w:val="none"/>
          <w:lang w:bidi="ar"/>
        </w:rPr>
        <w:t>虎溪河、莲花滩河</w:t>
      </w:r>
      <w:r>
        <w:rPr>
          <w:rFonts w:hint="eastAsia" w:ascii="Times New Roman" w:hAnsi="Times New Roman" w:eastAsia="方正仿宋_GBK" w:cs="Times New Roman"/>
          <w:color w:val="auto"/>
          <w:sz w:val="32"/>
          <w:szCs w:val="32"/>
          <w:highlight w:val="none"/>
        </w:rPr>
        <w:t>、梁滩河3条河流断面水质稳定达标，集中式饮用水水源地水质达标率稳定保持在100%</w:t>
      </w:r>
      <w:r>
        <w:rPr>
          <w:rFonts w:hint="eastAsia" w:ascii="Times New Roman" w:hAnsi="Times New Roman" w:eastAsia="方正仿宋_GBK" w:cs="Times New Roman"/>
          <w:color w:val="auto"/>
          <w:sz w:val="32"/>
          <w:szCs w:val="32"/>
          <w:highlight w:val="none"/>
          <w:lang w:eastAsia="zh-CN"/>
        </w:rPr>
        <w:t>，打造虎溪河、马家沟水库、金凤湖3个美丽（幸福）河湖</w:t>
      </w:r>
      <w:r>
        <w:rPr>
          <w:rFonts w:hint="eastAsia" w:ascii="Times New Roman" w:hAnsi="Times New Roman" w:eastAsia="方正仿宋_GBK" w:cs="Times New Roman"/>
          <w:color w:val="auto"/>
          <w:sz w:val="32"/>
          <w:szCs w:val="32"/>
          <w:highlight w:val="none"/>
        </w:rPr>
        <w:t>。</w:t>
      </w:r>
    </w:p>
    <w:p w14:paraId="0BDB065F">
      <w:pPr>
        <w:adjustRightInd w:val="0"/>
        <w:snapToGrid w:val="0"/>
        <w:spacing w:line="600" w:lineRule="exact"/>
        <w:jc w:val="center"/>
        <w:outlineLvl w:val="2"/>
        <w:rPr>
          <w:rFonts w:ascii="Times New Roman" w:hAnsi="Times New Roman" w:eastAsia="方正楷体_GBK" w:cs="Times New Roman"/>
          <w:color w:val="auto"/>
          <w:sz w:val="32"/>
          <w:highlight w:val="none"/>
        </w:rPr>
      </w:pPr>
      <w:bookmarkStart w:id="457" w:name="_Toc10405"/>
      <w:bookmarkStart w:id="458" w:name="_Toc191484419"/>
      <w:bookmarkStart w:id="459" w:name="_Toc5817"/>
      <w:bookmarkStart w:id="460" w:name="_Toc19293"/>
      <w:bookmarkStart w:id="461" w:name="_Toc560481630"/>
      <w:bookmarkStart w:id="462" w:name="_Toc380"/>
      <w:r>
        <w:rPr>
          <w:rFonts w:hint="eastAsia" w:ascii="Times New Roman" w:hAnsi="Times New Roman" w:eastAsia="方正楷体_GBK" w:cs="Times New Roman"/>
          <w:color w:val="auto"/>
          <w:sz w:val="32"/>
          <w:highlight w:val="none"/>
        </w:rPr>
        <w:t xml:space="preserve">第二节 </w:t>
      </w:r>
      <w:r>
        <w:rPr>
          <w:rFonts w:ascii="Times New Roman" w:hAnsi="Times New Roman" w:eastAsia="方正楷体_GBK" w:cs="Times New Roman"/>
          <w:color w:val="auto"/>
          <w:sz w:val="32"/>
          <w:highlight w:val="none"/>
        </w:rPr>
        <w:t>提升生态系统稳定性</w:t>
      </w:r>
      <w:bookmarkEnd w:id="457"/>
      <w:bookmarkEnd w:id="458"/>
      <w:bookmarkEnd w:id="459"/>
      <w:bookmarkEnd w:id="460"/>
      <w:bookmarkEnd w:id="461"/>
      <w:bookmarkEnd w:id="462"/>
    </w:p>
    <w:p w14:paraId="3AD1CC76">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bookmarkStart w:id="463" w:name="OLE_LINK2"/>
      <w:r>
        <w:rPr>
          <w:rFonts w:hint="eastAsia" w:ascii="Times New Roman" w:hAnsi="Times New Roman" w:eastAsia="方正仿宋_GBK" w:cs="Times New Roman"/>
          <w:color w:val="auto"/>
          <w:sz w:val="32"/>
          <w:szCs w:val="32"/>
          <w:highlight w:val="none"/>
        </w:rPr>
        <w:t>深化生态环境分区管控。聚焦森林、小微湿地、河湖等核心生态资源，深化“三线一单”生态环境分区管控。</w:t>
      </w:r>
      <w:bookmarkStart w:id="464" w:name="OLE_LINK4"/>
      <w:r>
        <w:rPr>
          <w:rFonts w:hint="eastAsia" w:ascii="Times New Roman" w:hAnsi="Times New Roman" w:eastAsia="方正仿宋_GBK" w:cs="Times New Roman"/>
          <w:color w:val="auto"/>
          <w:sz w:val="32"/>
          <w:szCs w:val="32"/>
          <w:highlight w:val="none"/>
        </w:rPr>
        <w:t>优化优先保护单元、重点管控单元布局，</w:t>
      </w:r>
      <w:bookmarkEnd w:id="464"/>
      <w:bookmarkStart w:id="465" w:name="OLE_LINK17"/>
      <w:r>
        <w:rPr>
          <w:rFonts w:hint="eastAsia" w:ascii="Times New Roman" w:hAnsi="Times New Roman" w:eastAsia="方正仿宋_GBK" w:cs="Times New Roman"/>
          <w:color w:val="auto"/>
          <w:sz w:val="32"/>
          <w:szCs w:val="32"/>
          <w:highlight w:val="none"/>
        </w:rPr>
        <w:t>推动</w:t>
      </w:r>
      <w:bookmarkEnd w:id="465"/>
      <w:r>
        <w:rPr>
          <w:rFonts w:hint="eastAsia" w:ascii="Times New Roman" w:hAnsi="Times New Roman" w:eastAsia="方正仿宋_GBK" w:cs="Times New Roman"/>
          <w:color w:val="auto"/>
          <w:sz w:val="32"/>
          <w:szCs w:val="32"/>
          <w:highlight w:val="none"/>
        </w:rPr>
        <w:t>优先保护单元与生态保护红线精准衔接，推动重点管控单元适配产业园区与城镇开发边界。完善生态环境准入清单体系，结合空间布局、污染物排放、风险防控等维度细化各环境管控单元管控要求。强化清单刚性约束，将管控要求嵌入项目审批、产业布局等环节，动态更新管控成果。</w:t>
      </w:r>
    </w:p>
    <w:p w14:paraId="0B411107">
      <w:pPr>
        <w:widowControl/>
        <w:overflowPunct/>
        <w:spacing w:line="600" w:lineRule="exact"/>
        <w:ind w:firstLine="640" w:firstLineChars="200"/>
        <w:jc w:val="left"/>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仿宋_GBK" w:cs="Times New Roman"/>
          <w:color w:val="auto"/>
          <w:sz w:val="32"/>
          <w:szCs w:val="32"/>
          <w:highlight w:val="none"/>
        </w:rPr>
        <w:t>加强生态系统保护修复</w:t>
      </w:r>
      <w:bookmarkEnd w:id="463"/>
      <w:r>
        <w:rPr>
          <w:rFonts w:hint="eastAsia" w:ascii="Times New Roman" w:hAnsi="Times New Roman" w:eastAsia="方正仿宋_GBK" w:cs="Times New Roman"/>
          <w:color w:val="auto"/>
          <w:sz w:val="32"/>
          <w:szCs w:val="32"/>
          <w:highlight w:val="none"/>
        </w:rPr>
        <w:t>。筑牢缙云山、中梁山生态屏障，实施森林质量提升工程，以生态公益林建设、城中林地质量提升为重点，巩固水土保持、水源涵养功能。开展莲花滩河水环境综合治理，保持河道生态廊道畅通。推进金凤湖水库、牟家湾水库改扩建工程、童善湖水库等水利工程建设。优化耕地生态功能，加强耕地数量、质量、生态“三位一体”保护，维护农田生物栖息环境。深化绿色基础设施布局建设，建设绿化隔离带、绿道、绿廊，发挥生态廊道过渡、隔离功能，合理避让生态环境敏感和脆弱区域。</w:t>
      </w:r>
    </w:p>
    <w:p w14:paraId="1AA19949">
      <w:pPr>
        <w:widowControl/>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专栏2</w:t>
      </w:r>
      <w:r>
        <w:rPr>
          <w:rFonts w:hint="eastAsia" w:ascii="Times New Roman" w:hAnsi="Times New Roman" w:eastAsia="方正黑体_GBK" w:cs="方正黑体_GBK"/>
          <w:color w:val="auto"/>
          <w:kern w:val="0"/>
          <w:sz w:val="32"/>
          <w:szCs w:val="32"/>
          <w:highlight w:val="none"/>
          <w:u w:val="none"/>
          <w:lang w:val="en-US" w:eastAsia="zh-CN" w:bidi="ar"/>
        </w:rPr>
        <w:t>6</w:t>
      </w:r>
      <w:r>
        <w:rPr>
          <w:rFonts w:hint="eastAsia" w:ascii="Times New Roman" w:hAnsi="Times New Roman" w:eastAsia="方正黑体_GBK" w:cs="方正黑体_GBK"/>
          <w:color w:val="auto"/>
          <w:kern w:val="0"/>
          <w:sz w:val="32"/>
          <w:szCs w:val="32"/>
          <w:highlight w:val="none"/>
          <w:u w:val="none"/>
          <w:lang w:bidi="ar"/>
        </w:rPr>
        <w:t xml:space="preserve"> 生态环境治理重大事项</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47EF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6A87D2EE">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金凤湖水库工程。</w:t>
            </w:r>
            <w:r>
              <w:rPr>
                <w:rFonts w:hint="eastAsia" w:ascii="Times New Roman" w:hAnsi="Times New Roman" w:eastAsia="方正书宋_GBK" w:cs="Times New Roman"/>
                <w:color w:val="auto"/>
                <w:kern w:val="0"/>
                <w:sz w:val="24"/>
                <w:highlight w:val="none"/>
                <w:u w:val="none"/>
                <w:lang w:bidi="ar-SA"/>
              </w:rPr>
              <w:t>建设以防洪、生态补水为主的综合性小（1）型水利工程，库容711万立方米，主要包括拦河主坝、副坝、泄水建筑物、生态放水建筑物、管理房等。</w:t>
            </w:r>
          </w:p>
          <w:p w14:paraId="33C2E650">
            <w:pPr>
              <w:widowControl/>
              <w:overflowPunct w:val="0"/>
              <w:snapToGrid w:val="0"/>
              <w:spacing w:line="380" w:lineRule="exact"/>
              <w:ind w:firstLine="480" w:firstLineChars="200"/>
              <w:jc w:val="left"/>
              <w:rPr>
                <w:rFonts w:hint="eastAsia" w:ascii="Times New Roman" w:hAnsi="Times New Roman" w:eastAsia="方正书宋_GBK" w:cs="Times New Roman"/>
                <w:color w:val="auto"/>
                <w:kern w:val="0"/>
                <w:sz w:val="24"/>
                <w:highlight w:val="none"/>
                <w:u w:val="none"/>
                <w:lang w:bidi="ar-SA"/>
              </w:rPr>
            </w:pPr>
            <w:r>
              <w:rPr>
                <w:rFonts w:hint="eastAsia" w:ascii="Times New Roman" w:hAnsi="Times New Roman" w:eastAsia="方正黑体_GBK" w:cs="方正黑体_GBK"/>
                <w:color w:val="auto"/>
                <w:kern w:val="0"/>
                <w:sz w:val="24"/>
                <w:highlight w:val="none"/>
                <w:u w:val="none"/>
                <w:lang w:val="en-US" w:eastAsia="zh-CN"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玉龙湖（牟家湾水库改扩建工程）。</w:t>
            </w:r>
            <w:r>
              <w:rPr>
                <w:rFonts w:hint="eastAsia" w:ascii="Times New Roman" w:hAnsi="Times New Roman" w:eastAsia="方正书宋_GBK" w:cs="Times New Roman"/>
                <w:color w:val="auto"/>
                <w:kern w:val="0"/>
                <w:sz w:val="24"/>
                <w:highlight w:val="none"/>
                <w:u w:val="none"/>
                <w:lang w:bidi="ar-SA"/>
              </w:rPr>
              <w:t>建设一座具有都市农业灌溉、生态补水、防洪、森林防火用水等综合利用功能的小（1）型水利工程。水库正常蓄水位327</w:t>
            </w:r>
            <w:r>
              <w:rPr>
                <w:rFonts w:hint="eastAsia" w:ascii="Times New Roman" w:hAnsi="Times New Roman" w:eastAsia="方正书宋_GBK" w:cs="Times New Roman"/>
                <w:color w:val="auto"/>
                <w:kern w:val="0"/>
                <w:sz w:val="24"/>
                <w:highlight w:val="none"/>
                <w:u w:val="none"/>
                <w:lang w:val="en-US" w:eastAsia="zh-CN" w:bidi="ar-SA"/>
              </w:rPr>
              <w:t>米，</w:t>
            </w:r>
            <w:r>
              <w:rPr>
                <w:rFonts w:hint="eastAsia" w:ascii="Times New Roman" w:hAnsi="Times New Roman" w:eastAsia="方正书宋_GBK" w:cs="Times New Roman"/>
                <w:color w:val="auto"/>
                <w:kern w:val="0"/>
                <w:sz w:val="24"/>
                <w:highlight w:val="none"/>
                <w:u w:val="none"/>
                <w:lang w:bidi="ar-SA"/>
              </w:rPr>
              <w:t>校核洪水位327.43</w:t>
            </w:r>
            <w:r>
              <w:rPr>
                <w:rFonts w:hint="eastAsia" w:ascii="Times New Roman" w:hAnsi="Times New Roman" w:eastAsia="方正书宋_GBK" w:cs="Times New Roman"/>
                <w:color w:val="auto"/>
                <w:kern w:val="0"/>
                <w:sz w:val="24"/>
                <w:highlight w:val="none"/>
                <w:u w:val="none"/>
                <w:lang w:val="en-US" w:eastAsia="zh-CN" w:bidi="ar-SA"/>
              </w:rPr>
              <w:t>米</w:t>
            </w:r>
            <w:r>
              <w:rPr>
                <w:rFonts w:hint="eastAsia" w:ascii="Times New Roman" w:hAnsi="Times New Roman" w:eastAsia="方正书宋_GBK" w:cs="Times New Roman"/>
                <w:color w:val="auto"/>
                <w:kern w:val="0"/>
                <w:sz w:val="24"/>
                <w:highlight w:val="none"/>
                <w:u w:val="none"/>
                <w:lang w:bidi="ar-SA"/>
              </w:rPr>
              <w:t>，最大坝高24.5</w:t>
            </w:r>
            <w:r>
              <w:rPr>
                <w:rFonts w:hint="eastAsia" w:ascii="Times New Roman" w:hAnsi="Times New Roman" w:eastAsia="方正书宋_GBK" w:cs="Times New Roman"/>
                <w:color w:val="auto"/>
                <w:kern w:val="0"/>
                <w:sz w:val="24"/>
                <w:highlight w:val="none"/>
                <w:u w:val="none"/>
                <w:lang w:val="en-US" w:eastAsia="zh-CN" w:bidi="ar-SA"/>
              </w:rPr>
              <w:t>米</w:t>
            </w:r>
            <w:r>
              <w:rPr>
                <w:rFonts w:hint="eastAsia" w:ascii="Times New Roman" w:hAnsi="Times New Roman" w:eastAsia="方正书宋_GBK" w:cs="Times New Roman"/>
                <w:color w:val="auto"/>
                <w:kern w:val="0"/>
                <w:sz w:val="24"/>
                <w:highlight w:val="none"/>
                <w:u w:val="none"/>
                <w:lang w:bidi="ar-SA"/>
              </w:rPr>
              <w:t>，总库容139万立方米。</w:t>
            </w:r>
          </w:p>
          <w:p w14:paraId="69DE2998">
            <w:pPr>
              <w:widowControl/>
              <w:overflowPunct w:val="0"/>
              <w:snapToGrid w:val="0"/>
              <w:spacing w:line="380" w:lineRule="exact"/>
              <w:ind w:firstLine="480" w:firstLineChars="200"/>
              <w:jc w:val="left"/>
              <w:rPr>
                <w:rFonts w:ascii="Times New Roman" w:hAnsi="Times New Roman" w:eastAsia="方正仿宋_GBK" w:cs="Times New Roman"/>
                <w:color w:val="auto"/>
                <w:sz w:val="32"/>
                <w:szCs w:val="32"/>
                <w:highlight w:val="none"/>
              </w:rPr>
            </w:pPr>
            <w:r>
              <w:rPr>
                <w:rFonts w:hint="eastAsia" w:ascii="Times New Roman" w:hAnsi="Times New Roman" w:eastAsia="方正黑体_GBK" w:cs="方正黑体_GBK"/>
                <w:color w:val="auto"/>
                <w:kern w:val="0"/>
                <w:sz w:val="24"/>
                <w:highlight w:val="none"/>
                <w:u w:val="none"/>
                <w:lang w:val="en-US" w:eastAsia="zh-CN" w:bidi="ar-SA"/>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莲花滩河水环境综合治理项目。</w:t>
            </w:r>
            <w:r>
              <w:rPr>
                <w:rFonts w:hint="eastAsia" w:ascii="Times New Roman" w:hAnsi="Times New Roman" w:eastAsia="方正书宋_GBK" w:cs="Times New Roman"/>
                <w:color w:val="auto"/>
                <w:kern w:val="0"/>
                <w:sz w:val="24"/>
                <w:highlight w:val="none"/>
                <w:u w:val="none"/>
                <w:lang w:bidi="ar-SA"/>
              </w:rPr>
              <w:t>建设生态缓冲带，恢复水生植被及生态湿地。新建生态护岸、生态隔离带、生态沟渠，清理河道湖库垃圾及污染底泥。</w:t>
            </w:r>
          </w:p>
        </w:tc>
      </w:tr>
    </w:tbl>
    <w:p w14:paraId="4F1BA0BF">
      <w:pPr>
        <w:adjustRightInd w:val="0"/>
        <w:snapToGrid w:val="0"/>
        <w:spacing w:line="600" w:lineRule="exact"/>
        <w:jc w:val="center"/>
        <w:outlineLvl w:val="2"/>
        <w:rPr>
          <w:rFonts w:ascii="Times New Roman" w:hAnsi="Times New Roman" w:eastAsia="方正仿宋_GBK" w:cs="Times New Roman"/>
          <w:color w:val="auto"/>
          <w:sz w:val="32"/>
          <w:szCs w:val="32"/>
          <w:highlight w:val="none"/>
        </w:rPr>
      </w:pPr>
      <w:bookmarkStart w:id="466" w:name="_Toc1151479668"/>
      <w:bookmarkStart w:id="467" w:name="_Toc4126"/>
      <w:bookmarkStart w:id="468" w:name="_Toc6853"/>
      <w:bookmarkStart w:id="469" w:name="_Toc32565"/>
      <w:bookmarkStart w:id="470" w:name="_Toc1348126927"/>
      <w:bookmarkStart w:id="471" w:name="_Toc27693"/>
      <w:bookmarkStart w:id="472" w:name="_Toc15673"/>
      <w:r>
        <w:rPr>
          <w:rFonts w:hint="eastAsia" w:ascii="Times New Roman" w:hAnsi="Times New Roman" w:eastAsia="方正楷体_GBK" w:cs="Times New Roman"/>
          <w:color w:val="auto"/>
          <w:sz w:val="32"/>
          <w:szCs w:val="32"/>
          <w:highlight w:val="none"/>
        </w:rPr>
        <w:t xml:space="preserve">第三节 </w:t>
      </w:r>
      <w:r>
        <w:rPr>
          <w:rFonts w:hint="eastAsia" w:ascii="Times New Roman" w:hAnsi="Times New Roman" w:eastAsia="方正楷体_GBK" w:cs="Times New Roman"/>
          <w:color w:val="auto"/>
          <w:sz w:val="32"/>
          <w:highlight w:val="none"/>
        </w:rPr>
        <w:t>全面推行绿色生产生活方式</w:t>
      </w:r>
      <w:bookmarkEnd w:id="466"/>
      <w:bookmarkEnd w:id="467"/>
      <w:bookmarkEnd w:id="468"/>
      <w:bookmarkEnd w:id="469"/>
      <w:bookmarkEnd w:id="470"/>
      <w:bookmarkEnd w:id="471"/>
      <w:bookmarkEnd w:id="472"/>
    </w:p>
    <w:p w14:paraId="1B360D17">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提升园区绿色低碳发展水平。统筹推动“无废园区”“零碳园区”“绿色园区”建设，完善园区环保基础设施共建共享，推进集中供气供热、有机废气集中处理设施建设。推广合同能源管理、合同节水管理、环境污染第三方治理等模式，培育ESG综合服务、碳</w:t>
      </w:r>
      <w:r>
        <w:rPr>
          <w:rFonts w:hint="eastAsia" w:ascii="Times New Roman" w:hAnsi="Times New Roman" w:eastAsia="方正仿宋_GBK" w:cs="Times New Roman"/>
          <w:color w:val="auto"/>
          <w:sz w:val="32"/>
          <w:szCs w:val="32"/>
          <w:highlight w:val="none"/>
          <w:lang w:val="en-US" w:eastAsia="zh-CN"/>
        </w:rPr>
        <w:t>资</w:t>
      </w:r>
      <w:r>
        <w:rPr>
          <w:rFonts w:hint="eastAsia" w:ascii="Times New Roman" w:hAnsi="Times New Roman" w:eastAsia="方正仿宋_GBK" w:cs="Times New Roman"/>
          <w:color w:val="auto"/>
          <w:sz w:val="32"/>
          <w:szCs w:val="32"/>
          <w:highlight w:val="none"/>
        </w:rPr>
        <w:t>产管理等绿色低碳新业态。深化“工业绿效码”应用，联动绿色金融、财政奖补政策，开展绿色诊断和节能改造指导，引导企业实施降碳减污扩绿行动。</w:t>
      </w:r>
    </w:p>
    <w:p w14:paraId="1187CDAC">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践行绿色低碳生活方式。完善慢行交通网络，依托绿道体系打造文化观光、滨水休闲型慢行廊道，串联公园、社区与商业节点，在轨道站点、商圈周边配套自行车停放设施，解决“最后一公里”出行难题。</w:t>
      </w:r>
      <w:r>
        <w:rPr>
          <w:rFonts w:hint="eastAsia" w:ascii="Times New Roman" w:hAnsi="Times New Roman" w:eastAsia="方正仿宋_GBK" w:cs="Times New Roman"/>
          <w:color w:val="auto"/>
          <w:sz w:val="32"/>
          <w:szCs w:val="32"/>
          <w:highlight w:val="none"/>
          <w:lang w:val="en-US" w:eastAsia="zh-CN"/>
        </w:rPr>
        <w:t>配合</w:t>
      </w:r>
      <w:r>
        <w:rPr>
          <w:rFonts w:hint="eastAsia" w:ascii="Times New Roman" w:hAnsi="Times New Roman" w:eastAsia="方正仿宋_GBK" w:cs="Times New Roman"/>
          <w:color w:val="auto"/>
          <w:sz w:val="32"/>
          <w:szCs w:val="32"/>
          <w:highlight w:val="none"/>
        </w:rPr>
        <w:t>推广新能源公交，扩大清洁能源车辆应用范围。实施制冷能效提升和绿色照明行动，加强既有建筑和市政基础设施节能改造，加快超低能耗建筑、低碳建筑规模化发展，深化全国装配式建筑范例城市建设。深化生活垃圾分类治理改革。</w:t>
      </w:r>
    </w:p>
    <w:p w14:paraId="5E87A273">
      <w:pPr>
        <w:widowControl/>
        <w:overflowPunct/>
        <w:spacing w:line="600" w:lineRule="exact"/>
        <w:ind w:firstLine="640" w:firstLineChars="200"/>
        <w:jc w:val="left"/>
        <w:rPr>
          <w:rFonts w:hint="eastAsia" w:ascii="Times New Roman" w:hAnsi="Times New Roman" w:eastAsia="方正黑体_GBK" w:cs="方正黑体_GBK"/>
          <w:color w:val="auto"/>
          <w:kern w:val="0"/>
          <w:sz w:val="32"/>
          <w:szCs w:val="32"/>
          <w:highlight w:val="none"/>
          <w:u w:val="none"/>
          <w:lang w:bidi="ar"/>
        </w:rPr>
      </w:pPr>
      <w:bookmarkStart w:id="473" w:name="_Toc25704"/>
      <w:bookmarkStart w:id="474" w:name="_Toc1943636959"/>
      <w:bookmarkStart w:id="475" w:name="_Toc16139"/>
      <w:bookmarkStart w:id="476" w:name="_Toc2016786239"/>
      <w:bookmarkStart w:id="477" w:name="_Toc20354"/>
      <w:bookmarkStart w:id="478" w:name="_Toc8272"/>
      <w:bookmarkStart w:id="479" w:name="_Toc5682"/>
    </w:p>
    <w:p w14:paraId="1E2AA787">
      <w:pPr>
        <w:numPr>
          <w:ilvl w:val="-1"/>
          <w:numId w:val="0"/>
        </w:numPr>
        <w:overflowPunct w:val="0"/>
        <w:adjustRightInd w:val="0"/>
        <w:snapToGrid w:val="0"/>
        <w:spacing w:line="600" w:lineRule="exact"/>
        <w:jc w:val="center"/>
        <w:outlineLvl w:val="1"/>
        <w:rPr>
          <w:rFonts w:ascii="Times New Roman" w:hAnsi="Times New Roman" w:eastAsia="方正黑体_GBK" w:cs="Times New Roman"/>
          <w:bCs/>
          <w:color w:val="auto"/>
          <w:sz w:val="32"/>
          <w:szCs w:val="32"/>
          <w:highlight w:val="none"/>
        </w:rPr>
      </w:pPr>
      <w:r>
        <w:rPr>
          <w:rFonts w:hint="eastAsia" w:ascii="Times New Roman" w:hAnsi="Times New Roman" w:eastAsia="方正黑体_GBK" w:cs="Times New Roman"/>
          <w:bCs/>
          <w:color w:val="auto"/>
          <w:sz w:val="32"/>
          <w:szCs w:val="32"/>
          <w:highlight w:val="none"/>
          <w:lang w:val="en-US" w:eastAsia="zh-CN"/>
        </w:rPr>
        <w:t xml:space="preserve">第五章 </w:t>
      </w:r>
      <w:r>
        <w:rPr>
          <w:rFonts w:hint="default" w:ascii="Times New Roman" w:hAnsi="Times New Roman" w:eastAsia="方正黑体_GBK" w:cs="Times New Roman"/>
          <w:bCs/>
          <w:color w:val="auto"/>
          <w:sz w:val="32"/>
          <w:szCs w:val="32"/>
          <w:highlight w:val="none"/>
        </w:rPr>
        <w:t>建设安全可靠的韧性城市</w:t>
      </w:r>
      <w:bookmarkEnd w:id="473"/>
      <w:bookmarkEnd w:id="474"/>
      <w:bookmarkEnd w:id="475"/>
      <w:bookmarkEnd w:id="476"/>
      <w:bookmarkEnd w:id="477"/>
      <w:bookmarkEnd w:id="478"/>
      <w:bookmarkEnd w:id="479"/>
    </w:p>
    <w:p w14:paraId="674BFDDA">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锚定韧性城市建设核心要求，聚焦安全高效新型能源，加强自然灾害防治能力，提升防洪排涝综合水平，筑牢城市安全防护屏障，增强城市抗风险与应急保障能力，夯实高质量发展的安全根基。</w:t>
      </w:r>
    </w:p>
    <w:p w14:paraId="3D798347">
      <w:pPr>
        <w:adjustRightInd w:val="0"/>
        <w:snapToGrid w:val="0"/>
        <w:spacing w:line="600" w:lineRule="exact"/>
        <w:jc w:val="center"/>
        <w:outlineLvl w:val="2"/>
        <w:rPr>
          <w:rFonts w:ascii="Times New Roman" w:hAnsi="Times New Roman" w:eastAsia="方正楷体_GBK" w:cs="Times New Roman"/>
          <w:color w:val="auto"/>
          <w:sz w:val="32"/>
          <w:highlight w:val="none"/>
        </w:rPr>
      </w:pPr>
      <w:bookmarkStart w:id="480" w:name="_Toc6424"/>
      <w:bookmarkStart w:id="481" w:name="_Toc1332615396"/>
      <w:bookmarkStart w:id="482" w:name="_Toc15772"/>
      <w:bookmarkStart w:id="483" w:name="_Toc31939"/>
      <w:bookmarkStart w:id="484" w:name="_Toc244434625"/>
      <w:bookmarkStart w:id="485" w:name="_Toc1290"/>
      <w:bookmarkStart w:id="486" w:name="_Toc32761"/>
      <w:bookmarkStart w:id="487" w:name="_Toc32436"/>
      <w:bookmarkStart w:id="488" w:name="_Toc594759805"/>
      <w:bookmarkStart w:id="489" w:name="_Toc26863"/>
      <w:bookmarkStart w:id="490" w:name="_Toc31232"/>
      <w:bookmarkStart w:id="491" w:name="_Toc11672"/>
      <w:bookmarkStart w:id="492" w:name="_Toc768061792"/>
      <w:bookmarkStart w:id="493" w:name="_Toc1967"/>
      <w:bookmarkStart w:id="494" w:name="_Toc20815"/>
      <w:bookmarkStart w:id="495" w:name="_Toc19032"/>
      <w:bookmarkStart w:id="496" w:name="_Toc24633"/>
      <w:r>
        <w:rPr>
          <w:rFonts w:hint="eastAsia" w:ascii="Times New Roman" w:hAnsi="Times New Roman" w:eastAsia="方正楷体_GBK" w:cs="Times New Roman"/>
          <w:color w:val="auto"/>
          <w:sz w:val="32"/>
          <w:highlight w:val="none"/>
        </w:rPr>
        <w:t>第一节 完善新型能源基础设施</w:t>
      </w:r>
      <w:bookmarkEnd w:id="480"/>
      <w:bookmarkEnd w:id="481"/>
      <w:bookmarkEnd w:id="482"/>
      <w:bookmarkEnd w:id="483"/>
      <w:bookmarkEnd w:id="484"/>
    </w:p>
    <w:p w14:paraId="0954900F">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提升水气基础设施配套。推进老旧供水管网更新改造，严控管网漏损率，结合储备土地开发完善供水管网布局，优先保障金凤城市中心、产业园区等重点区域用水需求，同步强化二次供水设施专业化运营管理。优化天然气管网“低压成网、中压成环”布局，推进老旧小区燃气管道及户内设施改造，加装智能物联网表与泄漏报警装置，提升供气稳定性，保障居民与产业用气安全。</w:t>
      </w:r>
    </w:p>
    <w:p w14:paraId="2405CDC2">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完善全域骨干电网架构。推动“2</w:t>
      </w:r>
      <w:r>
        <w:rPr>
          <w:rFonts w:hint="eastAsia" w:ascii="宋体" w:hAnsi="宋体" w:eastAsia="宋体" w:cs="宋体"/>
          <w:color w:val="auto"/>
          <w:sz w:val="32"/>
          <w:szCs w:val="32"/>
          <w:highlight w:val="none"/>
        </w:rPr>
        <w:t>+</w:t>
      </w:r>
      <w:r>
        <w:rPr>
          <w:rFonts w:hint="eastAsia" w:ascii="Times New Roman" w:hAnsi="Times New Roman" w:eastAsia="方正仿宋_GBK" w:cs="Times New Roman"/>
          <w:color w:val="auto"/>
          <w:sz w:val="32"/>
          <w:szCs w:val="32"/>
          <w:highlight w:val="none"/>
        </w:rPr>
        <w:t>5”变电站建设全面提速，推进220千伏花朝门、虎风变电站建设和110千伏文昌、走马、高龙、团碾槽、清河等变电站建设，形成“陈家桥—龙荫—花朝门—虎风—陈家桥”220千伏电网“扇形”主网架与金凤城市中心内部10千伏“目”字形双环网架，打造计划检修“零停电”示范区。推进虚拟电厂、源网荷储一体化等新型需求侧管理模式，保障高质量电网建设。</w:t>
      </w:r>
    </w:p>
    <w:p w14:paraId="292A5A37">
      <w:pPr>
        <w:adjustRightInd w:val="0"/>
        <w:snapToGrid w:val="0"/>
        <w:spacing w:line="600" w:lineRule="exact"/>
        <w:ind w:firstLine="640" w:firstLineChars="200"/>
        <w:textAlignment w:val="baseline"/>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深化新能源多元协同布局。加大清洁能源供给，在科学谷、金凤软件园等载体推广分布式光伏，因地制宜布局风电项目，推动新增用电量逐步实现清洁能源全覆盖。升级科学谷储能电站运营模式，深化“低谷储电、高峰放电”调节功能，提升可再生能源规模化消纳能力。依托西部（重庆）科学城虚拟电厂平台，聚合可调资源实现与电网协同调度。按计划推进超充站建设，优化充电桩、换电站布局，推广“光储充一体化”服务，构建多能互补、智慧高效的新能源应用生态。到2030年，建成220千伏花朝门、虎风变电站，建成110千伏文昌、走马、高龙、团碾槽、清河变电站，建成中梁山26万千瓦光旅共生绿色能源走廊等项目。</w:t>
      </w:r>
      <w:bookmarkEnd w:id="485"/>
      <w:bookmarkEnd w:id="486"/>
      <w:bookmarkStart w:id="497" w:name="_Toc1160006009"/>
      <w:bookmarkStart w:id="498" w:name="_Toc25631"/>
      <w:bookmarkStart w:id="499" w:name="_Toc13454"/>
      <w:bookmarkStart w:id="500" w:name="_Toc76525664"/>
      <w:bookmarkStart w:id="501" w:name="_Toc25906"/>
    </w:p>
    <w:p w14:paraId="5B4DB2F3">
      <w:pPr>
        <w:tabs>
          <w:tab w:val="left" w:pos="0"/>
        </w:tabs>
        <w:adjustRightInd w:val="0"/>
        <w:snapToGrid w:val="0"/>
        <w:spacing w:line="600" w:lineRule="exact"/>
        <w:jc w:val="center"/>
        <w:outlineLvl w:val="2"/>
        <w:rPr>
          <w:rFonts w:hint="eastAsia" w:ascii="Times New Roman" w:hAnsi="Times New Roman" w:eastAsia="方正楷体_GBK" w:cs="Times New Roman"/>
          <w:color w:val="auto"/>
          <w:sz w:val="32"/>
          <w:szCs w:val="24"/>
          <w:highlight w:val="none"/>
        </w:rPr>
      </w:pPr>
      <w:bookmarkStart w:id="502" w:name="_Toc23210"/>
      <w:r>
        <w:rPr>
          <w:rFonts w:hint="eastAsia" w:ascii="Times New Roman" w:hAnsi="Times New Roman" w:eastAsia="方正楷体_GBK" w:cs="Times New Roman"/>
          <w:color w:val="auto"/>
          <w:sz w:val="32"/>
          <w:highlight w:val="none"/>
        </w:rPr>
        <w:t>第二节 加强</w:t>
      </w:r>
      <w:r>
        <w:rPr>
          <w:rFonts w:ascii="Times New Roman" w:hAnsi="Times New Roman" w:eastAsia="方正楷体_GBK" w:cs="Times New Roman"/>
          <w:color w:val="auto"/>
          <w:sz w:val="32"/>
          <w:highlight w:val="none"/>
        </w:rPr>
        <w:t>自然灾害防治</w:t>
      </w:r>
      <w:bookmarkEnd w:id="497"/>
      <w:bookmarkEnd w:id="498"/>
      <w:bookmarkEnd w:id="499"/>
      <w:bookmarkEnd w:id="500"/>
      <w:bookmarkEnd w:id="502"/>
    </w:p>
    <w:p w14:paraId="5A760B98">
      <w:pPr>
        <w:widowControl w:val="0"/>
        <w:adjustRightInd w:val="0"/>
        <w:spacing w:line="600" w:lineRule="exact"/>
        <w:ind w:firstLine="640"/>
        <w:textAlignment w:val="baseline"/>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构建</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源头防控、监测预警、应急处置</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三位一体防治体系</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强化风险防控源头治理，健全</w:t>
      </w:r>
      <w:r>
        <w:rPr>
          <w:rFonts w:hint="eastAsia" w:ascii="方正仿宋_GBK" w:hAnsi="方正仿宋_GBK" w:eastAsia="方正仿宋_GBK" w:cs="方正仿宋_GBK"/>
          <w:color w:val="auto"/>
          <w:sz w:val="32"/>
          <w:szCs w:val="32"/>
          <w:highlight w:val="none"/>
        </w:rPr>
        <w:t>“</w:t>
      </w:r>
      <w:r>
        <w:rPr>
          <w:rFonts w:ascii="Times New Roman" w:hAnsi="Times New Roman" w:eastAsia="方正仿宋_GBK" w:cs="Times New Roman"/>
          <w:color w:val="auto"/>
          <w:sz w:val="32"/>
          <w:szCs w:val="32"/>
          <w:highlight w:val="none"/>
        </w:rPr>
        <w:t>排查</w:t>
      </w:r>
      <w:r>
        <w:rPr>
          <w:rFonts w:hint="eastAsia" w:ascii="Times New Roman" w:hAnsi="Times New Roman" w:eastAsia="方正仿宋_GBK" w:cs="Times New Roman"/>
          <w:color w:val="auto"/>
          <w:sz w:val="32"/>
          <w:szCs w:val="32"/>
          <w:highlight w:val="none"/>
          <w:lang w:val="en-US" w:eastAsia="zh-CN"/>
        </w:rPr>
        <w:t>—</w:t>
      </w:r>
      <w:r>
        <w:rPr>
          <w:rFonts w:ascii="Times New Roman" w:hAnsi="Times New Roman" w:eastAsia="方正仿宋_GBK" w:cs="Times New Roman"/>
          <w:color w:val="auto"/>
          <w:sz w:val="32"/>
          <w:szCs w:val="32"/>
          <w:highlight w:val="none"/>
        </w:rPr>
        <w:t>研判</w:t>
      </w:r>
      <w:r>
        <w:rPr>
          <w:rFonts w:hint="eastAsia" w:ascii="Times New Roman" w:hAnsi="Times New Roman" w:eastAsia="方正仿宋_GBK" w:cs="Times New Roman"/>
          <w:color w:val="auto"/>
          <w:sz w:val="32"/>
          <w:szCs w:val="32"/>
          <w:highlight w:val="none"/>
          <w:lang w:val="en-US" w:eastAsia="zh-CN"/>
        </w:rPr>
        <w:t>—</w:t>
      </w:r>
      <w:r>
        <w:rPr>
          <w:rFonts w:ascii="Times New Roman" w:hAnsi="Times New Roman" w:eastAsia="方正仿宋_GBK" w:cs="Times New Roman"/>
          <w:color w:val="auto"/>
          <w:sz w:val="32"/>
          <w:szCs w:val="32"/>
          <w:highlight w:val="none"/>
        </w:rPr>
        <w:t>整改</w:t>
      </w:r>
      <w:r>
        <w:rPr>
          <w:rFonts w:hint="eastAsia" w:ascii="Times New Roman" w:hAnsi="Times New Roman" w:eastAsia="方正仿宋_GBK" w:cs="Times New Roman"/>
          <w:color w:val="auto"/>
          <w:sz w:val="32"/>
          <w:szCs w:val="32"/>
          <w:highlight w:val="none"/>
          <w:lang w:val="en-US" w:eastAsia="zh-CN"/>
        </w:rPr>
        <w:t>—</w:t>
      </w:r>
      <w:r>
        <w:rPr>
          <w:rFonts w:ascii="Times New Roman" w:hAnsi="Times New Roman" w:eastAsia="方正仿宋_GBK" w:cs="Times New Roman"/>
          <w:color w:val="auto"/>
          <w:sz w:val="32"/>
          <w:szCs w:val="32"/>
          <w:highlight w:val="none"/>
        </w:rPr>
        <w:t>销号</w:t>
      </w:r>
      <w:r>
        <w:rPr>
          <w:rFonts w:hint="eastAsia" w:ascii="方正仿宋_GBK" w:hAnsi="方正仿宋_GBK" w:eastAsia="方正仿宋_GBK" w:cs="方正仿宋_GBK"/>
          <w:color w:val="auto"/>
          <w:sz w:val="32"/>
          <w:szCs w:val="32"/>
          <w:highlight w:val="none"/>
        </w:rPr>
        <w:t>”</w:t>
      </w:r>
      <w:r>
        <w:rPr>
          <w:rFonts w:ascii="Times New Roman" w:hAnsi="Times New Roman" w:eastAsia="方正仿宋_GBK" w:cs="Times New Roman"/>
          <w:color w:val="auto"/>
          <w:sz w:val="32"/>
          <w:szCs w:val="32"/>
          <w:highlight w:val="none"/>
        </w:rPr>
        <w:t>闭环机制，聚焦</w:t>
      </w:r>
      <w:r>
        <w:rPr>
          <w:rFonts w:hint="eastAsia" w:ascii="Times New Roman" w:hAnsi="Times New Roman" w:eastAsia="方正仿宋_GBK" w:cs="Times New Roman"/>
          <w:color w:val="auto"/>
          <w:sz w:val="32"/>
          <w:szCs w:val="32"/>
          <w:highlight w:val="none"/>
        </w:rPr>
        <w:t>森林火灾、</w:t>
      </w:r>
      <w:r>
        <w:rPr>
          <w:rFonts w:ascii="Times New Roman" w:hAnsi="Times New Roman" w:eastAsia="方正仿宋_GBK" w:cs="Times New Roman"/>
          <w:color w:val="auto"/>
          <w:sz w:val="32"/>
          <w:szCs w:val="32"/>
          <w:highlight w:val="none"/>
        </w:rPr>
        <w:t>地质灾害、</w:t>
      </w:r>
      <w:r>
        <w:rPr>
          <w:rFonts w:hint="eastAsia" w:ascii="Times New Roman" w:hAnsi="Times New Roman" w:eastAsia="方正仿宋_GBK" w:cs="Times New Roman"/>
          <w:color w:val="auto"/>
          <w:sz w:val="32"/>
          <w:szCs w:val="32"/>
          <w:highlight w:val="none"/>
        </w:rPr>
        <w:t>气象灾害</w:t>
      </w:r>
      <w:r>
        <w:rPr>
          <w:rFonts w:ascii="Times New Roman" w:hAnsi="Times New Roman" w:eastAsia="方正仿宋_GBK" w:cs="Times New Roman"/>
          <w:color w:val="auto"/>
          <w:sz w:val="32"/>
          <w:szCs w:val="32"/>
          <w:highlight w:val="none"/>
        </w:rPr>
        <w:t>等领域，推进重大隐患点工程治理。健全监测预警体系，搭建智慧监测平台，完善市、区、街道、社区四级预警传播体系。加强应急指挥</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处置和救援体系建设，</w:t>
      </w:r>
      <w:r>
        <w:rPr>
          <w:rFonts w:hint="eastAsia" w:ascii="Times New Roman" w:hAnsi="Times New Roman" w:eastAsia="方正仿宋_GBK" w:cs="Times New Roman"/>
          <w:color w:val="auto"/>
          <w:sz w:val="32"/>
          <w:szCs w:val="32"/>
          <w:highlight w:val="none"/>
        </w:rPr>
        <w:t>推进“区—镇街”两级专业救援队伍体系建设，标准化建成区专业救援支队和镇街专业救援大队，</w:t>
      </w:r>
      <w:r>
        <w:rPr>
          <w:rFonts w:ascii="Times New Roman" w:hAnsi="Times New Roman" w:eastAsia="方正仿宋_GBK" w:cs="Times New Roman"/>
          <w:color w:val="auto"/>
          <w:sz w:val="32"/>
          <w:szCs w:val="32"/>
          <w:highlight w:val="none"/>
        </w:rPr>
        <w:t>加快高新区</w:t>
      </w:r>
      <w:r>
        <w:rPr>
          <w:rFonts w:hint="eastAsia" w:ascii="Times New Roman" w:hAnsi="Times New Roman" w:eastAsia="方正仿宋_GBK" w:cs="Times New Roman"/>
          <w:color w:val="auto"/>
          <w:sz w:val="32"/>
          <w:szCs w:val="32"/>
          <w:highlight w:val="none"/>
        </w:rPr>
        <w:t>消防</w:t>
      </w:r>
      <w:r>
        <w:rPr>
          <w:rFonts w:ascii="Times New Roman" w:hAnsi="Times New Roman" w:eastAsia="方正仿宋_GBK" w:cs="Times New Roman"/>
          <w:color w:val="auto"/>
          <w:sz w:val="32"/>
          <w:szCs w:val="32"/>
          <w:highlight w:val="none"/>
        </w:rPr>
        <w:t>指挥中心、火调技术中心、大数据运营和灾备中心</w:t>
      </w:r>
      <w:r>
        <w:rPr>
          <w:rFonts w:hint="eastAsia" w:ascii="Times New Roman" w:hAnsi="Times New Roman" w:eastAsia="方正仿宋_GBK" w:cs="Times New Roman"/>
          <w:color w:val="auto"/>
          <w:sz w:val="32"/>
          <w:szCs w:val="32"/>
          <w:highlight w:val="none"/>
        </w:rPr>
        <w:t>建设</w:t>
      </w:r>
      <w:r>
        <w:rPr>
          <w:rFonts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rPr>
        <w:t>改造现有消防救援训练基地设施，并增建大空间（地下）建筑火灾扑救、烟热特性</w:t>
      </w:r>
      <w:r>
        <w:rPr>
          <w:rFonts w:hint="eastAsia" w:ascii="Times New Roman" w:hAnsi="Times New Roman" w:eastAsia="方正仿宋_GBK" w:cs="Times New Roman"/>
          <w:color w:val="auto"/>
          <w:sz w:val="32"/>
          <w:szCs w:val="32"/>
          <w:highlight w:val="none"/>
          <w:lang w:val="en-US" w:eastAsia="zh-CN"/>
        </w:rPr>
        <w:t>及</w:t>
      </w:r>
      <w:r>
        <w:rPr>
          <w:rFonts w:hint="eastAsia" w:ascii="Times New Roman" w:hAnsi="Times New Roman" w:eastAsia="方正仿宋_GBK" w:cs="Times New Roman"/>
          <w:color w:val="auto"/>
          <w:sz w:val="32"/>
          <w:szCs w:val="32"/>
          <w:highlight w:val="none"/>
        </w:rPr>
        <w:t>紧急救援、城市高空等训练设施，改造扩建后满足300人驻训需求，逐步在曾家、走马、石板镇建设小型消防站</w:t>
      </w:r>
      <w:r>
        <w:rPr>
          <w:rFonts w:hint="eastAsia" w:ascii="Times New Roman" w:hAnsi="Times New Roman" w:eastAsia="方正仿宋_GBK" w:cs="Times New Roman"/>
          <w:color w:val="auto"/>
          <w:sz w:val="32"/>
          <w:szCs w:val="32"/>
          <w:highlight w:val="none"/>
          <w:lang w:eastAsia="zh-CN"/>
        </w:rPr>
        <w:t>，推动基层“应消一体”建设</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统筹利用地上地下空间，加强</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平急两用</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公共基础设施建设，构建总量充足，布局合理的应急避难场所体系。</w:t>
      </w:r>
    </w:p>
    <w:p w14:paraId="020EE78C">
      <w:pPr>
        <w:widowControl/>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专栏2</w:t>
      </w:r>
      <w:r>
        <w:rPr>
          <w:rFonts w:hint="eastAsia" w:ascii="Times New Roman" w:hAnsi="Times New Roman" w:eastAsia="方正黑体_GBK" w:cs="方正黑体_GBK"/>
          <w:color w:val="auto"/>
          <w:kern w:val="0"/>
          <w:sz w:val="32"/>
          <w:szCs w:val="32"/>
          <w:highlight w:val="none"/>
          <w:u w:val="none"/>
          <w:lang w:val="en-US" w:eastAsia="zh-CN" w:bidi="ar"/>
        </w:rPr>
        <w:t>7</w:t>
      </w:r>
      <w:r>
        <w:rPr>
          <w:rFonts w:hint="eastAsia" w:ascii="Times New Roman" w:hAnsi="Times New Roman" w:eastAsia="方正黑体_GBK" w:cs="方正黑体_GBK"/>
          <w:color w:val="auto"/>
          <w:kern w:val="0"/>
          <w:sz w:val="32"/>
          <w:szCs w:val="32"/>
          <w:highlight w:val="none"/>
          <w:u w:val="none"/>
          <w:lang w:bidi="ar"/>
        </w:rPr>
        <w:t xml:space="preserve"> 消防安全基础设施重点项目</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3713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6DFA531F">
            <w:pPr>
              <w:pStyle w:val="19"/>
              <w:overflowPunct w:val="0"/>
              <w:snapToGrid w:val="0"/>
              <w:spacing w:beforeAutospacing="0" w:afterAutospacing="0" w:line="380" w:lineRule="exact"/>
              <w:ind w:firstLine="480" w:firstLineChars="200"/>
              <w:jc w:val="both"/>
              <w:rPr>
                <w:rFonts w:hint="eastAsia" w:ascii="方正书宋_GBK" w:hAnsi="方正书宋_GBK" w:eastAsia="方正书宋_GBK" w:cs="方正书宋_GBK"/>
                <w:color w:val="auto"/>
                <w:highlight w:val="none"/>
              </w:rPr>
            </w:pPr>
            <w:r>
              <w:rPr>
                <w:rFonts w:hint="eastAsia" w:ascii="Times New Roman" w:hAnsi="Times New Roman" w:eastAsia="方正黑体_GBK" w:cs="方正黑体_GBK"/>
                <w:color w:val="auto"/>
                <w:highlight w:val="none"/>
                <w:u w:val="none"/>
                <w:lang w:val="en-US" w:eastAsia="zh-CN"/>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highlight w:val="none"/>
                <w:u w:val="none"/>
              </w:rPr>
              <w:t>金凤消防救援站项目。</w:t>
            </w:r>
            <w:r>
              <w:rPr>
                <w:rFonts w:hint="eastAsia" w:ascii="方正书宋_GBK" w:hAnsi="方正书宋_GBK" w:eastAsia="方正书宋_GBK" w:cs="方正书宋_GBK"/>
                <w:color w:val="auto"/>
                <w:highlight w:val="none"/>
              </w:rPr>
              <w:t>规划建设用地</w:t>
            </w:r>
            <w:r>
              <w:rPr>
                <w:rFonts w:hint="default" w:ascii="Times New Roman" w:hAnsi="Times New Roman" w:eastAsia="方正书宋_GBK" w:cs="Times New Roman"/>
                <w:color w:val="auto"/>
                <w:highlight w:val="none"/>
              </w:rPr>
              <w:t>面积12亩，建筑面积7311平方</w:t>
            </w:r>
            <w:r>
              <w:rPr>
                <w:rFonts w:hint="eastAsia" w:ascii="方正书宋_GBK" w:hAnsi="方正书宋_GBK" w:eastAsia="方正书宋_GBK" w:cs="方正书宋_GBK"/>
                <w:color w:val="auto"/>
                <w:highlight w:val="none"/>
              </w:rPr>
              <w:t>米，建成集执勤、办公、训练</w:t>
            </w:r>
            <w:r>
              <w:rPr>
                <w:rFonts w:hint="eastAsia" w:ascii="方正书宋_GBK" w:hAnsi="方正书宋_GBK" w:eastAsia="方正书宋_GBK" w:cs="方正书宋_GBK"/>
                <w:color w:val="auto"/>
                <w:highlight w:val="none"/>
                <w:lang w:val="en-US" w:eastAsia="zh-CN"/>
              </w:rPr>
              <w:t>于</w:t>
            </w:r>
            <w:r>
              <w:rPr>
                <w:rFonts w:hint="eastAsia" w:ascii="方正书宋_GBK" w:hAnsi="方正书宋_GBK" w:eastAsia="方正书宋_GBK" w:cs="方正书宋_GBK"/>
                <w:color w:val="auto"/>
                <w:highlight w:val="none"/>
              </w:rPr>
              <w:t>一体的消防救援站。</w:t>
            </w:r>
          </w:p>
          <w:p w14:paraId="3DA1B1DC">
            <w:pPr>
              <w:widowControl/>
              <w:overflowPunct w:val="0"/>
              <w:snapToGrid w:val="0"/>
              <w:spacing w:line="380" w:lineRule="exact"/>
              <w:ind w:firstLine="480" w:firstLineChars="200"/>
              <w:jc w:val="left"/>
              <w:rPr>
                <w:rFonts w:ascii="Times New Roman" w:hAnsi="Times New Roman" w:eastAsia="方正仿宋_GBK" w:cs="Times New Roman"/>
                <w:color w:val="auto"/>
                <w:sz w:val="24"/>
                <w:szCs w:val="24"/>
                <w:highlight w:val="none"/>
              </w:rPr>
            </w:pPr>
            <w:r>
              <w:rPr>
                <w:rFonts w:hint="eastAsia" w:ascii="Times New Roman" w:hAnsi="Times New Roman" w:eastAsia="方正黑体_GBK" w:cs="方正黑体_GBK"/>
                <w:color w:val="auto"/>
                <w:sz w:val="24"/>
                <w:highlight w:val="none"/>
                <w:u w:val="none"/>
                <w:lang w:val="en-US" w:eastAsia="zh-CN"/>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sz w:val="24"/>
                <w:highlight w:val="none"/>
                <w:u w:val="none"/>
              </w:rPr>
              <w:t>含谷消防救援站项目。</w:t>
            </w:r>
            <w:r>
              <w:rPr>
                <w:rFonts w:hint="eastAsia" w:ascii="方正书宋_GBK" w:hAnsi="方正书宋_GBK" w:eastAsia="方正书宋_GBK" w:cs="方正书宋_GBK"/>
                <w:color w:val="auto"/>
                <w:sz w:val="24"/>
                <w:highlight w:val="none"/>
              </w:rPr>
              <w:t>规划建设用地面</w:t>
            </w:r>
            <w:r>
              <w:rPr>
                <w:rFonts w:hint="default" w:ascii="Times New Roman" w:hAnsi="Times New Roman" w:eastAsia="方正书宋_GBK" w:cs="Times New Roman"/>
                <w:color w:val="auto"/>
                <w:sz w:val="24"/>
                <w:highlight w:val="none"/>
              </w:rPr>
              <w:t>积31.6亩，建筑面积约7000平方</w:t>
            </w:r>
            <w:r>
              <w:rPr>
                <w:rFonts w:hint="eastAsia" w:ascii="方正书宋_GBK" w:hAnsi="方正书宋_GBK" w:eastAsia="方正书宋_GBK" w:cs="方正书宋_GBK"/>
                <w:color w:val="auto"/>
                <w:sz w:val="24"/>
                <w:highlight w:val="none"/>
              </w:rPr>
              <w:t>米。为促进土地集约利用，在该地块建设高新区指挥中心、火调技术中心、大数据运营和灾备中心，逐步建成集消防指挥调度、火灾调查研究、消防数据智能分析、救援物资备份等多功能的区域消防救援中心。</w:t>
            </w:r>
          </w:p>
        </w:tc>
      </w:tr>
    </w:tbl>
    <w:p w14:paraId="0E738B57">
      <w:pPr>
        <w:tabs>
          <w:tab w:val="left" w:pos="0"/>
        </w:tabs>
        <w:adjustRightInd w:val="0"/>
        <w:snapToGrid w:val="0"/>
        <w:spacing w:line="600" w:lineRule="exact"/>
        <w:jc w:val="center"/>
        <w:outlineLvl w:val="2"/>
        <w:rPr>
          <w:rFonts w:ascii="Times New Roman" w:hAnsi="Times New Roman" w:eastAsia="方正仿宋_GBK" w:cs="Times New Roman"/>
          <w:color w:val="auto"/>
          <w:sz w:val="32"/>
          <w:szCs w:val="32"/>
          <w:highlight w:val="none"/>
        </w:rPr>
      </w:pPr>
      <w:bookmarkStart w:id="503" w:name="_Toc15191"/>
      <w:bookmarkStart w:id="504" w:name="_Toc16004"/>
      <w:bookmarkStart w:id="505" w:name="_Toc16140"/>
      <w:bookmarkStart w:id="506" w:name="_Toc1971613942"/>
      <w:bookmarkStart w:id="507" w:name="_Toc31170"/>
      <w:bookmarkStart w:id="508" w:name="_Toc1364445797"/>
      <w:r>
        <w:rPr>
          <w:rFonts w:hint="eastAsia" w:ascii="Times New Roman" w:hAnsi="Times New Roman" w:eastAsia="方正楷体_GBK" w:cs="Times New Roman"/>
          <w:color w:val="auto"/>
          <w:sz w:val="32"/>
          <w:highlight w:val="none"/>
        </w:rPr>
        <w:t>第三节 强化城市防洪和内涝治理</w:t>
      </w:r>
      <w:bookmarkEnd w:id="487"/>
      <w:bookmarkEnd w:id="488"/>
      <w:bookmarkEnd w:id="489"/>
      <w:bookmarkEnd w:id="490"/>
      <w:bookmarkEnd w:id="491"/>
      <w:bookmarkEnd w:id="501"/>
      <w:bookmarkEnd w:id="503"/>
      <w:bookmarkEnd w:id="504"/>
      <w:bookmarkEnd w:id="505"/>
      <w:bookmarkEnd w:id="506"/>
      <w:bookmarkEnd w:id="507"/>
      <w:bookmarkEnd w:id="508"/>
      <w:bookmarkStart w:id="509" w:name="_Toc12247"/>
    </w:p>
    <w:p w14:paraId="2BD9B48F">
      <w:pPr>
        <w:adjustRightInd w:val="0"/>
        <w:snapToGrid w:val="0"/>
        <w:spacing w:line="600" w:lineRule="exact"/>
        <w:ind w:firstLine="640" w:firstLineChars="200"/>
        <w:textAlignment w:val="baseline"/>
        <w:rPr>
          <w:rFonts w:hint="eastAsia" w:ascii="Times New Roman" w:hAnsi="Times New Roman" w:eastAsia="方正仿宋_GBK" w:cs="Times New Roman"/>
          <w:color w:val="auto"/>
          <w:sz w:val="32"/>
          <w:szCs w:val="32"/>
          <w:highlight w:val="none"/>
          <w:lang w:eastAsia="zh-CN"/>
        </w:rPr>
      </w:pPr>
      <w:r>
        <w:rPr>
          <w:rFonts w:ascii="Times New Roman" w:hAnsi="Times New Roman" w:eastAsia="方正仿宋_GBK" w:cs="Times New Roman"/>
          <w:color w:val="auto"/>
          <w:sz w:val="32"/>
          <w:szCs w:val="32"/>
          <w:highlight w:val="none"/>
        </w:rPr>
        <w:t>健全洪涝联排联调机制，提升城市排水防涝能力，统筹推进排水设施升级、易涝点治理与海绵城市建设</w:t>
      </w:r>
      <w:r>
        <w:rPr>
          <w:rFonts w:hint="eastAsia" w:ascii="Times New Roman" w:hAnsi="Times New Roman" w:eastAsia="方正仿宋_GBK" w:cs="Times New Roman"/>
          <w:color w:val="auto"/>
          <w:sz w:val="32"/>
          <w:szCs w:val="32"/>
          <w:highlight w:val="none"/>
        </w:rPr>
        <w:t>。加快排水设施建设与市政排水管网改造，排查管网隐患，建立“管网病历本”，系统修复功能性缺陷管网，完善市政排水管网布局，提升雨水排放承载能力。持续推进易涝积水点治理，落实“一点一策”整治方案，加快剩余易涝点清零。加快推进海绵城市建设，联动园区与居住区落实“渗、滞、蓄”措施，推动建成区海绵化改造。</w:t>
      </w:r>
      <w:bookmarkEnd w:id="509"/>
      <w:r>
        <w:rPr>
          <w:rFonts w:hint="eastAsia" w:ascii="Times New Roman" w:hAnsi="Times New Roman" w:eastAsia="方正仿宋_GBK" w:cs="Times New Roman"/>
          <w:color w:val="auto"/>
          <w:sz w:val="32"/>
          <w:szCs w:val="32"/>
          <w:highlight w:val="none"/>
        </w:rPr>
        <w:t>统筹推进骨干河道堤防达标与河道清障整治，保障河道行洪通畅，确保超标洪水及时外排、有序下泄。到2030年，新建及改造排水管网200公里以上，建成区80%以上面积达到海绵城市要求</w:t>
      </w:r>
      <w:r>
        <w:rPr>
          <w:rFonts w:hint="eastAsia" w:ascii="Times New Roman" w:hAnsi="Times New Roman" w:eastAsia="方正仿宋_GBK" w:cs="Times New Roman"/>
          <w:color w:val="auto"/>
          <w:sz w:val="32"/>
          <w:szCs w:val="32"/>
          <w:highlight w:val="none"/>
          <w:lang w:eastAsia="zh-CN"/>
        </w:rPr>
        <w:t>。</w:t>
      </w:r>
    </w:p>
    <w:bookmarkEnd w:id="492"/>
    <w:bookmarkEnd w:id="493"/>
    <w:bookmarkEnd w:id="494"/>
    <w:bookmarkEnd w:id="495"/>
    <w:bookmarkEnd w:id="496"/>
    <w:p w14:paraId="75DCFA23">
      <w:pPr>
        <w:widowControl/>
        <w:overflowPunct/>
        <w:spacing w:line="600" w:lineRule="exact"/>
        <w:ind w:firstLine="640" w:firstLineChars="200"/>
        <w:jc w:val="left"/>
        <w:rPr>
          <w:rFonts w:hint="eastAsia" w:ascii="Times New Roman" w:hAnsi="Times New Roman" w:eastAsia="方正黑体_GBK" w:cs="方正黑体_GBK"/>
          <w:color w:val="auto"/>
          <w:kern w:val="0"/>
          <w:sz w:val="32"/>
          <w:szCs w:val="32"/>
          <w:highlight w:val="none"/>
          <w:u w:val="none"/>
          <w:lang w:bidi="ar"/>
        </w:rPr>
      </w:pPr>
      <w:bookmarkStart w:id="510" w:name="OLE_LINK10"/>
      <w:bookmarkStart w:id="511" w:name="_Toc16400"/>
      <w:bookmarkStart w:id="512" w:name="_Toc1242849984"/>
      <w:bookmarkStart w:id="513" w:name="_Toc3110"/>
      <w:bookmarkStart w:id="514" w:name="_Toc10498"/>
      <w:bookmarkStart w:id="515" w:name="_Toc1410127513"/>
      <w:bookmarkStart w:id="516" w:name="_Toc8215"/>
      <w:bookmarkStart w:id="517" w:name="_Toc12516"/>
    </w:p>
    <w:p w14:paraId="4C37D212">
      <w:pPr>
        <w:numPr>
          <w:ilvl w:val="-1"/>
          <w:numId w:val="0"/>
        </w:numPr>
        <w:overflowPunct w:val="0"/>
        <w:adjustRightInd w:val="0"/>
        <w:snapToGrid w:val="0"/>
        <w:spacing w:line="600" w:lineRule="exact"/>
        <w:jc w:val="center"/>
        <w:outlineLvl w:val="1"/>
        <w:rPr>
          <w:rFonts w:ascii="Times New Roman" w:hAnsi="Times New Roman" w:eastAsia="方正黑体_GBK" w:cs="Times New Roman"/>
          <w:bCs/>
          <w:color w:val="auto"/>
          <w:sz w:val="32"/>
          <w:szCs w:val="32"/>
          <w:highlight w:val="none"/>
        </w:rPr>
      </w:pPr>
      <w:r>
        <w:rPr>
          <w:rFonts w:hint="eastAsia" w:ascii="Times New Roman" w:hAnsi="Times New Roman" w:eastAsia="方正黑体_GBK" w:cs="Times New Roman"/>
          <w:bCs/>
          <w:color w:val="auto"/>
          <w:sz w:val="32"/>
          <w:szCs w:val="32"/>
          <w:highlight w:val="none"/>
          <w:lang w:val="en-US" w:eastAsia="zh-CN"/>
        </w:rPr>
        <w:t xml:space="preserve">第六章 </w:t>
      </w:r>
      <w:r>
        <w:rPr>
          <w:rFonts w:hint="default" w:ascii="Times New Roman" w:hAnsi="Times New Roman" w:eastAsia="方正黑体_GBK" w:cs="Times New Roman"/>
          <w:bCs/>
          <w:color w:val="auto"/>
          <w:sz w:val="32"/>
          <w:szCs w:val="32"/>
          <w:highlight w:val="none"/>
        </w:rPr>
        <w:t>建设崇德向善的文明城市</w:t>
      </w:r>
      <w:bookmarkEnd w:id="510"/>
      <w:bookmarkEnd w:id="511"/>
      <w:bookmarkEnd w:id="512"/>
      <w:bookmarkEnd w:id="513"/>
      <w:bookmarkEnd w:id="514"/>
      <w:bookmarkEnd w:id="515"/>
      <w:bookmarkEnd w:id="516"/>
      <w:bookmarkEnd w:id="517"/>
    </w:p>
    <w:p w14:paraId="1FCAC59B">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统筹推进城市风貌塑造、文体事业提质、历史文化传承三大重点，以景观营造彰显城市魅力，以文体赋能丰富民生供给，以文化传承筑牢精神根基，构建兼具生态颜值、文化内涵与文明温度的城市发展格局。</w:t>
      </w:r>
    </w:p>
    <w:p w14:paraId="09167D21">
      <w:pPr>
        <w:adjustRightInd w:val="0"/>
        <w:snapToGrid w:val="0"/>
        <w:spacing w:line="600" w:lineRule="exact"/>
        <w:jc w:val="center"/>
        <w:outlineLvl w:val="2"/>
        <w:rPr>
          <w:rFonts w:ascii="Times New Roman" w:hAnsi="Times New Roman" w:eastAsia="方正楷体_GBK" w:cs="Times New Roman"/>
          <w:color w:val="auto"/>
          <w:sz w:val="32"/>
          <w:highlight w:val="none"/>
        </w:rPr>
      </w:pPr>
      <w:bookmarkStart w:id="518" w:name="_Toc244"/>
      <w:bookmarkStart w:id="519" w:name="_Toc20471"/>
      <w:bookmarkStart w:id="520" w:name="_Toc722"/>
      <w:bookmarkStart w:id="521" w:name="_Toc383582699"/>
      <w:bookmarkStart w:id="522" w:name="_Toc3545"/>
      <w:bookmarkStart w:id="523" w:name="_Toc25614"/>
      <w:bookmarkStart w:id="524" w:name="_Toc6246719"/>
      <w:r>
        <w:rPr>
          <w:rFonts w:hint="eastAsia" w:ascii="Times New Roman" w:hAnsi="Times New Roman" w:eastAsia="方正楷体_GBK" w:cs="Times New Roman"/>
          <w:color w:val="auto"/>
          <w:sz w:val="32"/>
          <w:highlight w:val="none"/>
        </w:rPr>
        <w:t xml:space="preserve">第一节 </w:t>
      </w:r>
      <w:bookmarkEnd w:id="518"/>
      <w:r>
        <w:rPr>
          <w:rFonts w:hint="eastAsia" w:ascii="Times New Roman" w:hAnsi="Times New Roman" w:eastAsia="方正楷体_GBK" w:cs="Times New Roman"/>
          <w:color w:val="auto"/>
          <w:sz w:val="32"/>
          <w:highlight w:val="none"/>
        </w:rPr>
        <w:t>塑造大美山水</w:t>
      </w:r>
      <w:r>
        <w:rPr>
          <w:rFonts w:hint="eastAsia" w:ascii="Times New Roman" w:hAnsi="Times New Roman" w:eastAsia="方正楷体_GBK" w:cs="Times New Roman"/>
          <w:color w:val="auto"/>
          <w:sz w:val="32"/>
          <w:highlight w:val="none"/>
          <w:lang w:val="en-US" w:eastAsia="zh-CN"/>
        </w:rPr>
        <w:t>城市</w:t>
      </w:r>
      <w:r>
        <w:rPr>
          <w:rFonts w:hint="eastAsia" w:ascii="Times New Roman" w:hAnsi="Times New Roman" w:eastAsia="方正楷体_GBK" w:cs="Times New Roman"/>
          <w:color w:val="auto"/>
          <w:sz w:val="32"/>
          <w:highlight w:val="none"/>
        </w:rPr>
        <w:t>风貌</w:t>
      </w:r>
      <w:bookmarkEnd w:id="519"/>
      <w:bookmarkEnd w:id="520"/>
      <w:bookmarkEnd w:id="521"/>
      <w:bookmarkEnd w:id="522"/>
      <w:bookmarkEnd w:id="523"/>
      <w:bookmarkEnd w:id="524"/>
    </w:p>
    <w:p w14:paraId="12A9F553">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坚守“一心一带、两屏四河”生态空间格局。构建以中梁山、缙云山为骨架，河流水系、城中山体、城市田园为补充，道路市政绿化为廊道，山城步道为线，城市公园广场为点，疏密有致、亲水宜人、贴近自然的山水园林城市形态。建设城市生态绿廊、公园绿心，连通生态水系网络、修复滨水生态岸线，统筹推进各类公园绿地建设，加快推进建设大学城院士廷口袋公园、小微绿地，实施虎溪街道便民登山步道、金凤湖慢行系统等项目，形成布局均衡、功能完备的公园体系。到2030年，建成1</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rPr>
        <w:t>个口袋公园，总面积约7万平方米，新增公园绿地10万平方米，建成区绿地率达</w:t>
      </w:r>
      <w:r>
        <w:rPr>
          <w:rFonts w:hint="eastAsia" w:ascii="Times New Roman" w:hAnsi="Times New Roman" w:eastAsia="方正仿宋_GBK" w:cs="Times New Roman"/>
          <w:color w:val="auto"/>
          <w:sz w:val="32"/>
          <w:szCs w:val="32"/>
          <w:highlight w:val="none"/>
          <w:lang w:val="en-US" w:eastAsia="zh-CN"/>
        </w:rPr>
        <w:t>38</w:t>
      </w:r>
      <w:r>
        <w:rPr>
          <w:rFonts w:hint="eastAsia" w:ascii="Times New Roman" w:hAnsi="Times New Roman" w:eastAsia="方正仿宋_GBK" w:cs="Times New Roman"/>
          <w:color w:val="auto"/>
          <w:sz w:val="32"/>
          <w:szCs w:val="32"/>
          <w:highlight w:val="none"/>
        </w:rPr>
        <w:t>%。</w:t>
      </w:r>
    </w:p>
    <w:p w14:paraId="5DF8353F">
      <w:pPr>
        <w:spacing w:line="600" w:lineRule="exact"/>
        <w:ind w:firstLine="640" w:firstLineChars="200"/>
        <w:jc w:val="both"/>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强化城市风貌塑造和管控。按照“中心地区和轨道站点周边宜高则高宜密则密、临山临水临绿地区宜低则低宜疏则疏”的原则，塑造平缓舒展、显山露水的天际线，构建高低有序、山水特色的立体城市形态。发挥整体规划和城市设计统筹作用，从风貌、强度、高度、密度分区及审查报批流程等方面对建设项目实行分级分类管控。从控制风光眺望点、景观视廊、城市天际线、城市界面等方面营造景观格局。打造城市重要标志性空间形态，塑造科学大道、大学城北路—西双大道两条城市空间轴线，强化沿线建筑界面设计引导</w:t>
      </w:r>
      <w:bookmarkStart w:id="525" w:name="_Toc14227"/>
      <w:bookmarkStart w:id="526" w:name="_Toc3584"/>
      <w:r>
        <w:rPr>
          <w:rFonts w:hint="eastAsia" w:ascii="Times New Roman" w:hAnsi="Times New Roman" w:eastAsia="方正仿宋_GBK" w:cs="Times New Roman"/>
          <w:color w:val="auto"/>
          <w:sz w:val="32"/>
          <w:szCs w:val="32"/>
          <w:highlight w:val="none"/>
        </w:rPr>
        <w:t>，精雕金凤城市中心空间形态和中心景观风貌，依托科技创新和产业发展根基营造面向未来的现代化科学城城市场景。</w:t>
      </w:r>
    </w:p>
    <w:p w14:paraId="7A7B5C1C">
      <w:pPr>
        <w:adjustRightInd w:val="0"/>
        <w:snapToGrid w:val="0"/>
        <w:spacing w:line="600" w:lineRule="exact"/>
        <w:jc w:val="center"/>
        <w:outlineLvl w:val="2"/>
        <w:rPr>
          <w:rFonts w:ascii="Times New Roman" w:hAnsi="Times New Roman" w:eastAsia="方正楷体_GBK" w:cs="Times New Roman"/>
          <w:color w:val="auto"/>
          <w:sz w:val="32"/>
          <w:highlight w:val="none"/>
        </w:rPr>
      </w:pPr>
      <w:bookmarkStart w:id="527" w:name="_Toc1909391177"/>
      <w:bookmarkStart w:id="528" w:name="_Toc22231"/>
      <w:bookmarkStart w:id="529" w:name="_Toc15534"/>
      <w:bookmarkStart w:id="530" w:name="_Toc32511"/>
      <w:bookmarkStart w:id="531" w:name="_Toc128513799"/>
      <w:bookmarkStart w:id="532" w:name="_Toc13127"/>
      <w:r>
        <w:rPr>
          <w:rFonts w:hint="eastAsia" w:ascii="Times New Roman" w:hAnsi="Times New Roman" w:eastAsia="方正楷体_GBK" w:cs="Times New Roman"/>
          <w:color w:val="auto"/>
          <w:sz w:val="32"/>
          <w:highlight w:val="none"/>
        </w:rPr>
        <w:t>第二节 加强历史文化保护传承</w:t>
      </w:r>
      <w:bookmarkEnd w:id="527"/>
      <w:bookmarkEnd w:id="528"/>
      <w:bookmarkEnd w:id="529"/>
      <w:bookmarkEnd w:id="530"/>
      <w:bookmarkEnd w:id="531"/>
      <w:bookmarkEnd w:id="532"/>
    </w:p>
    <w:p w14:paraId="0DEE0F71">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加强走马古镇、含谷镇寨山坪村、走马镇椒园村传统格局、历史风貌和空间尺度保护，延续特色空间肌理，打造主题传统风貌空间。深化文物及历史建筑保护，推动孙家大院、</w:t>
      </w:r>
      <w:r>
        <w:rPr>
          <w:rFonts w:ascii="Times New Roman" w:hAnsi="Times New Roman" w:eastAsia="方正仿宋_GBK" w:cs="Times New Roman"/>
          <w:color w:val="auto"/>
          <w:sz w:val="32"/>
          <w:szCs w:val="32"/>
          <w:highlight w:val="none"/>
        </w:rPr>
        <w:t>走马关武庙戏楼</w:t>
      </w:r>
      <w:r>
        <w:rPr>
          <w:rFonts w:hint="eastAsia" w:ascii="Times New Roman" w:hAnsi="Times New Roman" w:eastAsia="方正仿宋_GBK" w:cs="Times New Roman"/>
          <w:color w:val="auto"/>
          <w:sz w:val="32"/>
          <w:szCs w:val="32"/>
          <w:highlight w:val="none"/>
        </w:rPr>
        <w:t>等文保单位修缮修复。</w:t>
      </w:r>
      <w:r>
        <w:rPr>
          <w:rFonts w:hint="eastAsia" w:ascii="Times New Roman" w:hAnsi="Times New Roman" w:eastAsia="方正仿宋_GBK" w:cs="方正仿宋_GBK"/>
          <w:color w:val="auto"/>
          <w:sz w:val="32"/>
          <w:szCs w:val="32"/>
          <w:highlight w:val="none"/>
        </w:rPr>
        <w:t>开展历史文化资源如</w:t>
      </w:r>
      <w:r>
        <w:rPr>
          <w:rFonts w:hint="eastAsia" w:ascii="Times New Roman" w:hAnsi="Times New Roman" w:eastAsia="方正仿宋_GBK" w:cs="Times New Roman"/>
          <w:color w:val="auto"/>
          <w:sz w:val="32"/>
          <w:szCs w:val="32"/>
          <w:highlight w:val="none"/>
        </w:rPr>
        <w:t>走马渡槽、红卫渡槽等</w:t>
      </w:r>
      <w:r>
        <w:rPr>
          <w:rFonts w:hint="eastAsia" w:ascii="Times New Roman" w:hAnsi="Times New Roman" w:eastAsia="方正仿宋_GBK" w:cs="方正仿宋_GBK"/>
          <w:color w:val="auto"/>
          <w:sz w:val="32"/>
          <w:szCs w:val="32"/>
          <w:highlight w:val="none"/>
        </w:rPr>
        <w:t>活化利用，深挖成渝古驿道、万寿宫等历史文化元素再利用，实现傅抱石旧居项目建成开馆，推进布局文化驿站、展览馆、非遗文化体验馆等文化新空间。以红色文化为引领，乡村场景为支撑，加快建设津巴特区新屋基活动点旧址陈列馆和红色原乡体验园，打造“红情绿意”的科学城红色旅游高地。</w:t>
      </w:r>
      <w:r>
        <w:rPr>
          <w:rFonts w:hint="eastAsia" w:ascii="Times New Roman" w:hAnsi="Times New Roman" w:eastAsia="方正仿宋_GBK" w:cs="Times New Roman"/>
          <w:color w:val="auto"/>
          <w:sz w:val="32"/>
          <w:szCs w:val="32"/>
          <w:highlight w:val="none"/>
        </w:rPr>
        <w:t>深化非物质文化遗产传承，围绕传统技艺、民间文学和传统戏剧等领域，持续开展非遗资源挖掘，系统培育本土特色非遗资源。支持非遗文化表演团发展，重点培育走马镇民间故事、“川剧”等非遗表演队伍。严格落实文物保护责任制，</w:t>
      </w:r>
      <w:r>
        <w:rPr>
          <w:rFonts w:hint="eastAsia" w:ascii="Times New Roman" w:hAnsi="Times New Roman" w:eastAsia="方正仿宋_GBK" w:cs="Times New Roman"/>
          <w:color w:val="auto"/>
          <w:sz w:val="32"/>
          <w:szCs w:val="32"/>
          <w:highlight w:val="none"/>
          <w:lang w:val="en-US" w:eastAsia="zh-CN"/>
        </w:rPr>
        <w:t>推行</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巴渝文物</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文物安全监管系统</w:t>
      </w:r>
      <w:r>
        <w:rPr>
          <w:rFonts w:hint="eastAsia" w:ascii="Times New Roman" w:hAnsi="Times New Roman" w:eastAsia="方正仿宋_GBK" w:cs="Times New Roman"/>
          <w:color w:val="auto"/>
          <w:sz w:val="32"/>
          <w:szCs w:val="32"/>
          <w:highlight w:val="none"/>
          <w:lang w:eastAsia="zh-CN"/>
        </w:rPr>
        <w:t>“</w:t>
      </w:r>
      <w:r>
        <w:rPr>
          <w:rFonts w:ascii="Times New Roman" w:hAnsi="Times New Roman" w:eastAsia="方正仿宋_GBK" w:cs="Times New Roman"/>
          <w:color w:val="auto"/>
          <w:sz w:val="32"/>
          <w:szCs w:val="32"/>
          <w:highlight w:val="none"/>
        </w:rPr>
        <w:t>线上巡查+线下巡查</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模式</w:t>
      </w:r>
      <w:r>
        <w:rPr>
          <w:rFonts w:hint="eastAsia" w:ascii="Times New Roman" w:hAnsi="Times New Roman" w:eastAsia="方正仿宋_GBK" w:cs="Times New Roman"/>
          <w:color w:val="auto"/>
          <w:sz w:val="32"/>
          <w:szCs w:val="32"/>
          <w:highlight w:val="none"/>
        </w:rPr>
        <w:t>，精准梳理巡查发现问题，持续开展文物安全隐患整治工作。</w:t>
      </w:r>
    </w:p>
    <w:p w14:paraId="7F480691">
      <w:pPr>
        <w:adjustRightInd w:val="0"/>
        <w:snapToGrid w:val="0"/>
        <w:spacing w:line="600" w:lineRule="exact"/>
        <w:jc w:val="center"/>
        <w:outlineLvl w:val="2"/>
        <w:rPr>
          <w:rFonts w:ascii="Times New Roman" w:hAnsi="Times New Roman" w:eastAsia="方正楷体_GBK" w:cs="Times New Roman"/>
          <w:color w:val="auto"/>
          <w:sz w:val="32"/>
          <w:highlight w:val="none"/>
        </w:rPr>
      </w:pPr>
      <w:bookmarkStart w:id="533" w:name="_Toc1710354558"/>
      <w:bookmarkStart w:id="534" w:name="_Toc2791"/>
      <w:bookmarkStart w:id="535" w:name="_Toc1289374718"/>
      <w:bookmarkStart w:id="536" w:name="_Toc9788"/>
      <w:r>
        <w:rPr>
          <w:rFonts w:hint="eastAsia" w:ascii="Times New Roman" w:hAnsi="Times New Roman" w:eastAsia="方正楷体_GBK" w:cs="Times New Roman"/>
          <w:color w:val="auto"/>
          <w:sz w:val="32"/>
          <w:highlight w:val="none"/>
        </w:rPr>
        <w:t>第三节 推动</w:t>
      </w:r>
      <w:r>
        <w:rPr>
          <w:rFonts w:hint="eastAsia" w:ascii="Times New Roman" w:hAnsi="Times New Roman" w:eastAsia="方正楷体_GBK" w:cs="Times New Roman"/>
          <w:color w:val="auto"/>
          <w:sz w:val="32"/>
          <w:highlight w:val="none"/>
          <w:lang w:val="en-US" w:eastAsia="zh-CN"/>
        </w:rPr>
        <w:t>文化</w:t>
      </w:r>
      <w:r>
        <w:rPr>
          <w:rFonts w:hint="eastAsia" w:ascii="Times New Roman" w:hAnsi="Times New Roman" w:eastAsia="方正楷体_GBK" w:cs="Times New Roman"/>
          <w:color w:val="auto"/>
          <w:sz w:val="32"/>
          <w:highlight w:val="none"/>
        </w:rPr>
        <w:t>体育事业</w:t>
      </w:r>
      <w:r>
        <w:rPr>
          <w:rFonts w:hint="eastAsia" w:ascii="Times New Roman" w:hAnsi="Times New Roman" w:eastAsia="方正楷体_GBK" w:cs="Times New Roman"/>
          <w:color w:val="auto"/>
          <w:sz w:val="32"/>
          <w:highlight w:val="none"/>
          <w:lang w:val="en-US" w:eastAsia="zh-CN"/>
        </w:rPr>
        <w:t>高质量</w:t>
      </w:r>
      <w:r>
        <w:rPr>
          <w:rFonts w:hint="eastAsia" w:ascii="Times New Roman" w:hAnsi="Times New Roman" w:eastAsia="方正楷体_GBK" w:cs="Times New Roman"/>
          <w:color w:val="auto"/>
          <w:sz w:val="32"/>
          <w:highlight w:val="none"/>
        </w:rPr>
        <w:t>发展</w:t>
      </w:r>
      <w:bookmarkEnd w:id="525"/>
      <w:bookmarkEnd w:id="526"/>
      <w:bookmarkEnd w:id="533"/>
      <w:bookmarkEnd w:id="534"/>
      <w:bookmarkEnd w:id="535"/>
      <w:bookmarkEnd w:id="536"/>
    </w:p>
    <w:p w14:paraId="1FE2F76A">
      <w:pPr>
        <w:adjustRightInd w:val="0"/>
        <w:snapToGrid w:val="0"/>
        <w:spacing w:line="600" w:lineRule="exact"/>
        <w:ind w:firstLine="640" w:firstLineChars="200"/>
        <w:textAlignment w:val="baseline"/>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rPr>
        <w:t>健全特色体育赛事体系，依托重庆市射击射箭运动管理中心、重庆大学羽毛球中心及马术、高尔夫等场地资源优势，举办射击、羽毛球、马术、高尔夫等具有科学城特色的体育赛事活动。高标准推进公共体育设施专项规划，综合考虑人口分布、群众需求、山水湖泊等自然资源，因地制宜</w:t>
      </w:r>
      <w:r>
        <w:rPr>
          <w:rFonts w:hint="eastAsia" w:ascii="Times New Roman" w:hAnsi="Times New Roman" w:eastAsia="方正仿宋_GBK" w:cs="Times New Roman"/>
          <w:color w:val="auto"/>
          <w:sz w:val="32"/>
          <w:szCs w:val="32"/>
          <w:highlight w:val="none"/>
          <w:lang w:val="en-US" w:eastAsia="zh-CN"/>
        </w:rPr>
        <w:t>布局</w:t>
      </w:r>
      <w:r>
        <w:rPr>
          <w:rFonts w:hint="eastAsia" w:ascii="Times New Roman" w:hAnsi="Times New Roman" w:eastAsia="方正仿宋_GBK" w:cs="Times New Roman"/>
          <w:color w:val="auto"/>
          <w:sz w:val="32"/>
          <w:szCs w:val="32"/>
          <w:highlight w:val="none"/>
        </w:rPr>
        <w:t>区级体育场馆、体育公园、健身步道等体育设施，支持、鼓励公共体育设施向社会免费或低收费开放。推动竞技体育改革发展走深走实，深化体教融合发展，坚持以人才培养为核心，以政策机制为保障，构建政府主导、学校支持、社会参与的竞技体育发展格局。</w:t>
      </w:r>
      <w:r>
        <w:rPr>
          <w:rFonts w:hint="eastAsia" w:ascii="Times New Roman" w:hAnsi="Times New Roman" w:eastAsia="方正仿宋_GBK" w:cs="Times New Roman"/>
          <w:color w:val="auto"/>
          <w:sz w:val="32"/>
          <w:szCs w:val="32"/>
          <w:highlight w:val="none"/>
          <w:lang w:val="en-US" w:eastAsia="zh-CN"/>
        </w:rPr>
        <w:t>加快数字图书馆、智慧文化馆建设，拓展AR导览、数字展陈等科技应用场景，推动公共文化服务数智化升级。依托科学会堂、科技馆等重大文化地标，举办国际科技艺术节、科普嘉年华等品牌活动，打造具有科学城辨识度的公共文化服务标杆。</w:t>
      </w:r>
    </w:p>
    <w:p w14:paraId="796928B2">
      <w:pPr>
        <w:numPr>
          <w:ilvl w:val="-1"/>
          <w:numId w:val="0"/>
        </w:numPr>
        <w:overflowPunct w:val="0"/>
        <w:adjustRightInd w:val="0"/>
        <w:snapToGrid w:val="0"/>
        <w:spacing w:line="600" w:lineRule="exact"/>
        <w:jc w:val="center"/>
        <w:outlineLvl w:val="1"/>
        <w:rPr>
          <w:rFonts w:ascii="Times New Roman" w:hAnsi="Times New Roman" w:eastAsia="方正黑体_GBK" w:cs="Times New Roman"/>
          <w:bCs/>
          <w:color w:val="auto"/>
          <w:sz w:val="32"/>
          <w:szCs w:val="32"/>
          <w:highlight w:val="none"/>
        </w:rPr>
      </w:pPr>
      <w:bookmarkStart w:id="537" w:name="_Toc1860441211"/>
      <w:bookmarkStart w:id="538" w:name="_Toc29543"/>
      <w:bookmarkStart w:id="539" w:name="_Toc6734"/>
      <w:bookmarkStart w:id="540" w:name="_Toc28589"/>
      <w:bookmarkStart w:id="541" w:name="_Toc3964"/>
      <w:bookmarkStart w:id="542" w:name="_Toc263403549"/>
      <w:bookmarkStart w:id="543" w:name="_Toc476"/>
      <w:r>
        <w:rPr>
          <w:rFonts w:hint="eastAsia" w:ascii="Times New Roman" w:hAnsi="Times New Roman" w:eastAsia="方正黑体_GBK" w:cs="Times New Roman"/>
          <w:bCs/>
          <w:color w:val="auto"/>
          <w:sz w:val="32"/>
          <w:szCs w:val="32"/>
          <w:highlight w:val="none"/>
          <w:lang w:val="en-US" w:eastAsia="zh-CN"/>
        </w:rPr>
        <w:t xml:space="preserve">第七章 </w:t>
      </w:r>
      <w:r>
        <w:rPr>
          <w:rFonts w:hint="default" w:ascii="Times New Roman" w:hAnsi="Times New Roman" w:eastAsia="方正黑体_GBK" w:cs="Times New Roman"/>
          <w:bCs/>
          <w:color w:val="auto"/>
          <w:sz w:val="32"/>
          <w:szCs w:val="32"/>
          <w:highlight w:val="none"/>
        </w:rPr>
        <w:t>建设便捷高效的智慧城市</w:t>
      </w:r>
      <w:bookmarkEnd w:id="537"/>
      <w:bookmarkEnd w:id="538"/>
      <w:bookmarkEnd w:id="539"/>
      <w:bookmarkEnd w:id="540"/>
      <w:bookmarkEnd w:id="541"/>
      <w:bookmarkEnd w:id="542"/>
      <w:bookmarkEnd w:id="543"/>
    </w:p>
    <w:p w14:paraId="4FB411E5">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紧扣数字重庆“1361”工作部署，以筑牢新型数字基建为支撑，提升“大综合一体化”治理效能，打造AI赋能城市治理场景，构建科技驱动、协同高效、精准便民的智慧城市体系。</w:t>
      </w:r>
    </w:p>
    <w:p w14:paraId="2C454935">
      <w:pPr>
        <w:adjustRightInd w:val="0"/>
        <w:snapToGrid w:val="0"/>
        <w:spacing w:line="600" w:lineRule="exact"/>
        <w:jc w:val="center"/>
        <w:outlineLvl w:val="2"/>
        <w:rPr>
          <w:rFonts w:ascii="Times New Roman" w:hAnsi="Times New Roman" w:eastAsia="方正楷体_GBK" w:cs="Times New Roman"/>
          <w:color w:val="auto"/>
          <w:sz w:val="32"/>
          <w:highlight w:val="none"/>
        </w:rPr>
      </w:pPr>
      <w:bookmarkStart w:id="544" w:name="_Toc1073532957"/>
      <w:bookmarkStart w:id="545" w:name="_Toc1059651576"/>
      <w:bookmarkStart w:id="546" w:name="_Toc5768"/>
      <w:bookmarkStart w:id="547" w:name="_Toc27253"/>
      <w:bookmarkStart w:id="548" w:name="_Toc21543"/>
      <w:bookmarkStart w:id="549" w:name="_Toc19475"/>
      <w:bookmarkStart w:id="550" w:name="_Toc14026"/>
      <w:bookmarkStart w:id="551" w:name="_Toc1594514140"/>
      <w:bookmarkStart w:id="552" w:name="_Toc3743"/>
      <w:bookmarkStart w:id="553" w:name="_Toc14340"/>
      <w:bookmarkStart w:id="554" w:name="_Toc21613"/>
      <w:bookmarkStart w:id="555" w:name="_Toc25009"/>
      <w:r>
        <w:rPr>
          <w:rFonts w:hint="eastAsia" w:ascii="Times New Roman" w:hAnsi="Times New Roman" w:eastAsia="方正楷体_GBK" w:cs="Times New Roman"/>
          <w:color w:val="auto"/>
          <w:sz w:val="32"/>
          <w:highlight w:val="none"/>
        </w:rPr>
        <w:t>第一节 强化新型数字基础设施建设</w:t>
      </w:r>
      <w:bookmarkEnd w:id="544"/>
      <w:bookmarkEnd w:id="545"/>
      <w:bookmarkEnd w:id="546"/>
      <w:bookmarkEnd w:id="547"/>
      <w:bookmarkEnd w:id="548"/>
      <w:bookmarkEnd w:id="549"/>
      <w:bookmarkEnd w:id="550"/>
    </w:p>
    <w:p w14:paraId="6F3BE19B">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bookmarkStart w:id="556" w:name="_Toc3251"/>
      <w:r>
        <w:rPr>
          <w:rFonts w:hint="eastAsia" w:ascii="Times New Roman" w:hAnsi="Times New Roman" w:eastAsia="方正仿宋_GBK" w:cs="Times New Roman"/>
          <w:color w:val="auto"/>
          <w:sz w:val="32"/>
          <w:szCs w:val="32"/>
          <w:highlight w:val="none"/>
        </w:rPr>
        <w:t>升级新一代通信网络基础设施，加快5G-A/6G网络规模化部署，重点推进生命岛、科学谷、科研港等科创核心片区及轨道交通沿线、产业园区周边5G-A网络深度覆盖，实现辖区重点园区、重点企业5G网络全覆盖，拓展千兆光纤网络在老旧小区、镇街区域的覆盖范围。依托中国电信西部（重庆）科学城数字产业基地，推进数据中心扩建和算力供给扩容，打造云网融合枢纽，在金凤城市中心、大学城、西永微电园等核心区域建设边缘计算中心，支撑智能交通、应急指挥、工业互联网等场景化即时应用。整合多部门感知数据，建设虚实交互的数字孪生城市平台，构建智能化数字城市治理底座。</w:t>
      </w:r>
    </w:p>
    <w:p w14:paraId="167E4CD8">
      <w:pPr>
        <w:adjustRightInd w:val="0"/>
        <w:snapToGrid w:val="0"/>
        <w:spacing w:line="600" w:lineRule="exact"/>
        <w:jc w:val="center"/>
        <w:outlineLvl w:val="2"/>
        <w:rPr>
          <w:rFonts w:ascii="Times New Roman" w:hAnsi="Times New Roman" w:eastAsia="方正楷体_GBK" w:cs="Times New Roman"/>
          <w:color w:val="auto"/>
          <w:sz w:val="32"/>
          <w:highlight w:val="none"/>
        </w:rPr>
      </w:pPr>
      <w:bookmarkStart w:id="557" w:name="_Toc3250"/>
      <w:bookmarkStart w:id="558" w:name="_Toc1858289852"/>
      <w:bookmarkStart w:id="559" w:name="_Toc13323"/>
      <w:bookmarkStart w:id="560" w:name="_Toc482153261"/>
      <w:bookmarkStart w:id="561" w:name="_Toc12604"/>
      <w:bookmarkStart w:id="562" w:name="_Toc11155"/>
      <w:r>
        <w:rPr>
          <w:rFonts w:hint="eastAsia" w:ascii="Times New Roman" w:hAnsi="Times New Roman" w:eastAsia="方正楷体_GBK" w:cs="Times New Roman"/>
          <w:color w:val="auto"/>
          <w:sz w:val="32"/>
          <w:highlight w:val="none"/>
        </w:rPr>
        <w:t xml:space="preserve">第二节 </w:t>
      </w:r>
      <w:bookmarkStart w:id="563" w:name="OLE_LINK12"/>
      <w:r>
        <w:rPr>
          <w:rFonts w:hint="eastAsia" w:ascii="Times New Roman" w:hAnsi="Times New Roman" w:eastAsia="方正楷体_GBK" w:cs="Times New Roman"/>
          <w:color w:val="auto"/>
          <w:sz w:val="32"/>
          <w:highlight w:val="none"/>
        </w:rPr>
        <w:t>提升“大综合一体化”治理能力</w:t>
      </w:r>
      <w:bookmarkEnd w:id="556"/>
      <w:bookmarkEnd w:id="557"/>
      <w:bookmarkEnd w:id="558"/>
      <w:bookmarkEnd w:id="559"/>
      <w:bookmarkEnd w:id="560"/>
      <w:bookmarkEnd w:id="561"/>
      <w:bookmarkEnd w:id="562"/>
      <w:bookmarkEnd w:id="563"/>
    </w:p>
    <w:p w14:paraId="637B836B">
      <w:pPr>
        <w:adjustRightInd w:val="0"/>
        <w:snapToGrid w:val="0"/>
        <w:spacing w:line="600" w:lineRule="exact"/>
        <w:ind w:firstLine="640" w:firstLineChars="200"/>
        <w:rPr>
          <w:rFonts w:ascii="Times New Roman" w:hAnsi="Times New Roman" w:eastAsia="方正楷体_GBK" w:cs="Times New Roman"/>
          <w:color w:val="auto"/>
          <w:sz w:val="32"/>
          <w:highlight w:val="none"/>
        </w:rPr>
      </w:pPr>
      <w:bookmarkStart w:id="564" w:name="OLE_LINK35"/>
      <w:bookmarkStart w:id="565" w:name="_Toc8629"/>
      <w:r>
        <w:rPr>
          <w:rFonts w:hint="eastAsia" w:ascii="Times New Roman" w:hAnsi="Times New Roman" w:eastAsia="方正仿宋_GBK" w:cs="Times New Roman"/>
          <w:color w:val="auto"/>
          <w:sz w:val="32"/>
          <w:szCs w:val="32"/>
          <w:highlight w:val="none"/>
        </w:rPr>
        <w:t>健全“大综合一体化”城市综合治理体制机制，构建区级统筹、横向协同、纵向贯通的城市治理新格局。健全城市规建运治一体管控机制，贯通人工智能赋能城市规建运治综合场景，实现规划建设运营治理一体管控。迭代“多规合一”国土空间规划体系，用好市国土空间数据综合信息系统（G</w:t>
      </w:r>
      <w:r>
        <w:rPr>
          <w:rFonts w:ascii="Times New Roman" w:hAnsi="Times New Roman" w:eastAsia="方正仿宋_GBK" w:cs="Times New Roman"/>
          <w:color w:val="auto"/>
          <w:sz w:val="32"/>
          <w:szCs w:val="32"/>
          <w:highlight w:val="none"/>
        </w:rPr>
        <w:t>IS</w:t>
      </w:r>
      <w:r>
        <w:rPr>
          <w:rFonts w:hint="eastAsia" w:ascii="Times New Roman" w:hAnsi="Times New Roman" w:eastAsia="方正仿宋_GBK" w:cs="Times New Roman"/>
          <w:color w:val="auto"/>
          <w:sz w:val="32"/>
          <w:szCs w:val="32"/>
          <w:highlight w:val="none"/>
        </w:rPr>
        <w:t>），贯通“挂图作战”智能体系。构建韧性可靠敏捷高效的城市安全新体系，深化行政执法一体化改革，贯通“执法+监督”应用，运用“信用+”赋能城市治理，落实信用系统与专业执法、综合执法一体关联。</w:t>
      </w:r>
      <w:bookmarkEnd w:id="564"/>
      <w:r>
        <w:rPr>
          <w:rFonts w:hint="eastAsia" w:ascii="Times New Roman" w:hAnsi="Times New Roman" w:eastAsia="方正仿宋_GBK" w:cs="Times New Roman"/>
          <w:color w:val="auto"/>
          <w:sz w:val="32"/>
          <w:szCs w:val="32"/>
          <w:highlight w:val="none"/>
        </w:rPr>
        <w:t>到2030年，“水电气讯路桥隧轨”数字化管理率达96%。</w:t>
      </w:r>
      <w:bookmarkStart w:id="566" w:name="_Toc806"/>
      <w:bookmarkStart w:id="567" w:name="_Toc26263"/>
      <w:bookmarkStart w:id="568" w:name="_Toc30348"/>
    </w:p>
    <w:p w14:paraId="6CBFD70E">
      <w:pPr>
        <w:adjustRightInd w:val="0"/>
        <w:snapToGrid w:val="0"/>
        <w:spacing w:line="600" w:lineRule="exact"/>
        <w:jc w:val="center"/>
        <w:outlineLvl w:val="2"/>
        <w:rPr>
          <w:rFonts w:ascii="Times New Roman" w:hAnsi="Times New Roman" w:eastAsia="方正楷体_GBK" w:cs="Times New Roman"/>
          <w:color w:val="auto"/>
          <w:sz w:val="32"/>
          <w:highlight w:val="none"/>
        </w:rPr>
      </w:pPr>
      <w:bookmarkStart w:id="569" w:name="_Toc1422864243"/>
      <w:bookmarkStart w:id="570" w:name="_Toc11191"/>
      <w:bookmarkStart w:id="571" w:name="_Toc1094057496"/>
      <w:r>
        <w:rPr>
          <w:rFonts w:hint="eastAsia" w:ascii="Times New Roman" w:hAnsi="Times New Roman" w:eastAsia="方正楷体_GBK" w:cs="Times New Roman"/>
          <w:color w:val="auto"/>
          <w:sz w:val="32"/>
          <w:highlight w:val="none"/>
        </w:rPr>
        <w:t>第三节</w:t>
      </w:r>
      <w:bookmarkStart w:id="572" w:name="OLE_LINK16"/>
      <w:r>
        <w:rPr>
          <w:rFonts w:hint="eastAsia" w:ascii="Times New Roman" w:hAnsi="Times New Roman" w:eastAsia="方正楷体_GBK" w:cs="Times New Roman"/>
          <w:color w:val="auto"/>
          <w:sz w:val="32"/>
          <w:highlight w:val="none"/>
        </w:rPr>
        <w:t xml:space="preserve"> 迭代升级“AI+城市治理”模式</w:t>
      </w:r>
      <w:bookmarkEnd w:id="565"/>
      <w:bookmarkEnd w:id="566"/>
      <w:bookmarkEnd w:id="567"/>
      <w:bookmarkEnd w:id="568"/>
      <w:bookmarkEnd w:id="569"/>
      <w:bookmarkEnd w:id="570"/>
      <w:bookmarkEnd w:id="571"/>
      <w:bookmarkEnd w:id="572"/>
    </w:p>
    <w:bookmarkEnd w:id="551"/>
    <w:bookmarkEnd w:id="552"/>
    <w:bookmarkEnd w:id="553"/>
    <w:bookmarkEnd w:id="554"/>
    <w:bookmarkEnd w:id="555"/>
    <w:p w14:paraId="40DFF82B">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bookmarkStart w:id="573" w:name="OLE_LINK11"/>
      <w:r>
        <w:rPr>
          <w:rFonts w:hint="eastAsia" w:ascii="Times New Roman" w:hAnsi="Times New Roman" w:eastAsia="方正仿宋_GBK" w:cs="Times New Roman"/>
          <w:color w:val="auto"/>
          <w:sz w:val="32"/>
          <w:szCs w:val="32"/>
          <w:highlight w:val="none"/>
        </w:rPr>
        <w:t>实施“人工智能+城市治理”提升工程，围绕城市规划建设、社区治理、交通智慧管理、生态环境监管等重点领域，建设高能级城市运行和治理中心中枢，强化数字化城市运行和治理中心主轴功能，健全感知预警、决策处置、监督评价、复盘改进闭环工作体系，迭代</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八大板块</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及跑道矩阵，构建城市运行生命体征指标体系和关键绩效指标体系，完善“全灾种、全覆盖、扁平化、可视化”融合通信体系，落实数字驾驶舱体系。探索推进城市发展、服务、安全、治理等重点工作基于治理中心全量部署、统筹调度，推动构建区、镇街高效衔接、整体智治的指挥作战体系和落地执行体系，全面提升各级各部门围绕主轴高效协同的数智化治理能力。</w:t>
      </w:r>
    </w:p>
    <w:bookmarkEnd w:id="440"/>
    <w:bookmarkEnd w:id="441"/>
    <w:bookmarkEnd w:id="442"/>
    <w:bookmarkEnd w:id="443"/>
    <w:bookmarkEnd w:id="444"/>
    <w:bookmarkEnd w:id="573"/>
    <w:p w14:paraId="7C8713D4">
      <w:pPr>
        <w:rPr>
          <w:rFonts w:ascii="Times New Roman" w:hAnsi="Times New Roman" w:eastAsia="方正黑体_GBK" w:cs="方正黑体_GBK"/>
          <w:color w:val="auto"/>
          <w:sz w:val="32"/>
          <w:szCs w:val="32"/>
          <w:highlight w:val="none"/>
        </w:rPr>
      </w:pPr>
    </w:p>
    <w:p w14:paraId="1C2E2AD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方正黑体_GBK" w:cs="方正黑体_GBK"/>
          <w:color w:val="auto"/>
          <w:sz w:val="32"/>
          <w:szCs w:val="32"/>
          <w:highlight w:val="none"/>
          <w:lang w:val="en-US" w:eastAsia="zh-CN"/>
        </w:rPr>
      </w:pPr>
      <w:bookmarkStart w:id="574" w:name="_Toc1848922756"/>
      <w:bookmarkStart w:id="575" w:name="_Toc1069349658"/>
      <w:r>
        <w:rPr>
          <w:rFonts w:hint="eastAsia" w:ascii="Times New Roman" w:hAnsi="Times New Roman" w:eastAsia="方正黑体_GBK" w:cs="方正黑体_GBK"/>
          <w:color w:val="auto"/>
          <w:sz w:val="32"/>
          <w:szCs w:val="32"/>
          <w:highlight w:val="none"/>
        </w:rPr>
        <w:br w:type="page"/>
      </w:r>
      <w:bookmarkStart w:id="576" w:name="_Toc1701045038"/>
      <w:bookmarkStart w:id="577" w:name="_Toc1429614027"/>
      <w:bookmarkStart w:id="578" w:name="_Toc25944"/>
      <w:r>
        <w:rPr>
          <w:rFonts w:hint="eastAsia" w:ascii="Times New Roman" w:hAnsi="Times New Roman" w:eastAsia="方正黑体_GBK" w:cs="方正黑体_GBK"/>
          <w:color w:val="auto"/>
          <w:sz w:val="32"/>
          <w:szCs w:val="32"/>
          <w:highlight w:val="none"/>
        </w:rPr>
        <w:t>第</w:t>
      </w:r>
      <w:r>
        <w:rPr>
          <w:rFonts w:hint="eastAsia" w:ascii="Times New Roman" w:hAnsi="Times New Roman" w:eastAsia="方正黑体_GBK" w:cs="方正黑体_GBK"/>
          <w:color w:val="auto"/>
          <w:sz w:val="32"/>
          <w:szCs w:val="32"/>
          <w:highlight w:val="none"/>
          <w:lang w:val="en-US" w:eastAsia="zh-CN"/>
        </w:rPr>
        <w:t>五</w:t>
      </w:r>
      <w:r>
        <w:rPr>
          <w:rFonts w:hint="eastAsia" w:ascii="Times New Roman" w:hAnsi="Times New Roman" w:eastAsia="方正黑体_GBK" w:cs="方正黑体_GBK"/>
          <w:color w:val="auto"/>
          <w:sz w:val="32"/>
          <w:szCs w:val="32"/>
          <w:highlight w:val="none"/>
        </w:rPr>
        <w:t>篇 落实扩大内需战略 大力提振消费扩大有效投资</w:t>
      </w:r>
      <w:bookmarkEnd w:id="576"/>
      <w:bookmarkEnd w:id="577"/>
      <w:bookmarkEnd w:id="578"/>
    </w:p>
    <w:p w14:paraId="0964441D">
      <w:pPr>
        <w:overflowPunct w:val="0"/>
        <w:adjustRightInd w:val="0"/>
        <w:snapToGrid w:val="0"/>
        <w:spacing w:line="600" w:lineRule="exact"/>
        <w:ind w:firstLine="640" w:firstLineChars="200"/>
        <w:rPr>
          <w:rFonts w:ascii="Times New Roman" w:hAnsi="Times New Roman" w:eastAsia="方正仿宋_GBK" w:cs="Times New Roman"/>
          <w:color w:val="auto"/>
          <w:sz w:val="32"/>
          <w:szCs w:val="32"/>
          <w:highlight w:val="none"/>
        </w:rPr>
      </w:pPr>
    </w:p>
    <w:p w14:paraId="166754EA">
      <w:pPr>
        <w:adjustRightInd w:val="0"/>
        <w:snapToGrid w:val="0"/>
        <w:spacing w:line="600" w:lineRule="exact"/>
        <w:ind w:firstLine="640" w:firstLineChars="200"/>
        <w:textAlignment w:val="baseline"/>
        <w:rPr>
          <w:rFonts w:ascii="Times New Roman" w:hAnsi="Times New Roman" w:eastAsia="方正仿宋_GBK" w:cs="Times New Roman"/>
          <w:bCs/>
          <w:color w:val="auto"/>
          <w:kern w:val="0"/>
          <w:sz w:val="32"/>
          <w:szCs w:val="32"/>
          <w:highlight w:val="none"/>
        </w:rPr>
      </w:pPr>
      <w:r>
        <w:rPr>
          <w:rFonts w:hint="eastAsia" w:ascii="Times New Roman" w:hAnsi="Times New Roman" w:eastAsia="方正仿宋_GBK" w:cs="Times New Roman"/>
          <w:bCs/>
          <w:color w:val="auto"/>
          <w:kern w:val="0"/>
          <w:sz w:val="32"/>
          <w:szCs w:val="32"/>
          <w:highlight w:val="none"/>
        </w:rPr>
        <w:t>坚持惠民生和促消费、投资于物和投资于人紧密结合，</w:t>
      </w:r>
      <w:r>
        <w:rPr>
          <w:rFonts w:hint="eastAsia" w:ascii="Times New Roman" w:hAnsi="Times New Roman" w:eastAsia="方正仿宋_GBK" w:cs="Times New Roman"/>
          <w:bCs/>
          <w:color w:val="auto"/>
          <w:kern w:val="0"/>
          <w:sz w:val="32"/>
          <w:szCs w:val="32"/>
          <w:highlight w:val="none"/>
          <w:lang w:val="en-US" w:eastAsia="zh-CN"/>
        </w:rPr>
        <w:t>突出“科产城”深度融合特色，持续扩大有效投资规模，深度融入全国统一大市场建设，促进消费与投资双向赋能、协同发力。</w:t>
      </w:r>
    </w:p>
    <w:p w14:paraId="3136E3F7">
      <w:pPr>
        <w:adjustRightInd w:val="0"/>
        <w:snapToGrid w:val="0"/>
        <w:spacing w:line="600" w:lineRule="exact"/>
        <w:ind w:firstLine="640" w:firstLineChars="200"/>
        <w:textAlignment w:val="baseline"/>
        <w:rPr>
          <w:rFonts w:ascii="Times New Roman" w:hAnsi="Times New Roman" w:eastAsia="方正仿宋_GBK" w:cs="Times New Roman"/>
          <w:bCs/>
          <w:color w:val="auto"/>
          <w:kern w:val="0"/>
          <w:sz w:val="32"/>
          <w:szCs w:val="32"/>
          <w:highlight w:val="none"/>
        </w:rPr>
      </w:pPr>
    </w:p>
    <w:p w14:paraId="570BEBD1">
      <w:pPr>
        <w:numPr>
          <w:ilvl w:val="-1"/>
          <w:numId w:val="0"/>
        </w:numPr>
        <w:overflowPunct w:val="0"/>
        <w:adjustRightInd w:val="0"/>
        <w:snapToGrid w:val="0"/>
        <w:spacing w:line="600" w:lineRule="exact"/>
        <w:jc w:val="center"/>
        <w:outlineLvl w:val="1"/>
        <w:rPr>
          <w:rFonts w:hint="eastAsia" w:ascii="Times New Roman" w:hAnsi="Times New Roman" w:eastAsia="方正黑体_GBK" w:cs="方正黑体_GBK"/>
          <w:color w:val="auto"/>
          <w:sz w:val="32"/>
          <w:szCs w:val="32"/>
          <w:highlight w:val="none"/>
        </w:rPr>
      </w:pPr>
      <w:bookmarkStart w:id="579" w:name="_Toc1475909153"/>
      <w:bookmarkStart w:id="580" w:name="_Toc15544"/>
      <w:bookmarkStart w:id="581" w:name="_Toc14161155"/>
      <w:r>
        <w:rPr>
          <w:rFonts w:hint="eastAsia" w:ascii="Times New Roman" w:hAnsi="Times New Roman" w:eastAsia="方正黑体_GBK" w:cs="方正黑体_GBK"/>
          <w:color w:val="auto"/>
          <w:sz w:val="32"/>
          <w:szCs w:val="32"/>
          <w:highlight w:val="none"/>
          <w:lang w:val="en-US" w:eastAsia="zh-CN"/>
        </w:rPr>
        <w:t>第一章 支撑打造</w:t>
      </w:r>
      <w:r>
        <w:rPr>
          <w:rFonts w:hint="eastAsia" w:ascii="Times New Roman" w:hAnsi="Times New Roman" w:eastAsia="方正黑体_GBK" w:cs="方正黑体_GBK"/>
          <w:color w:val="auto"/>
          <w:sz w:val="32"/>
          <w:szCs w:val="32"/>
          <w:highlight w:val="none"/>
        </w:rPr>
        <w:t>国际消费中心城市</w:t>
      </w:r>
      <w:bookmarkEnd w:id="579"/>
      <w:bookmarkEnd w:id="580"/>
      <w:bookmarkEnd w:id="581"/>
    </w:p>
    <w:p w14:paraId="27BF1F70">
      <w:pPr>
        <w:numPr>
          <w:ilvl w:val="0"/>
          <w:numId w:val="0"/>
        </w:numPr>
        <w:adjustRightInd w:val="0"/>
        <w:snapToGrid w:val="0"/>
        <w:spacing w:line="600" w:lineRule="exact"/>
        <w:ind w:firstLine="640" w:firstLineChars="200"/>
        <w:jc w:val="left"/>
        <w:textAlignment w:val="baseline"/>
        <w:outlineLvl w:val="9"/>
        <w:rPr>
          <w:rFonts w:hint="eastAsia" w:ascii="Times New Roman" w:hAnsi="Times New Roman" w:eastAsia="方正楷体_GBK" w:cs="方正楷体_GBK"/>
          <w:color w:val="auto"/>
          <w:sz w:val="32"/>
          <w:szCs w:val="32"/>
          <w:highlight w:val="none"/>
          <w:lang w:val="en-US" w:eastAsia="zh-CN" w:bidi="ar"/>
        </w:rPr>
      </w:pPr>
      <w:r>
        <w:rPr>
          <w:rFonts w:hint="eastAsia" w:ascii="Times New Roman" w:hAnsi="Times New Roman" w:eastAsia="方正仿宋_GBK" w:cs="Times New Roman"/>
          <w:color w:val="auto"/>
          <w:sz w:val="32"/>
          <w:szCs w:val="32"/>
          <w:highlight w:val="none"/>
          <w:lang w:val="en-US" w:eastAsia="zh-CN"/>
        </w:rPr>
        <w:t>优化大众消费、品质消费、高端消费供给，培育消费新业态新模式新场景，深化科文商旅融合发展，打造一批主题鲜明、体验独特的标志性消费场景、打卡目的地与消费集聚区，支撑全市打造国际消费中心城市。</w:t>
      </w:r>
      <w:bookmarkStart w:id="582" w:name="_Toc21527974"/>
      <w:bookmarkStart w:id="583" w:name="_Toc1783330915"/>
    </w:p>
    <w:p w14:paraId="0D92E9C4">
      <w:pPr>
        <w:numPr>
          <w:ilvl w:val="255"/>
          <w:numId w:val="0"/>
        </w:numPr>
        <w:overflowPunct w:val="0"/>
        <w:adjustRightInd w:val="0"/>
        <w:snapToGrid w:val="0"/>
        <w:spacing w:line="600" w:lineRule="exact"/>
        <w:ind w:firstLine="0" w:firstLineChars="0"/>
        <w:jc w:val="center"/>
        <w:textAlignment w:val="auto"/>
        <w:outlineLvl w:val="2"/>
        <w:rPr>
          <w:rFonts w:hint="eastAsia" w:ascii="Times New Roman" w:hAnsi="Times New Roman" w:eastAsia="方正楷体_GBK" w:cs="方正楷体_GBK"/>
          <w:color w:val="auto"/>
          <w:sz w:val="32"/>
          <w:szCs w:val="32"/>
          <w:highlight w:val="none"/>
        </w:rPr>
      </w:pPr>
      <w:bookmarkStart w:id="584" w:name="_Toc14140"/>
      <w:r>
        <w:rPr>
          <w:rFonts w:hint="eastAsia" w:ascii="Times New Roman" w:hAnsi="Times New Roman" w:eastAsia="方正楷体_GBK" w:cs="方正楷体_GBK"/>
          <w:color w:val="auto"/>
          <w:sz w:val="32"/>
          <w:szCs w:val="32"/>
          <w:highlight w:val="none"/>
          <w:lang w:val="en-US" w:eastAsia="zh-CN" w:bidi="ar"/>
        </w:rPr>
        <w:t xml:space="preserve">第一节 </w:t>
      </w:r>
      <w:r>
        <w:rPr>
          <w:rFonts w:hint="eastAsia" w:ascii="Times New Roman" w:hAnsi="Times New Roman" w:eastAsia="方正楷体_GBK" w:cs="方正楷体_GBK"/>
          <w:color w:val="auto"/>
          <w:sz w:val="32"/>
          <w:szCs w:val="32"/>
          <w:highlight w:val="none"/>
          <w:lang w:bidi="ar"/>
        </w:rPr>
        <w:t>打造“1+2+N”消费集聚区</w:t>
      </w:r>
      <w:bookmarkEnd w:id="582"/>
      <w:bookmarkEnd w:id="583"/>
      <w:bookmarkEnd w:id="584"/>
    </w:p>
    <w:p w14:paraId="1F342034">
      <w:pPr>
        <w:adjustRightInd w:val="0"/>
        <w:snapToGrid w:val="0"/>
        <w:spacing w:line="600" w:lineRule="exact"/>
        <w:ind w:firstLine="640" w:firstLineChars="200"/>
        <w:textAlignment w:val="baseline"/>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推动构建金凤城市中心城市级商业主中心，大学城商业集聚区和西永商业集聚区两个片区级商业副中心，曾家、走马、白市驿、石板—巴福等N个社区级商业节点的“1+2+N”全域商业空间格局。打造金凤城市中心商业主中心，</w:t>
      </w:r>
      <w:r>
        <w:rPr>
          <w:rFonts w:hint="eastAsia" w:ascii="Times New Roman" w:hAnsi="Times New Roman" w:eastAsia="方正仿宋_GBK" w:cs="Times New Roman"/>
          <w:color w:val="auto"/>
          <w:sz w:val="32"/>
          <w:szCs w:val="32"/>
          <w:highlight w:val="none"/>
          <w:lang w:val="en-US" w:eastAsia="zh-CN"/>
        </w:rPr>
        <w:t>提质建设</w:t>
      </w:r>
      <w:r>
        <w:rPr>
          <w:rFonts w:hint="eastAsia" w:ascii="Times New Roman" w:hAnsi="Times New Roman" w:eastAsia="方正仿宋_GBK" w:cs="Times New Roman"/>
          <w:color w:val="auto"/>
          <w:sz w:val="32"/>
          <w:szCs w:val="32"/>
          <w:highlight w:val="none"/>
        </w:rPr>
        <w:t>环科学会堂、科学谷等区域，打造数字总部办公区、服务贸易总部长廊、科学里等重点商业载体空间，引入高端商业商务、科技金融、国际交流、文化休闲等业态，建设集品质消费、科创体验、文化休闲于一体的现代化商业地标。</w:t>
      </w:r>
    </w:p>
    <w:p w14:paraId="04F67AF8">
      <w:pPr>
        <w:adjustRightInd w:val="0"/>
        <w:snapToGrid w:val="0"/>
        <w:spacing w:line="600" w:lineRule="exact"/>
        <w:ind w:firstLine="640" w:firstLineChars="200"/>
        <w:textAlignment w:val="baseline"/>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打造大学城商业集聚区，围绕既有</w:t>
      </w:r>
      <w:r>
        <w:rPr>
          <w:rFonts w:hint="eastAsia" w:ascii="Times New Roman" w:hAnsi="Times New Roman" w:eastAsia="方正仿宋_GBK" w:cs="Times New Roman"/>
          <w:color w:val="auto"/>
          <w:sz w:val="32"/>
          <w:szCs w:val="32"/>
          <w:highlight w:val="none"/>
          <w:lang w:val="en-US" w:eastAsia="zh-CN"/>
        </w:rPr>
        <w:t>商业</w:t>
      </w:r>
      <w:r>
        <w:rPr>
          <w:rFonts w:hint="eastAsia" w:ascii="Times New Roman" w:hAnsi="Times New Roman" w:eastAsia="方正仿宋_GBK" w:cs="Times New Roman"/>
          <w:color w:val="auto"/>
          <w:sz w:val="32"/>
          <w:szCs w:val="32"/>
          <w:highlight w:val="none"/>
        </w:rPr>
        <w:t>载体，发挥独特文化、艺术、创新优势，大力发展谷子经济、潮玩经济、美丽经济，打造面向年轻群体的文化艺术消费中心。</w:t>
      </w:r>
    </w:p>
    <w:p w14:paraId="5FE42F63">
      <w:pPr>
        <w:adjustRightInd w:val="0"/>
        <w:snapToGrid w:val="0"/>
        <w:spacing w:line="600" w:lineRule="exact"/>
        <w:ind w:firstLine="640" w:firstLineChars="200"/>
        <w:textAlignment w:val="baseline"/>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壮大西永商业集聚区，推动传统购物型商圈转型升级，汇聚零售、餐饮、专卖店、超市、酒店等多元功能，发展智慧商圈、智慧街区、智慧门店等新模式，打造线上线下融合消费新场景。</w:t>
      </w:r>
    </w:p>
    <w:p w14:paraId="426AE9A7">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引导曾家、走马、白市驿、石板—巴福等商业节点完善购物、餐饮、娱乐、休闲等基本功能，搭建层级清晰、业态互补、活力多元的消费生态体系。</w:t>
      </w:r>
    </w:p>
    <w:p w14:paraId="12EB6C46">
      <w:pPr>
        <w:numPr>
          <w:ilvl w:val="255"/>
          <w:numId w:val="0"/>
        </w:numPr>
        <w:overflowPunct w:val="0"/>
        <w:adjustRightInd w:val="0"/>
        <w:snapToGrid w:val="0"/>
        <w:spacing w:line="600" w:lineRule="exact"/>
        <w:ind w:firstLine="0" w:firstLineChars="0"/>
        <w:jc w:val="center"/>
        <w:textAlignment w:val="auto"/>
        <w:outlineLvl w:val="2"/>
        <w:rPr>
          <w:rFonts w:hint="eastAsia" w:ascii="Times New Roman" w:hAnsi="Times New Roman" w:eastAsia="方正楷体_GBK" w:cs="方正楷体_GBK"/>
          <w:color w:val="auto"/>
          <w:sz w:val="32"/>
          <w:szCs w:val="32"/>
          <w:highlight w:val="none"/>
        </w:rPr>
      </w:pPr>
      <w:bookmarkStart w:id="585" w:name="_Toc13427226"/>
      <w:bookmarkStart w:id="586" w:name="_Toc23930"/>
      <w:bookmarkStart w:id="587" w:name="_Toc1043406322"/>
      <w:r>
        <w:rPr>
          <w:rFonts w:hint="eastAsia" w:ascii="Times New Roman" w:hAnsi="Times New Roman" w:eastAsia="方正楷体_GBK" w:cs="方正楷体_GBK"/>
          <w:color w:val="auto"/>
          <w:sz w:val="32"/>
          <w:szCs w:val="32"/>
          <w:highlight w:val="none"/>
          <w:lang w:val="en-US" w:eastAsia="zh-CN" w:bidi="ar"/>
        </w:rPr>
        <w:t>第二节 建设一批标志性城市打卡目的地</w:t>
      </w:r>
      <w:bookmarkEnd w:id="585"/>
      <w:bookmarkEnd w:id="586"/>
      <w:bookmarkEnd w:id="587"/>
    </w:p>
    <w:p w14:paraId="5572D7EB">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深度挖掘整合科创、艺术、文化、生态四类核心资源，</w:t>
      </w:r>
      <w:r>
        <w:rPr>
          <w:rFonts w:ascii="Times New Roman" w:hAnsi="Times New Roman" w:eastAsia="方正仿宋_GBK" w:cs="Times New Roman"/>
          <w:color w:val="auto"/>
          <w:sz w:val="32"/>
          <w:szCs w:val="32"/>
          <w:highlight w:val="none"/>
        </w:rPr>
        <w:t>建设</w:t>
      </w:r>
      <w:r>
        <w:rPr>
          <w:rFonts w:hint="eastAsia" w:ascii="Times New Roman" w:hAnsi="Times New Roman" w:eastAsia="方正仿宋_GBK" w:cs="Times New Roman"/>
          <w:color w:val="auto"/>
          <w:sz w:val="32"/>
          <w:szCs w:val="32"/>
          <w:highlight w:val="none"/>
        </w:rPr>
        <w:t>一批标志性城市打卡目的地。分类培育特色打卡场景，科创类重点依托重大科技基础设施、</w:t>
      </w:r>
      <w:r>
        <w:rPr>
          <w:rFonts w:hint="eastAsia" w:ascii="Times New Roman" w:hAnsi="Times New Roman" w:eastAsia="方正仿宋_GBK" w:cs="Times New Roman"/>
          <w:color w:val="auto"/>
          <w:sz w:val="32"/>
          <w:szCs w:val="32"/>
          <w:highlight w:val="none"/>
          <w:lang w:val="en-US" w:eastAsia="zh-CN"/>
        </w:rPr>
        <w:t>重庆</w:t>
      </w:r>
      <w:r>
        <w:rPr>
          <w:rFonts w:hint="eastAsia" w:ascii="Times New Roman" w:hAnsi="Times New Roman" w:eastAsia="方正仿宋_GBK" w:cs="Times New Roman"/>
          <w:color w:val="auto"/>
          <w:sz w:val="32"/>
          <w:szCs w:val="32"/>
          <w:highlight w:val="none"/>
        </w:rPr>
        <w:t>实验室、前沿技术研究院等载体，打造科技成果展示馆、未来科技体验中心等沉浸式场景。艺术类聚焦高校美术馆等平台，引入先锋艺术展览、光影艺术装置等业态。文化类深挖走马古镇非遗文化、</w:t>
      </w:r>
      <w:r>
        <w:rPr>
          <w:rFonts w:hint="eastAsia" w:ascii="方正仿宋_GBK" w:hAnsi="方正仿宋_GBK" w:eastAsia="方正仿宋_GBK" w:cs="方正仿宋_GBK"/>
          <w:color w:val="auto"/>
          <w:sz w:val="32"/>
          <w:szCs w:val="32"/>
          <w:highlight w:val="none"/>
        </w:rPr>
        <w:t>走马镇曲艺特色文化、</w:t>
      </w:r>
      <w:r>
        <w:rPr>
          <w:rFonts w:hint="eastAsia" w:ascii="Times New Roman" w:hAnsi="Times New Roman" w:eastAsia="方正仿宋_GBK" w:cs="Times New Roman"/>
          <w:color w:val="auto"/>
          <w:sz w:val="32"/>
          <w:szCs w:val="32"/>
          <w:highlight w:val="none"/>
        </w:rPr>
        <w:t>机车小镇工业文化等资源，打造民俗体验街区、工业风文创聚落。生态类串联河湖绿地和慢行步道等打造景观节点。</w:t>
      </w:r>
    </w:p>
    <w:p w14:paraId="4B25FBDA">
      <w:pPr>
        <w:widowControl/>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专栏2</w:t>
      </w:r>
      <w:r>
        <w:rPr>
          <w:rFonts w:hint="eastAsia" w:ascii="Times New Roman" w:hAnsi="Times New Roman" w:eastAsia="方正黑体_GBK" w:cs="方正黑体_GBK"/>
          <w:color w:val="auto"/>
          <w:kern w:val="0"/>
          <w:sz w:val="32"/>
          <w:szCs w:val="32"/>
          <w:highlight w:val="none"/>
          <w:u w:val="none"/>
          <w:lang w:val="en-US" w:eastAsia="zh-CN" w:bidi="ar"/>
        </w:rPr>
        <w:t>8</w:t>
      </w:r>
      <w:r>
        <w:rPr>
          <w:rFonts w:hint="eastAsia" w:ascii="Times New Roman" w:hAnsi="Times New Roman" w:eastAsia="方正黑体_GBK" w:cs="方正黑体_GBK"/>
          <w:color w:val="auto"/>
          <w:kern w:val="0"/>
          <w:sz w:val="32"/>
          <w:szCs w:val="32"/>
          <w:highlight w:val="none"/>
          <w:u w:val="none"/>
          <w:lang w:bidi="ar"/>
        </w:rPr>
        <w:t xml:space="preserve"> 城市打卡</w:t>
      </w:r>
      <w:r>
        <w:rPr>
          <w:rFonts w:hint="eastAsia" w:ascii="Times New Roman" w:hAnsi="Times New Roman" w:eastAsia="方正黑体_GBK" w:cs="方正黑体_GBK"/>
          <w:color w:val="auto"/>
          <w:kern w:val="0"/>
          <w:sz w:val="32"/>
          <w:szCs w:val="32"/>
          <w:highlight w:val="none"/>
          <w:u w:val="none"/>
          <w:lang w:val="en-US" w:eastAsia="zh-CN" w:bidi="ar"/>
        </w:rPr>
        <w:t>目的地</w:t>
      </w:r>
      <w:r>
        <w:rPr>
          <w:rFonts w:hint="eastAsia" w:ascii="Times New Roman" w:hAnsi="Times New Roman" w:eastAsia="方正黑体_GBK" w:cs="方正黑体_GBK"/>
          <w:color w:val="auto"/>
          <w:kern w:val="0"/>
          <w:sz w:val="32"/>
          <w:szCs w:val="32"/>
          <w:highlight w:val="none"/>
          <w:u w:val="none"/>
          <w:lang w:bidi="ar"/>
        </w:rPr>
        <w:t>重点项目</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5B26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01A5B372">
            <w:pPr>
              <w:pStyle w:val="38"/>
              <w:spacing w:line="380" w:lineRule="exact"/>
              <w:rPr>
                <w:rFonts w:hint="eastAsia" w:ascii="方正书宋_GBK" w:hAnsi="方正书宋_GBK" w:eastAsia="方正书宋_GBK" w:cs="方正书宋_GBK"/>
                <w:color w:val="auto"/>
                <w:kern w:val="0"/>
                <w:sz w:val="24"/>
                <w:highlight w:val="none"/>
                <w:lang w:bidi="ar-SA"/>
              </w:rPr>
            </w:pPr>
            <w:r>
              <w:rPr>
                <w:rFonts w:hint="eastAsia" w:ascii="Times New Roman" w:hAnsi="Times New Roman" w:eastAsia="方正黑体_GBK" w:cs="方正黑体_GBK"/>
                <w:color w:val="auto"/>
                <w:kern w:val="0"/>
                <w:sz w:val="24"/>
                <w:highlight w:val="none"/>
                <w:u w:val="none"/>
                <w:lang w:val="en-US" w:eastAsia="zh-CN" w:bidi="ar-SA"/>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科创类。</w:t>
            </w:r>
            <w:r>
              <w:rPr>
                <w:rFonts w:hint="eastAsia" w:ascii="方正书宋_GBK" w:hAnsi="方正书宋_GBK" w:eastAsia="方正书宋_GBK" w:cs="方正书宋_GBK"/>
                <w:color w:val="auto"/>
                <w:kern w:val="0"/>
                <w:sz w:val="24"/>
                <w:highlight w:val="none"/>
                <w:lang w:bidi="ar-SA"/>
              </w:rPr>
              <w:t>科技观光目的地。依托超瞬态实验装置、嘉陵江实验室、</w:t>
            </w:r>
            <w:r>
              <w:rPr>
                <w:rFonts w:hint="eastAsia" w:ascii="方正书宋_GBK" w:hAnsi="方正书宋_GBK" w:eastAsia="方正书宋_GBK" w:cs="方正书宋_GBK"/>
                <w:color w:val="auto"/>
                <w:kern w:val="0"/>
                <w:sz w:val="24"/>
                <w:highlight w:val="none"/>
                <w:lang w:val="en-US" w:eastAsia="zh-CN" w:bidi="ar-SA"/>
              </w:rPr>
              <w:t>金凤实验室</w:t>
            </w:r>
            <w:r>
              <w:rPr>
                <w:rFonts w:hint="eastAsia" w:ascii="方正书宋_GBK" w:hAnsi="方正书宋_GBK" w:eastAsia="方正书宋_GBK" w:cs="方正书宋_GBK"/>
                <w:color w:val="auto"/>
                <w:kern w:val="0"/>
                <w:sz w:val="24"/>
                <w:highlight w:val="none"/>
                <w:lang w:bidi="ar-SA"/>
              </w:rPr>
              <w:t>等大装置、大平台，打造集科技、文化、体验为一体的科技旅游目的地。科学会堂。依托山水相融的现代建筑风貌，打造具有科技主题展陈、科创光影</w:t>
            </w:r>
            <w:r>
              <w:rPr>
                <w:rFonts w:hint="eastAsia" w:ascii="方正书宋_GBK" w:hAnsi="方正书宋_GBK" w:eastAsia="方正书宋_GBK" w:cs="方正书宋_GBK"/>
                <w:color w:val="auto"/>
                <w:kern w:val="0"/>
                <w:sz w:val="24"/>
                <w:highlight w:val="none"/>
                <w:lang w:val="en-US" w:eastAsia="zh-CN" w:bidi="ar-SA"/>
              </w:rPr>
              <w:t>展示</w:t>
            </w:r>
            <w:r>
              <w:rPr>
                <w:rFonts w:hint="eastAsia" w:ascii="方正书宋_GBK" w:hAnsi="方正书宋_GBK" w:eastAsia="方正书宋_GBK" w:cs="方正书宋_GBK"/>
                <w:color w:val="auto"/>
                <w:kern w:val="0"/>
                <w:sz w:val="24"/>
                <w:highlight w:val="none"/>
                <w:lang w:bidi="ar-SA"/>
              </w:rPr>
              <w:t>等科创</w:t>
            </w:r>
            <w:r>
              <w:rPr>
                <w:rFonts w:hint="eastAsia" w:ascii="方正书宋_GBK" w:hAnsi="方正书宋_GBK" w:eastAsia="方正书宋_GBK" w:cs="方正书宋_GBK"/>
                <w:color w:val="auto"/>
                <w:kern w:val="0"/>
                <w:sz w:val="24"/>
                <w:highlight w:val="none"/>
                <w:lang w:val="en-US" w:eastAsia="zh-CN" w:bidi="ar-SA"/>
              </w:rPr>
              <w:t>功能</w:t>
            </w:r>
            <w:r>
              <w:rPr>
                <w:rFonts w:hint="eastAsia" w:ascii="方正书宋_GBK" w:hAnsi="方正书宋_GBK" w:eastAsia="方正书宋_GBK" w:cs="方正书宋_GBK"/>
                <w:color w:val="auto"/>
                <w:kern w:val="0"/>
                <w:sz w:val="24"/>
                <w:highlight w:val="none"/>
                <w:lang w:bidi="ar-SA"/>
              </w:rPr>
              <w:t>的特色地标。</w:t>
            </w:r>
          </w:p>
          <w:p w14:paraId="6B3874B9">
            <w:pPr>
              <w:pStyle w:val="38"/>
              <w:spacing w:line="380" w:lineRule="exact"/>
              <w:rPr>
                <w:rFonts w:hint="eastAsia" w:ascii="方正书宋_GBK" w:hAnsi="方正书宋_GBK" w:eastAsia="方正书宋_GBK" w:cs="方正书宋_GBK"/>
                <w:color w:val="auto"/>
                <w:kern w:val="0"/>
                <w:sz w:val="24"/>
                <w:highlight w:val="none"/>
                <w:lang w:bidi="ar-SA"/>
              </w:rPr>
            </w:pPr>
            <w:r>
              <w:rPr>
                <w:rFonts w:hint="eastAsia" w:ascii="Times New Roman" w:hAnsi="Times New Roman" w:eastAsia="方正黑体_GBK" w:cs="方正黑体_GBK"/>
                <w:color w:val="auto"/>
                <w:kern w:val="0"/>
                <w:sz w:val="24"/>
                <w:highlight w:val="none"/>
                <w:u w:val="none"/>
                <w:lang w:val="en-US" w:eastAsia="zh-CN" w:bidi="ar-SA"/>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艺术类。</w:t>
            </w:r>
            <w:r>
              <w:rPr>
                <w:rFonts w:hint="eastAsia" w:ascii="方正书宋_GBK" w:hAnsi="方正书宋_GBK" w:eastAsia="方正书宋_GBK" w:cs="方正书宋_GBK"/>
                <w:color w:val="auto"/>
                <w:kern w:val="0"/>
                <w:sz w:val="24"/>
                <w:highlight w:val="none"/>
                <w:lang w:bidi="ar-SA"/>
              </w:rPr>
              <w:t>川美美术馆。活化标志性瓷片立面、艺术雕塑群，规划美术馆专属打卡动线，推出艺术光影秀、文创打卡角，打造集展览、美育于一体的打卡地。</w:t>
            </w:r>
          </w:p>
          <w:p w14:paraId="5728B8EB">
            <w:pPr>
              <w:pStyle w:val="38"/>
              <w:spacing w:line="380" w:lineRule="exact"/>
              <w:rPr>
                <w:rFonts w:hint="eastAsia" w:ascii="方正书宋_GBK" w:hAnsi="方正书宋_GBK" w:eastAsia="方正书宋_GBK" w:cs="方正书宋_GBK"/>
                <w:color w:val="auto"/>
                <w:kern w:val="0"/>
                <w:sz w:val="24"/>
                <w:highlight w:val="none"/>
                <w:lang w:bidi="ar-SA"/>
              </w:rPr>
            </w:pPr>
            <w:r>
              <w:rPr>
                <w:rFonts w:hint="eastAsia" w:ascii="Times New Roman" w:hAnsi="Times New Roman" w:eastAsia="方正黑体_GBK" w:cs="方正黑体_GBK"/>
                <w:color w:val="auto"/>
                <w:kern w:val="0"/>
                <w:sz w:val="24"/>
                <w:highlight w:val="none"/>
                <w:u w:val="none"/>
                <w:lang w:val="en-US" w:eastAsia="zh-CN" w:bidi="ar-SA"/>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文化类。</w:t>
            </w:r>
            <w:r>
              <w:rPr>
                <w:rFonts w:hint="eastAsia" w:ascii="方正书宋_GBK" w:hAnsi="方正书宋_GBK" w:eastAsia="方正书宋_GBK" w:cs="方正书宋_GBK"/>
                <w:color w:val="auto"/>
                <w:kern w:val="0"/>
                <w:sz w:val="24"/>
                <w:highlight w:val="none"/>
                <w:lang w:bidi="ar-SA"/>
              </w:rPr>
              <w:t>走马古镇。盘活古镇老剧院、非遗体验馆、古驿道等特色空间，打造民俗体验打卡场景。科学城川剧艺术中心。保留川剧文化内核，打造“非遗+潮玩”融合模式。汽摩文创园。谋划布局赛车、卡丁车、特色机车道路等休闲娱乐项目，打造集文化展示、改装、体验、赛事为主题的潮玩地标。</w:t>
            </w:r>
          </w:p>
          <w:p w14:paraId="738C1155">
            <w:pPr>
              <w:pStyle w:val="38"/>
              <w:spacing w:line="380" w:lineRule="exact"/>
              <w:rPr>
                <w:rFonts w:hint="eastAsia" w:ascii="方正书宋_GBK" w:hAnsi="方正书宋_GBK" w:eastAsia="方正书宋_GBK" w:cs="方正书宋_GBK"/>
                <w:color w:val="auto"/>
                <w:sz w:val="24"/>
                <w:highlight w:val="none"/>
              </w:rPr>
            </w:pPr>
            <w:r>
              <w:rPr>
                <w:rFonts w:hint="eastAsia" w:ascii="Times New Roman" w:hAnsi="Times New Roman" w:eastAsia="方正黑体_GBK" w:cs="方正黑体_GBK"/>
                <w:color w:val="auto"/>
                <w:kern w:val="0"/>
                <w:sz w:val="24"/>
                <w:highlight w:val="none"/>
                <w:u w:val="none"/>
                <w:lang w:val="en-US" w:eastAsia="zh-CN" w:bidi="ar-SA"/>
              </w:rPr>
              <w:t>4</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highlight w:val="none"/>
                <w:u w:val="none"/>
                <w:lang w:bidi="ar-SA"/>
              </w:rPr>
              <w:t>生态类。</w:t>
            </w:r>
            <w:r>
              <w:rPr>
                <w:rFonts w:hint="eastAsia" w:ascii="方正书宋_GBK" w:hAnsi="方正书宋_GBK" w:eastAsia="方正书宋_GBK" w:cs="方正书宋_GBK"/>
                <w:color w:val="auto"/>
                <w:kern w:val="0"/>
                <w:sz w:val="24"/>
                <w:highlight w:val="none"/>
                <w:lang w:bidi="ar-SA"/>
              </w:rPr>
              <w:t>金凤湖。集聚展示交流、商业商务、品质居住、滨湖休闲等功能，打造集生态观光、科创科普、休闲体验于一体的复合型生态打卡地。成渝古驿道。依托走马老街古驿站、白市驿半边街古驿站等历史遗存资源，打造集“历史溯源、生态吸氧、亲子休闲”</w:t>
            </w:r>
            <w:r>
              <w:rPr>
                <w:rFonts w:hint="eastAsia" w:ascii="方正书宋_GBK" w:hAnsi="方正书宋_GBK" w:eastAsia="方正书宋_GBK" w:cs="方正书宋_GBK"/>
                <w:color w:val="auto"/>
                <w:kern w:val="0"/>
                <w:sz w:val="24"/>
                <w:highlight w:val="none"/>
                <w:lang w:val="en-US" w:eastAsia="zh-CN" w:bidi="ar-SA"/>
              </w:rPr>
              <w:t>于一体的</w:t>
            </w:r>
            <w:r>
              <w:rPr>
                <w:rFonts w:hint="eastAsia" w:ascii="方正书宋_GBK" w:hAnsi="方正书宋_GBK" w:eastAsia="方正书宋_GBK" w:cs="方正书宋_GBK"/>
                <w:color w:val="auto"/>
                <w:kern w:val="0"/>
                <w:sz w:val="24"/>
                <w:highlight w:val="none"/>
                <w:lang w:bidi="ar-SA"/>
              </w:rPr>
              <w:t>徒步打卡路线。虎峰山艺术群落。升级松石涧、鸡冠石、红枫林等旅游景点，沿登山步道布局林影迷宫、湖畔咖啡角、露营基地等打卡点。</w:t>
            </w:r>
          </w:p>
        </w:tc>
      </w:tr>
    </w:tbl>
    <w:p w14:paraId="46D4787A">
      <w:pPr>
        <w:numPr>
          <w:ilvl w:val="255"/>
          <w:numId w:val="0"/>
        </w:numPr>
        <w:overflowPunct w:val="0"/>
        <w:adjustRightInd w:val="0"/>
        <w:snapToGrid w:val="0"/>
        <w:spacing w:line="600" w:lineRule="exact"/>
        <w:ind w:firstLine="0" w:firstLineChars="0"/>
        <w:jc w:val="center"/>
        <w:textAlignment w:val="auto"/>
        <w:outlineLvl w:val="2"/>
        <w:rPr>
          <w:rFonts w:hint="eastAsia" w:ascii="Times New Roman" w:hAnsi="Times New Roman" w:eastAsia="方正楷体_GBK" w:cs="方正楷体_GBK"/>
          <w:color w:val="auto"/>
          <w:sz w:val="32"/>
          <w:szCs w:val="32"/>
          <w:highlight w:val="none"/>
          <w:lang w:bidi="ar"/>
        </w:rPr>
      </w:pPr>
      <w:bookmarkStart w:id="588" w:name="_Toc185604447"/>
      <w:bookmarkStart w:id="589" w:name="_Toc178592452"/>
      <w:bookmarkStart w:id="590" w:name="_Toc8785"/>
      <w:r>
        <w:rPr>
          <w:rFonts w:hint="eastAsia" w:ascii="Times New Roman" w:hAnsi="Times New Roman" w:eastAsia="方正楷体_GBK" w:cs="方正楷体_GBK"/>
          <w:color w:val="auto"/>
          <w:sz w:val="32"/>
          <w:szCs w:val="32"/>
          <w:highlight w:val="none"/>
          <w:lang w:val="en-US" w:eastAsia="zh-CN" w:bidi="ar"/>
        </w:rPr>
        <w:t xml:space="preserve">第三节 </w:t>
      </w:r>
      <w:r>
        <w:rPr>
          <w:rFonts w:hint="eastAsia" w:ascii="Times New Roman" w:hAnsi="Times New Roman" w:eastAsia="方正楷体_GBK" w:cs="方正楷体_GBK"/>
          <w:color w:val="auto"/>
          <w:sz w:val="32"/>
          <w:szCs w:val="32"/>
          <w:highlight w:val="none"/>
          <w:lang w:bidi="ar"/>
        </w:rPr>
        <w:t>全面营造活力特色消费新场景</w:t>
      </w:r>
      <w:bookmarkEnd w:id="588"/>
      <w:bookmarkEnd w:id="589"/>
      <w:bookmarkEnd w:id="590"/>
    </w:p>
    <w:p w14:paraId="52F4EF24">
      <w:pPr>
        <w:adjustRightInd w:val="0"/>
        <w:snapToGrid w:val="0"/>
        <w:spacing w:line="600" w:lineRule="exact"/>
        <w:ind w:firstLine="640" w:firstLineChars="200"/>
        <w:textAlignment w:val="baseline"/>
        <w:outlineLvl w:val="9"/>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rPr>
        <w:t>聚焦消费场景多元化、智能化、融合化升级，</w:t>
      </w:r>
      <w:r>
        <w:rPr>
          <w:rFonts w:hint="eastAsia" w:ascii="Times New Roman" w:hAnsi="Times New Roman" w:eastAsia="方正仿宋_GBK" w:cs="Times New Roman"/>
          <w:color w:val="auto"/>
          <w:sz w:val="32"/>
          <w:szCs w:val="32"/>
          <w:highlight w:val="none"/>
          <w:lang w:val="en-US" w:eastAsia="zh-CN"/>
        </w:rPr>
        <w:t>全面营造科技赋能、全龄友好的消费场景体系。推动</w:t>
      </w:r>
      <w:r>
        <w:rPr>
          <w:rFonts w:hint="eastAsia" w:ascii="Times New Roman" w:hAnsi="Times New Roman" w:eastAsia="方正仿宋_GBK" w:cs="Times New Roman"/>
          <w:color w:val="auto"/>
          <w:sz w:val="32"/>
          <w:szCs w:val="32"/>
          <w:highlight w:val="none"/>
        </w:rPr>
        <w:t>“1+2+N”消费集聚区</w:t>
      </w:r>
      <w:r>
        <w:rPr>
          <w:rFonts w:hint="eastAsia" w:ascii="Times New Roman" w:hAnsi="Times New Roman" w:eastAsia="方正仿宋_GBK" w:cs="Times New Roman"/>
          <w:color w:val="auto"/>
          <w:sz w:val="32"/>
          <w:szCs w:val="32"/>
          <w:highlight w:val="none"/>
          <w:lang w:val="en-US" w:eastAsia="zh-CN"/>
        </w:rPr>
        <w:t>数字化改造，建设一批智慧街区、智慧商店、智慧餐厅，推广无接触配送、无人零售、VR/AR虚拟导购等新业态，探索虚拟商场、数字人在线导购等新模式。围绕大学城熙街、科学会堂等重点区域，打造“科学城之夜”品牌，培育夜间演艺、夜间市集、深夜书房、星空露营等多元化夜间消费场景，丰富夜购、夜游、夜娱、夜宿等全链条体验。鼓励传统购物商超转型升级，向“一站式”、体验式融合消费场景转型。丰富银发康养、亲子研学、文体教培、医美美妆等细分场景，优化多孩家庭消费服务供给，推动文化、商业、旅游、体育、康养、农业深度融合发展。</w:t>
      </w:r>
    </w:p>
    <w:p w14:paraId="39EAF731">
      <w:pPr>
        <w:numPr>
          <w:ilvl w:val="-1"/>
          <w:numId w:val="0"/>
        </w:numPr>
        <w:adjustRightInd w:val="0"/>
        <w:snapToGrid w:val="0"/>
        <w:spacing w:line="600" w:lineRule="exact"/>
        <w:ind w:firstLine="640" w:firstLineChars="200"/>
        <w:textAlignment w:val="baseline"/>
        <w:outlineLvl w:val="9"/>
        <w:rPr>
          <w:rFonts w:hint="eastAsia" w:ascii="Times New Roman" w:hAnsi="Times New Roman" w:eastAsia="方正仿宋_GBK" w:cs="Times New Roman"/>
          <w:color w:val="auto"/>
          <w:sz w:val="32"/>
          <w:szCs w:val="32"/>
          <w:highlight w:val="none"/>
          <w:lang w:val="en-US" w:eastAsia="zh-CN"/>
        </w:rPr>
      </w:pPr>
    </w:p>
    <w:p w14:paraId="67B73688">
      <w:pPr>
        <w:numPr>
          <w:ilvl w:val="-1"/>
          <w:numId w:val="0"/>
        </w:numPr>
        <w:overflowPunct/>
        <w:adjustRightInd/>
        <w:snapToGrid/>
        <w:spacing w:line="240" w:lineRule="auto"/>
        <w:jc w:val="left"/>
        <w:outlineLvl w:val="9"/>
        <w:rPr>
          <w:rFonts w:hint="eastAsia" w:ascii="Times New Roman" w:hAnsi="Times New Roman" w:eastAsia="方正黑体_GBK" w:cs="方正黑体_GBK"/>
          <w:color w:val="auto"/>
          <w:sz w:val="32"/>
          <w:szCs w:val="32"/>
          <w:highlight w:val="none"/>
          <w:lang w:val="en-US" w:eastAsia="zh-CN"/>
        </w:rPr>
      </w:pPr>
      <w:bookmarkStart w:id="591" w:name="_Toc1307685285"/>
      <w:bookmarkStart w:id="592" w:name="_Toc578"/>
      <w:bookmarkStart w:id="593" w:name="_Toc1568685905"/>
      <w:r>
        <w:rPr>
          <w:rFonts w:hint="eastAsia" w:ascii="Times New Roman" w:hAnsi="Times New Roman" w:eastAsia="方正黑体_GBK" w:cs="方正黑体_GBK"/>
          <w:color w:val="auto"/>
          <w:sz w:val="32"/>
          <w:szCs w:val="32"/>
          <w:highlight w:val="none"/>
          <w:lang w:val="en-US" w:eastAsia="zh-CN"/>
        </w:rPr>
        <w:br w:type="page"/>
      </w:r>
    </w:p>
    <w:p w14:paraId="0C8F57E2">
      <w:pPr>
        <w:numPr>
          <w:ilvl w:val="-1"/>
          <w:numId w:val="0"/>
        </w:numPr>
        <w:overflowPunct w:val="0"/>
        <w:adjustRightInd w:val="0"/>
        <w:snapToGrid w:val="0"/>
        <w:spacing w:line="600" w:lineRule="exact"/>
        <w:jc w:val="center"/>
        <w:outlineLvl w:val="1"/>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lang w:val="en-US" w:eastAsia="zh-CN"/>
        </w:rPr>
        <w:t xml:space="preserve">第二章 </w:t>
      </w:r>
      <w:r>
        <w:rPr>
          <w:rFonts w:hint="eastAsia" w:ascii="Times New Roman" w:hAnsi="Times New Roman" w:eastAsia="方正黑体_GBK" w:cs="方正黑体_GBK"/>
          <w:color w:val="auto"/>
          <w:sz w:val="32"/>
          <w:szCs w:val="32"/>
          <w:highlight w:val="none"/>
        </w:rPr>
        <w:t>扩大有效投资</w:t>
      </w:r>
      <w:bookmarkEnd w:id="591"/>
      <w:bookmarkEnd w:id="592"/>
      <w:bookmarkEnd w:id="593"/>
    </w:p>
    <w:p w14:paraId="1AAE168C">
      <w:pPr>
        <w:numPr>
          <w:ilvl w:val="0"/>
          <w:numId w:val="0"/>
        </w:numPr>
        <w:snapToGrid w:val="0"/>
        <w:spacing w:line="600" w:lineRule="exact"/>
        <w:ind w:firstLine="640"/>
        <w:textAlignment w:val="baseline"/>
        <w:rPr>
          <w:rFonts w:hint="default"/>
          <w:color w:val="auto"/>
          <w:highlight w:val="none"/>
          <w:lang w:val="en-US" w:eastAsia="zh-CN"/>
        </w:rPr>
      </w:pPr>
      <w:r>
        <w:rPr>
          <w:rFonts w:hint="eastAsia" w:ascii="Times New Roman" w:hAnsi="Times New Roman" w:eastAsia="方正仿宋_GBK" w:cs="Times New Roman"/>
          <w:color w:val="auto"/>
          <w:sz w:val="32"/>
          <w:szCs w:val="32"/>
          <w:highlight w:val="none"/>
          <w:lang w:val="en-US" w:eastAsia="zh-CN"/>
        </w:rPr>
        <w:t>增强投资对优化供给结构的支撑作用，加大重点领域投资力度，完善政府引导、市场主导的投融资机制，通过优化投资结构、创新投融资模式、提高投资效益，实现投资增速与结构、规模与效益的有机统一。</w:t>
      </w:r>
    </w:p>
    <w:p w14:paraId="703306DF">
      <w:pPr>
        <w:overflowPunct w:val="0"/>
        <w:adjustRightInd w:val="0"/>
        <w:snapToGrid w:val="0"/>
        <w:spacing w:line="600" w:lineRule="exact"/>
        <w:jc w:val="center"/>
        <w:outlineLvl w:val="2"/>
        <w:rPr>
          <w:rFonts w:hint="eastAsia" w:ascii="Times New Roman" w:hAnsi="Times New Roman" w:eastAsia="方正楷体_GBK" w:cs="方正楷体_GBK"/>
          <w:color w:val="auto"/>
          <w:sz w:val="32"/>
          <w:szCs w:val="32"/>
          <w:highlight w:val="none"/>
        </w:rPr>
      </w:pPr>
      <w:bookmarkStart w:id="594" w:name="_Toc247271116"/>
      <w:bookmarkStart w:id="595" w:name="_Toc6017"/>
      <w:r>
        <w:rPr>
          <w:rFonts w:hint="eastAsia" w:ascii="Times New Roman" w:hAnsi="Times New Roman" w:eastAsia="方正楷体_GBK" w:cs="方正楷体_GBK"/>
          <w:color w:val="auto"/>
          <w:sz w:val="32"/>
          <w:szCs w:val="32"/>
          <w:highlight w:val="none"/>
        </w:rPr>
        <w:fldChar w:fldCharType="begin"/>
      </w:r>
      <w:r>
        <w:rPr>
          <w:rFonts w:hint="eastAsia" w:ascii="Times New Roman" w:hAnsi="Times New Roman" w:eastAsia="方正楷体_GBK" w:cs="方正楷体_GBK"/>
          <w:color w:val="auto"/>
          <w:sz w:val="32"/>
          <w:szCs w:val="32"/>
          <w:highlight w:val="none"/>
        </w:rPr>
        <w:instrText xml:space="preserve"> HYPERLINK \l "_Toc29292" </w:instrText>
      </w:r>
      <w:r>
        <w:rPr>
          <w:rFonts w:hint="eastAsia" w:ascii="Times New Roman" w:hAnsi="Times New Roman" w:eastAsia="方正楷体_GBK" w:cs="方正楷体_GBK"/>
          <w:color w:val="auto"/>
          <w:sz w:val="32"/>
          <w:szCs w:val="32"/>
          <w:highlight w:val="none"/>
        </w:rPr>
        <w:fldChar w:fldCharType="separate"/>
      </w:r>
      <w:r>
        <w:rPr>
          <w:rFonts w:hint="eastAsia" w:ascii="Times New Roman" w:hAnsi="Times New Roman" w:eastAsia="方正楷体_GBK" w:cs="方正楷体_GBK"/>
          <w:color w:val="auto"/>
          <w:sz w:val="32"/>
          <w:szCs w:val="32"/>
          <w:highlight w:val="none"/>
        </w:rPr>
        <w:t>第一节 加强科产城重点领域投资</w:t>
      </w:r>
      <w:r>
        <w:rPr>
          <w:rFonts w:hint="eastAsia" w:ascii="Times New Roman" w:hAnsi="Times New Roman" w:eastAsia="方正楷体_GBK" w:cs="方正楷体_GBK"/>
          <w:color w:val="auto"/>
          <w:sz w:val="32"/>
          <w:szCs w:val="32"/>
          <w:highlight w:val="none"/>
        </w:rPr>
        <w:fldChar w:fldCharType="end"/>
      </w:r>
      <w:bookmarkEnd w:id="594"/>
      <w:bookmarkEnd w:id="595"/>
    </w:p>
    <w:p w14:paraId="10E0C52C">
      <w:pPr>
        <w:widowControl/>
        <w:adjustRightInd w:val="0"/>
        <w:snapToGrid w:val="0"/>
        <w:spacing w:line="600" w:lineRule="exact"/>
        <w:ind w:firstLine="640" w:firstLineChars="200"/>
        <w:textAlignment w:val="baseline"/>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引导资金投向重大科创平台、数字新基建、产业转型升级、现代基础设施、民生保障等领域，谋划推进一批强基础、增功能、利长远的重大项目，以高质量投资推动创新资源集聚、产业能级跃升、城市功能完善。加大科技创新投资力度，强化重大科技基础设施建设和高能级创新平台建设。加大现代制造业和新兴产业投资力度，实施一批建链补链延链强链重大项目，积极引导各类优质资源要素投向空天信息及低空经济、人工智能等未来产业。</w:t>
      </w:r>
      <w:r>
        <w:rPr>
          <w:rFonts w:hint="eastAsia" w:ascii="Times New Roman" w:hAnsi="Times New Roman" w:eastAsia="方正仿宋_GBK" w:cs="Times New Roman"/>
          <w:color w:val="auto"/>
          <w:sz w:val="32"/>
          <w:szCs w:val="32"/>
          <w:highlight w:val="none"/>
        </w:rPr>
        <w:t>引导企业加大设备更新、节能降碳、智能化改造、安全提升等领域投入力度，鼓励现有企业开展增产扩能型、提质增效型改造，加强技术改造投资和现有企业扩大再投资。推进基础设施投资放量，持续加强轨道交通、骨干交通路网、城市干道、市政管网等传统基础设施项目建设，积极布局5G-A/6G基站、工业互联网、</w:t>
      </w:r>
      <w:r>
        <w:rPr>
          <w:rFonts w:hint="eastAsia" w:ascii="Times New Roman" w:hAnsi="Times New Roman" w:eastAsia="方正仿宋_GBK" w:cs="Times New Roman"/>
          <w:color w:val="auto"/>
          <w:sz w:val="32"/>
          <w:szCs w:val="32"/>
          <w:highlight w:val="none"/>
          <w:lang w:val="en-US" w:eastAsia="zh-CN"/>
        </w:rPr>
        <w:t>算力中心</w:t>
      </w:r>
      <w:r>
        <w:rPr>
          <w:rFonts w:hint="eastAsia" w:ascii="Times New Roman" w:hAnsi="Times New Roman" w:eastAsia="方正仿宋_GBK" w:cs="Times New Roman"/>
          <w:color w:val="auto"/>
          <w:sz w:val="32"/>
          <w:szCs w:val="32"/>
          <w:highlight w:val="none"/>
        </w:rPr>
        <w:t>等新型基础设施项目</w:t>
      </w:r>
      <w:r>
        <w:rPr>
          <w:rFonts w:hint="eastAsia" w:ascii="Times New Roman" w:hAnsi="Times New Roman" w:eastAsia="方正仿宋_GBK" w:cs="Times New Roman"/>
          <w:color w:val="auto"/>
          <w:sz w:val="32"/>
          <w:szCs w:val="32"/>
          <w:highlight w:val="none"/>
          <w:lang w:eastAsia="zh-CN"/>
        </w:rPr>
        <w:t>。</w:t>
      </w:r>
    </w:p>
    <w:p w14:paraId="71D41B57">
      <w:pPr>
        <w:overflowPunct w:val="0"/>
        <w:adjustRightInd w:val="0"/>
        <w:snapToGrid w:val="0"/>
        <w:spacing w:line="600" w:lineRule="exact"/>
        <w:ind w:firstLine="0" w:firstLineChars="0"/>
        <w:jc w:val="center"/>
        <w:outlineLvl w:val="2"/>
        <w:rPr>
          <w:rFonts w:hint="eastAsia" w:ascii="Times New Roman" w:hAnsi="Times New Roman" w:eastAsia="方正楷体_GBK" w:cs="方正楷体_GBK"/>
          <w:color w:val="auto"/>
          <w:sz w:val="32"/>
          <w:szCs w:val="32"/>
          <w:highlight w:val="none"/>
        </w:rPr>
      </w:pPr>
      <w:bookmarkStart w:id="596" w:name="_Toc504789667"/>
      <w:bookmarkStart w:id="597" w:name="_Toc14148"/>
      <w:r>
        <w:rPr>
          <w:rFonts w:hint="eastAsia" w:ascii="Times New Roman" w:hAnsi="Times New Roman" w:eastAsia="方正楷体_GBK" w:cs="方正楷体_GBK"/>
          <w:color w:val="auto"/>
          <w:sz w:val="32"/>
          <w:szCs w:val="32"/>
          <w:highlight w:val="none"/>
        </w:rPr>
        <w:fldChar w:fldCharType="begin"/>
      </w:r>
      <w:r>
        <w:rPr>
          <w:rFonts w:hint="eastAsia" w:ascii="Times New Roman" w:hAnsi="Times New Roman" w:eastAsia="方正楷体_GBK" w:cs="方正楷体_GBK"/>
          <w:color w:val="auto"/>
          <w:sz w:val="32"/>
          <w:szCs w:val="32"/>
          <w:highlight w:val="none"/>
        </w:rPr>
        <w:instrText xml:space="preserve"> HYPERLINK \l "_Toc2603" </w:instrText>
      </w:r>
      <w:r>
        <w:rPr>
          <w:rFonts w:hint="eastAsia" w:ascii="Times New Roman" w:hAnsi="Times New Roman" w:eastAsia="方正楷体_GBK" w:cs="方正楷体_GBK"/>
          <w:color w:val="auto"/>
          <w:sz w:val="32"/>
          <w:szCs w:val="32"/>
          <w:highlight w:val="none"/>
        </w:rPr>
        <w:fldChar w:fldCharType="separate"/>
      </w:r>
      <w:r>
        <w:rPr>
          <w:rFonts w:hint="eastAsia" w:ascii="Times New Roman" w:hAnsi="Times New Roman" w:eastAsia="方正楷体_GBK" w:cs="方正楷体_GBK"/>
          <w:color w:val="auto"/>
          <w:sz w:val="32"/>
          <w:szCs w:val="32"/>
          <w:highlight w:val="none"/>
        </w:rPr>
        <w:t>第二节 优化政府主导型投资模式</w:t>
      </w:r>
      <w:r>
        <w:rPr>
          <w:rFonts w:hint="eastAsia" w:ascii="Times New Roman" w:hAnsi="Times New Roman" w:eastAsia="方正楷体_GBK" w:cs="方正楷体_GBK"/>
          <w:color w:val="auto"/>
          <w:sz w:val="32"/>
          <w:szCs w:val="32"/>
          <w:highlight w:val="none"/>
        </w:rPr>
        <w:fldChar w:fldCharType="end"/>
      </w:r>
      <w:bookmarkEnd w:id="596"/>
      <w:bookmarkEnd w:id="597"/>
    </w:p>
    <w:p w14:paraId="2BDB5402">
      <w:pPr>
        <w:overflowPunct w:val="0"/>
        <w:adjustRightInd w:val="0"/>
        <w:snapToGrid w:val="0"/>
        <w:spacing w:line="600" w:lineRule="exact"/>
        <w:ind w:firstLine="640" w:firstLineChars="200"/>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完善政府投资管理方式，</w:t>
      </w:r>
      <w:r>
        <w:rPr>
          <w:rFonts w:hint="eastAsia" w:ascii="Times New Roman" w:hAnsi="Times New Roman" w:eastAsia="方正仿宋_GBK" w:cs="Times New Roman"/>
          <w:color w:val="auto"/>
          <w:sz w:val="32"/>
          <w:szCs w:val="32"/>
          <w:highlight w:val="none"/>
        </w:rPr>
        <w:t>编制全口径政府投资计划，明确重点投资方向和领域，深化落实开工、在建、完工、储备“四个一批”项目滚动推进机制，推动投融资与重大战略、产业政策</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社会民生保障</w:t>
      </w:r>
      <w:r>
        <w:rPr>
          <w:rFonts w:hint="eastAsia" w:ascii="Times New Roman" w:hAnsi="Times New Roman" w:eastAsia="方正仿宋_GBK" w:cs="Times New Roman"/>
          <w:color w:val="auto"/>
          <w:sz w:val="32"/>
          <w:szCs w:val="32"/>
          <w:highlight w:val="none"/>
        </w:rPr>
        <w:t>等紧密衔接</w:t>
      </w:r>
      <w:r>
        <w:rPr>
          <w:rFonts w:hint="eastAsia" w:ascii="Times New Roman" w:hAnsi="Times New Roman" w:eastAsia="方正仿宋_GBK" w:cs="Times New Roman"/>
          <w:color w:val="auto"/>
          <w:sz w:val="32"/>
          <w:szCs w:val="32"/>
          <w:highlight w:val="none"/>
          <w:lang w:eastAsia="zh-CN"/>
        </w:rPr>
        <w:t>。统筹用好各类政策性资金，顶格争取国家和市级各类专项资金、政策性金融工具支持，优化地方政府专项债券使用，用足用好新型政策性金融工具。健全咨询机构评估、专家评议、公众参与等政府投资决策机制，</w:t>
      </w:r>
      <w:r>
        <w:rPr>
          <w:rFonts w:hint="eastAsia" w:ascii="Times New Roman" w:hAnsi="Times New Roman" w:eastAsia="方正仿宋_GBK" w:cs="Times New Roman"/>
          <w:color w:val="auto"/>
          <w:sz w:val="32"/>
          <w:szCs w:val="32"/>
          <w:highlight w:val="none"/>
        </w:rPr>
        <w:t>强化政府投资项目可行性及投资效益研究论证，</w:t>
      </w:r>
      <w:r>
        <w:rPr>
          <w:rFonts w:hint="eastAsia" w:ascii="Times New Roman" w:hAnsi="Times New Roman" w:eastAsia="方正仿宋_GBK" w:cs="Times New Roman"/>
          <w:color w:val="auto"/>
          <w:sz w:val="32"/>
          <w:szCs w:val="32"/>
          <w:highlight w:val="none"/>
          <w:lang w:val="en-US" w:eastAsia="zh-CN"/>
        </w:rPr>
        <w:t>确保项目投资的科学性、前瞻性和可操作性。做好项目谋划储备和申报、审核工作，对项目的建设进度、资金使用、产出效益等进行全程跟踪和监测。创新项目管理方式，引入数字化、智能化手段，探索使用“AI+项目管理”“AI+评审”等方法，提升项目管理效率。健全完善项目后评价体系，加强资产移交和转固管理，加强绩效管理和审计监督、财会监督，实行全生命周期管理。</w:t>
      </w:r>
    </w:p>
    <w:p w14:paraId="2CED6A8A">
      <w:pPr>
        <w:overflowPunct w:val="0"/>
        <w:adjustRightInd w:val="0"/>
        <w:snapToGrid w:val="0"/>
        <w:spacing w:line="600" w:lineRule="exact"/>
        <w:ind w:firstLine="0" w:firstLineChars="0"/>
        <w:jc w:val="center"/>
        <w:outlineLvl w:val="2"/>
        <w:rPr>
          <w:rFonts w:hint="eastAsia" w:ascii="Times New Roman" w:hAnsi="Times New Roman" w:eastAsia="方正楷体_GBK" w:cs="方正楷体_GBK"/>
          <w:color w:val="auto"/>
          <w:sz w:val="32"/>
          <w:szCs w:val="32"/>
          <w:highlight w:val="none"/>
        </w:rPr>
      </w:pPr>
      <w:bookmarkStart w:id="598" w:name="_Toc1439527619"/>
      <w:bookmarkStart w:id="599" w:name="_Toc32106"/>
      <w:r>
        <w:rPr>
          <w:rFonts w:hint="eastAsia" w:ascii="Times New Roman" w:hAnsi="Times New Roman" w:eastAsia="方正楷体_GBK" w:cs="方正楷体_GBK"/>
          <w:color w:val="auto"/>
          <w:sz w:val="32"/>
          <w:szCs w:val="32"/>
          <w:highlight w:val="none"/>
        </w:rPr>
        <w:fldChar w:fldCharType="begin"/>
      </w:r>
      <w:r>
        <w:rPr>
          <w:rFonts w:hint="eastAsia" w:ascii="Times New Roman" w:hAnsi="Times New Roman" w:eastAsia="方正楷体_GBK" w:cs="方正楷体_GBK"/>
          <w:color w:val="auto"/>
          <w:sz w:val="32"/>
          <w:szCs w:val="32"/>
          <w:highlight w:val="none"/>
        </w:rPr>
        <w:instrText xml:space="preserve"> HYPERLINK \l "_Toc2603" </w:instrText>
      </w:r>
      <w:r>
        <w:rPr>
          <w:rFonts w:hint="eastAsia" w:ascii="Times New Roman" w:hAnsi="Times New Roman" w:eastAsia="方正楷体_GBK" w:cs="方正楷体_GBK"/>
          <w:color w:val="auto"/>
          <w:sz w:val="32"/>
          <w:szCs w:val="32"/>
          <w:highlight w:val="none"/>
        </w:rPr>
        <w:fldChar w:fldCharType="separate"/>
      </w:r>
      <w:r>
        <w:rPr>
          <w:rFonts w:hint="eastAsia" w:ascii="Times New Roman" w:hAnsi="Times New Roman" w:eastAsia="方正楷体_GBK" w:cs="方正楷体_GBK"/>
          <w:color w:val="auto"/>
          <w:sz w:val="32"/>
          <w:szCs w:val="32"/>
          <w:highlight w:val="none"/>
        </w:rPr>
        <w:t>第</w:t>
      </w:r>
      <w:r>
        <w:rPr>
          <w:rFonts w:hint="eastAsia" w:ascii="Times New Roman" w:hAnsi="Times New Roman" w:eastAsia="方正楷体_GBK" w:cs="方正楷体_GBK"/>
          <w:color w:val="auto"/>
          <w:sz w:val="32"/>
          <w:szCs w:val="32"/>
          <w:highlight w:val="none"/>
          <w:lang w:val="en-US" w:eastAsia="zh-CN"/>
        </w:rPr>
        <w:t>三</w:t>
      </w:r>
      <w:r>
        <w:rPr>
          <w:rFonts w:hint="eastAsia" w:ascii="Times New Roman" w:hAnsi="Times New Roman" w:eastAsia="方正楷体_GBK" w:cs="方正楷体_GBK"/>
          <w:color w:val="auto"/>
          <w:sz w:val="32"/>
          <w:szCs w:val="32"/>
          <w:highlight w:val="none"/>
        </w:rPr>
        <w:t xml:space="preserve">节 </w:t>
      </w:r>
      <w:r>
        <w:rPr>
          <w:rFonts w:hint="eastAsia" w:ascii="Times New Roman" w:hAnsi="Times New Roman" w:eastAsia="方正楷体_GBK" w:cs="方正楷体_GBK"/>
          <w:color w:val="auto"/>
          <w:sz w:val="32"/>
          <w:szCs w:val="32"/>
          <w:highlight w:val="none"/>
          <w:lang w:bidi="ar"/>
        </w:rPr>
        <w:t>创新市场主导的有效投资内生增长机制</w:t>
      </w:r>
      <w:r>
        <w:rPr>
          <w:rFonts w:hint="eastAsia" w:ascii="Times New Roman" w:hAnsi="Times New Roman" w:eastAsia="方正楷体_GBK" w:cs="方正楷体_GBK"/>
          <w:color w:val="auto"/>
          <w:sz w:val="32"/>
          <w:szCs w:val="32"/>
          <w:highlight w:val="none"/>
        </w:rPr>
        <w:fldChar w:fldCharType="end"/>
      </w:r>
      <w:bookmarkEnd w:id="598"/>
      <w:bookmarkEnd w:id="599"/>
    </w:p>
    <w:p w14:paraId="39CDED31">
      <w:pPr>
        <w:overflowPunct w:val="0"/>
        <w:adjustRightInd w:val="0"/>
        <w:snapToGrid w:val="0"/>
        <w:spacing w:line="600" w:lineRule="exact"/>
        <w:ind w:firstLine="640" w:firstLineChars="20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大力促进民间投资发展，</w:t>
      </w:r>
      <w:r>
        <w:rPr>
          <w:rFonts w:hint="eastAsia" w:ascii="Times New Roman" w:hAnsi="Times New Roman" w:eastAsia="方正仿宋_GBK" w:cs="Times New Roman"/>
          <w:color w:val="auto"/>
          <w:sz w:val="32"/>
          <w:szCs w:val="32"/>
          <w:highlight w:val="none"/>
        </w:rPr>
        <w:t>全面落实关于鼓励民间投资的各项政策措施，放宽准入门槛，推进基础设施竞争性领域向民营企业公平开放。规范实施政府和社会资本合作机制，</w:t>
      </w:r>
      <w:r>
        <w:rPr>
          <w:rFonts w:hint="eastAsia" w:ascii="Times New Roman" w:hAnsi="Times New Roman" w:eastAsia="方正仿宋_GBK" w:cs="Times New Roman"/>
          <w:color w:val="auto"/>
          <w:sz w:val="32"/>
          <w:szCs w:val="32"/>
          <w:highlight w:val="none"/>
          <w:lang w:val="en-US" w:eastAsia="zh-CN"/>
        </w:rPr>
        <w:t>通过</w:t>
      </w:r>
      <w:r>
        <w:rPr>
          <w:rFonts w:hint="eastAsia" w:ascii="Times New Roman" w:hAnsi="Times New Roman" w:eastAsia="方正仿宋_GBK" w:cs="Times New Roman"/>
          <w:color w:val="auto"/>
          <w:sz w:val="32"/>
          <w:szCs w:val="32"/>
          <w:highlight w:val="none"/>
        </w:rPr>
        <w:t>动态发布推介项目清单</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搭建政企金对接平台等多种方式</w:t>
      </w:r>
      <w:r>
        <w:rPr>
          <w:rFonts w:hint="eastAsia" w:ascii="Times New Roman" w:hAnsi="Times New Roman" w:eastAsia="方正仿宋_GBK" w:cs="Times New Roman"/>
          <w:color w:val="auto"/>
          <w:sz w:val="32"/>
          <w:szCs w:val="32"/>
          <w:highlight w:val="none"/>
        </w:rPr>
        <w:t>，拓宽社会资本对接途径和参与空间</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引导社会资本参与</w:t>
      </w:r>
      <w:r>
        <w:rPr>
          <w:rFonts w:hint="eastAsia" w:ascii="Times New Roman" w:hAnsi="Times New Roman" w:eastAsia="方正仿宋_GBK" w:cs="Times New Roman"/>
          <w:color w:val="auto"/>
          <w:sz w:val="32"/>
          <w:szCs w:val="32"/>
          <w:highlight w:val="none"/>
        </w:rPr>
        <w:t>基础设施、公用事业、科技创新等重大项目建设和长效运营</w:t>
      </w:r>
      <w:r>
        <w:rPr>
          <w:rFonts w:hint="eastAsia" w:ascii="Times New Roman" w:hAnsi="Times New Roman" w:eastAsia="方正仿宋_GBK" w:cs="Times New Roman"/>
          <w:color w:val="auto"/>
          <w:sz w:val="32"/>
          <w:szCs w:val="32"/>
          <w:highlight w:val="none"/>
          <w:lang w:val="en-US" w:eastAsia="zh-CN"/>
        </w:rPr>
        <w:t>。拓展多元市场化融资渠道，鼓励引导社会资本通过股权投资、发行债券等多种方式参与重大项目建设，探索推进不动产投资信托基金（REITs）、城市建设公益性项目与经营性项目综合开发，</w:t>
      </w:r>
      <w:r>
        <w:rPr>
          <w:rFonts w:hint="eastAsia" w:ascii="Times New Roman" w:hAnsi="Times New Roman" w:eastAsia="方正仿宋_GBK" w:cs="Times New Roman"/>
          <w:color w:val="auto"/>
          <w:sz w:val="32"/>
          <w:szCs w:val="32"/>
          <w:highlight w:val="none"/>
        </w:rPr>
        <w:t>支持民间资本通过兼并重组、特许经营等</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土地出让等</w:t>
      </w:r>
      <w:r>
        <w:rPr>
          <w:rFonts w:hint="eastAsia" w:ascii="Times New Roman" w:hAnsi="Times New Roman" w:eastAsia="方正仿宋_GBK" w:cs="Times New Roman"/>
          <w:color w:val="auto"/>
          <w:sz w:val="32"/>
          <w:szCs w:val="32"/>
          <w:highlight w:val="none"/>
        </w:rPr>
        <w:t>方式参与</w:t>
      </w:r>
      <w:r>
        <w:rPr>
          <w:rFonts w:hint="eastAsia" w:ascii="Times New Roman" w:hAnsi="Times New Roman" w:eastAsia="方正仿宋_GBK" w:cs="Times New Roman"/>
          <w:color w:val="auto"/>
          <w:sz w:val="32"/>
          <w:szCs w:val="32"/>
          <w:highlight w:val="none"/>
          <w:lang w:val="en-US" w:eastAsia="zh-CN"/>
        </w:rPr>
        <w:t>闲置房产、参股股权等</w:t>
      </w:r>
      <w:r>
        <w:rPr>
          <w:rFonts w:hint="eastAsia" w:ascii="Times New Roman" w:hAnsi="Times New Roman" w:eastAsia="方正仿宋_GBK" w:cs="Times New Roman"/>
          <w:color w:val="auto"/>
          <w:sz w:val="32"/>
          <w:szCs w:val="32"/>
          <w:highlight w:val="none"/>
        </w:rPr>
        <w:t>存量资产盘活。</w:t>
      </w:r>
      <w:r>
        <w:rPr>
          <w:rFonts w:hint="eastAsia" w:ascii="Times New Roman" w:hAnsi="Times New Roman" w:eastAsia="方正仿宋_GBK" w:cs="Times New Roman"/>
          <w:color w:val="auto"/>
          <w:sz w:val="32"/>
          <w:szCs w:val="32"/>
          <w:highlight w:val="none"/>
          <w:lang w:val="en-US" w:eastAsia="zh-CN"/>
        </w:rPr>
        <w:t>发挥政府投资基金牵引作用，支持区级基金与市级基金在前沿科技领域和产业链关键环节加强联动，带动社会资本有效参与现代化产业体系建设。</w:t>
      </w:r>
    </w:p>
    <w:p w14:paraId="424E071C">
      <w:pPr>
        <w:numPr>
          <w:ilvl w:val="-1"/>
          <w:numId w:val="0"/>
        </w:numPr>
        <w:overflowPunct w:val="0"/>
        <w:adjustRightInd w:val="0"/>
        <w:snapToGrid w:val="0"/>
        <w:spacing w:line="600" w:lineRule="exact"/>
        <w:ind w:firstLine="640" w:firstLineChars="200"/>
        <w:jc w:val="left"/>
        <w:outlineLvl w:val="9"/>
        <w:rPr>
          <w:rFonts w:hint="eastAsia" w:ascii="Times New Roman" w:hAnsi="Times New Roman" w:eastAsia="方正黑体_GBK" w:cs="方正黑体_GBK"/>
          <w:color w:val="auto"/>
          <w:sz w:val="32"/>
          <w:szCs w:val="32"/>
          <w:highlight w:val="none"/>
          <w:lang w:val="en-US" w:eastAsia="zh-CN"/>
        </w:rPr>
      </w:pPr>
      <w:bookmarkStart w:id="600" w:name="_Toc2092204265"/>
      <w:bookmarkStart w:id="601" w:name="_Toc11994"/>
      <w:bookmarkStart w:id="602" w:name="_Toc918941597"/>
    </w:p>
    <w:p w14:paraId="7130ADE4">
      <w:pPr>
        <w:numPr>
          <w:ilvl w:val="-1"/>
          <w:numId w:val="0"/>
        </w:numPr>
        <w:overflowPunct w:val="0"/>
        <w:adjustRightInd w:val="0"/>
        <w:snapToGrid w:val="0"/>
        <w:spacing w:line="600" w:lineRule="exact"/>
        <w:jc w:val="center"/>
        <w:outlineLvl w:val="1"/>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lang w:val="en-US" w:eastAsia="zh-CN"/>
        </w:rPr>
        <w:t>第三章 深度融入全国统一大市场建设</w:t>
      </w:r>
      <w:bookmarkEnd w:id="600"/>
      <w:bookmarkEnd w:id="601"/>
      <w:bookmarkEnd w:id="602"/>
    </w:p>
    <w:p w14:paraId="65DA11F3">
      <w:pPr>
        <w:overflowPunct w:val="0"/>
        <w:adjustRightInd w:val="0"/>
        <w:snapToGrid w:val="0"/>
        <w:spacing w:line="600" w:lineRule="exact"/>
        <w:ind w:firstLine="640" w:firstLineChars="200"/>
        <w:jc w:val="left"/>
        <w:outlineLvl w:val="9"/>
        <w:rPr>
          <w:rFonts w:hint="eastAsia" w:ascii="Times New Roman" w:hAnsi="Times New Roman" w:eastAsia="方正仿宋_GBK" w:cs="Times New Roman"/>
          <w:b w:val="0"/>
          <w:bCs w:val="0"/>
          <w:i w:val="0"/>
          <w:color w:val="auto"/>
          <w:kern w:val="2"/>
          <w:sz w:val="32"/>
          <w:szCs w:val="32"/>
          <w:highlight w:val="none"/>
          <w:lang w:val="en-US" w:eastAsia="zh-CN" w:bidi="ar"/>
        </w:rPr>
      </w:pPr>
      <w:r>
        <w:rPr>
          <w:rFonts w:hint="eastAsia" w:ascii="Times New Roman" w:hAnsi="Times New Roman" w:eastAsia="方正仿宋_GBK" w:cs="Times New Roman"/>
          <w:b w:val="0"/>
          <w:bCs w:val="0"/>
          <w:i w:val="0"/>
          <w:color w:val="auto"/>
          <w:kern w:val="2"/>
          <w:sz w:val="32"/>
          <w:szCs w:val="32"/>
          <w:highlight w:val="none"/>
          <w:lang w:val="en-US" w:eastAsia="zh-CN" w:bidi="ar"/>
        </w:rPr>
        <w:t>强化公平竞争审查，严格履行公平竞争审查程序，全面清理妨碍统一市场和公平竞争的政策举措，坚决查处限制企业要素资源自由流通行为，</w:t>
      </w:r>
      <w:r>
        <w:rPr>
          <w:rFonts w:hint="eastAsia" w:ascii="Times New Roman" w:hAnsi="Times New Roman" w:eastAsia="方正仿宋_GBK" w:cs="Times New Roman"/>
          <w:color w:val="auto"/>
          <w:sz w:val="32"/>
          <w:szCs w:val="32"/>
          <w:highlight w:val="none"/>
          <w:lang w:bidi="ar"/>
        </w:rPr>
        <w:t>依法保障民营企业平等参与市场竞争的权益。完善投诉举报机制，畅通企业监督投诉渠道，加大对不正当竞争行为的查处力度。</w:t>
      </w:r>
      <w:r>
        <w:rPr>
          <w:rFonts w:hint="eastAsia" w:ascii="Times New Roman" w:hAnsi="Times New Roman" w:eastAsia="方正仿宋_GBK" w:cs="Times New Roman"/>
          <w:b w:val="0"/>
          <w:bCs w:val="0"/>
          <w:i w:val="0"/>
          <w:color w:val="auto"/>
          <w:kern w:val="2"/>
          <w:sz w:val="32"/>
          <w:szCs w:val="32"/>
          <w:highlight w:val="none"/>
          <w:lang w:val="en-US" w:eastAsia="zh-CN" w:bidi="ar"/>
        </w:rPr>
        <w:t>加强招商引资统筹协调和政策指导，完善规范不当招商引资行为长效机制。</w:t>
      </w:r>
      <w:r>
        <w:rPr>
          <w:rFonts w:hint="eastAsia" w:ascii="Times New Roman" w:hAnsi="Times New Roman" w:eastAsia="方正仿宋_GBK" w:cs="Times New Roman"/>
          <w:color w:val="auto"/>
          <w:sz w:val="32"/>
          <w:szCs w:val="32"/>
          <w:highlight w:val="none"/>
          <w:lang w:bidi="ar"/>
        </w:rPr>
        <w:t>持续优化市场准入退出</w:t>
      </w:r>
      <w:r>
        <w:rPr>
          <w:rFonts w:hint="eastAsia" w:ascii="Times New Roman" w:hAnsi="Times New Roman" w:eastAsia="方正仿宋_GBK" w:cs="Times New Roman"/>
          <w:color w:val="auto"/>
          <w:sz w:val="32"/>
          <w:szCs w:val="32"/>
          <w:highlight w:val="none"/>
          <w:lang w:val="en-US" w:eastAsia="zh-CN" w:bidi="ar"/>
        </w:rPr>
        <w:t>机制</w:t>
      </w:r>
      <w:r>
        <w:rPr>
          <w:rFonts w:hint="eastAsia" w:ascii="Times New Roman" w:hAnsi="Times New Roman" w:eastAsia="方正仿宋_GBK" w:cs="Times New Roman"/>
          <w:color w:val="auto"/>
          <w:sz w:val="32"/>
          <w:szCs w:val="32"/>
          <w:highlight w:val="none"/>
          <w:lang w:bidi="ar"/>
        </w:rPr>
        <w:t>，推进企业开办标准化、规范化和电子证照印章应用，畅通经营主体退出机制。深化行政审批制度改革和“证照分离”改革，运用数字化手段优化审批流程，实现跨部门数据共享和业务协同，提升市场准入效能。</w:t>
      </w:r>
      <w:r>
        <w:rPr>
          <w:rFonts w:hint="eastAsia" w:ascii="Times New Roman" w:hAnsi="Times New Roman" w:eastAsia="方正仿宋_GBK" w:cs="Times New Roman"/>
          <w:b w:val="0"/>
          <w:bCs w:val="0"/>
          <w:i w:val="0"/>
          <w:color w:val="auto"/>
          <w:kern w:val="2"/>
          <w:sz w:val="32"/>
          <w:szCs w:val="32"/>
          <w:highlight w:val="none"/>
          <w:lang w:val="en-US" w:eastAsia="zh-CN" w:bidi="ar"/>
        </w:rPr>
        <w:t>积极融入统一规范、信息共享的招标投标和政府、事业单位、国有企业采购等公共资源交易平台体系，实现项目全流程公开管理。</w:t>
      </w:r>
    </w:p>
    <w:p w14:paraId="63C87272">
      <w:pPr>
        <w:overflowPunct/>
        <w:adjustRightInd/>
        <w:snapToGrid/>
        <w:spacing w:line="240" w:lineRule="auto"/>
        <w:jc w:val="left"/>
        <w:outlineLvl w:val="9"/>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br w:type="page"/>
      </w:r>
    </w:p>
    <w:p w14:paraId="672F1581">
      <w:pPr>
        <w:overflowPunct w:val="0"/>
        <w:spacing w:line="600" w:lineRule="exact"/>
        <w:jc w:val="center"/>
        <w:outlineLvl w:val="0"/>
        <w:rPr>
          <w:rFonts w:ascii="Times New Roman" w:hAnsi="Times New Roman" w:eastAsia="方正黑体_GBK" w:cs="方正黑体_GBK"/>
          <w:color w:val="auto"/>
          <w:sz w:val="32"/>
          <w:szCs w:val="32"/>
          <w:highlight w:val="none"/>
        </w:rPr>
      </w:pPr>
      <w:bookmarkStart w:id="603" w:name="_Toc29267"/>
      <w:r>
        <w:rPr>
          <w:rFonts w:hint="eastAsia" w:ascii="Times New Roman" w:hAnsi="Times New Roman" w:eastAsia="方正黑体_GBK" w:cs="方正黑体_GBK"/>
          <w:color w:val="auto"/>
          <w:sz w:val="32"/>
          <w:szCs w:val="32"/>
          <w:highlight w:val="none"/>
        </w:rPr>
        <w:t>第</w:t>
      </w:r>
      <w:r>
        <w:rPr>
          <w:rFonts w:hint="eastAsia" w:ascii="Times New Roman" w:hAnsi="Times New Roman" w:eastAsia="方正黑体_GBK" w:cs="方正黑体_GBK"/>
          <w:color w:val="auto"/>
          <w:sz w:val="32"/>
          <w:szCs w:val="32"/>
          <w:highlight w:val="none"/>
          <w:lang w:val="en-US" w:eastAsia="zh-CN"/>
        </w:rPr>
        <w:t>六</w:t>
      </w:r>
      <w:r>
        <w:rPr>
          <w:rFonts w:hint="eastAsia" w:ascii="Times New Roman" w:hAnsi="Times New Roman" w:eastAsia="方正黑体_GBK" w:cs="方正黑体_GBK"/>
          <w:color w:val="auto"/>
          <w:sz w:val="32"/>
          <w:szCs w:val="32"/>
          <w:highlight w:val="none"/>
        </w:rPr>
        <w:t>篇 建设</w:t>
      </w:r>
      <w:bookmarkEnd w:id="327"/>
      <w:bookmarkEnd w:id="328"/>
      <w:r>
        <w:rPr>
          <w:rFonts w:hint="eastAsia" w:ascii="Times New Roman" w:hAnsi="Times New Roman" w:eastAsia="方正黑体_GBK" w:cs="方正黑体_GBK"/>
          <w:color w:val="auto"/>
          <w:sz w:val="32"/>
          <w:szCs w:val="32"/>
          <w:highlight w:val="none"/>
        </w:rPr>
        <w:t>全面深化改革扩大开放的先行示范</w:t>
      </w:r>
      <w:bookmarkEnd w:id="574"/>
      <w:bookmarkEnd w:id="575"/>
      <w:bookmarkEnd w:id="603"/>
    </w:p>
    <w:p w14:paraId="4F03C19D">
      <w:pPr>
        <w:overflowPunct w:val="0"/>
        <w:spacing w:line="600" w:lineRule="exact"/>
        <w:rPr>
          <w:rFonts w:ascii="Times New Roman" w:hAnsi="Times New Roman" w:eastAsia="方正仿宋_GBK" w:cs="Times New Roman"/>
          <w:color w:val="auto"/>
          <w:sz w:val="32"/>
          <w:szCs w:val="32"/>
          <w:highlight w:val="none"/>
        </w:rPr>
      </w:pPr>
    </w:p>
    <w:p w14:paraId="7DFB081A">
      <w:pPr>
        <w:spacing w:line="600" w:lineRule="exact"/>
        <w:ind w:firstLine="640" w:firstLineChars="200"/>
        <w:textAlignment w:val="baseline"/>
        <w:rPr>
          <w:rFonts w:hint="eastAsia" w:ascii="方正仿宋_GBK" w:hAnsi="方正仿宋_GBK" w:eastAsia="方正仿宋_GBK" w:cs="方正仿宋_GBK"/>
          <w:color w:val="auto"/>
          <w:sz w:val="32"/>
          <w:szCs w:val="32"/>
          <w:highlight w:val="none"/>
        </w:rPr>
      </w:pPr>
      <w:r>
        <w:rPr>
          <w:rFonts w:hint="eastAsia" w:ascii="Times New Roman" w:hAnsi="Times New Roman" w:eastAsia="方正仿宋_GBK" w:cs="Times New Roman"/>
          <w:color w:val="auto"/>
          <w:sz w:val="32"/>
          <w:szCs w:val="32"/>
          <w:highlight w:val="none"/>
        </w:rPr>
        <w:t>突出改革聚能、开放提能，</w:t>
      </w:r>
      <w:r>
        <w:rPr>
          <w:rFonts w:hint="eastAsia" w:ascii="Times New Roman" w:hAnsi="Times New Roman" w:eastAsia="方正仿宋_GBK" w:cs="Times New Roman"/>
          <w:color w:val="auto"/>
          <w:sz w:val="32"/>
          <w:szCs w:val="32"/>
          <w:highlight w:val="none"/>
          <w:lang w:val="en-US" w:eastAsia="zh-CN"/>
        </w:rPr>
        <w:t>依托</w:t>
      </w:r>
      <w:r>
        <w:rPr>
          <w:rFonts w:hint="eastAsia" w:ascii="Times New Roman" w:hAnsi="Times New Roman" w:eastAsia="方正仿宋_GBK" w:cs="Times New Roman"/>
          <w:color w:val="auto"/>
          <w:sz w:val="32"/>
          <w:szCs w:val="32"/>
          <w:highlight w:val="none"/>
        </w:rPr>
        <w:t>西部陆海新通道牵引作用，深度融入成渝地区双城经济圈战略布局，</w:t>
      </w:r>
      <w:r>
        <w:rPr>
          <w:rFonts w:hint="eastAsia" w:ascii="方正仿宋_GBK" w:hAnsi="方正仿宋_GBK" w:eastAsia="方正仿宋_GBK" w:cs="方正仿宋_GBK"/>
          <w:color w:val="auto"/>
          <w:sz w:val="32"/>
          <w:szCs w:val="32"/>
          <w:highlight w:val="none"/>
        </w:rPr>
        <w:t>集成放大自由贸易试验区、西永综合保税区、重庆市物流枢纽经济区高新区功能区综合叠加效应</w:t>
      </w:r>
      <w:r>
        <w:rPr>
          <w:rFonts w:hint="eastAsia" w:ascii="Times New Roman" w:hAnsi="Times New Roman" w:eastAsia="方正仿宋_GBK" w:cs="Times New Roman"/>
          <w:color w:val="auto"/>
          <w:sz w:val="32"/>
          <w:szCs w:val="32"/>
          <w:highlight w:val="none"/>
        </w:rPr>
        <w:t>，</w:t>
      </w:r>
      <w:r>
        <w:rPr>
          <w:rFonts w:hint="eastAsia" w:ascii="方正仿宋_GBK" w:hAnsi="Calibri" w:eastAsia="方正仿宋_GBK" w:cs="Times New Roman"/>
          <w:bCs/>
          <w:sz w:val="32"/>
          <w:szCs w:val="32"/>
          <w:highlight w:val="none"/>
          <w:u w:val="none" w:color="auto"/>
          <w:lang w:val="en-US" w:eastAsia="zh-CN"/>
        </w:rPr>
        <w:t>着力完善高质量发展体制机制</w:t>
      </w:r>
      <w:r>
        <w:rPr>
          <w:rFonts w:hint="default" w:ascii="方正仿宋_GBK" w:hAnsi="Calibri" w:eastAsia="方正仿宋_GBK" w:cs="Times New Roman"/>
          <w:bCs/>
          <w:sz w:val="32"/>
          <w:szCs w:val="32"/>
          <w:highlight w:val="none"/>
          <w:u w:val="none" w:color="auto"/>
          <w:lang w:val="en-US" w:eastAsia="zh-CN"/>
        </w:rPr>
        <w:t>，全面激发发展活力内生动力</w:t>
      </w:r>
      <w:r>
        <w:rPr>
          <w:rFonts w:hint="eastAsia" w:ascii="方正仿宋_GBK" w:hAnsi="方正仿宋_GBK" w:eastAsia="方正仿宋_GBK" w:cs="方正仿宋_GBK"/>
          <w:color w:val="auto"/>
          <w:sz w:val="32"/>
          <w:szCs w:val="32"/>
          <w:highlight w:val="none"/>
        </w:rPr>
        <w:t>。</w:t>
      </w:r>
      <w:bookmarkStart w:id="604" w:name="_Toc10503"/>
      <w:bookmarkStart w:id="605" w:name="_Toc6278"/>
      <w:bookmarkStart w:id="606" w:name="_Toc19411"/>
      <w:bookmarkStart w:id="607" w:name="_Toc29345"/>
      <w:bookmarkStart w:id="608" w:name="_Toc28268"/>
      <w:bookmarkStart w:id="609" w:name="_Toc15947"/>
      <w:bookmarkStart w:id="610" w:name="_Toc28082"/>
    </w:p>
    <w:p w14:paraId="21FF977B">
      <w:pPr>
        <w:rPr>
          <w:rFonts w:hint="eastAsia" w:ascii="Times New Roman" w:hAnsi="Times New Roman" w:eastAsia="方正黑体_GBK" w:cs="方正黑体_GBK"/>
          <w:color w:val="auto"/>
          <w:sz w:val="32"/>
          <w:szCs w:val="32"/>
          <w:highlight w:val="none"/>
        </w:rPr>
      </w:pPr>
      <w:bookmarkStart w:id="611" w:name="_Toc269060263"/>
      <w:bookmarkStart w:id="612" w:name="_Toc756388002"/>
    </w:p>
    <w:p w14:paraId="19C8CACF">
      <w:pPr>
        <w:numPr>
          <w:ilvl w:val="255"/>
          <w:numId w:val="0"/>
        </w:numPr>
        <w:overflowPunct w:val="0"/>
        <w:spacing w:line="600" w:lineRule="exact"/>
        <w:jc w:val="center"/>
        <w:outlineLvl w:val="1"/>
        <w:rPr>
          <w:rFonts w:ascii="Times New Roman" w:hAnsi="Times New Roman" w:eastAsia="方正黑体_GBK" w:cs="方正黑体_GBK"/>
          <w:color w:val="auto"/>
          <w:sz w:val="32"/>
          <w:szCs w:val="32"/>
          <w:highlight w:val="none"/>
        </w:rPr>
      </w:pPr>
      <w:bookmarkStart w:id="613" w:name="_Toc13883"/>
      <w:r>
        <w:rPr>
          <w:rFonts w:hint="eastAsia" w:ascii="Times New Roman" w:hAnsi="Times New Roman" w:eastAsia="方正黑体_GBK" w:cs="方正黑体_GBK"/>
          <w:color w:val="auto"/>
          <w:sz w:val="32"/>
          <w:szCs w:val="32"/>
          <w:highlight w:val="none"/>
        </w:rPr>
        <w:t>第一章 以“一城多园”共建西部科学城</w:t>
      </w:r>
      <w:bookmarkEnd w:id="604"/>
      <w:bookmarkEnd w:id="605"/>
      <w:bookmarkEnd w:id="606"/>
      <w:bookmarkEnd w:id="607"/>
      <w:bookmarkEnd w:id="608"/>
      <w:bookmarkEnd w:id="609"/>
      <w:bookmarkEnd w:id="610"/>
      <w:bookmarkEnd w:id="611"/>
      <w:bookmarkEnd w:id="612"/>
      <w:bookmarkEnd w:id="613"/>
    </w:p>
    <w:p w14:paraId="5015B745">
      <w:pPr>
        <w:overflowPunct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优化共建西部科学城推进机制，推动与西部（成都）科学城、成都高新区、绵阳科技城等重点地区合作，增强协同创新发展能力，加快吸引集聚全球高端创新资源要素。</w:t>
      </w:r>
      <w:bookmarkStart w:id="614" w:name="_Toc11393"/>
      <w:bookmarkStart w:id="615" w:name="_Toc20605"/>
      <w:bookmarkStart w:id="616" w:name="_Toc10843"/>
      <w:bookmarkStart w:id="617" w:name="_Toc4622"/>
      <w:bookmarkStart w:id="618" w:name="_Toc8723"/>
      <w:bookmarkStart w:id="619" w:name="_Toc3171"/>
    </w:p>
    <w:p w14:paraId="3918DF46">
      <w:pPr>
        <w:numPr>
          <w:ilvl w:val="255"/>
          <w:numId w:val="0"/>
        </w:numPr>
        <w:overflowPunct w:val="0"/>
        <w:spacing w:line="600" w:lineRule="exact"/>
        <w:jc w:val="center"/>
        <w:outlineLvl w:val="2"/>
        <w:rPr>
          <w:rFonts w:ascii="Times New Roman" w:hAnsi="Times New Roman" w:eastAsia="方正楷体_GBK" w:cs="方正楷体_GBK"/>
          <w:color w:val="auto"/>
          <w:sz w:val="32"/>
          <w:szCs w:val="32"/>
          <w:highlight w:val="none"/>
        </w:rPr>
      </w:pPr>
      <w:bookmarkStart w:id="620" w:name="_Toc15995"/>
      <w:bookmarkStart w:id="621" w:name="_Toc1642763306"/>
      <w:bookmarkStart w:id="622" w:name="_Toc1657443021"/>
      <w:r>
        <w:rPr>
          <w:rFonts w:hint="eastAsia" w:ascii="Times New Roman" w:hAnsi="Times New Roman" w:eastAsia="方正楷体_GBK" w:cs="方正楷体_GBK"/>
          <w:color w:val="auto"/>
          <w:sz w:val="32"/>
          <w:szCs w:val="32"/>
          <w:highlight w:val="none"/>
        </w:rPr>
        <w:t>第一节 推动与西部（成都）科学城、成都高新区联建</w:t>
      </w:r>
      <w:bookmarkEnd w:id="614"/>
      <w:bookmarkEnd w:id="615"/>
      <w:bookmarkEnd w:id="616"/>
      <w:bookmarkEnd w:id="617"/>
      <w:bookmarkEnd w:id="618"/>
      <w:bookmarkEnd w:id="619"/>
      <w:bookmarkEnd w:id="620"/>
      <w:bookmarkEnd w:id="621"/>
      <w:bookmarkEnd w:id="622"/>
    </w:p>
    <w:p w14:paraId="0772BC9B">
      <w:pPr>
        <w:overflowPunct w:val="0"/>
        <w:spacing w:line="600" w:lineRule="exact"/>
        <w:ind w:firstLine="640" w:firstLineChars="200"/>
        <w:rPr>
          <w:color w:val="auto"/>
          <w:highlight w:val="none"/>
        </w:rPr>
      </w:pPr>
      <w:r>
        <w:rPr>
          <w:rFonts w:hint="eastAsia" w:ascii="Times New Roman" w:hAnsi="Times New Roman" w:eastAsia="方正仿宋_GBK" w:cs="Times New Roman"/>
          <w:bCs/>
          <w:color w:val="auto"/>
          <w:kern w:val="0"/>
          <w:sz w:val="32"/>
          <w:szCs w:val="32"/>
          <w:highlight w:val="none"/>
        </w:rPr>
        <w:t>持续健全与西部（成都）科学城、成都高新区常态化沟通、高层互访、人才交流等机制，联合向上争取平台、项目、政策、资金等。积极培育川渝共建重点实验室，推动金凤实验室与锦城实验室、四川省人民医院等深化协同，共建智慧医疗产业创新综合体。联合承接相关领域国家实验室川渝基地和“平急两用”科研基地，打造国家重要的科研备份基地。依托国家药监局药品和医疗器械审评检查西南分中心，加快建设西南地区医药产业创新孵化平台，共建成渝生物医药协同创新网络。加强与成都高新区等共建国家级未来产业先导区。支持重庆人工智能创新中心与成都智算中心共建“东数西算”国家一体化大数据中心成渝枢纽节点。围绕集成电路、</w:t>
      </w:r>
      <w:r>
        <w:rPr>
          <w:rFonts w:hint="eastAsia" w:ascii="Times New Roman" w:hAnsi="Times New Roman" w:eastAsia="方正仿宋_GBK" w:cs="Times New Roman"/>
          <w:bCs/>
          <w:color w:val="auto"/>
          <w:kern w:val="0"/>
          <w:sz w:val="32"/>
          <w:szCs w:val="32"/>
          <w:highlight w:val="none"/>
          <w:lang w:val="en-US" w:eastAsia="zh-CN"/>
        </w:rPr>
        <w:t>新能源汽摩</w:t>
      </w:r>
      <w:r>
        <w:rPr>
          <w:rFonts w:hint="eastAsia" w:ascii="Times New Roman" w:hAnsi="Times New Roman" w:eastAsia="方正仿宋_GBK" w:cs="Times New Roman"/>
          <w:bCs/>
          <w:color w:val="auto"/>
          <w:kern w:val="0"/>
          <w:sz w:val="32"/>
          <w:szCs w:val="32"/>
          <w:highlight w:val="none"/>
        </w:rPr>
        <w:t>、生物医药等产业链，探索与西部（成都）科学城、成都高新区共建一批概念验证中心、制造业中试平台，构建成渝地区共享型“中试+”服务网络。联合推动全国高校区域技术转移转化中心（成渝地区）建设。加快推进智能网联示范区二期建设，持续强化“车路云一体化”场景培育和开放。做实双城基金和双城信用增进公司，推动区内产业基金与四川省相关基金深化合作，引导天使基金加大双城协同创新项目投资力度，推动重庆科技要素交易中心、知识产权运营中心</w:t>
      </w:r>
      <w:r>
        <w:rPr>
          <w:rFonts w:hint="eastAsia" w:ascii="Times New Roman" w:hAnsi="Times New Roman" w:eastAsia="方正仿宋_GBK" w:cs="Times New Roman"/>
          <w:bCs/>
          <w:color w:val="auto"/>
          <w:kern w:val="0"/>
          <w:sz w:val="32"/>
          <w:szCs w:val="32"/>
          <w:highlight w:val="none"/>
          <w:lang w:val="en-US" w:eastAsia="zh-CN"/>
        </w:rPr>
        <w:t>加快</w:t>
      </w:r>
      <w:r>
        <w:rPr>
          <w:rFonts w:hint="eastAsia" w:ascii="Times New Roman" w:hAnsi="Times New Roman" w:eastAsia="方正仿宋_GBK" w:cs="Times New Roman"/>
          <w:bCs/>
          <w:color w:val="auto"/>
          <w:kern w:val="0"/>
          <w:sz w:val="32"/>
          <w:szCs w:val="32"/>
          <w:highlight w:val="none"/>
        </w:rPr>
        <w:t>融入国家统一技术交易服务平台西南节点建设。深化政务服务“跨域办”，推动政务服务线上“虚拟综窗”通办提质扩面，推行就近收件、异地通办、邮寄送达，打造智慧服务协同场景。</w:t>
      </w:r>
    </w:p>
    <w:p w14:paraId="58E32381">
      <w:pPr>
        <w:numPr>
          <w:ilvl w:val="255"/>
          <w:numId w:val="0"/>
        </w:numPr>
        <w:overflowPunct w:val="0"/>
        <w:spacing w:line="600" w:lineRule="exact"/>
        <w:jc w:val="center"/>
        <w:outlineLvl w:val="2"/>
        <w:rPr>
          <w:rFonts w:ascii="Times New Roman" w:hAnsi="Times New Roman" w:eastAsia="方正楷体_GBK" w:cs="方正楷体_GBK"/>
          <w:color w:val="auto"/>
          <w:sz w:val="32"/>
          <w:szCs w:val="32"/>
          <w:highlight w:val="none"/>
        </w:rPr>
      </w:pPr>
      <w:bookmarkStart w:id="623" w:name="_Toc24506"/>
      <w:bookmarkStart w:id="624" w:name="_Toc1873118110"/>
      <w:bookmarkStart w:id="625" w:name="_Toc27909"/>
      <w:bookmarkStart w:id="626" w:name="_Toc18218"/>
      <w:bookmarkStart w:id="627" w:name="_Toc12799"/>
      <w:bookmarkStart w:id="628" w:name="_Toc1634468710"/>
      <w:bookmarkStart w:id="629" w:name="_Toc19473"/>
      <w:r>
        <w:rPr>
          <w:rFonts w:hint="eastAsia" w:ascii="Times New Roman" w:hAnsi="Times New Roman" w:eastAsia="方正楷体_GBK" w:cs="方正楷体_GBK"/>
          <w:color w:val="auto"/>
          <w:sz w:val="32"/>
          <w:szCs w:val="32"/>
          <w:highlight w:val="none"/>
        </w:rPr>
        <w:t>第二节 推动与绵阳科技城联动</w:t>
      </w:r>
      <w:bookmarkEnd w:id="623"/>
      <w:bookmarkEnd w:id="624"/>
      <w:bookmarkEnd w:id="625"/>
      <w:bookmarkEnd w:id="626"/>
      <w:bookmarkEnd w:id="627"/>
      <w:bookmarkEnd w:id="628"/>
      <w:bookmarkEnd w:id="629"/>
    </w:p>
    <w:p w14:paraId="5A51A5D6">
      <w:pPr>
        <w:overflowPunct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推动区内现有生物医药、集成电路等领域中试平台与中国（绵阳）科技城中试服务公共平台加强协作。围绕半导体、智能网联新能源汽车等领域，加强与绵阳科技城产业协作，联合探索构建“基础研究—技术攻关—成果转化—产业发展”全链条产业创新生态。联合构建高水平实验室体系，支持嘉陵江实验室、金凤实验室等与</w:t>
      </w:r>
      <w:r>
        <w:rPr>
          <w:rFonts w:hint="eastAsia" w:ascii="Times New Roman" w:hAnsi="Times New Roman" w:eastAsia="方正仿宋_GBK" w:cs="Times New Roman"/>
          <w:color w:val="auto"/>
          <w:sz w:val="32"/>
          <w:szCs w:val="32"/>
          <w:highlight w:val="none"/>
          <w:lang w:val="en-US" w:eastAsia="zh-CN"/>
        </w:rPr>
        <w:t>涪江实验室等</w:t>
      </w:r>
      <w:r>
        <w:rPr>
          <w:rFonts w:hint="eastAsia" w:ascii="Times New Roman" w:hAnsi="Times New Roman" w:eastAsia="方正仿宋_GBK" w:cs="Times New Roman"/>
          <w:color w:val="auto"/>
          <w:sz w:val="32"/>
          <w:szCs w:val="32"/>
          <w:highlight w:val="none"/>
        </w:rPr>
        <w:t>协同向上争取重大平台布局，联合共建一批国家级创新平台。支持重庆大学等与西南科技大学加强交流互动，瞄准航空航天、人工智能、机器人、智能装备等领域，开展重大项目联合申报、基础前沿技术和共性技术联合攻关、科研仪器开放共享等合作。依托中国西部国际博览会、“一带一路”科技交流大会、世界智能产业博览会、中国（绵阳）科技城国际科技博览会等现有展会平台，设置西部科学城展区、组织企业参展，在会期共同举办活动。探索联合实施“科技顾问”“科技助理”制度，推动创新人才互动交流。</w:t>
      </w:r>
    </w:p>
    <w:p w14:paraId="5F7CAE7F">
      <w:pPr>
        <w:spacing w:line="600" w:lineRule="exact"/>
        <w:ind w:firstLine="640" w:firstLineChars="200"/>
        <w:textAlignment w:val="baseline"/>
        <w:rPr>
          <w:rFonts w:ascii="Times New Roman" w:hAnsi="Times New Roman" w:eastAsia="方正仿宋_GBK" w:cs="Times New Roman"/>
          <w:color w:val="auto"/>
          <w:sz w:val="32"/>
          <w:szCs w:val="32"/>
          <w:highlight w:val="none"/>
        </w:rPr>
      </w:pPr>
    </w:p>
    <w:p w14:paraId="6880AF8A">
      <w:pPr>
        <w:numPr>
          <w:ilvl w:val="255"/>
          <w:numId w:val="0"/>
        </w:numPr>
        <w:overflowPunct w:val="0"/>
        <w:spacing w:line="600" w:lineRule="exact"/>
        <w:jc w:val="center"/>
        <w:outlineLvl w:val="1"/>
        <w:rPr>
          <w:rFonts w:ascii="Times New Roman" w:hAnsi="Times New Roman" w:eastAsia="方正黑体_GBK" w:cs="方正黑体_GBK"/>
          <w:color w:val="auto"/>
          <w:sz w:val="32"/>
          <w:szCs w:val="32"/>
          <w:highlight w:val="none"/>
        </w:rPr>
      </w:pPr>
      <w:bookmarkStart w:id="630" w:name="_Toc1533293397"/>
      <w:bookmarkStart w:id="631" w:name="_Toc502"/>
      <w:bookmarkStart w:id="632" w:name="_Toc2052280193"/>
      <w:bookmarkStart w:id="633" w:name="_Toc8187"/>
      <w:bookmarkStart w:id="634" w:name="_Toc14032"/>
      <w:r>
        <w:rPr>
          <w:rFonts w:hint="eastAsia" w:ascii="Times New Roman" w:hAnsi="Times New Roman" w:eastAsia="方正黑体_GBK" w:cs="方正黑体_GBK"/>
          <w:color w:val="auto"/>
          <w:sz w:val="32"/>
          <w:szCs w:val="32"/>
          <w:highlight w:val="none"/>
        </w:rPr>
        <w:t xml:space="preserve">第二章 </w:t>
      </w:r>
      <w:bookmarkStart w:id="635" w:name="_Toc21631"/>
      <w:bookmarkStart w:id="636" w:name="_Toc26271"/>
      <w:r>
        <w:rPr>
          <w:rFonts w:hint="eastAsia" w:ascii="Times New Roman" w:hAnsi="Times New Roman" w:eastAsia="方正黑体_GBK" w:cs="方正黑体_GBK"/>
          <w:color w:val="auto"/>
          <w:sz w:val="32"/>
          <w:szCs w:val="32"/>
          <w:highlight w:val="none"/>
        </w:rPr>
        <w:t>融入市域高质量发展新格局</w:t>
      </w:r>
      <w:bookmarkEnd w:id="630"/>
      <w:bookmarkEnd w:id="631"/>
      <w:bookmarkEnd w:id="632"/>
      <w:bookmarkEnd w:id="633"/>
      <w:bookmarkEnd w:id="634"/>
      <w:bookmarkEnd w:id="635"/>
      <w:bookmarkEnd w:id="636"/>
    </w:p>
    <w:p w14:paraId="27363996">
      <w:pPr>
        <w:overflowPunct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充分发挥极核引领作用，提升服务市域科创走廊建设的支撑力，优化西部（重庆）科学城“一核五区”一体化发展机制，加强区域对口协同合作，构建跨区合作发展机制，加快融入优势互补功能协调的市域高质量发展新格局。</w:t>
      </w:r>
    </w:p>
    <w:p w14:paraId="6300C091">
      <w:pPr>
        <w:numPr>
          <w:ilvl w:val="255"/>
          <w:numId w:val="0"/>
        </w:numPr>
        <w:overflowPunct w:val="0"/>
        <w:spacing w:line="600" w:lineRule="exact"/>
        <w:jc w:val="center"/>
        <w:outlineLvl w:val="2"/>
        <w:rPr>
          <w:color w:val="auto"/>
          <w:highlight w:val="none"/>
        </w:rPr>
      </w:pPr>
      <w:bookmarkStart w:id="637" w:name="_Toc9121"/>
      <w:bookmarkStart w:id="638" w:name="_Toc15909"/>
      <w:bookmarkStart w:id="639" w:name="_Toc1938349284"/>
      <w:bookmarkStart w:id="640" w:name="_Toc8078"/>
      <w:bookmarkStart w:id="641" w:name="_Toc21534"/>
      <w:bookmarkStart w:id="642" w:name="_Toc258359379"/>
      <w:r>
        <w:rPr>
          <w:rFonts w:hint="eastAsia" w:ascii="Times New Roman" w:hAnsi="Times New Roman" w:eastAsia="方正楷体_GBK" w:cs="方正楷体_GBK"/>
          <w:color w:val="auto"/>
          <w:sz w:val="32"/>
          <w:szCs w:val="32"/>
          <w:highlight w:val="none"/>
        </w:rPr>
        <w:t>第一节 融入市域科创走廊建设</w:t>
      </w:r>
      <w:bookmarkEnd w:id="637"/>
      <w:bookmarkEnd w:id="638"/>
      <w:bookmarkEnd w:id="639"/>
      <w:bookmarkEnd w:id="640"/>
      <w:bookmarkEnd w:id="641"/>
      <w:bookmarkEnd w:id="642"/>
    </w:p>
    <w:p w14:paraId="3E4C325A">
      <w:pPr>
        <w:overflowPunct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发挥全市科技创新主引擎示范作用，加快建设成渝（金凤）综合性科学中心，推动超瞬态实验装置等重大科技基础设施科研成果转化，加速一批技术成果外溢转化。联动产业互补、创新协作的中心城区，联合向上申报一批高能级创新平台，开展重大科技成果生成转化。做强做优重庆大学国家科技园，打造环大学创新生态圈，率先探索形成教育科技人才一体化改革创新成果。按照“416”科技创新布局，围绕“基础研究—应用研究—技术创新”全链条体系强化与两江新区科创城双极联动，共同提升全市产业技术创新策源能力。围绕新型智能终端、新能源汽摩等共同优势产业，加强与渝西地区、渝东新城构建“研发设计在重庆高新区、制造配套在区县”的协同创新网络。依托重庆高新区科创资源，为山区库区特色技术创新和应用项目提供前端研发支持、技术解决方案和孵化服务，实现全域创新能力整体提升。</w:t>
      </w:r>
    </w:p>
    <w:p w14:paraId="5339B84C">
      <w:pPr>
        <w:numPr>
          <w:ilvl w:val="255"/>
          <w:numId w:val="0"/>
        </w:numPr>
        <w:overflowPunct w:val="0"/>
        <w:spacing w:line="600" w:lineRule="exact"/>
        <w:jc w:val="center"/>
        <w:outlineLvl w:val="2"/>
        <w:rPr>
          <w:rFonts w:ascii="Times New Roman" w:hAnsi="Times New Roman" w:eastAsia="方正楷体_GBK" w:cs="方正楷体_GBK"/>
          <w:color w:val="auto"/>
          <w:sz w:val="32"/>
          <w:szCs w:val="32"/>
          <w:highlight w:val="none"/>
        </w:rPr>
      </w:pPr>
      <w:bookmarkStart w:id="643" w:name="_Toc509491198"/>
      <w:bookmarkStart w:id="644" w:name="_Toc243"/>
      <w:bookmarkStart w:id="645" w:name="_Toc14905"/>
      <w:bookmarkStart w:id="646" w:name="_Toc25926"/>
      <w:bookmarkStart w:id="647" w:name="_Toc17027"/>
      <w:bookmarkStart w:id="648" w:name="_Toc34148619"/>
      <w:r>
        <w:rPr>
          <w:rFonts w:hint="eastAsia" w:ascii="Times New Roman" w:hAnsi="Times New Roman" w:eastAsia="方正楷体_GBK" w:cs="方正楷体_GBK"/>
          <w:color w:val="auto"/>
          <w:sz w:val="32"/>
          <w:szCs w:val="32"/>
          <w:highlight w:val="none"/>
        </w:rPr>
        <w:t>第二节 推动西部（重庆）科学城“一核五区”一体化发展</w:t>
      </w:r>
      <w:bookmarkEnd w:id="643"/>
      <w:bookmarkEnd w:id="644"/>
      <w:bookmarkEnd w:id="645"/>
      <w:bookmarkEnd w:id="646"/>
      <w:bookmarkEnd w:id="647"/>
      <w:bookmarkEnd w:id="648"/>
    </w:p>
    <w:p w14:paraId="2B0B3531">
      <w:pPr>
        <w:overflowPunct w:val="0"/>
        <w:snapToGrid w:val="0"/>
        <w:spacing w:before="5"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实施强化组织领导、完善运行机制、健全规划体系“三个统筹”，由西部（重庆）科学城建设专项小组统筹负责科学城建设发展工作，进一步充实专项小组办公室力量。建立健全科学城重大事项、重大项目等决策机制，形成全域改革集成、项目安排、资源共享、要素流动、督查考核等一体化机制和工作运行体系。落实科学城国土空间规划，编制全域“十五五”发展规划和各片区详细规划及五年专项规划。强化科技共创，统筹全域科技创新规划布局，协同共建重大科技基础设施和实验室体系，联合开展关键核心技术攻关，推动各类创新资源开放共享，推动科学城和大学城深度融合，探索全域推行教育科技人才一体化改革。强化产业共谋，建立科学城统一的经济、创新等指标统计监测体系，探索全域推广产业链“链长制”，研究编制全域统一产业发展指导目录和产业地图，推动研发在核心区、制造在功能区的飞地合作模式，建立联合招商团队，探索建立跨区域产值、税收分配机制。强化交通共联，加快推进在建轨道7号线一期、15号线二期等轨道线路以及科学城、白市驿2座隧道，支持轨道15号线三期、17号线二期等轨道线路纳入第五轮轨道建设规划报批</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打通科学城片区与第二国际机场的快速通道。强化生态共建，建立联合河长制，统筹做好梁滩河、大溪河等生态共建和修复保护</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探索建立“科学城蓝天行动”协同工作机制和统一的生态环境监测信息发布和共享机制。强化服务共用，推动科学城全域优质教育资源共建共享，协同建设“医共体”“医联体”。强化人才共育</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探索全域推广“金凤凰”人才政策，开展干部人才双向交流，探索联合共同举办电子信息、招商引资等专题培训。强化环境共优</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联合争取</w:t>
      </w:r>
      <w:r>
        <w:rPr>
          <w:rFonts w:hint="eastAsia" w:ascii="Times New Roman" w:hAnsi="Times New Roman" w:eastAsia="方正仿宋_GBK" w:cs="Times New Roman"/>
          <w:color w:val="auto"/>
          <w:sz w:val="32"/>
          <w:szCs w:val="32"/>
          <w:highlight w:val="none"/>
        </w:rPr>
        <w:t>市级行政权限下放，积极争取经济区和行政区分离改革、科技体制机制改革等在科学城先行先试</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深化政务服务“全面通办”改革，优化政务服务事项线上全程网办、线下“全渝通办”和“一站式”服务，各片区间推广“交地领证”等改革经验</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推动打造营商环境创新试点区。强化成果共享</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定期或不定期组织科学城重大项目集中开工仪式，以西部（重庆）科学城的名义联合参展。</w:t>
      </w:r>
    </w:p>
    <w:p w14:paraId="5656D54B">
      <w:pPr>
        <w:overflowPunct w:val="0"/>
        <w:spacing w:line="600" w:lineRule="exact"/>
        <w:jc w:val="center"/>
        <w:outlineLvl w:val="2"/>
        <w:rPr>
          <w:color w:val="auto"/>
          <w:highlight w:val="none"/>
        </w:rPr>
      </w:pPr>
      <w:bookmarkStart w:id="649" w:name="_Toc1001264197"/>
      <w:bookmarkStart w:id="650" w:name="_Toc557705784"/>
      <w:bookmarkStart w:id="651" w:name="_Toc19671"/>
      <w:bookmarkStart w:id="652" w:name="_Toc1418"/>
      <w:bookmarkStart w:id="653" w:name="_Toc26631"/>
      <w:bookmarkStart w:id="654" w:name="_Toc6215"/>
      <w:r>
        <w:rPr>
          <w:rFonts w:hint="eastAsia" w:ascii="Times New Roman" w:hAnsi="Times New Roman" w:eastAsia="方正楷体_GBK" w:cs="方正楷体_GBK"/>
          <w:color w:val="auto"/>
          <w:sz w:val="32"/>
          <w:szCs w:val="32"/>
          <w:highlight w:val="none"/>
        </w:rPr>
        <w:t>第三节 深化区域对口协同发展</w:t>
      </w:r>
      <w:bookmarkEnd w:id="649"/>
      <w:bookmarkEnd w:id="650"/>
      <w:bookmarkEnd w:id="651"/>
      <w:bookmarkEnd w:id="652"/>
      <w:bookmarkEnd w:id="653"/>
      <w:bookmarkEnd w:id="654"/>
    </w:p>
    <w:p w14:paraId="55300E6B">
      <w:pPr>
        <w:overflowPunct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持续完善与黔江等结对区县常态化协调机制。聚焦产业培育、科技赋能、要素流动等重点领域创新合作事项，充分发挥两地互补优势，推动资源共享、互惠互利、协同联动，加快落地见效合作项目。拓宽产业协作领域，探索“市场+产品”“总部+基地”等合作模式，联合共建特色产业园、“飞地”园区。强化科技与人才支撑，通过共建技术创新平台、派遣科技特派员、联合开展技术攻关等方式向区县导入科技创新资源要素。建立结对区县定点收购机制，对帮扶区县的耕地占补平衡指标、碳汇指标等进行优先收购。推动公共服务资源共享，深化教育、医疗、数字治理等领域远程协作，建立劳动力供应双向互动调配机制，助力补齐结对区县基本公共服务短板。创新投融资与利益分享模式，提升对口协同发展项目资金使用效益，引导企业、社会组织等积极参与项目建设，形成一批具有辨识度和影响力的协同成果。</w:t>
      </w:r>
    </w:p>
    <w:p w14:paraId="02658FDF">
      <w:pPr>
        <w:spacing w:line="600" w:lineRule="exact"/>
        <w:ind w:firstLine="640" w:firstLineChars="200"/>
        <w:textAlignment w:val="baseline"/>
        <w:rPr>
          <w:rFonts w:ascii="Times New Roman" w:hAnsi="Times New Roman" w:eastAsia="方正仿宋_GBK" w:cs="Times New Roman"/>
          <w:color w:val="auto"/>
          <w:sz w:val="32"/>
          <w:szCs w:val="32"/>
          <w:highlight w:val="none"/>
        </w:rPr>
      </w:pPr>
    </w:p>
    <w:p w14:paraId="7C29A4BE">
      <w:pPr>
        <w:numPr>
          <w:ilvl w:val="255"/>
          <w:numId w:val="0"/>
        </w:numPr>
        <w:overflowPunct w:val="0"/>
        <w:adjustRightInd w:val="0"/>
        <w:snapToGrid w:val="0"/>
        <w:spacing w:line="600" w:lineRule="exact"/>
        <w:ind w:left="0" w:leftChars="0" w:firstLine="0" w:firstLineChars="0"/>
        <w:jc w:val="center"/>
        <w:outlineLvl w:val="1"/>
        <w:rPr>
          <w:rFonts w:hint="eastAsia" w:ascii="Times New Roman" w:hAnsi="Times New Roman" w:eastAsia="方正黑体_GBK" w:cs="方正黑体_GBK"/>
          <w:color w:val="auto"/>
          <w:sz w:val="32"/>
          <w:szCs w:val="32"/>
          <w:highlight w:val="none"/>
        </w:rPr>
      </w:pPr>
      <w:bookmarkStart w:id="655" w:name="_Toc15942"/>
      <w:bookmarkStart w:id="656" w:name="_Toc565501087"/>
      <w:bookmarkStart w:id="657" w:name="_Toc17205"/>
      <w:bookmarkStart w:id="658" w:name="_Toc1742476180"/>
      <w:bookmarkStart w:id="659" w:name="_Toc20092"/>
      <w:bookmarkStart w:id="660" w:name="_Toc8088"/>
      <w:bookmarkStart w:id="661" w:name="_Toc15039"/>
      <w:bookmarkStart w:id="662" w:name="_Toc12865"/>
      <w:bookmarkStart w:id="663" w:name="_Toc26347"/>
      <w:bookmarkStart w:id="664" w:name="_Toc24828"/>
      <w:r>
        <w:rPr>
          <w:rFonts w:hint="eastAsia" w:ascii="Times New Roman" w:hAnsi="Times New Roman" w:eastAsia="方正黑体_GBK" w:cs="方正黑体_GBK"/>
          <w:color w:val="auto"/>
          <w:sz w:val="32"/>
          <w:szCs w:val="32"/>
          <w:highlight w:val="none"/>
          <w:lang w:val="en-US" w:eastAsia="zh-CN"/>
        </w:rPr>
        <w:t xml:space="preserve">第三章 </w:t>
      </w:r>
      <w:r>
        <w:rPr>
          <w:rFonts w:hint="eastAsia" w:ascii="Times New Roman" w:hAnsi="Times New Roman" w:eastAsia="方正黑体_GBK" w:cs="方正黑体_GBK"/>
          <w:color w:val="auto"/>
          <w:sz w:val="32"/>
          <w:szCs w:val="32"/>
          <w:highlight w:val="none"/>
        </w:rPr>
        <w:t>全力建设</w:t>
      </w:r>
      <w:bookmarkEnd w:id="655"/>
      <w:bookmarkEnd w:id="656"/>
      <w:bookmarkEnd w:id="657"/>
      <w:bookmarkEnd w:id="658"/>
      <w:bookmarkEnd w:id="659"/>
      <w:bookmarkEnd w:id="660"/>
      <w:bookmarkEnd w:id="661"/>
      <w:bookmarkEnd w:id="662"/>
      <w:bookmarkEnd w:id="663"/>
      <w:bookmarkStart w:id="665" w:name="_Toc10851"/>
      <w:bookmarkStart w:id="666" w:name="_Toc30706"/>
      <w:bookmarkStart w:id="667" w:name="_Toc2535"/>
      <w:bookmarkStart w:id="668" w:name="_Toc12109"/>
      <w:bookmarkStart w:id="669" w:name="_Toc11982"/>
      <w:bookmarkStart w:id="670" w:name="_Toc25742"/>
      <w:bookmarkStart w:id="671" w:name="_Toc30482"/>
      <w:r>
        <w:rPr>
          <w:rFonts w:hint="eastAsia" w:ascii="Times New Roman" w:hAnsi="Times New Roman" w:eastAsia="方正黑体_GBK" w:cs="方正黑体_GBK"/>
          <w:color w:val="auto"/>
          <w:sz w:val="32"/>
          <w:szCs w:val="32"/>
          <w:highlight w:val="none"/>
        </w:rPr>
        <w:t>重庆市物流枢纽经济区高新区功能区</w:t>
      </w:r>
      <w:bookmarkEnd w:id="664"/>
    </w:p>
    <w:p w14:paraId="5EE037BA">
      <w:pPr>
        <w:numPr>
          <w:ilvl w:val="0"/>
          <w:numId w:val="0"/>
        </w:numPr>
        <w:overflowPunct w:val="0"/>
        <w:snapToGrid w:val="0"/>
        <w:spacing w:line="600" w:lineRule="exact"/>
        <w:ind w:leftChars="0"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按照全市“一区两廊”总体部署，构建“产业集群+物流枢纽+通道共建”新模式，积极争取承接重大产业项目、重大功能性平台建设</w:t>
      </w:r>
      <w:r>
        <w:rPr>
          <w:rFonts w:hint="eastAsia" w:ascii="Times New Roman" w:hAnsi="Times New Roman" w:eastAsia="方正仿宋_GBK" w:cs="Times New Roman"/>
          <w:color w:val="auto"/>
          <w:sz w:val="32"/>
          <w:szCs w:val="32"/>
          <w:highlight w:val="none"/>
          <w:lang w:eastAsia="zh-CN"/>
        </w:rPr>
        <w:t>，支撑全市建设枢纽经济高质量发展示范区。推动产业集群能级跃升，</w:t>
      </w:r>
      <w:r>
        <w:rPr>
          <w:rFonts w:hint="eastAsia" w:ascii="Times New Roman" w:hAnsi="Times New Roman" w:eastAsia="方正仿宋_GBK" w:cs="Times New Roman"/>
          <w:color w:val="auto"/>
          <w:sz w:val="32"/>
          <w:szCs w:val="32"/>
          <w:highlight w:val="none"/>
        </w:rPr>
        <w:t>依托北部组团聚焦发展特色航空装备、高端服务器、高端摩托车三大产业，拓展具身智能、低空经济、功率半导体及集成电路等“智造”产业，依托南部组团重点发展智能网联新能源汽车及核心器件、高端摩托车及通机农机装备三大产业，打造优势产业集聚区。围绕国家检验检测高技术服务业集聚区建设，依托嘉陵江实验室、超瞬态实验装置、国家智能网联汽车质检中心等载体，加快研发、中试、检验检测等科技服务业布局，搭建科学技术实验、工业设计、数字创新等平台，面向内陆地区物流领域提供整体性高技术服务。联动团结村、珞璜港、</w:t>
      </w:r>
      <w:r>
        <w:rPr>
          <w:rFonts w:hint="eastAsia" w:ascii="Times New Roman" w:hAnsi="Times New Roman" w:eastAsia="方正仿宋_GBK"/>
          <w:color w:val="auto"/>
          <w:sz w:val="32"/>
          <w:szCs w:val="32"/>
          <w:highlight w:val="none"/>
        </w:rPr>
        <w:t>黄磏港、重庆第二机场等“铁空水”枢纽，</w:t>
      </w:r>
      <w:r>
        <w:rPr>
          <w:rFonts w:hint="eastAsia" w:ascii="Times New Roman" w:hAnsi="Times New Roman" w:eastAsia="方正仿宋_GBK" w:cs="Times New Roman"/>
          <w:color w:val="auto"/>
          <w:sz w:val="32"/>
          <w:szCs w:val="32"/>
          <w:highlight w:val="none"/>
        </w:rPr>
        <w:t>加快推进西部陆海新通道北投西永东盟陆港、江北机场西永航空货站等项目建设，</w:t>
      </w:r>
      <w:r>
        <w:rPr>
          <w:rFonts w:hint="eastAsia" w:ascii="Times New Roman" w:hAnsi="Times New Roman" w:eastAsia="方正仿宋_GBK"/>
          <w:color w:val="auto"/>
          <w:sz w:val="32"/>
          <w:szCs w:val="32"/>
          <w:highlight w:val="none"/>
        </w:rPr>
        <w:t>完善多式联运、口岸及保税、智慧仓储、冷链物流、应急物流等功能，</w:t>
      </w:r>
      <w:r>
        <w:rPr>
          <w:rFonts w:hint="eastAsia" w:ascii="Times New Roman" w:hAnsi="Times New Roman" w:eastAsia="方正仿宋_GBK" w:cs="Times New Roman"/>
          <w:color w:val="auto"/>
          <w:sz w:val="32"/>
          <w:szCs w:val="32"/>
          <w:highlight w:val="none"/>
        </w:rPr>
        <w:t>积极发展融合平台经济等物流新模式，提升通道综合服务效能和物流枢纽能级。</w:t>
      </w:r>
    </w:p>
    <w:p w14:paraId="53A3C139">
      <w:pPr>
        <w:numPr>
          <w:ilvl w:val="-1"/>
          <w:numId w:val="0"/>
        </w:numPr>
        <w:overflowPunct w:val="0"/>
        <w:snapToGrid w:val="0"/>
        <w:spacing w:line="600" w:lineRule="exact"/>
        <w:ind w:firstLine="640" w:firstLineChars="200"/>
        <w:jc w:val="left"/>
        <w:rPr>
          <w:rFonts w:hint="eastAsia" w:ascii="Times New Roman" w:hAnsi="Times New Roman" w:eastAsia="方正仿宋_GBK" w:cs="Times New Roman"/>
          <w:color w:val="auto"/>
          <w:sz w:val="32"/>
          <w:szCs w:val="32"/>
          <w:highlight w:val="none"/>
        </w:rPr>
      </w:pPr>
    </w:p>
    <w:p w14:paraId="769BC324">
      <w:pPr>
        <w:numPr>
          <w:ilvl w:val="-1"/>
          <w:numId w:val="0"/>
        </w:numPr>
        <w:overflowPunct w:val="0"/>
        <w:adjustRightInd w:val="0"/>
        <w:snapToGrid w:val="0"/>
        <w:spacing w:line="600" w:lineRule="exact"/>
        <w:jc w:val="center"/>
        <w:outlineLvl w:val="1"/>
        <w:rPr>
          <w:rFonts w:ascii="Times New Roman" w:hAnsi="Times New Roman" w:eastAsia="方正黑体_GBK" w:cs="方正黑体_GBK"/>
          <w:color w:val="auto"/>
          <w:sz w:val="32"/>
          <w:szCs w:val="32"/>
          <w:highlight w:val="none"/>
        </w:rPr>
      </w:pPr>
      <w:bookmarkStart w:id="672" w:name="_Toc1761631234"/>
      <w:bookmarkStart w:id="673" w:name="_Toc562663121"/>
      <w:bookmarkStart w:id="674" w:name="_Toc24282"/>
      <w:r>
        <w:rPr>
          <w:rFonts w:hint="eastAsia" w:ascii="Times New Roman" w:hAnsi="Times New Roman" w:eastAsia="方正黑体_GBK" w:cs="方正黑体_GBK"/>
          <w:color w:val="auto"/>
          <w:sz w:val="32"/>
          <w:szCs w:val="32"/>
          <w:highlight w:val="none"/>
        </w:rPr>
        <w:t>第四章 提档建设西永综保区</w:t>
      </w:r>
      <w:bookmarkEnd w:id="665"/>
      <w:bookmarkEnd w:id="666"/>
      <w:bookmarkEnd w:id="667"/>
      <w:bookmarkEnd w:id="668"/>
      <w:bookmarkEnd w:id="669"/>
      <w:bookmarkEnd w:id="670"/>
      <w:bookmarkEnd w:id="671"/>
      <w:r>
        <w:rPr>
          <w:rFonts w:hint="eastAsia" w:ascii="Times New Roman" w:hAnsi="Times New Roman" w:eastAsia="方正黑体_GBK" w:cs="方正黑体_GBK"/>
          <w:color w:val="auto"/>
          <w:sz w:val="32"/>
          <w:szCs w:val="32"/>
          <w:highlight w:val="none"/>
        </w:rPr>
        <w:t>和自贸区西永片区</w:t>
      </w:r>
      <w:bookmarkEnd w:id="672"/>
      <w:bookmarkEnd w:id="673"/>
      <w:bookmarkEnd w:id="674"/>
    </w:p>
    <w:p w14:paraId="69E1D55C">
      <w:pPr>
        <w:overflowPunct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通过制度创新、功能拓展、空间优化等方式，盘活存量空间，推动西永综保区“小区域、大产出”，打造具有国际竞争力和创新力的海关特殊监管区域。到2030年，西永综保区全国排名进入前10，</w:t>
      </w:r>
      <w:r>
        <w:rPr>
          <w:rFonts w:hint="eastAsia" w:ascii="Times New Roman" w:hAnsi="Times New Roman" w:eastAsia="方正仿宋_GBK" w:cs="Times New Roman"/>
          <w:color w:val="auto"/>
          <w:sz w:val="32"/>
          <w:szCs w:val="32"/>
          <w:highlight w:val="none"/>
          <w:lang w:bidi="ar"/>
        </w:rPr>
        <w:t>外贸进出口值达3</w:t>
      </w:r>
      <w:r>
        <w:rPr>
          <w:rFonts w:hint="eastAsia" w:ascii="Times New Roman" w:hAnsi="Times New Roman" w:eastAsia="方正仿宋_GBK" w:cs="Times New Roman"/>
          <w:color w:val="auto"/>
          <w:sz w:val="32"/>
          <w:szCs w:val="32"/>
          <w:highlight w:val="none"/>
          <w:lang w:val="en-US" w:eastAsia="zh-CN" w:bidi="ar"/>
        </w:rPr>
        <w:t>5</w:t>
      </w:r>
      <w:r>
        <w:rPr>
          <w:rFonts w:hint="eastAsia" w:ascii="Times New Roman" w:hAnsi="Times New Roman" w:eastAsia="方正仿宋_GBK" w:cs="Times New Roman"/>
          <w:color w:val="auto"/>
          <w:sz w:val="32"/>
          <w:szCs w:val="32"/>
          <w:highlight w:val="none"/>
          <w:lang w:bidi="ar"/>
        </w:rPr>
        <w:t>00亿元</w:t>
      </w:r>
      <w:r>
        <w:rPr>
          <w:rFonts w:hint="eastAsia" w:ascii="Times New Roman" w:hAnsi="Times New Roman" w:eastAsia="方正仿宋_GBK" w:cs="Times New Roman"/>
          <w:color w:val="auto"/>
          <w:sz w:val="32"/>
          <w:szCs w:val="32"/>
          <w:highlight w:val="none"/>
        </w:rPr>
        <w:t>。</w:t>
      </w:r>
    </w:p>
    <w:p w14:paraId="3306C3C4">
      <w:pPr>
        <w:overflowPunct w:val="0"/>
        <w:spacing w:line="600" w:lineRule="exact"/>
        <w:jc w:val="center"/>
        <w:outlineLvl w:val="2"/>
        <w:rPr>
          <w:rFonts w:ascii="Times New Roman" w:hAnsi="Times New Roman" w:eastAsia="方正楷体_GBK" w:cs="方正楷体_GBK"/>
          <w:color w:val="auto"/>
          <w:sz w:val="32"/>
          <w:szCs w:val="32"/>
          <w:highlight w:val="none"/>
        </w:rPr>
      </w:pPr>
      <w:bookmarkStart w:id="675" w:name="_Toc1308576906"/>
      <w:bookmarkStart w:id="676" w:name="_Toc379108649"/>
      <w:bookmarkStart w:id="677" w:name="_Toc31563"/>
      <w:r>
        <w:rPr>
          <w:rFonts w:hint="eastAsia" w:ascii="Times New Roman" w:hAnsi="Times New Roman" w:eastAsia="方正楷体_GBK" w:cs="方正楷体_GBK"/>
          <w:color w:val="auto"/>
          <w:sz w:val="32"/>
          <w:szCs w:val="32"/>
          <w:highlight w:val="none"/>
        </w:rPr>
        <w:t>第一节 推动西永综保区优化调整</w:t>
      </w:r>
      <w:bookmarkEnd w:id="675"/>
      <w:bookmarkEnd w:id="676"/>
      <w:bookmarkEnd w:id="677"/>
    </w:p>
    <w:p w14:paraId="1E67CBE2">
      <w:pPr>
        <w:overflowPunct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推动西永综保区合理缩减围网内低效用地，</w:t>
      </w:r>
      <w:r>
        <w:rPr>
          <w:rFonts w:hint="eastAsia" w:ascii="Times New Roman" w:hAnsi="Times New Roman" w:eastAsia="方正仿宋_GBK" w:cs="Times New Roman"/>
          <w:color w:val="auto"/>
          <w:sz w:val="32"/>
          <w:szCs w:val="32"/>
          <w:highlight w:val="none"/>
          <w:lang w:val="en-US" w:eastAsia="zh-CN"/>
        </w:rPr>
        <w:t>加快</w:t>
      </w:r>
      <w:r>
        <w:rPr>
          <w:rFonts w:hint="eastAsia" w:ascii="Times New Roman" w:hAnsi="Times New Roman" w:eastAsia="方正仿宋_GBK" w:cs="Times New Roman"/>
          <w:color w:val="auto"/>
          <w:sz w:val="32"/>
          <w:szCs w:val="32"/>
          <w:highlight w:val="none"/>
        </w:rPr>
        <w:t>非核心功能向区外疏解，优先保障研发设计、检测维修、供应链管理等核心环节空间，</w:t>
      </w:r>
      <w:r>
        <w:rPr>
          <w:rFonts w:hint="eastAsia" w:ascii="Times New Roman" w:hAnsi="Times New Roman" w:eastAsia="方正仿宋_GBK" w:cs="Times New Roman"/>
          <w:spacing w:val="0"/>
          <w:sz w:val="32"/>
          <w:szCs w:val="32"/>
          <w:highlight w:val="none"/>
          <w:u w:val="none" w:color="auto"/>
          <w:lang w:val="en-US" w:eastAsia="zh-CN"/>
        </w:rPr>
        <w:t>推动主导产业用地、保税仓库、标准厂房等载体资源合理布局</w:t>
      </w:r>
      <w:r>
        <w:rPr>
          <w:rFonts w:hint="eastAsia" w:ascii="Times New Roman" w:hAnsi="Times New Roman" w:eastAsia="方正仿宋_GBK" w:cs="Times New Roman"/>
          <w:color w:val="auto"/>
          <w:sz w:val="32"/>
          <w:szCs w:val="32"/>
          <w:highlight w:val="none"/>
        </w:rPr>
        <w:t>。深化保税政策应用，围绕集成电路、新能源汽摩、新型智能终端、跨境电商等核心产业链，深化海关监管模式改革，大力发展保税检测、保税维修、保税研发、保税再制造，培育</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保税+会展</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保税+金融</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等“保税+”新业态。发挥国家加工贸易产业园优势，推动加工贸易向品牌、研发、分拨和结算等产业价值链高端延伸，提升一般贸易出口产品的附加值，优化进口商品结构。推动笔电中间品集散分拨中心建设，引导整车进出口经营品类从单一整车向“整车+KD散件”多元化延伸，鼓励本地汽车摩托车出口零部件采用统一的集拼方式运输至东盟，促进通道、经贸、物流融合发展。</w:t>
      </w:r>
    </w:p>
    <w:p w14:paraId="1FC59431">
      <w:pPr>
        <w:overflowPunct w:val="0"/>
        <w:spacing w:line="600" w:lineRule="exact"/>
        <w:jc w:val="center"/>
        <w:outlineLvl w:val="2"/>
        <w:rPr>
          <w:rFonts w:ascii="Times New Roman" w:hAnsi="Times New Roman" w:eastAsia="方正楷体_GBK" w:cs="方正楷体_GBK"/>
          <w:color w:val="auto"/>
          <w:sz w:val="32"/>
          <w:szCs w:val="32"/>
          <w:highlight w:val="none"/>
        </w:rPr>
      </w:pPr>
      <w:bookmarkStart w:id="678" w:name="_Toc21770"/>
      <w:bookmarkStart w:id="679" w:name="_Toc872030215"/>
      <w:bookmarkStart w:id="680" w:name="_Toc95083094"/>
      <w:r>
        <w:rPr>
          <w:rFonts w:hint="eastAsia" w:ascii="Times New Roman" w:hAnsi="Times New Roman" w:eastAsia="方正楷体_GBK" w:cs="方正楷体_GBK"/>
          <w:color w:val="auto"/>
          <w:sz w:val="32"/>
          <w:szCs w:val="32"/>
          <w:highlight w:val="none"/>
        </w:rPr>
        <w:t>第二节 提升自贸区西永片区发展能级</w:t>
      </w:r>
      <w:bookmarkEnd w:id="678"/>
      <w:bookmarkEnd w:id="679"/>
      <w:bookmarkEnd w:id="680"/>
    </w:p>
    <w:p w14:paraId="7472C03D">
      <w:pPr>
        <w:overflowPunct w:val="0"/>
        <w:adjustRightInd w:val="0"/>
        <w:snapToGrid w:val="0"/>
        <w:spacing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依托自贸区、综保区、枢纽港“两区一港”联动发展，通过政策叠加、制度创新，进一步加快跨境电商综服平台等公共服务平台建设。推动智慧综保区建设，</w:t>
      </w:r>
      <w:r>
        <w:rPr>
          <w:rFonts w:hint="eastAsia" w:eastAsia="方正仿宋_GBK" w:cs="Times New Roman"/>
          <w:color w:val="auto"/>
          <w:sz w:val="32"/>
          <w:szCs w:val="32"/>
          <w:highlight w:val="none"/>
        </w:rPr>
        <w:t>深化“智慧海关、智享联通”模式，建设物流信息平台，实现贸易信息比对与物流在途可视化，推进物流降本增效。</w:t>
      </w:r>
      <w:r>
        <w:rPr>
          <w:rFonts w:hint="eastAsia" w:ascii="Times New Roman" w:hAnsi="Times New Roman" w:eastAsia="方正仿宋_GBK" w:cs="Times New Roman"/>
          <w:color w:val="auto"/>
          <w:sz w:val="32"/>
          <w:szCs w:val="32"/>
          <w:highlight w:val="none"/>
        </w:rPr>
        <w:t>推动TIR国际公路运输通道建设与中欧班列、西部陆海新通道协同联动，积极拓展高附加值货源与回程货物组织，提升双向货流比例，降低空驶率。推广“渝检桂放”模式，配套物流分拨设施，做强“西永—东盟”南向跨境陆运通道。探索设立铁路口岸或与其他铁路口岸合作发展，提升区内企业通关时效，降低物流成本。积极与西永周边及远郊江海口岸深度合作绑定，探索江海联运口岸前置模式。</w:t>
      </w:r>
    </w:p>
    <w:p w14:paraId="71021E07">
      <w:pPr>
        <w:overflowPunct/>
        <w:adjustRightInd/>
        <w:snapToGrid/>
        <w:spacing w:line="240" w:lineRule="auto"/>
        <w:ind w:left="0" w:leftChars="0"/>
        <w:jc w:val="left"/>
        <w:outlineLvl w:val="9"/>
        <w:rPr>
          <w:rFonts w:hint="eastAsia" w:ascii="Times New Roman" w:hAnsi="Times New Roman" w:eastAsia="方正黑体_GBK" w:cs="方正黑体_GBK"/>
          <w:color w:val="auto"/>
          <w:sz w:val="32"/>
          <w:szCs w:val="32"/>
          <w:highlight w:val="none"/>
        </w:rPr>
      </w:pPr>
      <w:bookmarkStart w:id="681" w:name="_Toc9996"/>
      <w:bookmarkStart w:id="682" w:name="_Toc1783416377"/>
      <w:bookmarkStart w:id="683" w:name="_Toc333727490"/>
      <w:r>
        <w:rPr>
          <w:rFonts w:hint="eastAsia" w:ascii="Times New Roman" w:hAnsi="Times New Roman" w:eastAsia="方正黑体_GBK" w:cs="方正黑体_GBK"/>
          <w:color w:val="auto"/>
          <w:sz w:val="32"/>
          <w:szCs w:val="32"/>
          <w:highlight w:val="none"/>
        </w:rPr>
        <w:br w:type="page"/>
      </w:r>
    </w:p>
    <w:p w14:paraId="5B3BFB6A">
      <w:pPr>
        <w:overflowPunct w:val="0"/>
        <w:adjustRightInd w:val="0"/>
        <w:snapToGrid w:val="0"/>
        <w:spacing w:line="600" w:lineRule="exact"/>
        <w:ind w:left="0" w:leftChars="0"/>
        <w:jc w:val="center"/>
        <w:outlineLvl w:val="1"/>
        <w:rPr>
          <w:rFonts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第五章 持续推动重点领域改革</w:t>
      </w:r>
      <w:bookmarkEnd w:id="681"/>
      <w:bookmarkEnd w:id="682"/>
      <w:bookmarkEnd w:id="683"/>
    </w:p>
    <w:p w14:paraId="3196BAA8">
      <w:pPr>
        <w:adjustRightInd w:val="0"/>
        <w:snapToGrid w:val="0"/>
        <w:spacing w:line="600" w:lineRule="exact"/>
        <w:ind w:firstLine="640" w:firstLineChars="200"/>
        <w:textAlignment w:val="baseline"/>
        <w:rPr>
          <w:rFonts w:hint="eastAsia" w:ascii="方正仿宋_GBK" w:hAnsi="方正仿宋_GBK"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坚持以经济体制改革为重点，</w:t>
      </w:r>
      <w:r>
        <w:rPr>
          <w:rFonts w:hint="eastAsia" w:ascii="方正仿宋_GBK" w:hAnsi="方正仿宋_GBK" w:eastAsia="方正仿宋_GBK" w:cs="方正仿宋_GBK"/>
          <w:color w:val="auto"/>
          <w:sz w:val="32"/>
          <w:szCs w:val="32"/>
          <w:highlight w:val="none"/>
        </w:rPr>
        <w:t>充分发挥高新区体制机制优势，聚焦重点领域和关键环节，</w:t>
      </w:r>
      <w:r>
        <w:rPr>
          <w:rFonts w:hint="eastAsia" w:ascii="Times New Roman" w:hAnsi="Times New Roman" w:eastAsia="方正仿宋_GBK" w:cs="方正仿宋_GBK"/>
          <w:color w:val="auto"/>
          <w:sz w:val="32"/>
          <w:szCs w:val="32"/>
          <w:highlight w:val="none"/>
        </w:rPr>
        <w:t>形成更多首创性、差别化标志性成果，不断增强财政金融保障，扩大有效投资，</w:t>
      </w:r>
      <w:r>
        <w:rPr>
          <w:rFonts w:hint="eastAsia" w:ascii="Times New Roman" w:hAnsi="Times New Roman" w:eastAsia="方正仿宋_GBK" w:cs="Times New Roman"/>
          <w:bCs/>
          <w:color w:val="auto"/>
          <w:kern w:val="0"/>
          <w:sz w:val="32"/>
          <w:szCs w:val="32"/>
          <w:highlight w:val="none"/>
        </w:rPr>
        <w:t>打造</w:t>
      </w:r>
      <w:r>
        <w:rPr>
          <w:rFonts w:ascii="Times New Roman" w:hAnsi="Times New Roman" w:eastAsia="方正仿宋_GBK" w:cs="Times New Roman"/>
          <w:bCs/>
          <w:color w:val="auto"/>
          <w:kern w:val="0"/>
          <w:sz w:val="32"/>
          <w:szCs w:val="32"/>
          <w:highlight w:val="none"/>
        </w:rPr>
        <w:t>适应新</w:t>
      </w:r>
      <w:r>
        <w:rPr>
          <w:rFonts w:hint="eastAsia" w:ascii="Times New Roman" w:hAnsi="Times New Roman" w:eastAsia="方正仿宋_GBK" w:cs="Times New Roman"/>
          <w:bCs/>
          <w:color w:val="auto"/>
          <w:kern w:val="0"/>
          <w:sz w:val="32"/>
          <w:szCs w:val="32"/>
          <w:highlight w:val="none"/>
        </w:rPr>
        <w:t>阶段</w:t>
      </w:r>
      <w:r>
        <w:rPr>
          <w:rFonts w:ascii="Times New Roman" w:hAnsi="Times New Roman" w:eastAsia="方正仿宋_GBK" w:cs="Times New Roman"/>
          <w:bCs/>
          <w:color w:val="auto"/>
          <w:kern w:val="0"/>
          <w:sz w:val="32"/>
          <w:szCs w:val="32"/>
          <w:highlight w:val="none"/>
        </w:rPr>
        <w:t>要求、具有科学城特色的发展</w:t>
      </w:r>
      <w:r>
        <w:rPr>
          <w:rFonts w:hint="eastAsia" w:ascii="Times New Roman" w:hAnsi="Times New Roman" w:eastAsia="方正仿宋_GBK" w:cs="Times New Roman"/>
          <w:bCs/>
          <w:color w:val="auto"/>
          <w:kern w:val="0"/>
          <w:sz w:val="32"/>
          <w:szCs w:val="32"/>
          <w:highlight w:val="none"/>
        </w:rPr>
        <w:t>环境</w:t>
      </w:r>
      <w:r>
        <w:rPr>
          <w:rFonts w:ascii="Times New Roman" w:hAnsi="Times New Roman" w:eastAsia="方正仿宋_GBK" w:cs="Times New Roman"/>
          <w:bCs/>
          <w:color w:val="auto"/>
          <w:kern w:val="0"/>
          <w:sz w:val="32"/>
          <w:szCs w:val="32"/>
          <w:highlight w:val="none"/>
        </w:rPr>
        <w:t>。</w:t>
      </w:r>
    </w:p>
    <w:p w14:paraId="7CA93CE6">
      <w:pPr>
        <w:overflowPunct w:val="0"/>
        <w:adjustRightInd w:val="0"/>
        <w:snapToGrid w:val="0"/>
        <w:spacing w:line="600" w:lineRule="exact"/>
        <w:jc w:val="center"/>
        <w:outlineLvl w:val="2"/>
        <w:rPr>
          <w:color w:val="auto"/>
          <w:highlight w:val="none"/>
        </w:rPr>
      </w:pPr>
      <w:bookmarkStart w:id="684" w:name="_Toc1878122113"/>
      <w:bookmarkStart w:id="685" w:name="_Toc1449787060"/>
      <w:bookmarkStart w:id="686" w:name="_Toc3577"/>
      <w:r>
        <w:rPr>
          <w:rFonts w:hint="eastAsia" w:ascii="Times New Roman" w:hAnsi="Times New Roman" w:eastAsia="方正楷体_GBK" w:cs="方正楷体_GBK"/>
          <w:color w:val="auto"/>
          <w:sz w:val="32"/>
          <w:szCs w:val="32"/>
          <w:highlight w:val="none"/>
        </w:rPr>
        <w:t>第一节 构建优化协同高效的机构职能体系</w:t>
      </w:r>
      <w:bookmarkEnd w:id="684"/>
      <w:bookmarkEnd w:id="685"/>
      <w:bookmarkEnd w:id="686"/>
    </w:p>
    <w:p w14:paraId="6BE71D41">
      <w:pPr>
        <w:numPr>
          <w:ilvl w:val="255"/>
          <w:numId w:val="0"/>
        </w:numPr>
        <w:overflowPunct w:val="0"/>
        <w:adjustRightInd w:val="0"/>
        <w:snapToGrid w:val="0"/>
        <w:spacing w:line="600" w:lineRule="exact"/>
        <w:ind w:firstLine="640" w:firstLineChars="200"/>
        <w:jc w:val="both"/>
        <w:textAlignment w:val="baseline"/>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围绕服务发展重大战略目标，统筹用好西永综保区管委会机构编制资源，合理摆布内设机构设置，聚焦当前最急需紧迫任务组建专门机构，通过机构重组、职能整合等方式</w:t>
      </w:r>
      <w:r>
        <w:rPr>
          <w:rFonts w:hint="eastAsia" w:ascii="方正仿宋_GBK" w:hAnsi="方正仿宋_GBK" w:eastAsia="方正仿宋_GBK" w:cs="方正仿宋_GBK"/>
          <w:color w:val="auto"/>
          <w:sz w:val="32"/>
          <w:szCs w:val="32"/>
          <w:highlight w:val="none"/>
          <w:lang w:val="en-US" w:eastAsia="zh-CN"/>
        </w:rPr>
        <w:t>厘清责任边界、理顺职责关系</w:t>
      </w:r>
      <w:r>
        <w:rPr>
          <w:rFonts w:hint="eastAsia" w:ascii="方正仿宋_GBK" w:hAnsi="方正仿宋_GBK" w:eastAsia="方正仿宋_GBK" w:cs="方正仿宋_GBK"/>
          <w:color w:val="auto"/>
          <w:sz w:val="32"/>
          <w:szCs w:val="32"/>
          <w:highlight w:val="none"/>
        </w:rPr>
        <w:t>，调整优化内部功能模块，着力构建主责主业突出、优化协同高效的机构职能体系。落实全面深化事业单位改革要求，强化基本公共服务及科研领域机构保障，通过撤并整合、综合设置等方式优化事业单位结构布局。创新内部运行管理</w:t>
      </w:r>
      <w:r>
        <w:rPr>
          <w:rFonts w:hint="eastAsia" w:ascii="方正仿宋_GBK" w:hAnsi="方正仿宋_GBK" w:eastAsia="方正仿宋_GBK" w:cs="方正仿宋_GBK"/>
          <w:color w:val="auto"/>
          <w:sz w:val="32"/>
          <w:szCs w:val="32"/>
          <w:highlight w:val="none"/>
          <w:lang w:val="en-US" w:eastAsia="zh-CN"/>
        </w:rPr>
        <w:t>方式</w:t>
      </w:r>
      <w:r>
        <w:rPr>
          <w:rFonts w:hint="eastAsia" w:ascii="方正仿宋_GBK" w:hAnsi="方正仿宋_GBK" w:eastAsia="方正仿宋_GBK" w:cs="方正仿宋_GBK"/>
          <w:color w:val="auto"/>
          <w:sz w:val="32"/>
          <w:szCs w:val="32"/>
          <w:highlight w:val="none"/>
        </w:rPr>
        <w:t>，按照“编制分类管理，人员统筹使用”的方式探索灵活用人模式，“一盘棋”统筹机关、国企、镇街干部资源，畅通人员交流渠道。</w:t>
      </w:r>
    </w:p>
    <w:p w14:paraId="756A41C5">
      <w:pPr>
        <w:numPr>
          <w:ilvl w:val="255"/>
          <w:numId w:val="0"/>
        </w:num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687" w:name="_Toc1883709585"/>
      <w:bookmarkStart w:id="688" w:name="_Toc4678"/>
      <w:bookmarkStart w:id="689" w:name="_Toc1221658558"/>
      <w:r>
        <w:rPr>
          <w:rFonts w:hint="eastAsia" w:ascii="Times New Roman" w:hAnsi="Times New Roman" w:eastAsia="方正楷体_GBK" w:cs="方正楷体_GBK"/>
          <w:color w:val="auto"/>
          <w:sz w:val="32"/>
          <w:szCs w:val="32"/>
          <w:highlight w:val="none"/>
        </w:rPr>
        <w:t xml:space="preserve">第二节 </w:t>
      </w:r>
      <w:r>
        <w:rPr>
          <w:rFonts w:hint="eastAsia" w:ascii="方正楷体_GBK" w:hAnsi="方正楷体_GBK" w:eastAsia="方正楷体_GBK" w:cs="方正楷体_GBK"/>
          <w:color w:val="auto"/>
          <w:sz w:val="32"/>
          <w:szCs w:val="32"/>
          <w:highlight w:val="none"/>
          <w:lang w:bidi="ar"/>
        </w:rPr>
        <w:t>全面建成数字重庆体系能力</w:t>
      </w:r>
      <w:bookmarkEnd w:id="687"/>
      <w:bookmarkEnd w:id="688"/>
      <w:bookmarkEnd w:id="689"/>
    </w:p>
    <w:p w14:paraId="2951058A">
      <w:pPr>
        <w:adjustRightInd w:val="0"/>
        <w:snapToGrid w:val="0"/>
        <w:spacing w:line="600" w:lineRule="exact"/>
        <w:ind w:firstLine="640" w:firstLineChars="200"/>
        <w:textAlignment w:val="baseline"/>
        <w:rPr>
          <w:rFonts w:ascii="Times New Roman" w:hAnsi="Times New Roman" w:eastAsia="方正仿宋_GBK" w:cs="Times New Roman"/>
          <w:b/>
          <w:bCs/>
          <w:color w:val="auto"/>
          <w:kern w:val="0"/>
          <w:sz w:val="32"/>
          <w:szCs w:val="32"/>
          <w:highlight w:val="none"/>
        </w:rPr>
      </w:pPr>
      <w:r>
        <w:rPr>
          <w:rFonts w:hint="eastAsia" w:ascii="方正仿宋_GBK" w:hAnsi="方正仿宋_GBK" w:eastAsia="方正仿宋_GBK" w:cs="方正仿宋_GBK"/>
          <w:color w:val="auto"/>
          <w:sz w:val="32"/>
          <w:szCs w:val="32"/>
          <w:highlight w:val="none"/>
          <w:shd w:val="clear" w:color="auto" w:fill="FFFFFF"/>
        </w:rPr>
        <w:t>突出数智赋能与大综合一体化“双轮驱动”，坚持最快系统部署、最小投入代价、最佳实战效果、最大数据共享要求，</w:t>
      </w:r>
      <w:r>
        <w:rPr>
          <w:rFonts w:hint="eastAsia" w:ascii="方正仿宋_GBK" w:hAnsi="方正仿宋_GBK" w:eastAsia="方正仿宋_GBK" w:cs="方正仿宋_GBK"/>
          <w:i w:val="0"/>
          <w:iCs w:val="0"/>
          <w:caps w:val="0"/>
          <w:color w:val="171A1D"/>
          <w:spacing w:val="0"/>
          <w:sz w:val="32"/>
          <w:szCs w:val="32"/>
          <w:highlight w:val="none"/>
          <w:u w:val="none" w:color="auto"/>
          <w:shd w:val="clear" w:color="auto" w:fill="FFFFFF"/>
        </w:rPr>
        <w:t>聚焦科技创新、产业发展、两城融合等</w:t>
      </w:r>
      <w:r>
        <w:rPr>
          <w:rFonts w:hint="eastAsia" w:ascii="方正仿宋_GBK" w:hAnsi="方正仿宋_GBK" w:eastAsia="方正仿宋_GBK" w:cs="方正仿宋_GBK"/>
          <w:i w:val="0"/>
          <w:iCs w:val="0"/>
          <w:caps w:val="0"/>
          <w:color w:val="171A1D"/>
          <w:spacing w:val="0"/>
          <w:sz w:val="32"/>
          <w:szCs w:val="32"/>
          <w:highlight w:val="none"/>
          <w:u w:val="none" w:color="auto"/>
          <w:shd w:val="clear" w:color="auto" w:fill="FFFFFF"/>
          <w:lang w:val="en-US" w:eastAsia="zh-CN"/>
        </w:rPr>
        <w:t>特色领域</w:t>
      </w:r>
      <w:r>
        <w:rPr>
          <w:rFonts w:hint="eastAsia" w:ascii="方正仿宋_GBK" w:hAnsi="方正仿宋_GBK" w:eastAsia="方正仿宋_GBK" w:cs="方正仿宋_GBK"/>
          <w:i w:val="0"/>
          <w:iCs w:val="0"/>
          <w:caps w:val="0"/>
          <w:color w:val="171A1D"/>
          <w:spacing w:val="0"/>
          <w:sz w:val="32"/>
          <w:szCs w:val="32"/>
          <w:highlight w:val="none"/>
          <w:u w:val="none" w:color="auto"/>
          <w:shd w:val="clear" w:color="auto" w:fill="FFFFFF"/>
        </w:rPr>
        <w:t>，强化</w:t>
      </w:r>
      <w:r>
        <w:rPr>
          <w:rFonts w:hint="eastAsia" w:ascii="方正仿宋_GBK" w:hAnsi="方正仿宋_GBK" w:eastAsia="方正仿宋_GBK" w:cs="方正仿宋_GBK"/>
          <w:i w:val="0"/>
          <w:iCs w:val="0"/>
          <w:caps w:val="0"/>
          <w:color w:val="171A1D"/>
          <w:spacing w:val="0"/>
          <w:sz w:val="32"/>
          <w:szCs w:val="32"/>
          <w:highlight w:val="none"/>
          <w:u w:val="none" w:color="auto"/>
          <w:shd w:val="clear" w:color="auto" w:fill="FFFFFF"/>
          <w:lang w:eastAsia="zh-CN"/>
        </w:rPr>
        <w:t>全场景线上线下业务贯通融合和集成改革</w:t>
      </w:r>
      <w:r>
        <w:rPr>
          <w:rFonts w:hint="eastAsia" w:ascii="方正仿宋_GBK" w:hAnsi="方正仿宋_GBK" w:eastAsia="方正仿宋_GBK" w:cs="方正仿宋_GBK"/>
          <w:color w:val="auto"/>
          <w:sz w:val="32"/>
          <w:szCs w:val="32"/>
          <w:highlight w:val="none"/>
          <w:shd w:val="clear" w:color="auto" w:fill="FFFFFF"/>
        </w:rPr>
        <w:t>。建强治理中心贯通实战体系能力，</w:t>
      </w:r>
      <w:r>
        <w:rPr>
          <w:rFonts w:hint="eastAsia" w:ascii="方正仿宋_GBK" w:hAnsi="方正仿宋_GBK" w:eastAsia="方正仿宋_GBK" w:cs="方正仿宋_GBK"/>
          <w:color w:val="auto"/>
          <w:sz w:val="32"/>
          <w:szCs w:val="32"/>
          <w:highlight w:val="none"/>
        </w:rPr>
        <w:t>构建态势全面感知、趋势智能研判、处置协同高效、调度敏捷响应、平急快速转换的本质安全新体系，</w:t>
      </w:r>
      <w:r>
        <w:rPr>
          <w:rFonts w:hint="eastAsia" w:ascii="方正仿宋_GBK" w:hAnsi="方正仿宋_GBK" w:eastAsia="方正仿宋_GBK" w:cs="方正仿宋_GBK"/>
          <w:color w:val="auto"/>
          <w:sz w:val="32"/>
          <w:szCs w:val="32"/>
          <w:highlight w:val="none"/>
          <w:shd w:val="clear" w:color="auto" w:fill="FFFFFF"/>
        </w:rPr>
        <w:t>实现风险全落图、感知全接入、事件全汇聚、隐患全提示，紧急突发响应率、重大风险隐患闭环管控率、企业群众高频诉求化解</w:t>
      </w:r>
      <w:r>
        <w:rPr>
          <w:rFonts w:hint="eastAsia" w:ascii="Times New Roman" w:hAnsi="Times New Roman" w:eastAsia="方正仿宋_GBK" w:cs="Times New Roman"/>
          <w:color w:val="auto"/>
          <w:sz w:val="32"/>
          <w:szCs w:val="32"/>
          <w:highlight w:val="none"/>
          <w:shd w:val="clear" w:color="auto" w:fill="FFFFFF"/>
        </w:rPr>
        <w:t>率保持100%</w:t>
      </w:r>
      <w:r>
        <w:rPr>
          <w:rFonts w:hint="eastAsia" w:ascii="方正仿宋_GBK" w:hAnsi="方正仿宋_GBK" w:eastAsia="方正仿宋_GBK" w:cs="方正仿宋_GBK"/>
          <w:color w:val="auto"/>
          <w:sz w:val="32"/>
          <w:szCs w:val="32"/>
          <w:highlight w:val="none"/>
        </w:rPr>
        <w:t>。建强数据资源底座支撑体系能力，</w:t>
      </w:r>
      <w:r>
        <w:rPr>
          <w:rFonts w:hint="eastAsia" w:ascii="方正仿宋_GBK" w:hAnsi="方正仿宋_GBK" w:eastAsia="方正仿宋_GBK" w:cs="方正仿宋_GBK"/>
          <w:color w:val="auto"/>
          <w:sz w:val="32"/>
          <w:szCs w:val="32"/>
          <w:highlight w:val="none"/>
          <w:shd w:val="clear" w:color="auto" w:fill="FFFFFF"/>
        </w:rPr>
        <w:t>全要素、全量归集机关、国企、教育、医疗、科技、金融数据资源，建立健全数据资源统计调查制度与数据治理工作机制</w:t>
      </w:r>
      <w:r>
        <w:rPr>
          <w:rFonts w:hint="eastAsia" w:ascii="方正仿宋_GBK" w:hAnsi="方正仿宋_GBK" w:eastAsia="方正仿宋_GBK" w:cs="方正仿宋_GBK"/>
          <w:color w:val="auto"/>
          <w:sz w:val="32"/>
          <w:szCs w:val="32"/>
          <w:highlight w:val="none"/>
        </w:rPr>
        <w:t>，围绕科技创新、工业制造、商贸流通、城市治理等领域，打造一批“数据要素×”典型应用场景，</w:t>
      </w:r>
      <w:r>
        <w:rPr>
          <w:rFonts w:hint="eastAsia" w:ascii="方正仿宋_GBK" w:hAnsi="方正仿宋_GBK" w:eastAsia="方正仿宋_GBK" w:cs="方正仿宋_GBK"/>
          <w:color w:val="auto"/>
          <w:sz w:val="32"/>
          <w:szCs w:val="32"/>
          <w:highlight w:val="none"/>
          <w:shd w:val="clear" w:color="auto" w:fill="FFFFFF"/>
        </w:rPr>
        <w:t>数据、云网、组件、感知等数字资源实现高质量供给、高效率配置、高水平统筹，政企数据高效共享流通，数据要素价值得到充分释放，数据治理合格率、数据共享满足</w:t>
      </w:r>
      <w:r>
        <w:rPr>
          <w:rFonts w:hint="eastAsia" w:ascii="Times New Roman" w:hAnsi="Times New Roman" w:eastAsia="方正仿宋_GBK" w:cs="Times New Roman"/>
          <w:color w:val="auto"/>
          <w:sz w:val="32"/>
          <w:szCs w:val="32"/>
          <w:highlight w:val="none"/>
          <w:shd w:val="clear" w:color="auto" w:fill="FFFFFF"/>
        </w:rPr>
        <w:t>率达100%。</w:t>
      </w:r>
      <w:r>
        <w:rPr>
          <w:rFonts w:hint="eastAsia" w:ascii="方正仿宋_GBK" w:hAnsi="方正仿宋_GBK" w:eastAsia="方正仿宋_GBK" w:cs="方正仿宋_GBK"/>
          <w:color w:val="auto"/>
          <w:sz w:val="32"/>
          <w:szCs w:val="32"/>
          <w:highlight w:val="none"/>
        </w:rPr>
        <w:t>建强</w:t>
      </w:r>
      <w:r>
        <w:rPr>
          <w:rFonts w:hint="eastAsia" w:ascii="方正仿宋_GBK" w:hAnsi="方正仿宋_GBK" w:eastAsia="方正仿宋_GBK" w:cs="方正仿宋_GBK"/>
          <w:color w:val="auto"/>
          <w:sz w:val="32"/>
          <w:szCs w:val="32"/>
          <w:highlight w:val="none"/>
          <w:lang w:eastAsia="zh-CN"/>
        </w:rPr>
        <w:t>“</w:t>
      </w:r>
      <w:r>
        <w:rPr>
          <w:rFonts w:ascii="Times New Roman" w:hAnsi="Times New Roman" w:eastAsia="方正仿宋_GBK" w:cs="Times New Roman"/>
          <w:color w:val="auto"/>
          <w:sz w:val="32"/>
          <w:szCs w:val="32"/>
          <w:highlight w:val="none"/>
        </w:rPr>
        <w:t>AI+</w:t>
      </w:r>
      <w:r>
        <w:rPr>
          <w:rFonts w:hint="eastAsia" w:ascii="Times New Roman" w:hAnsi="Times New Roman" w:eastAsia="方正仿宋_GBK" w:cs="Times New Roman"/>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综合场景多跨协同体系能力，围绕缓堵促畅、环境污染、食品卫生、公共安全等“大城市病”，聚焦科技创新、产业发展、两城融合等主责主业，</w:t>
      </w:r>
      <w:r>
        <w:rPr>
          <w:rFonts w:hint="eastAsia" w:ascii="方正仿宋_GBK" w:hAnsi="方正仿宋_GBK" w:eastAsia="方正仿宋_GBK" w:cs="方正仿宋_GBK"/>
          <w:color w:val="auto"/>
          <w:sz w:val="32"/>
          <w:szCs w:val="32"/>
          <w:highlight w:val="none"/>
          <w:shd w:val="clear" w:color="auto" w:fill="FFFFFF"/>
        </w:rPr>
        <w:t>完善跨部门、跨行业、全流程的业务流程优化、制度重塑、管理重构路径，</w:t>
      </w:r>
      <w:r>
        <w:rPr>
          <w:rFonts w:hint="eastAsia" w:ascii="方正仿宋_GBK" w:hAnsi="方正仿宋_GBK" w:eastAsia="方正仿宋_GBK" w:cs="方正仿宋_GBK"/>
          <w:color w:val="auto"/>
          <w:sz w:val="32"/>
          <w:szCs w:val="32"/>
          <w:highlight w:val="none"/>
        </w:rPr>
        <w:t>谋划建设具有科学城辨识度的</w:t>
      </w:r>
      <w:r>
        <w:rPr>
          <w:rFonts w:hint="eastAsia" w:ascii="方正仿宋_GBK" w:hAnsi="方正仿宋_GBK" w:eastAsia="方正仿宋_GBK" w:cs="方正仿宋_GBK"/>
          <w:color w:val="auto"/>
          <w:sz w:val="32"/>
          <w:szCs w:val="32"/>
          <w:highlight w:val="none"/>
          <w:lang w:eastAsia="zh-CN"/>
        </w:rPr>
        <w:t>“</w:t>
      </w:r>
      <w:r>
        <w:rPr>
          <w:rFonts w:ascii="Times New Roman" w:hAnsi="Times New Roman" w:eastAsia="方正仿宋_GBK" w:cs="Times New Roman"/>
          <w:color w:val="auto"/>
          <w:sz w:val="32"/>
          <w:szCs w:val="32"/>
          <w:highlight w:val="none"/>
        </w:rPr>
        <w:t>AI+</w:t>
      </w:r>
      <w:r>
        <w:rPr>
          <w:rFonts w:hint="eastAsia" w:ascii="Times New Roman" w:hAnsi="Times New Roman" w:eastAsia="方正仿宋_GBK" w:cs="Times New Roman"/>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综合场景。</w:t>
      </w:r>
      <w:r>
        <w:rPr>
          <w:rFonts w:hint="default" w:ascii="Times New Roman" w:hAnsi="Times New Roman" w:eastAsia="方正仿宋_GBK" w:cs="Times New Roman"/>
          <w:b w:val="0"/>
          <w:bCs w:val="0"/>
          <w:sz w:val="32"/>
          <w:szCs w:val="32"/>
          <w:highlight w:val="none"/>
          <w:u w:val="none" w:color="auto"/>
          <w:lang w:val="en-US" w:eastAsia="zh-CN"/>
        </w:rPr>
        <w:t>到2030年，建设行业高质量数据集30个、可信数据空间5个，打造体系能力标志性成果10个以上。</w:t>
      </w:r>
    </w:p>
    <w:p w14:paraId="1D49B67A">
      <w:pPr>
        <w:numPr>
          <w:ilvl w:val="255"/>
          <w:numId w:val="0"/>
        </w:num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690" w:name="_Toc324235339"/>
      <w:bookmarkStart w:id="691" w:name="_Toc10829"/>
      <w:bookmarkStart w:id="692" w:name="_Toc1303071021"/>
      <w:r>
        <w:rPr>
          <w:rFonts w:hint="eastAsia" w:ascii="Times New Roman" w:hAnsi="Times New Roman" w:eastAsia="方正楷体_GBK" w:cs="方正楷体_GBK"/>
          <w:color w:val="auto"/>
          <w:sz w:val="32"/>
          <w:szCs w:val="32"/>
          <w:highlight w:val="none"/>
        </w:rPr>
        <w:t>第三节 深入开展国资国企改革</w:t>
      </w:r>
      <w:bookmarkEnd w:id="690"/>
      <w:bookmarkEnd w:id="691"/>
      <w:bookmarkEnd w:id="692"/>
    </w:p>
    <w:p w14:paraId="4FACD812">
      <w:pPr>
        <w:adjustRightInd w:val="0"/>
        <w:snapToGrid w:val="0"/>
        <w:spacing w:line="600" w:lineRule="exact"/>
        <w:ind w:firstLine="640" w:firstLineChars="200"/>
        <w:textAlignment w:val="baseline"/>
        <w:rPr>
          <w:rFonts w:hint="eastAsia" w:ascii="方正仿宋_GBK" w:hAnsi="方正仿宋_GBK" w:eastAsia="方正仿宋_GBK" w:cs="方正仿宋_GBK"/>
          <w:color w:val="auto"/>
          <w:kern w:val="0"/>
          <w:sz w:val="32"/>
          <w:szCs w:val="32"/>
          <w:highlight w:val="none"/>
          <w:lang w:bidi="ar"/>
        </w:rPr>
      </w:pPr>
      <w:r>
        <w:rPr>
          <w:rFonts w:hint="eastAsia" w:ascii="方正仿宋_GBK" w:hAnsi="方正仿宋_GBK" w:eastAsia="方正仿宋_GBK" w:cs="方正仿宋_GBK"/>
          <w:color w:val="auto"/>
          <w:kern w:val="0"/>
          <w:sz w:val="32"/>
          <w:szCs w:val="32"/>
          <w:highlight w:val="none"/>
          <w:lang w:bidi="ar"/>
        </w:rPr>
        <w:t>健全“管委会</w:t>
      </w:r>
      <w:r>
        <w:rPr>
          <w:rFonts w:hint="eastAsia" w:ascii="方正仿宋_GBK" w:hAnsi="方正仿宋_GBK" w:eastAsia="方正仿宋_GBK" w:cs="方正仿宋_GBK"/>
          <w:color w:val="auto"/>
          <w:kern w:val="0"/>
          <w:sz w:val="32"/>
          <w:szCs w:val="32"/>
          <w:highlight w:val="none"/>
          <w:lang w:val="en-US" w:eastAsia="zh-CN" w:bidi="ar"/>
        </w:rPr>
        <w:t>+</w:t>
      </w:r>
      <w:r>
        <w:rPr>
          <w:rFonts w:hint="eastAsia" w:ascii="方正仿宋_GBK" w:hAnsi="方正仿宋_GBK" w:eastAsia="方正仿宋_GBK" w:cs="方正仿宋_GBK"/>
          <w:color w:val="auto"/>
          <w:kern w:val="0"/>
          <w:sz w:val="32"/>
          <w:szCs w:val="32"/>
          <w:highlight w:val="none"/>
          <w:lang w:bidi="ar"/>
        </w:rPr>
        <w:t>公司”运营模式，发</w:t>
      </w:r>
      <w:r>
        <w:rPr>
          <w:rFonts w:hint="default" w:ascii="Times New Roman" w:hAnsi="Times New Roman" w:eastAsia="方正仿宋_GBK" w:cs="Times New Roman"/>
          <w:color w:val="auto"/>
          <w:kern w:val="0"/>
          <w:sz w:val="32"/>
          <w:szCs w:val="32"/>
          <w:highlight w:val="none"/>
          <w:lang w:bidi="ar"/>
        </w:rPr>
        <w:t>挥2家市属国企和1家区属国企</w:t>
      </w:r>
      <w:r>
        <w:rPr>
          <w:rFonts w:hint="eastAsia" w:ascii="方正仿宋_GBK" w:hAnsi="Calibri" w:eastAsia="方正仿宋_GBK" w:cs="Times New Roman"/>
          <w:bCs/>
          <w:sz w:val="32"/>
          <w:szCs w:val="32"/>
          <w:highlight w:val="none"/>
          <w:u w:val="none" w:color="auto"/>
          <w:lang w:val="en-US" w:eastAsia="zh-CN"/>
        </w:rPr>
        <w:t>产城发展“主力军”作用</w:t>
      </w:r>
      <w:r>
        <w:rPr>
          <w:rFonts w:hint="eastAsia" w:ascii="方正仿宋_GBK" w:hAnsi="方正仿宋_GBK" w:eastAsia="方正仿宋_GBK" w:cs="方正仿宋_GBK"/>
          <w:color w:val="auto"/>
          <w:kern w:val="0"/>
          <w:sz w:val="32"/>
          <w:szCs w:val="32"/>
          <w:highlight w:val="none"/>
          <w:lang w:bidi="ar"/>
        </w:rPr>
        <w:t>，优化资源、人力、政策一体化统筹机制，加快市场化转型，形成</w:t>
      </w:r>
      <w:r>
        <w:rPr>
          <w:rFonts w:hint="eastAsia" w:ascii="方正仿宋_GBK" w:hAnsi="方正仿宋_GBK" w:eastAsia="方正仿宋_GBK" w:cs="方正仿宋_GBK"/>
          <w:color w:val="auto"/>
          <w:kern w:val="0"/>
          <w:sz w:val="32"/>
          <w:szCs w:val="32"/>
          <w:highlight w:val="none"/>
          <w:lang w:eastAsia="zh-CN" w:bidi="ar"/>
        </w:rPr>
        <w:t>“</w:t>
      </w:r>
      <w:r>
        <w:rPr>
          <w:rFonts w:hint="eastAsia" w:ascii="方正仿宋_GBK" w:hAnsi="方正仿宋_GBK" w:eastAsia="方正仿宋_GBK" w:cs="方正仿宋_GBK"/>
          <w:color w:val="auto"/>
          <w:kern w:val="0"/>
          <w:sz w:val="32"/>
          <w:szCs w:val="32"/>
          <w:highlight w:val="none"/>
          <w:lang w:bidi="ar"/>
        </w:rPr>
        <w:t>虎口夺食</w:t>
      </w:r>
      <w:r>
        <w:rPr>
          <w:rFonts w:hint="eastAsia" w:ascii="方正仿宋_GBK" w:hAnsi="方正仿宋_GBK" w:eastAsia="方正仿宋_GBK" w:cs="方正仿宋_GBK"/>
          <w:color w:val="auto"/>
          <w:kern w:val="0"/>
          <w:sz w:val="32"/>
          <w:szCs w:val="32"/>
          <w:highlight w:val="none"/>
          <w:lang w:eastAsia="zh-CN" w:bidi="ar"/>
        </w:rPr>
        <w:t>”</w:t>
      </w:r>
      <w:r>
        <w:rPr>
          <w:rFonts w:hint="eastAsia" w:ascii="方正仿宋_GBK" w:hAnsi="方正仿宋_GBK" w:eastAsia="方正仿宋_GBK" w:cs="方正仿宋_GBK"/>
          <w:color w:val="auto"/>
          <w:kern w:val="0"/>
          <w:sz w:val="32"/>
          <w:szCs w:val="32"/>
          <w:highlight w:val="none"/>
          <w:lang w:bidi="ar"/>
        </w:rPr>
        <w:t>、创造价值、反哺经济的核心竞争力。</w:t>
      </w:r>
      <w:r>
        <w:rPr>
          <w:rFonts w:hint="eastAsia" w:ascii="Times New Roman" w:hAnsi="Times New Roman" w:eastAsia="方正仿宋_GBK" w:cs="Times New Roman"/>
          <w:color w:val="auto"/>
          <w:sz w:val="32"/>
          <w:szCs w:val="32"/>
          <w:highlight w:val="none"/>
        </w:rPr>
        <w:t>常态化推进“止损止亏</w:t>
      </w:r>
      <w:r>
        <w:rPr>
          <w:rFonts w:hint="eastAsia"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rPr>
        <w:t>瘦身健体”，持续加强利息本金化管控，抓紧抓实国有资产盘活，严格落实“过紧日子”要求，加大投后管理力度，退出低效无效投资、新增有效投资。通过“四链”融合、“四企”联动，</w:t>
      </w:r>
      <w:r>
        <w:rPr>
          <w:rFonts w:hint="eastAsia" w:ascii="Times New Roman" w:hAnsi="Times New Roman" w:eastAsia="方正仿宋_GBK" w:cs="Times New Roman"/>
          <w:color w:val="auto"/>
          <w:sz w:val="32"/>
          <w:szCs w:val="32"/>
          <w:highlight w:val="none"/>
          <w:lang w:val="en-US" w:eastAsia="zh-CN"/>
        </w:rPr>
        <w:t>聚焦</w:t>
      </w:r>
      <w:r>
        <w:rPr>
          <w:rFonts w:hint="eastAsia" w:ascii="Times New Roman" w:hAnsi="Times New Roman" w:eastAsia="方正仿宋_GBK" w:cs="Times New Roman"/>
          <w:color w:val="auto"/>
          <w:sz w:val="32"/>
          <w:szCs w:val="32"/>
          <w:highlight w:val="none"/>
        </w:rPr>
        <w:t>集成电路、新型智能终端等重点产业发展新质生产力，</w:t>
      </w:r>
      <w:r>
        <w:rPr>
          <w:rFonts w:hint="eastAsia" w:ascii="Times New Roman" w:hAnsi="Times New Roman" w:eastAsia="方正仿宋_GBK" w:cs="Times New Roman"/>
          <w:color w:val="auto"/>
          <w:sz w:val="32"/>
          <w:szCs w:val="32"/>
          <w:highlight w:val="none"/>
          <w:lang w:val="en-US" w:eastAsia="zh-CN"/>
        </w:rPr>
        <w:t>支撑</w:t>
      </w:r>
      <w:r>
        <w:rPr>
          <w:rFonts w:hint="eastAsia" w:ascii="Times New Roman" w:hAnsi="Times New Roman" w:eastAsia="方正仿宋_GBK" w:cs="Times New Roman"/>
          <w:color w:val="auto"/>
          <w:sz w:val="32"/>
          <w:szCs w:val="32"/>
          <w:highlight w:val="none"/>
        </w:rPr>
        <w:t>科创平台、高校院所等</w:t>
      </w:r>
      <w:r>
        <w:rPr>
          <w:rFonts w:hint="eastAsia" w:ascii="Times New Roman" w:hAnsi="Times New Roman" w:eastAsia="方正仿宋_GBK" w:cs="Times New Roman"/>
          <w:color w:val="auto"/>
          <w:sz w:val="32"/>
          <w:szCs w:val="32"/>
          <w:highlight w:val="none"/>
          <w:lang w:val="en-US" w:eastAsia="zh-CN"/>
        </w:rPr>
        <w:t>强化</w:t>
      </w:r>
      <w:r>
        <w:rPr>
          <w:rFonts w:hint="eastAsia" w:ascii="Times New Roman" w:hAnsi="Times New Roman" w:eastAsia="方正仿宋_GBK" w:cs="Times New Roman"/>
          <w:color w:val="auto"/>
          <w:sz w:val="32"/>
          <w:szCs w:val="32"/>
          <w:highlight w:val="none"/>
        </w:rPr>
        <w:t>科技转化能力，围绕新基建、新能源、新场景等完善城市运营能力。健全国企差异化考核评价体系，根据企业功能定位和行业特性，差异化制定年度及任期经营业绩考核方案。健全法人治理结构，建立管理人员能上能下、员工能进能出、收入能增能减的劳动、人事、分配机制。</w:t>
      </w:r>
    </w:p>
    <w:p w14:paraId="13FF8103">
      <w:pPr>
        <w:overflowPunct w:val="0"/>
        <w:adjustRightInd w:val="0"/>
        <w:snapToGrid w:val="0"/>
        <w:spacing w:line="600" w:lineRule="exact"/>
        <w:jc w:val="center"/>
        <w:outlineLvl w:val="2"/>
        <w:rPr>
          <w:color w:val="auto"/>
          <w:highlight w:val="none"/>
        </w:rPr>
      </w:pPr>
      <w:bookmarkStart w:id="693" w:name="_Toc1257330134"/>
      <w:bookmarkStart w:id="694" w:name="_Toc676417841"/>
      <w:bookmarkStart w:id="695" w:name="_Toc17121"/>
      <w:r>
        <w:rPr>
          <w:rFonts w:hint="eastAsia" w:ascii="Times New Roman" w:hAnsi="Times New Roman" w:eastAsia="方正楷体_GBK" w:cs="方正楷体_GBK"/>
          <w:color w:val="auto"/>
          <w:sz w:val="32"/>
          <w:szCs w:val="32"/>
          <w:highlight w:val="none"/>
        </w:rPr>
        <w:t>第四节 营造一流营商环境</w:t>
      </w:r>
      <w:bookmarkEnd w:id="693"/>
      <w:bookmarkEnd w:id="694"/>
      <w:bookmarkEnd w:id="695"/>
    </w:p>
    <w:p w14:paraId="7FF5D414">
      <w:pPr>
        <w:numPr>
          <w:ilvl w:val="0"/>
          <w:numId w:val="0"/>
        </w:numPr>
        <w:overflowPunct w:val="0"/>
        <w:adjustRightInd/>
        <w:snapToGrid/>
        <w:spacing w:line="600" w:lineRule="exact"/>
        <w:ind w:firstLine="640" w:firstLineChars="200"/>
        <w:textAlignment w:val="auto"/>
        <w:rPr>
          <w:rFonts w:ascii="Times New Roman" w:hAnsi="Times New Roman" w:eastAsia="方正仿宋_GBK" w:cs="方正仿宋_GBK"/>
          <w:color w:val="auto"/>
          <w:sz w:val="32"/>
          <w:szCs w:val="32"/>
          <w:highlight w:val="none"/>
        </w:rPr>
      </w:pPr>
      <w:r>
        <w:rPr>
          <w:rFonts w:hint="eastAsia" w:ascii="Times New Roman" w:hAnsi="Times New Roman" w:eastAsia="方正仿宋_GBK" w:cs="Times New Roman"/>
          <w:bCs/>
          <w:color w:val="auto"/>
          <w:kern w:val="0"/>
          <w:sz w:val="32"/>
          <w:szCs w:val="32"/>
          <w:highlight w:val="none"/>
        </w:rPr>
        <w:t>坚持问题导向、数字赋能、改革集成，培育和激发市场活力、增强发展内生动力，打造市场化、法治化、国际化一流营商环境。</w:t>
      </w:r>
      <w:r>
        <w:rPr>
          <w:rFonts w:hint="eastAsia" w:ascii="方正仿宋_GBK" w:hAnsi="方正仿宋_GBK" w:eastAsia="方正仿宋_GBK" w:cs="方正仿宋_GBK"/>
          <w:color w:val="auto"/>
          <w:sz w:val="32"/>
          <w:szCs w:val="32"/>
          <w:highlight w:val="none"/>
        </w:rPr>
        <w:t>深化“服务企业专员制度”“</w:t>
      </w:r>
      <w:r>
        <w:rPr>
          <w:rFonts w:ascii="Times New Roman" w:hAnsi="Times New Roman" w:eastAsia="方正仿宋_GBK" w:cs="Times New Roman"/>
          <w:color w:val="auto"/>
          <w:sz w:val="32"/>
          <w:szCs w:val="32"/>
          <w:highlight w:val="none"/>
        </w:rPr>
        <w:t>AI</w:t>
      </w:r>
      <w:r>
        <w:rPr>
          <w:rFonts w:hint="eastAsia" w:ascii="Times New Roman" w:hAnsi="Times New Roman" w:eastAsia="宋体" w:cs="Times New Roman"/>
          <w:color w:val="auto"/>
          <w:sz w:val="32"/>
          <w:szCs w:val="32"/>
          <w:highlight w:val="none"/>
        </w:rPr>
        <w:t>+</w:t>
      </w:r>
      <w:r>
        <w:rPr>
          <w:rFonts w:hint="eastAsia" w:ascii="方正仿宋_GBK" w:hAnsi="方正仿宋_GBK" w:eastAsia="方正仿宋_GBK" w:cs="方正仿宋_GBK"/>
          <w:color w:val="auto"/>
          <w:sz w:val="32"/>
          <w:szCs w:val="32"/>
          <w:highlight w:val="none"/>
        </w:rPr>
        <w:t>企业码上服务”，加强服务企业专员队伍建设，及时解决融资信贷、拖欠账款、要素保障等企业急难愁盼问题，变“企业找服务”为“服务找企业”。支持民营经济高质量发展，用好重庆市打造民营经济发展高地若干措施，鼓励民营企业积极参与“两重”建设、“两新”工作，不断增强民营经济创新力、竞争力和综合实力。</w:t>
      </w:r>
      <w:r>
        <w:rPr>
          <w:rFonts w:hint="eastAsia" w:ascii="方正仿宋_GBK" w:hAnsi="方正仿宋_GBK" w:eastAsia="方正仿宋_GBK" w:cs="方正仿宋_GBK"/>
          <w:b w:val="0"/>
          <w:bCs w:val="0"/>
          <w:sz w:val="32"/>
          <w:szCs w:val="32"/>
          <w:highlight w:val="none"/>
          <w:u w:val="none" w:color="auto"/>
          <w:lang w:val="en-US" w:eastAsia="zh-CN"/>
        </w:rPr>
        <w:t>着力推进“高效办成一件事”，</w:t>
      </w:r>
      <w:r>
        <w:rPr>
          <w:rFonts w:hint="eastAsia" w:ascii="方正仿宋_GBK" w:hAnsi="方正仿宋_GBK" w:eastAsia="方正仿宋_GBK" w:cs="方正仿宋_GBK"/>
          <w:sz w:val="32"/>
          <w:szCs w:val="32"/>
          <w:highlight w:val="none"/>
          <w:u w:val="none" w:color="auto"/>
          <w:lang w:val="en-US" w:eastAsia="zh-CN"/>
        </w:rPr>
        <w:t>整合政策推送解读及免申即享、诉求反映、政务服务、融资对接、供需合作等高频服务事项，打造具有科学城高新区特色的企业服务综合平台</w:t>
      </w:r>
      <w:r>
        <w:rPr>
          <w:rFonts w:hint="default" w:ascii="Times New Roman" w:hAnsi="Times New Roman" w:eastAsia="方正仿宋_GBK" w:cs="Times New Roman"/>
          <w:sz w:val="32"/>
          <w:szCs w:val="32"/>
          <w:highlight w:val="none"/>
          <w:u w:val="none" w:color="auto"/>
          <w:lang w:val="en-US" w:eastAsia="zh-CN"/>
        </w:rPr>
        <w:t>。</w:t>
      </w:r>
      <w:r>
        <w:rPr>
          <w:rFonts w:hint="eastAsia" w:ascii="Times New Roman" w:hAnsi="Times New Roman" w:eastAsia="方正仿宋_GBK" w:cs="方正仿宋_GBK"/>
          <w:color w:val="auto"/>
          <w:sz w:val="32"/>
          <w:szCs w:val="32"/>
          <w:highlight w:val="none"/>
        </w:rPr>
        <w:t>深化包容审慎监管，健全新技术、新产业、新业态、新模式发展容错纠错机制，探索“沙盒监管”、触发式监管等新型监管方式。综合整治“内卷式”竞争，着力破除地方保护和市场分割，依法依规治理低价无序竞争。探索要素市场化配置综合改革，充分发挥重庆知识产权运营中心、科技要素中心等平台作用，推动土地、人力资源、资本、技术、数据等要素自由流动和高效配置。</w:t>
      </w:r>
    </w:p>
    <w:p w14:paraId="4C3DFA6A">
      <w:pPr>
        <w:numPr>
          <w:ilvl w:val="255"/>
          <w:numId w:val="0"/>
        </w:numPr>
        <w:overflowPunct w:val="0"/>
        <w:spacing w:line="600" w:lineRule="exact"/>
        <w:jc w:val="center"/>
        <w:outlineLvl w:val="2"/>
        <w:rPr>
          <w:rFonts w:ascii="Times New Roman" w:hAnsi="Times New Roman" w:eastAsia="方正仿宋_GBK" w:cs="Times New Roman"/>
          <w:bCs/>
          <w:color w:val="auto"/>
          <w:sz w:val="32"/>
          <w:szCs w:val="32"/>
          <w:highlight w:val="none"/>
        </w:rPr>
      </w:pPr>
      <w:bookmarkStart w:id="696" w:name="_Toc708475658"/>
      <w:bookmarkStart w:id="697" w:name="_Toc10459"/>
      <w:bookmarkStart w:id="698" w:name="_Toc1923710116"/>
      <w:r>
        <w:rPr>
          <w:rFonts w:hint="eastAsia" w:ascii="Times New Roman" w:hAnsi="Times New Roman" w:eastAsia="方正楷体_GBK" w:cs="方正楷体_GBK"/>
          <w:color w:val="auto"/>
          <w:sz w:val="32"/>
          <w:szCs w:val="32"/>
          <w:highlight w:val="none"/>
        </w:rPr>
        <w:t xml:space="preserve">第五节 </w:t>
      </w:r>
      <w:r>
        <w:rPr>
          <w:rFonts w:hint="eastAsia" w:ascii="Times New Roman" w:hAnsi="Times New Roman" w:eastAsia="方正楷体_GBK" w:cs="方正楷体_GBK"/>
          <w:color w:val="auto"/>
          <w:sz w:val="32"/>
          <w:szCs w:val="32"/>
          <w:highlight w:val="none"/>
          <w:lang w:val="en-US" w:eastAsia="zh-CN"/>
        </w:rPr>
        <w:t>强化</w:t>
      </w:r>
      <w:r>
        <w:rPr>
          <w:rFonts w:hint="eastAsia" w:ascii="Times New Roman" w:hAnsi="Times New Roman" w:eastAsia="方正楷体_GBK" w:cs="方正楷体_GBK"/>
          <w:color w:val="auto"/>
          <w:sz w:val="32"/>
          <w:szCs w:val="32"/>
          <w:highlight w:val="none"/>
        </w:rPr>
        <w:t>建设发展的财政金融保障</w:t>
      </w:r>
      <w:bookmarkEnd w:id="696"/>
      <w:bookmarkEnd w:id="697"/>
      <w:bookmarkEnd w:id="698"/>
    </w:p>
    <w:p w14:paraId="3CBF2BD3">
      <w:pPr>
        <w:spacing w:line="600" w:lineRule="exact"/>
        <w:ind w:firstLine="640" w:firstLineChars="200"/>
        <w:rPr>
          <w:rFonts w:ascii="Times New Roman" w:hAnsi="Times New Roman" w:eastAsia="方正仿宋_GBK" w:cs="Times New Roman"/>
          <w:bCs/>
          <w:color w:val="auto"/>
          <w:sz w:val="32"/>
          <w:szCs w:val="32"/>
          <w:highlight w:val="none"/>
        </w:rPr>
      </w:pPr>
      <w:r>
        <w:rPr>
          <w:rFonts w:hint="eastAsia" w:ascii="Times New Roman" w:hAnsi="Times New Roman" w:eastAsia="方正仿宋_GBK" w:cs="Times New Roman"/>
          <w:bCs/>
          <w:color w:val="auto"/>
          <w:sz w:val="32"/>
          <w:szCs w:val="32"/>
          <w:highlight w:val="none"/>
        </w:rPr>
        <w:t>深化财税体制改革</w:t>
      </w:r>
      <w:r>
        <w:rPr>
          <w:rFonts w:ascii="Times New Roman" w:hAnsi="Times New Roman" w:eastAsia="方正仿宋_GBK" w:cs="Times New Roman"/>
          <w:bCs/>
          <w:color w:val="auto"/>
          <w:sz w:val="32"/>
          <w:szCs w:val="32"/>
          <w:highlight w:val="none"/>
        </w:rPr>
        <w:t>，推动财政高质量发展。培育壮大税源根基，加快构建现代化产业体系，持续提升税收贡献度。</w:t>
      </w:r>
      <w:r>
        <w:rPr>
          <w:rFonts w:hint="eastAsia" w:ascii="Times New Roman" w:hAnsi="Times New Roman" w:eastAsia="方正仿宋_GBK" w:cs="Times New Roman"/>
          <w:bCs/>
          <w:color w:val="auto"/>
          <w:sz w:val="32"/>
          <w:szCs w:val="32"/>
          <w:highlight w:val="none"/>
        </w:rPr>
        <w:t>进一步优化镇街财税体制，增强镇街“挖潜增收”的自主性，充分调动</w:t>
      </w:r>
      <w:r>
        <w:rPr>
          <w:rFonts w:hint="eastAsia" w:ascii="Times New Roman" w:hAnsi="Times New Roman" w:eastAsia="方正仿宋_GBK" w:cs="Times New Roman"/>
          <w:bCs/>
          <w:color w:val="auto"/>
          <w:sz w:val="32"/>
          <w:szCs w:val="32"/>
          <w:highlight w:val="none"/>
          <w:lang w:val="en-US" w:eastAsia="zh-CN"/>
        </w:rPr>
        <w:t>镇街</w:t>
      </w:r>
      <w:r>
        <w:rPr>
          <w:rFonts w:hint="eastAsia" w:ascii="Times New Roman" w:hAnsi="Times New Roman" w:eastAsia="方正仿宋_GBK" w:cs="Times New Roman"/>
          <w:bCs/>
          <w:color w:val="auto"/>
          <w:sz w:val="32"/>
          <w:szCs w:val="32"/>
          <w:highlight w:val="none"/>
        </w:rPr>
        <w:t>配合区级部门、国有企业协作培育商贸、服务产业、税费共治的积极性。</w:t>
      </w:r>
      <w:r>
        <w:rPr>
          <w:rFonts w:ascii="Times New Roman" w:hAnsi="Times New Roman" w:eastAsia="方正仿宋_GBK" w:cs="Times New Roman"/>
          <w:bCs/>
          <w:color w:val="auto"/>
          <w:sz w:val="32"/>
          <w:szCs w:val="32"/>
          <w:highlight w:val="none"/>
        </w:rPr>
        <w:t>深化零基预算改革，分类完善支出标准体系，强化标准执行刚性，进一步提升预算管理质效。聚力打造数字财政，为预算管理、政策优化提供数据支撑，提升财政决策的科学性、精准性。加强绩效管理和财会监督，实现预算项目绩效评价全覆盖，将绩效管理、财会监督深度融入预算编制、执行全过程，强化绩效、监督结果应用，真正做到</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花钱问效、无效问责</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w:t>
      </w:r>
    </w:p>
    <w:p w14:paraId="33201969">
      <w:pPr>
        <w:numPr>
          <w:ilvl w:val="255"/>
          <w:numId w:val="0"/>
        </w:numPr>
        <w:spacing w:line="600" w:lineRule="exact"/>
        <w:ind w:firstLine="640" w:firstLineChars="200"/>
        <w:rPr>
          <w:rFonts w:ascii="Times New Roman" w:hAnsi="Times New Roman" w:eastAsia="方正仿宋_GBK" w:cs="Times New Roman"/>
          <w:bCs/>
          <w:color w:val="auto"/>
          <w:sz w:val="32"/>
          <w:szCs w:val="32"/>
          <w:highlight w:val="none"/>
        </w:rPr>
      </w:pPr>
      <w:r>
        <w:rPr>
          <w:rFonts w:hint="eastAsia" w:ascii="Times New Roman" w:hAnsi="Times New Roman" w:eastAsia="方正仿宋_GBK" w:cs="Times New Roman"/>
          <w:bCs/>
          <w:color w:val="auto"/>
          <w:sz w:val="32"/>
          <w:szCs w:val="32"/>
          <w:highlight w:val="none"/>
        </w:rPr>
        <w:t>优化财政支持方式，支持“四链”融合发展</w:t>
      </w:r>
      <w:r>
        <w:rPr>
          <w:rFonts w:ascii="Times New Roman" w:hAnsi="Times New Roman" w:eastAsia="方正仿宋_GBK" w:cs="Times New Roman"/>
          <w:bCs/>
          <w:color w:val="auto"/>
          <w:sz w:val="32"/>
          <w:szCs w:val="32"/>
          <w:highlight w:val="none"/>
        </w:rPr>
        <w:t>。</w:t>
      </w:r>
      <w:r>
        <w:rPr>
          <w:rFonts w:hint="eastAsia" w:ascii="Times New Roman" w:hAnsi="Times New Roman" w:eastAsia="方正仿宋_GBK" w:cs="方正仿宋_GBK"/>
          <w:color w:val="auto"/>
          <w:sz w:val="32"/>
          <w:szCs w:val="32"/>
          <w:u w:val="none" w:color="auto"/>
          <w:lang w:eastAsia="zh-CN"/>
        </w:rPr>
        <w:t>逐年将产业扶持资金预算</w:t>
      </w:r>
      <w:r>
        <w:rPr>
          <w:rFonts w:hint="eastAsia" w:ascii="Times New Roman" w:hAnsi="Times New Roman" w:eastAsia="方正仿宋_GBK" w:cs="方正仿宋_GBK"/>
          <w:color w:val="auto"/>
          <w:sz w:val="32"/>
          <w:szCs w:val="32"/>
          <w:u w:val="none" w:color="auto"/>
          <w:lang w:val="en-US" w:eastAsia="zh-CN"/>
        </w:rPr>
        <w:t>增量的30%以上</w:t>
      </w:r>
      <w:r>
        <w:rPr>
          <w:rFonts w:hint="eastAsia" w:ascii="Times New Roman" w:hAnsi="Times New Roman" w:eastAsia="方正仿宋_GBK" w:cs="方正仿宋_GBK"/>
          <w:color w:val="auto"/>
          <w:sz w:val="32"/>
          <w:szCs w:val="32"/>
          <w:u w:val="none" w:color="auto"/>
          <w:lang w:eastAsia="zh-CN"/>
        </w:rPr>
        <w:t>转为基金出资，</w:t>
      </w:r>
      <w:r>
        <w:rPr>
          <w:rFonts w:hint="eastAsia" w:ascii="方正仿宋_GBK" w:hAnsi="方正仿宋_GBK" w:eastAsia="方正仿宋_GBK" w:cs="方正仿宋_GBK"/>
          <w:b w:val="0"/>
          <w:bCs w:val="0"/>
          <w:sz w:val="32"/>
          <w:szCs w:val="32"/>
          <w:highlight w:val="none"/>
          <w:u w:val="none" w:color="auto"/>
          <w:lang w:val="en-US" w:eastAsia="zh-CN"/>
        </w:rPr>
        <w:t>推动科创项目“先投（研）后股”“拨投结合”改革，由直接全面补贴转向“补助基本运营+新增股权投资”模式。</w:t>
      </w:r>
      <w:r>
        <w:rPr>
          <w:rFonts w:hint="eastAsia" w:ascii="Times New Roman" w:hAnsi="Times New Roman" w:eastAsia="方正仿宋_GBK" w:cs="Times New Roman"/>
          <w:bCs/>
          <w:color w:val="auto"/>
          <w:sz w:val="32"/>
          <w:szCs w:val="32"/>
          <w:highlight w:val="none"/>
        </w:rPr>
        <w:t>深化财政金融联动，探索“财政+金融”双向互动新模式，稳步推动拨改投、以投代补等财政资金引导金融资本支持产业发展方式，依托辖区产业链核心企业探索供应链金融服务新模式，撬动更多金融资源，实现叠加倍增效应</w:t>
      </w:r>
      <w:r>
        <w:rPr>
          <w:rFonts w:ascii="Times New Roman" w:hAnsi="Times New Roman" w:eastAsia="方正仿宋_GBK" w:cs="Times New Roman"/>
          <w:bCs/>
          <w:color w:val="auto"/>
          <w:sz w:val="32"/>
          <w:szCs w:val="32"/>
          <w:highlight w:val="none"/>
        </w:rPr>
        <w:t>。</w:t>
      </w:r>
      <w:r>
        <w:rPr>
          <w:rFonts w:hint="eastAsia" w:ascii="Times New Roman" w:hAnsi="Times New Roman" w:eastAsia="方正仿宋_GBK" w:cs="Times New Roman"/>
          <w:bCs/>
          <w:color w:val="auto"/>
          <w:sz w:val="32"/>
          <w:szCs w:val="32"/>
          <w:highlight w:val="none"/>
        </w:rPr>
        <w:t>积极</w:t>
      </w:r>
      <w:r>
        <w:rPr>
          <w:rFonts w:ascii="Times New Roman" w:hAnsi="Times New Roman" w:eastAsia="方正仿宋_GBK" w:cs="Times New Roman"/>
          <w:bCs/>
          <w:color w:val="auto"/>
          <w:sz w:val="32"/>
          <w:szCs w:val="32"/>
          <w:highlight w:val="none"/>
        </w:rPr>
        <w:t>探索通过碳资产质押融资、绿色项目收益权</w:t>
      </w:r>
      <w:r>
        <w:rPr>
          <w:rFonts w:hint="eastAsia" w:ascii="Times New Roman" w:hAnsi="Times New Roman" w:eastAsia="方正仿宋_GBK" w:cs="Times New Roman"/>
          <w:bCs/>
          <w:color w:val="auto"/>
          <w:sz w:val="32"/>
          <w:szCs w:val="32"/>
          <w:highlight w:val="none"/>
          <w:lang w:val="en-US" w:eastAsia="zh-CN"/>
        </w:rPr>
        <w:t>资产证券化（</w:t>
      </w:r>
      <w:r>
        <w:rPr>
          <w:rFonts w:ascii="Times New Roman" w:hAnsi="Times New Roman" w:eastAsia="方正仿宋_GBK" w:cs="Times New Roman"/>
          <w:bCs/>
          <w:color w:val="auto"/>
          <w:sz w:val="32"/>
          <w:szCs w:val="32"/>
          <w:highlight w:val="none"/>
        </w:rPr>
        <w:t>ABS</w:t>
      </w:r>
      <w:r>
        <w:rPr>
          <w:rFonts w:hint="eastAsia" w:ascii="Times New Roman" w:hAnsi="Times New Roman" w:eastAsia="方正仿宋_GBK" w:cs="Times New Roman"/>
          <w:bCs/>
          <w:color w:val="auto"/>
          <w:sz w:val="32"/>
          <w:szCs w:val="32"/>
          <w:highlight w:val="none"/>
          <w:lang w:eastAsia="zh-CN"/>
        </w:rPr>
        <w:t>）</w:t>
      </w:r>
      <w:r>
        <w:rPr>
          <w:rFonts w:ascii="Times New Roman" w:hAnsi="Times New Roman" w:eastAsia="方正仿宋_GBK" w:cs="Times New Roman"/>
          <w:bCs/>
          <w:color w:val="auto"/>
          <w:sz w:val="32"/>
          <w:szCs w:val="32"/>
          <w:highlight w:val="none"/>
        </w:rPr>
        <w:t>等创新方式多渠道筹集资金，更好支持辖区产业发展。用活</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直投</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基金</w:t>
      </w:r>
      <w:r>
        <w:rPr>
          <w:rFonts w:hint="eastAsia" w:ascii="Times New Roman" w:hAnsi="Times New Roman" w:eastAsia="方正仿宋_GBK" w:cs="Times New Roman"/>
          <w:bCs/>
          <w:color w:val="auto"/>
          <w:sz w:val="32"/>
          <w:szCs w:val="32"/>
          <w:highlight w:val="none"/>
        </w:rPr>
        <w:t>”</w:t>
      </w:r>
      <w:r>
        <w:rPr>
          <w:rFonts w:ascii="Times New Roman" w:hAnsi="Times New Roman" w:eastAsia="方正仿宋_GBK" w:cs="Times New Roman"/>
          <w:bCs/>
          <w:color w:val="auto"/>
          <w:sz w:val="32"/>
          <w:szCs w:val="32"/>
          <w:highlight w:val="none"/>
        </w:rPr>
        <w:t>投资模式，以科学城产业发展母基金为抓手，争取国家基金、投行、央企国企等资本资源</w:t>
      </w:r>
      <w:r>
        <w:rPr>
          <w:rFonts w:hint="eastAsia" w:ascii="Times New Roman" w:hAnsi="Times New Roman" w:eastAsia="方正仿宋_GBK" w:cs="Times New Roman"/>
          <w:bCs/>
          <w:color w:val="auto"/>
          <w:sz w:val="32"/>
          <w:szCs w:val="32"/>
          <w:highlight w:val="none"/>
        </w:rPr>
        <w:t>。</w:t>
      </w:r>
    </w:p>
    <w:p w14:paraId="193F5720">
      <w:pPr>
        <w:numPr>
          <w:ilvl w:val="255"/>
          <w:numId w:val="0"/>
        </w:numPr>
        <w:spacing w:line="600" w:lineRule="exact"/>
        <w:ind w:firstLine="640" w:firstLineChars="200"/>
        <w:jc w:val="left"/>
        <w:rPr>
          <w:rFonts w:ascii="Times New Roman" w:hAnsi="Times New Roman" w:eastAsia="方正楷体_GBK" w:cs="方正楷体_GBK"/>
          <w:color w:val="auto"/>
          <w:sz w:val="32"/>
          <w:szCs w:val="32"/>
          <w:highlight w:val="none"/>
        </w:rPr>
      </w:pPr>
      <w:r>
        <w:rPr>
          <w:rFonts w:hint="eastAsia" w:ascii="方正仿宋_GBK" w:hAnsi="Times New Roman" w:eastAsia="方正仿宋_GBK" w:cs="Times New Roman"/>
          <w:bCs/>
          <w:color w:val="auto"/>
          <w:sz w:val="32"/>
          <w:szCs w:val="32"/>
          <w:highlight w:val="none"/>
        </w:rPr>
        <w:t>强化城市经营理念，提升城市资产价值。树牢市场化意识，从传统“土地财政”转向“城市财政、产业财政”，从“建设导向”转向“价值导向”，从“资源消耗”转向“资产增值”。科学统筹发展与化债</w:t>
      </w:r>
      <w:r>
        <w:rPr>
          <w:rFonts w:hint="eastAsia" w:ascii="方正仿宋_GBK" w:hAnsi="Times New Roman" w:eastAsia="方正仿宋_GBK" w:cs="Times New Roman"/>
          <w:bCs/>
          <w:color w:val="auto"/>
          <w:sz w:val="32"/>
          <w:szCs w:val="32"/>
          <w:highlight w:val="none"/>
          <w:lang w:eastAsia="zh-CN"/>
        </w:rPr>
        <w:t>，</w:t>
      </w:r>
      <w:r>
        <w:rPr>
          <w:rFonts w:hint="eastAsia" w:ascii="方正仿宋_GBK" w:hAnsi="Times New Roman" w:eastAsia="方正仿宋_GBK" w:cs="Times New Roman"/>
          <w:bCs/>
          <w:color w:val="auto"/>
          <w:sz w:val="32"/>
          <w:szCs w:val="32"/>
          <w:highlight w:val="none"/>
        </w:rPr>
        <w:t>加快改变传统负债发展模式，杜绝新增地方政府隐性债务</w:t>
      </w:r>
      <w:r>
        <w:rPr>
          <w:rFonts w:hint="eastAsia" w:ascii="方正仿宋_GBK" w:hAnsi="Times New Roman" w:eastAsia="方正仿宋_GBK" w:cs="Times New Roman"/>
          <w:bCs/>
          <w:color w:val="auto"/>
          <w:sz w:val="32"/>
          <w:szCs w:val="32"/>
          <w:highlight w:val="none"/>
          <w:lang w:eastAsia="zh-CN"/>
        </w:rPr>
        <w:t>，</w:t>
      </w:r>
      <w:r>
        <w:rPr>
          <w:rFonts w:hint="eastAsia" w:ascii="方正仿宋_GBK" w:hAnsi="Times New Roman" w:eastAsia="方正仿宋_GBK" w:cs="Times New Roman"/>
          <w:bCs/>
          <w:color w:val="auto"/>
          <w:sz w:val="32"/>
          <w:szCs w:val="32"/>
          <w:highlight w:val="none"/>
          <w:lang w:val="en-US" w:eastAsia="zh-CN"/>
        </w:rPr>
        <w:t>严禁</w:t>
      </w:r>
      <w:r>
        <w:rPr>
          <w:rFonts w:hint="eastAsia" w:ascii="方正仿宋_GBK" w:hAnsi="Times New Roman" w:eastAsia="方正仿宋_GBK" w:cs="Times New Roman"/>
          <w:bCs/>
          <w:color w:val="auto"/>
          <w:sz w:val="32"/>
          <w:szCs w:val="32"/>
          <w:highlight w:val="none"/>
        </w:rPr>
        <w:t>高息非标债务</w:t>
      </w:r>
      <w:r>
        <w:rPr>
          <w:rFonts w:hint="eastAsia" w:ascii="方正仿宋_GBK" w:hAnsi="Times New Roman" w:eastAsia="方正仿宋_GBK" w:cs="Times New Roman"/>
          <w:bCs/>
          <w:color w:val="auto"/>
          <w:sz w:val="32"/>
          <w:szCs w:val="32"/>
          <w:highlight w:val="none"/>
          <w:lang w:val="en-US" w:eastAsia="zh-CN"/>
        </w:rPr>
        <w:t>和</w:t>
      </w:r>
      <w:r>
        <w:rPr>
          <w:rFonts w:hint="eastAsia" w:ascii="方正仿宋_GBK" w:hAnsi="Times New Roman" w:eastAsia="方正仿宋_GBK" w:cs="Times New Roman"/>
          <w:bCs/>
          <w:color w:val="auto"/>
          <w:sz w:val="32"/>
          <w:szCs w:val="32"/>
          <w:highlight w:val="none"/>
        </w:rPr>
        <w:t>新增利息本金化，优化国有企业资产负债率。以国企市场化转型为契机，深度挖掘区域存量资源，综合运用</w:t>
      </w:r>
      <w:r>
        <w:rPr>
          <w:rFonts w:ascii="Times New Roman" w:hAnsi="Times New Roman" w:eastAsia="方正仿宋_GBK" w:cs="Times New Roman"/>
          <w:bCs/>
          <w:color w:val="auto"/>
          <w:sz w:val="32"/>
          <w:szCs w:val="32"/>
          <w:highlight w:val="none"/>
        </w:rPr>
        <w:t>REITS</w:t>
      </w:r>
      <w:r>
        <w:rPr>
          <w:rFonts w:hint="eastAsia" w:ascii="方正仿宋_GBK" w:hAnsi="Times New Roman" w:eastAsia="方正仿宋_GBK" w:cs="Times New Roman"/>
          <w:bCs/>
          <w:color w:val="auto"/>
          <w:sz w:val="32"/>
          <w:szCs w:val="32"/>
          <w:highlight w:val="none"/>
        </w:rPr>
        <w:t>等资产证券化方式创新盘活房屋资源，加强市、区、镇街联动，有效盘活利用存量闲置土地，结合主导产业、商贸文旅、民生需求等，通过市场化、专业化运营进一步提升城市价值，把土地、空间、生态、文化、数据等变成可经营、可持续增值的资产，吸引更多社会资本深度参与城市开发建设和运营。</w:t>
      </w:r>
    </w:p>
    <w:p w14:paraId="458ED155">
      <w:pPr>
        <w:overflowPunct/>
        <w:adjustRightInd/>
        <w:snapToGrid/>
        <w:spacing w:line="240" w:lineRule="auto"/>
        <w:jc w:val="left"/>
        <w:outlineLvl w:val="9"/>
        <w:rPr>
          <w:rFonts w:hint="eastAsia" w:ascii="Times New Roman" w:hAnsi="Times New Roman" w:eastAsia="方正黑体_GBK" w:cs="方正黑体_GBK"/>
          <w:color w:val="auto"/>
          <w:sz w:val="32"/>
          <w:szCs w:val="32"/>
          <w:highlight w:val="none"/>
        </w:rPr>
      </w:pPr>
      <w:bookmarkStart w:id="699" w:name="_Toc2096515202"/>
      <w:bookmarkStart w:id="700" w:name="_Toc779845877"/>
      <w:bookmarkStart w:id="701" w:name="_Toc26036"/>
      <w:bookmarkStart w:id="702" w:name="_Toc28828"/>
      <w:r>
        <w:rPr>
          <w:rFonts w:hint="eastAsia" w:ascii="Times New Roman" w:hAnsi="Times New Roman" w:eastAsia="方正黑体_GBK" w:cs="方正黑体_GBK"/>
          <w:color w:val="auto"/>
          <w:sz w:val="32"/>
          <w:szCs w:val="32"/>
          <w:highlight w:val="none"/>
        </w:rPr>
        <w:br w:type="page"/>
      </w:r>
    </w:p>
    <w:p w14:paraId="0C5A7E3C">
      <w:pPr>
        <w:overflowPunct w:val="0"/>
        <w:adjustRightInd w:val="0"/>
        <w:snapToGrid w:val="0"/>
        <w:spacing w:line="600" w:lineRule="exact"/>
        <w:jc w:val="center"/>
        <w:outlineLvl w:val="0"/>
        <w:rPr>
          <w:rFonts w:ascii="Times New Roman" w:hAnsi="Times New Roman" w:eastAsia="方正黑体_GBK" w:cs="方正黑体_GBK"/>
          <w:color w:val="auto"/>
          <w:sz w:val="32"/>
          <w:szCs w:val="32"/>
          <w:highlight w:val="none"/>
        </w:rPr>
      </w:pPr>
      <w:bookmarkStart w:id="703" w:name="_Toc12988"/>
      <w:r>
        <w:rPr>
          <w:rFonts w:hint="eastAsia" w:ascii="Times New Roman" w:hAnsi="Times New Roman" w:eastAsia="方正黑体_GBK" w:cs="方正黑体_GBK"/>
          <w:color w:val="auto"/>
          <w:sz w:val="32"/>
          <w:szCs w:val="32"/>
          <w:highlight w:val="none"/>
        </w:rPr>
        <w:t>第</w:t>
      </w:r>
      <w:r>
        <w:rPr>
          <w:rFonts w:hint="eastAsia" w:ascii="Times New Roman" w:hAnsi="Times New Roman" w:eastAsia="方正黑体_GBK" w:cs="方正黑体_GBK"/>
          <w:color w:val="auto"/>
          <w:sz w:val="32"/>
          <w:szCs w:val="32"/>
          <w:highlight w:val="none"/>
          <w:lang w:val="en-US" w:eastAsia="zh-CN"/>
        </w:rPr>
        <w:t>七</w:t>
      </w:r>
      <w:r>
        <w:rPr>
          <w:rFonts w:hint="eastAsia" w:ascii="Times New Roman" w:hAnsi="Times New Roman" w:eastAsia="方正黑体_GBK" w:cs="方正黑体_GBK"/>
          <w:color w:val="auto"/>
          <w:sz w:val="32"/>
          <w:szCs w:val="32"/>
          <w:highlight w:val="none"/>
        </w:rPr>
        <w:t>篇 统筹高质量发展和高水平安全</w:t>
      </w:r>
      <w:bookmarkEnd w:id="699"/>
      <w:bookmarkEnd w:id="700"/>
      <w:bookmarkEnd w:id="701"/>
      <w:bookmarkEnd w:id="702"/>
      <w:bookmarkEnd w:id="703"/>
    </w:p>
    <w:bookmarkEnd w:id="329"/>
    <w:bookmarkEnd w:id="330"/>
    <w:p w14:paraId="3534D5BF">
      <w:pPr>
        <w:overflowPunct w:val="0"/>
        <w:adjustRightInd w:val="0"/>
        <w:snapToGrid w:val="0"/>
        <w:spacing w:line="600" w:lineRule="exact"/>
        <w:ind w:firstLine="640" w:firstLineChars="200"/>
        <w:rPr>
          <w:rFonts w:ascii="Times New Roman" w:hAnsi="Times New Roman" w:eastAsia="方正仿宋_GBK" w:cs="Times New Roman"/>
          <w:color w:val="auto"/>
          <w:sz w:val="32"/>
          <w:szCs w:val="32"/>
          <w:highlight w:val="none"/>
        </w:rPr>
      </w:pPr>
    </w:p>
    <w:p w14:paraId="27BE4AB7">
      <w:pPr>
        <w:adjustRightInd w:val="0"/>
        <w:snapToGrid w:val="0"/>
        <w:spacing w:line="600" w:lineRule="exact"/>
        <w:ind w:firstLine="640" w:firstLineChars="200"/>
        <w:textAlignment w:val="baseline"/>
        <w:rPr>
          <w:rFonts w:ascii="Times New Roman" w:hAnsi="Times New Roman" w:eastAsia="方正仿宋_GBK" w:cs="Times New Roman"/>
          <w:bCs/>
          <w:color w:val="auto"/>
          <w:kern w:val="0"/>
          <w:sz w:val="32"/>
          <w:szCs w:val="32"/>
          <w:highlight w:val="none"/>
        </w:rPr>
      </w:pPr>
      <w:r>
        <w:rPr>
          <w:rFonts w:ascii="Times New Roman" w:hAnsi="Times New Roman" w:eastAsia="方正仿宋_GBK" w:cs="Times New Roman"/>
          <w:bCs/>
          <w:color w:val="auto"/>
          <w:kern w:val="0"/>
          <w:sz w:val="32"/>
          <w:szCs w:val="32"/>
          <w:highlight w:val="none"/>
        </w:rPr>
        <w:t>深入贯彻总体国家安全观，锚定重庆高新区</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科学之城、创新高地</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发展定位，深化平安</w:t>
      </w:r>
      <w:r>
        <w:rPr>
          <w:rFonts w:hint="eastAsia" w:ascii="Times New Roman" w:hAnsi="Times New Roman" w:eastAsia="方正仿宋_GBK" w:cs="Times New Roman"/>
          <w:bCs/>
          <w:color w:val="auto"/>
          <w:kern w:val="0"/>
          <w:sz w:val="32"/>
          <w:szCs w:val="32"/>
          <w:highlight w:val="none"/>
        </w:rPr>
        <w:t>高新</w:t>
      </w:r>
      <w:r>
        <w:rPr>
          <w:rFonts w:ascii="Times New Roman" w:hAnsi="Times New Roman" w:eastAsia="方正仿宋_GBK" w:cs="Times New Roman"/>
          <w:bCs/>
          <w:color w:val="auto"/>
          <w:kern w:val="0"/>
          <w:sz w:val="32"/>
          <w:szCs w:val="32"/>
          <w:highlight w:val="none"/>
        </w:rPr>
        <w:t>法治</w:t>
      </w:r>
      <w:r>
        <w:rPr>
          <w:rFonts w:hint="eastAsia" w:ascii="Times New Roman" w:hAnsi="Times New Roman" w:eastAsia="方正仿宋_GBK" w:cs="Times New Roman"/>
          <w:bCs/>
          <w:color w:val="auto"/>
          <w:kern w:val="0"/>
          <w:sz w:val="32"/>
          <w:szCs w:val="32"/>
          <w:highlight w:val="none"/>
        </w:rPr>
        <w:t>高新</w:t>
      </w:r>
      <w:r>
        <w:rPr>
          <w:rFonts w:ascii="Times New Roman" w:hAnsi="Times New Roman" w:eastAsia="方正仿宋_GBK" w:cs="Times New Roman"/>
          <w:bCs/>
          <w:color w:val="auto"/>
          <w:kern w:val="0"/>
          <w:sz w:val="32"/>
          <w:szCs w:val="32"/>
          <w:highlight w:val="none"/>
        </w:rPr>
        <w:t>一体推进机制，发挥法治规范引领保障作用，推动经济金融等重点领域风险防范化解，统筹高质量发展与高水平安全良性互动。</w:t>
      </w:r>
    </w:p>
    <w:p w14:paraId="755B6269">
      <w:pPr>
        <w:adjustRightInd w:val="0"/>
        <w:snapToGrid w:val="0"/>
        <w:spacing w:line="600" w:lineRule="exact"/>
        <w:ind w:firstLine="640" w:firstLineChars="200"/>
        <w:textAlignment w:val="baseline"/>
        <w:rPr>
          <w:rFonts w:ascii="Times New Roman" w:hAnsi="Times New Roman" w:eastAsia="方正仿宋_GBK" w:cs="Times New Roman"/>
          <w:bCs/>
          <w:color w:val="auto"/>
          <w:kern w:val="0"/>
          <w:sz w:val="32"/>
          <w:szCs w:val="32"/>
          <w:highlight w:val="none"/>
        </w:rPr>
      </w:pPr>
    </w:p>
    <w:p w14:paraId="2C453437">
      <w:pPr>
        <w:numPr>
          <w:ilvl w:val="255"/>
          <w:numId w:val="0"/>
        </w:numPr>
        <w:overflowPunct w:val="0"/>
        <w:adjustRightInd w:val="0"/>
        <w:snapToGrid w:val="0"/>
        <w:spacing w:line="600" w:lineRule="exact"/>
        <w:jc w:val="center"/>
        <w:outlineLvl w:val="1"/>
        <w:rPr>
          <w:rFonts w:ascii="Times New Roman" w:hAnsi="Times New Roman" w:eastAsia="方正黑体_GBK" w:cs="方正黑体_GBK"/>
          <w:color w:val="auto"/>
          <w:sz w:val="32"/>
          <w:szCs w:val="32"/>
          <w:highlight w:val="none"/>
        </w:rPr>
      </w:pPr>
      <w:bookmarkStart w:id="704" w:name="_Toc25214"/>
      <w:bookmarkStart w:id="705" w:name="_Toc8759"/>
      <w:bookmarkStart w:id="706" w:name="_Toc776957098"/>
      <w:bookmarkStart w:id="707" w:name="_Toc219320038"/>
      <w:bookmarkStart w:id="708" w:name="_Toc16606"/>
      <w:bookmarkStart w:id="709" w:name="_Toc31635"/>
      <w:bookmarkStart w:id="710" w:name="_Toc403"/>
      <w:bookmarkStart w:id="711" w:name="_Toc24410"/>
      <w:bookmarkStart w:id="712" w:name="_Toc28390"/>
      <w:bookmarkStart w:id="713" w:name="_Toc26937"/>
      <w:r>
        <w:rPr>
          <w:rFonts w:hint="eastAsia" w:ascii="Times New Roman" w:hAnsi="Times New Roman" w:eastAsia="方正黑体_GBK" w:cs="方正黑体_GBK"/>
          <w:color w:val="auto"/>
          <w:sz w:val="32"/>
          <w:szCs w:val="32"/>
          <w:highlight w:val="none"/>
        </w:rPr>
        <w:t>第一章 加强维护国家安全体系和能力建设</w:t>
      </w:r>
      <w:bookmarkEnd w:id="704"/>
      <w:bookmarkEnd w:id="705"/>
      <w:bookmarkEnd w:id="706"/>
      <w:bookmarkEnd w:id="707"/>
      <w:bookmarkEnd w:id="708"/>
      <w:bookmarkEnd w:id="709"/>
      <w:bookmarkEnd w:id="710"/>
      <w:bookmarkEnd w:id="711"/>
    </w:p>
    <w:p w14:paraId="1DEFE58F">
      <w:pPr>
        <w:pStyle w:val="19"/>
        <w:overflowPunct w:val="0"/>
        <w:adjustRightInd w:val="0"/>
        <w:snapToGrid w:val="0"/>
        <w:spacing w:beforeAutospacing="0" w:afterAutospacing="0" w:line="600" w:lineRule="exact"/>
        <w:ind w:firstLine="640" w:firstLineChars="200"/>
        <w:jc w:val="both"/>
        <w:rPr>
          <w:rFonts w:ascii="Times New Roman" w:hAnsi="Times New Roman" w:eastAsia="方正仿宋_GBK"/>
          <w:bCs/>
          <w:color w:val="auto"/>
          <w:sz w:val="32"/>
          <w:szCs w:val="32"/>
          <w:highlight w:val="none"/>
        </w:rPr>
      </w:pPr>
      <w:r>
        <w:rPr>
          <w:rFonts w:hint="eastAsia" w:ascii="Times New Roman" w:hAnsi="Times New Roman" w:eastAsia="方正仿宋_GBK" w:cs="方正仿宋_GBK"/>
          <w:color w:val="auto"/>
          <w:sz w:val="32"/>
          <w:szCs w:val="32"/>
          <w:highlight w:val="none"/>
        </w:rPr>
        <w:t>把捍卫政治安全摆在首位，坚定维护国家政权安全、制度安全，严密防范和严厉打击敌对势力渗透破坏、暴力恐怖、颠覆分裂活动。加强邪教问题综合治理。依法治理非法宗教活动。强化意识形态安全智控，完善意识形态“三全协同”体系。深化“清朗巴渝”专项行动，健全网络生态治理长效机制。提升捍卫国家安全实战能力，构建涉外风险全维预警体系，增强维护海外利益安全能力。开展总体国家安全观宣传教育，强化全民国家安全意识。</w:t>
      </w:r>
      <w:r>
        <w:rPr>
          <w:rFonts w:ascii="Times New Roman" w:hAnsi="Times New Roman" w:eastAsia="方正仿宋_GBK" w:cs="方正仿宋_GBK"/>
          <w:color w:val="auto"/>
          <w:sz w:val="32"/>
          <w:szCs w:val="32"/>
          <w:highlight w:val="none"/>
        </w:rPr>
        <w:t>聚焦集成电路等领域，支撑建设先进国防科技工业体系。强化物资储</w:t>
      </w:r>
      <w:r>
        <w:rPr>
          <w:rFonts w:ascii="Times New Roman" w:hAnsi="Times New Roman" w:eastAsia="方正仿宋_GBK"/>
          <w:bCs/>
          <w:color w:val="auto"/>
          <w:sz w:val="32"/>
          <w:szCs w:val="32"/>
          <w:highlight w:val="none"/>
        </w:rPr>
        <w:t>备，完善重要物资仓储物流设施。维护水利、电力、供水、油气、交通、通信、网络等重要基础设施安全。支持驻区部队建设，巩固军政军民团结。深化全民国防教育，加强民兵、专业保障队伍等国防后备力量建设，提升国防动员体系化能力。</w:t>
      </w:r>
      <w:bookmarkStart w:id="714" w:name="TitleIndex230"/>
      <w:bookmarkEnd w:id="714"/>
      <w:r>
        <w:rPr>
          <w:rFonts w:ascii="Times New Roman" w:hAnsi="Times New Roman" w:eastAsia="方正仿宋_GBK"/>
          <w:bCs/>
          <w:color w:val="auto"/>
          <w:sz w:val="32"/>
          <w:szCs w:val="32"/>
          <w:highlight w:val="none"/>
        </w:rPr>
        <w:t>全面严格落实耕地保护和粮食安全党政同责，严守耕地保护红线，夯实粮食全方位全链条保障。优化区内粮食储备布局、品类结构，探索粮食购销和储备监管新模式。实施粮油仓储能力提升工程，优化粮食产后服务中心功能布局，推进粮食产后全链条节约减损。全力支撑区域粮油供应安全。</w:t>
      </w:r>
      <w:bookmarkStart w:id="715" w:name="TitleIndex231"/>
      <w:bookmarkEnd w:id="715"/>
    </w:p>
    <w:p w14:paraId="36E786A3">
      <w:pPr>
        <w:pStyle w:val="19"/>
        <w:overflowPunct w:val="0"/>
        <w:adjustRightInd w:val="0"/>
        <w:snapToGrid w:val="0"/>
        <w:spacing w:beforeAutospacing="0" w:afterAutospacing="0" w:line="600" w:lineRule="exact"/>
        <w:ind w:firstLine="640" w:firstLineChars="200"/>
        <w:jc w:val="both"/>
        <w:rPr>
          <w:rFonts w:ascii="Times New Roman" w:hAnsi="Times New Roman" w:eastAsia="方正仿宋_GBK"/>
          <w:bCs/>
          <w:color w:val="auto"/>
          <w:sz w:val="32"/>
          <w:szCs w:val="32"/>
          <w:highlight w:val="none"/>
        </w:rPr>
      </w:pPr>
    </w:p>
    <w:p w14:paraId="77C77BCC">
      <w:pPr>
        <w:numPr>
          <w:ilvl w:val="255"/>
          <w:numId w:val="0"/>
        </w:numPr>
        <w:overflowPunct w:val="0"/>
        <w:adjustRightInd w:val="0"/>
        <w:snapToGrid w:val="0"/>
        <w:spacing w:line="600" w:lineRule="exact"/>
        <w:jc w:val="center"/>
        <w:outlineLvl w:val="1"/>
        <w:rPr>
          <w:rFonts w:ascii="Times New Roman" w:hAnsi="Times New Roman" w:eastAsia="方正黑体_GBK" w:cs="方正黑体_GBK"/>
          <w:color w:val="auto"/>
          <w:sz w:val="32"/>
          <w:szCs w:val="32"/>
          <w:highlight w:val="none"/>
        </w:rPr>
      </w:pPr>
      <w:bookmarkStart w:id="716" w:name="_Toc10435"/>
      <w:bookmarkStart w:id="717" w:name="_Toc7482"/>
      <w:bookmarkStart w:id="718" w:name="_Toc14295"/>
      <w:bookmarkStart w:id="719" w:name="_Toc13717"/>
      <w:bookmarkStart w:id="720" w:name="_Toc1029940414"/>
      <w:bookmarkStart w:id="721" w:name="_Toc1617372326"/>
      <w:bookmarkStart w:id="722" w:name="_Toc21276"/>
      <w:bookmarkStart w:id="723" w:name="_Toc10236"/>
      <w:r>
        <w:rPr>
          <w:rFonts w:hint="eastAsia" w:ascii="Times New Roman" w:hAnsi="Times New Roman" w:eastAsia="方正黑体_GBK" w:cs="方正黑体_GBK"/>
          <w:color w:val="auto"/>
          <w:sz w:val="32"/>
          <w:szCs w:val="32"/>
          <w:highlight w:val="none"/>
        </w:rPr>
        <w:t>第二章 突出抓好经济安全</w:t>
      </w:r>
      <w:bookmarkEnd w:id="712"/>
      <w:bookmarkEnd w:id="713"/>
      <w:bookmarkEnd w:id="716"/>
      <w:bookmarkEnd w:id="717"/>
      <w:bookmarkEnd w:id="718"/>
      <w:bookmarkEnd w:id="719"/>
      <w:bookmarkEnd w:id="720"/>
      <w:bookmarkEnd w:id="721"/>
      <w:bookmarkEnd w:id="722"/>
      <w:bookmarkEnd w:id="723"/>
    </w:p>
    <w:p w14:paraId="3A7720F8">
      <w:pPr>
        <w:pStyle w:val="19"/>
        <w:overflowPunct w:val="0"/>
        <w:adjustRightInd w:val="0"/>
        <w:snapToGrid w:val="0"/>
        <w:spacing w:beforeAutospacing="0" w:afterAutospacing="0" w:line="600" w:lineRule="exact"/>
        <w:ind w:firstLine="640" w:firstLineChars="200"/>
        <w:jc w:val="both"/>
        <w:rPr>
          <w:rFonts w:ascii="Times New Roman" w:hAnsi="Times New Roman" w:eastAsia="方正仿宋_GBK"/>
          <w:bCs/>
          <w:color w:val="auto"/>
          <w:sz w:val="32"/>
          <w:szCs w:val="32"/>
          <w:highlight w:val="none"/>
        </w:rPr>
      </w:pPr>
      <w:r>
        <w:rPr>
          <w:rFonts w:ascii="Times New Roman" w:hAnsi="Times New Roman" w:eastAsia="方正仿宋_GBK"/>
          <w:bCs/>
          <w:color w:val="auto"/>
          <w:sz w:val="32"/>
          <w:szCs w:val="32"/>
          <w:highlight w:val="none"/>
        </w:rPr>
        <w:t>锚定经济安全底线思维，紧扣重庆高新区</w:t>
      </w:r>
      <w:r>
        <w:rPr>
          <w:rFonts w:hint="eastAsia" w:ascii="Times New Roman" w:hAnsi="Times New Roman" w:eastAsia="方正仿宋_GBK"/>
          <w:bCs/>
          <w:color w:val="auto"/>
          <w:sz w:val="32"/>
          <w:szCs w:val="32"/>
          <w:highlight w:val="none"/>
        </w:rPr>
        <w:t>产业及科创需求</w:t>
      </w:r>
      <w:r>
        <w:rPr>
          <w:rFonts w:ascii="Times New Roman" w:hAnsi="Times New Roman" w:eastAsia="方正仿宋_GBK"/>
          <w:bCs/>
          <w:color w:val="auto"/>
          <w:sz w:val="32"/>
          <w:szCs w:val="32"/>
          <w:highlight w:val="none"/>
        </w:rPr>
        <w:t>，构建</w:t>
      </w:r>
      <w:r>
        <w:rPr>
          <w:rFonts w:hint="eastAsia" w:ascii="Times New Roman" w:hAnsi="Times New Roman" w:eastAsia="方正仿宋_GBK"/>
          <w:bCs/>
          <w:color w:val="auto"/>
          <w:sz w:val="32"/>
          <w:szCs w:val="32"/>
          <w:highlight w:val="none"/>
        </w:rPr>
        <w:t>“</w:t>
      </w:r>
      <w:r>
        <w:rPr>
          <w:rFonts w:ascii="Times New Roman" w:hAnsi="Times New Roman" w:eastAsia="方正仿宋_GBK"/>
          <w:bCs/>
          <w:color w:val="auto"/>
          <w:sz w:val="32"/>
          <w:szCs w:val="32"/>
          <w:highlight w:val="none"/>
        </w:rPr>
        <w:t>稳链、防险、保供</w:t>
      </w:r>
      <w:r>
        <w:rPr>
          <w:rFonts w:hint="eastAsia" w:ascii="Times New Roman" w:hAnsi="Times New Roman" w:eastAsia="方正仿宋_GBK"/>
          <w:bCs/>
          <w:color w:val="auto"/>
          <w:sz w:val="32"/>
          <w:szCs w:val="32"/>
          <w:highlight w:val="none"/>
        </w:rPr>
        <w:t>”</w:t>
      </w:r>
      <w:r>
        <w:rPr>
          <w:rFonts w:ascii="Times New Roman" w:hAnsi="Times New Roman" w:eastAsia="方正仿宋_GBK"/>
          <w:bCs/>
          <w:color w:val="auto"/>
          <w:sz w:val="32"/>
          <w:szCs w:val="32"/>
          <w:highlight w:val="none"/>
        </w:rPr>
        <w:t>三位一体经济安全实务体系。筑牢产业链供应链安全屏障，聚焦集成电路、生物医药等主导产业，建立</w:t>
      </w:r>
      <w:r>
        <w:rPr>
          <w:rFonts w:hint="eastAsia" w:ascii="Times New Roman" w:hAnsi="Times New Roman" w:eastAsia="方正仿宋_GBK"/>
          <w:bCs/>
          <w:color w:val="auto"/>
          <w:sz w:val="32"/>
          <w:szCs w:val="32"/>
          <w:highlight w:val="none"/>
        </w:rPr>
        <w:t>“</w:t>
      </w:r>
      <w:r>
        <w:rPr>
          <w:rFonts w:ascii="Times New Roman" w:hAnsi="Times New Roman" w:eastAsia="方正仿宋_GBK"/>
          <w:bCs/>
          <w:color w:val="auto"/>
          <w:sz w:val="32"/>
          <w:szCs w:val="32"/>
          <w:highlight w:val="none"/>
        </w:rPr>
        <w:t>链主企业+配套企业</w:t>
      </w:r>
      <w:r>
        <w:rPr>
          <w:rFonts w:hint="eastAsia" w:ascii="Times New Roman" w:hAnsi="Times New Roman" w:eastAsia="方正仿宋_GBK"/>
          <w:bCs/>
          <w:color w:val="auto"/>
          <w:sz w:val="32"/>
          <w:szCs w:val="32"/>
          <w:highlight w:val="none"/>
        </w:rPr>
        <w:t>”</w:t>
      </w:r>
      <w:r>
        <w:rPr>
          <w:rFonts w:ascii="Times New Roman" w:hAnsi="Times New Roman" w:eastAsia="方正仿宋_GBK"/>
          <w:bCs/>
          <w:color w:val="auto"/>
          <w:sz w:val="32"/>
          <w:szCs w:val="32"/>
          <w:highlight w:val="none"/>
        </w:rPr>
        <w:t>风险共防机制，细化供应链关键节点清单，强化西永微电园等重点园区产业链韧性建设。严守金融安全风险防线</w:t>
      </w:r>
      <w:r>
        <w:rPr>
          <w:rFonts w:hint="eastAsia" w:ascii="Times New Roman" w:hAnsi="Times New Roman" w:eastAsia="方正仿宋_GBK"/>
          <w:bCs/>
          <w:color w:val="auto"/>
          <w:sz w:val="32"/>
          <w:szCs w:val="32"/>
          <w:highlight w:val="none"/>
          <w:lang w:eastAsia="zh-CN"/>
        </w:rPr>
        <w:t>，</w:t>
      </w:r>
      <w:r>
        <w:rPr>
          <w:rFonts w:ascii="Times New Roman" w:hAnsi="Times New Roman" w:eastAsia="方正仿宋_GBK"/>
          <w:bCs/>
          <w:color w:val="auto"/>
          <w:sz w:val="32"/>
          <w:szCs w:val="32"/>
          <w:highlight w:val="none"/>
        </w:rPr>
        <w:t>构建房地产市场平稳健康发展长效机制，完善贯通联动金融、信用、市场监管等环节的风险治理体系。深化能源安全保障，依托智慧治理平台实现要素供应动态监测。严格高危项目源头管控，将经济安全评估纳入产业项目</w:t>
      </w:r>
      <w:r>
        <w:rPr>
          <w:rFonts w:hint="eastAsia" w:ascii="Times New Roman" w:hAnsi="Times New Roman" w:eastAsia="方正仿宋_GBK"/>
          <w:bCs/>
          <w:color w:val="auto"/>
          <w:sz w:val="32"/>
          <w:szCs w:val="32"/>
          <w:highlight w:val="none"/>
        </w:rPr>
        <w:t>准入评估</w:t>
      </w:r>
      <w:r>
        <w:rPr>
          <w:rFonts w:ascii="Times New Roman" w:hAnsi="Times New Roman" w:eastAsia="方正仿宋_GBK"/>
          <w:bCs/>
          <w:color w:val="auto"/>
          <w:sz w:val="32"/>
          <w:szCs w:val="32"/>
          <w:highlight w:val="none"/>
        </w:rPr>
        <w:t>流程。加强网络安全保卫技术手段和装备建设，严厉打击网络违法犯罪行为。强化新技术、新业态、新模式安全监管，加强人工智能、生物安全、数据安全等潜在风险监控，促进低空经济、数字经济、平台经济等健康有序发展。健全风险评估和应对机制，提升产业链供应链韧性安全水平。</w:t>
      </w:r>
    </w:p>
    <w:p w14:paraId="7E039662">
      <w:pPr>
        <w:adjustRightInd w:val="0"/>
        <w:snapToGrid w:val="0"/>
        <w:spacing w:line="600" w:lineRule="exact"/>
        <w:ind w:firstLine="640" w:firstLineChars="200"/>
        <w:textAlignment w:val="baseline"/>
        <w:rPr>
          <w:rFonts w:ascii="Times New Roman" w:hAnsi="Times New Roman" w:eastAsia="方正仿宋_GBK" w:cs="Times New Roman"/>
          <w:bCs/>
          <w:color w:val="auto"/>
          <w:kern w:val="0"/>
          <w:sz w:val="32"/>
          <w:szCs w:val="32"/>
          <w:highlight w:val="none"/>
        </w:rPr>
      </w:pPr>
    </w:p>
    <w:p w14:paraId="1FCEE129">
      <w:pPr>
        <w:numPr>
          <w:ilvl w:val="255"/>
          <w:numId w:val="0"/>
        </w:numPr>
        <w:overflowPunct w:val="0"/>
        <w:adjustRightInd w:val="0"/>
        <w:snapToGrid w:val="0"/>
        <w:spacing w:line="600" w:lineRule="exact"/>
        <w:jc w:val="center"/>
        <w:outlineLvl w:val="1"/>
        <w:rPr>
          <w:rFonts w:ascii="Times New Roman" w:hAnsi="Times New Roman" w:eastAsia="方正黑体_GBK" w:cs="方正黑体_GBK"/>
          <w:color w:val="auto"/>
          <w:sz w:val="32"/>
          <w:szCs w:val="32"/>
          <w:highlight w:val="none"/>
        </w:rPr>
      </w:pPr>
      <w:bookmarkStart w:id="724" w:name="_Toc19710"/>
      <w:bookmarkStart w:id="725" w:name="_Toc21189"/>
      <w:bookmarkStart w:id="726" w:name="_Toc25794"/>
      <w:bookmarkStart w:id="727" w:name="_Toc328679356"/>
      <w:bookmarkStart w:id="728" w:name="_Toc32276"/>
      <w:bookmarkStart w:id="729" w:name="_Toc14810"/>
      <w:bookmarkStart w:id="730" w:name="_Toc30556"/>
      <w:bookmarkStart w:id="731" w:name="_Toc1490343278"/>
      <w:bookmarkStart w:id="732" w:name="_Toc6119"/>
      <w:bookmarkStart w:id="733" w:name="_Toc26797"/>
      <w:bookmarkStart w:id="734" w:name="_Toc29546"/>
      <w:r>
        <w:rPr>
          <w:rFonts w:hint="eastAsia" w:ascii="Times New Roman" w:hAnsi="Times New Roman" w:eastAsia="方正黑体_GBK" w:cs="方正黑体_GBK"/>
          <w:color w:val="auto"/>
          <w:sz w:val="32"/>
          <w:szCs w:val="32"/>
          <w:highlight w:val="none"/>
        </w:rPr>
        <w:t>第三章 建设平安高新</w:t>
      </w:r>
      <w:bookmarkEnd w:id="724"/>
      <w:bookmarkEnd w:id="725"/>
      <w:bookmarkEnd w:id="726"/>
      <w:bookmarkEnd w:id="727"/>
      <w:bookmarkEnd w:id="728"/>
      <w:bookmarkEnd w:id="729"/>
      <w:bookmarkEnd w:id="730"/>
      <w:bookmarkEnd w:id="731"/>
      <w:bookmarkEnd w:id="732"/>
      <w:bookmarkEnd w:id="733"/>
      <w:bookmarkEnd w:id="734"/>
    </w:p>
    <w:p w14:paraId="564AFDB4">
      <w:pPr>
        <w:adjustRightInd w:val="0"/>
        <w:snapToGrid w:val="0"/>
        <w:spacing w:line="600" w:lineRule="exact"/>
        <w:ind w:firstLine="640" w:firstLineChars="200"/>
        <w:textAlignment w:val="baseline"/>
        <w:rPr>
          <w:rFonts w:ascii="Times New Roman" w:hAnsi="Times New Roman" w:eastAsia="方正仿宋_GBK" w:cs="Times New Roman"/>
          <w:bCs/>
          <w:color w:val="auto"/>
          <w:kern w:val="0"/>
          <w:sz w:val="32"/>
          <w:szCs w:val="32"/>
          <w:highlight w:val="none"/>
        </w:rPr>
      </w:pPr>
      <w:r>
        <w:rPr>
          <w:rFonts w:hint="eastAsia" w:ascii="Times New Roman" w:hAnsi="Times New Roman" w:eastAsia="方正仿宋_GBK" w:cs="Times New Roman"/>
          <w:bCs/>
          <w:color w:val="auto"/>
          <w:kern w:val="0"/>
          <w:sz w:val="32"/>
          <w:szCs w:val="32"/>
          <w:highlight w:val="none"/>
        </w:rPr>
        <w:t>坚持人民至上、生命至上，强化重点领域安全能力建设，健全高新区安全风险全量闭环智控体系，推动公共安全治理模式向事前转型，切实保障人民群众生命财产安全，确保关键领域战略资源安全可控</w:t>
      </w:r>
      <w:r>
        <w:rPr>
          <w:rFonts w:ascii="Times New Roman" w:hAnsi="Times New Roman" w:eastAsia="方正仿宋_GBK" w:cs="Times New Roman"/>
          <w:bCs/>
          <w:color w:val="auto"/>
          <w:kern w:val="0"/>
          <w:sz w:val="32"/>
          <w:szCs w:val="32"/>
          <w:highlight w:val="none"/>
        </w:rPr>
        <w:t>。</w:t>
      </w:r>
    </w:p>
    <w:p w14:paraId="160F9C56">
      <w:pPr>
        <w:numPr>
          <w:ilvl w:val="255"/>
          <w:numId w:val="0"/>
        </w:num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735" w:name="_Toc25806"/>
      <w:bookmarkStart w:id="736" w:name="_Toc3410"/>
      <w:bookmarkStart w:id="737" w:name="_Toc10245"/>
      <w:bookmarkStart w:id="738" w:name="_Toc785996208"/>
      <w:bookmarkStart w:id="739" w:name="_Toc2097698385"/>
      <w:bookmarkStart w:id="740" w:name="_Toc17043"/>
      <w:bookmarkStart w:id="741" w:name="_Toc16167"/>
      <w:r>
        <w:rPr>
          <w:rFonts w:hint="eastAsia" w:ascii="Times New Roman" w:hAnsi="Times New Roman" w:eastAsia="方正楷体_GBK" w:cs="方正楷体_GBK"/>
          <w:color w:val="auto"/>
          <w:sz w:val="32"/>
          <w:szCs w:val="32"/>
          <w:highlight w:val="none"/>
        </w:rPr>
        <w:t>第一节 加强社会治安整体防控体系和能力建设</w:t>
      </w:r>
      <w:bookmarkEnd w:id="735"/>
      <w:bookmarkEnd w:id="736"/>
      <w:bookmarkEnd w:id="737"/>
      <w:bookmarkEnd w:id="738"/>
      <w:bookmarkEnd w:id="739"/>
      <w:bookmarkEnd w:id="740"/>
      <w:bookmarkEnd w:id="741"/>
    </w:p>
    <w:p w14:paraId="60C0BFE2">
      <w:pPr>
        <w:adjustRightInd w:val="0"/>
        <w:snapToGrid w:val="0"/>
        <w:spacing w:line="600" w:lineRule="exact"/>
        <w:ind w:firstLine="640" w:firstLineChars="200"/>
        <w:textAlignment w:val="baseline"/>
        <w:rPr>
          <w:rFonts w:ascii="Times New Roman" w:hAnsi="Times New Roman" w:eastAsia="方正仿宋_GBK" w:cs="Times New Roman"/>
          <w:bCs/>
          <w:color w:val="auto"/>
          <w:kern w:val="0"/>
          <w:sz w:val="32"/>
          <w:szCs w:val="32"/>
          <w:highlight w:val="none"/>
        </w:rPr>
      </w:pPr>
      <w:r>
        <w:rPr>
          <w:rFonts w:hint="eastAsia" w:ascii="Times New Roman" w:hAnsi="Times New Roman" w:eastAsia="方正仿宋_GBK" w:cs="Times New Roman"/>
          <w:bCs/>
          <w:color w:val="auto"/>
          <w:kern w:val="0"/>
          <w:sz w:val="32"/>
          <w:szCs w:val="32"/>
          <w:highlight w:val="none"/>
        </w:rPr>
        <w:t>推动安全治理向社会化延伸，深化宣传教育和举报奖励，筑牢群防群治防线。全面强化科技智慧赋能，打造“风险一张图”，实现对重点领域风险的智能感知与预警。推动公共安全管理模式从事后应对向事前预警、从单部门监管向跨层级协同治理的根本性转变，坚决遏制较大及以上事故，为建设更高水平的安全型</w:t>
      </w:r>
      <w:r>
        <w:rPr>
          <w:rFonts w:hint="eastAsia" w:ascii="Times New Roman" w:hAnsi="Times New Roman" w:eastAsia="方正仿宋_GBK" w:cs="Times New Roman"/>
          <w:bCs/>
          <w:color w:val="auto"/>
          <w:kern w:val="0"/>
          <w:sz w:val="32"/>
          <w:szCs w:val="32"/>
          <w:highlight w:val="none"/>
          <w:lang w:val="en-US" w:eastAsia="zh-CN"/>
        </w:rPr>
        <w:t>高新区</w:t>
      </w:r>
      <w:r>
        <w:rPr>
          <w:rFonts w:hint="eastAsia" w:ascii="Times New Roman" w:hAnsi="Times New Roman" w:eastAsia="方正仿宋_GBK" w:cs="Times New Roman"/>
          <w:bCs/>
          <w:color w:val="auto"/>
          <w:kern w:val="0"/>
          <w:sz w:val="32"/>
          <w:szCs w:val="32"/>
          <w:highlight w:val="none"/>
        </w:rPr>
        <w:t>奠定坚实基础。健全扫黑除恶常态化机制，严厉打击黑恶势力及其“保护伞”，持续整治净化重点行业领域，坚决遏制黑恶犯罪滋生。加强未成年人权益保护，强化未成年人违法犯罪预防和治理。严厉打击新型网络犯罪，迭代升级毒品治理工作体系，深入开展新一轮禁毒人民战争。建立个人极端事件防范长效机制。建立辅警经费保障动态增长机制。深化大数据智能化技术在公共安全领域的应用，打造各类高质量数据集，强化AI模型在情报收集分析、重点人员风险预警管控中的应用，提升风险防控精准性和响应速度。补齐公安基础设施短板，</w:t>
      </w:r>
      <w:r>
        <w:rPr>
          <w:rFonts w:hint="eastAsia" w:ascii="Times New Roman" w:hAnsi="Times New Roman" w:eastAsia="方正仿宋_GBK" w:cs="Times New Roman"/>
          <w:bCs/>
          <w:color w:val="auto"/>
          <w:kern w:val="0"/>
          <w:sz w:val="32"/>
          <w:szCs w:val="32"/>
          <w:highlight w:val="none"/>
          <w:lang w:val="en-US" w:eastAsia="zh-CN"/>
        </w:rPr>
        <w:t>加快建设</w:t>
      </w:r>
      <w:r>
        <w:rPr>
          <w:rFonts w:hint="eastAsia" w:ascii="Times New Roman" w:hAnsi="Times New Roman" w:eastAsia="方正仿宋_GBK" w:cs="Times New Roman"/>
          <w:bCs/>
          <w:color w:val="auto"/>
          <w:kern w:val="0"/>
          <w:sz w:val="32"/>
          <w:szCs w:val="32"/>
          <w:highlight w:val="none"/>
        </w:rPr>
        <w:t>公安业务技术用房、看守所、车管所、警务技能训练基地、警犬基地、执法办案中心等</w:t>
      </w:r>
      <w:r>
        <w:rPr>
          <w:rFonts w:hint="eastAsia" w:ascii="Times New Roman" w:hAnsi="Times New Roman" w:eastAsia="方正仿宋_GBK" w:cs="Times New Roman"/>
          <w:bCs/>
          <w:color w:val="auto"/>
          <w:kern w:val="0"/>
          <w:sz w:val="32"/>
          <w:szCs w:val="32"/>
          <w:highlight w:val="none"/>
          <w:lang w:val="en-US" w:eastAsia="zh-CN"/>
        </w:rPr>
        <w:t>重点</w:t>
      </w:r>
      <w:r>
        <w:rPr>
          <w:rFonts w:hint="eastAsia" w:ascii="Times New Roman" w:hAnsi="Times New Roman" w:eastAsia="方正仿宋_GBK" w:cs="Times New Roman"/>
          <w:bCs/>
          <w:color w:val="auto"/>
          <w:kern w:val="0"/>
          <w:sz w:val="32"/>
          <w:szCs w:val="32"/>
          <w:highlight w:val="none"/>
        </w:rPr>
        <w:t>项目，</w:t>
      </w:r>
      <w:r>
        <w:rPr>
          <w:rFonts w:hint="eastAsia" w:ascii="Times New Roman" w:hAnsi="Times New Roman" w:eastAsia="方正仿宋_GBK" w:cs="Times New Roman"/>
          <w:bCs/>
          <w:color w:val="auto"/>
          <w:kern w:val="0"/>
          <w:sz w:val="32"/>
          <w:szCs w:val="32"/>
          <w:highlight w:val="none"/>
          <w:lang w:val="en-US" w:eastAsia="zh-CN"/>
        </w:rPr>
        <w:t>强化</w:t>
      </w:r>
      <w:r>
        <w:rPr>
          <w:rFonts w:hint="eastAsia" w:ascii="Times New Roman" w:hAnsi="Times New Roman" w:eastAsia="方正仿宋_GBK" w:cs="Times New Roman"/>
          <w:bCs/>
          <w:color w:val="auto"/>
          <w:kern w:val="0"/>
          <w:sz w:val="32"/>
          <w:szCs w:val="32"/>
          <w:highlight w:val="none"/>
        </w:rPr>
        <w:t>警用装备现代化智能化建设。</w:t>
      </w:r>
    </w:p>
    <w:p w14:paraId="56387763">
      <w:pPr>
        <w:widowControl/>
        <w:overflowPunct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29</w:t>
      </w:r>
      <w:r>
        <w:rPr>
          <w:rFonts w:hint="eastAsia" w:ascii="Times New Roman" w:hAnsi="Times New Roman" w:eastAsia="方正黑体_GBK" w:cs="方正黑体_GBK"/>
          <w:color w:val="auto"/>
          <w:kern w:val="0"/>
          <w:sz w:val="32"/>
          <w:szCs w:val="32"/>
          <w:highlight w:val="none"/>
          <w:u w:val="none"/>
          <w:lang w:bidi="ar"/>
        </w:rPr>
        <w:t xml:space="preserve"> 社会治安基础设施重点项目</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3859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31E6252B">
            <w:pPr>
              <w:pStyle w:val="38"/>
              <w:spacing w:line="380" w:lineRule="exact"/>
              <w:rPr>
                <w:rFonts w:hint="eastAsia" w:ascii="方正书宋_GBK" w:hAnsi="方正书宋_GBK" w:eastAsia="方正书宋_GBK" w:cs="方正书宋_GBK"/>
                <w:color w:val="auto"/>
                <w:kern w:val="0"/>
                <w:sz w:val="24"/>
                <w:szCs w:val="24"/>
                <w:highlight w:val="none"/>
              </w:rPr>
            </w:pPr>
            <w:r>
              <w:rPr>
                <w:rFonts w:hint="eastAsia" w:ascii="Times New Roman" w:hAnsi="Times New Roman" w:eastAsia="方正黑体_GBK" w:cs="方正黑体_GBK"/>
                <w:color w:val="auto"/>
                <w:kern w:val="0"/>
                <w:sz w:val="24"/>
                <w:szCs w:val="24"/>
                <w:highlight w:val="none"/>
                <w:u w:val="none"/>
                <w:lang w:val="en-US" w:eastAsia="zh-CN"/>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rPr>
              <w:t>高新区公安分局业务办公用房。</w:t>
            </w:r>
            <w:r>
              <w:rPr>
                <w:rFonts w:hint="eastAsia" w:ascii="方正书宋_GBK" w:hAnsi="方正书宋_GBK" w:eastAsia="方正书宋_GBK" w:cs="方正书宋_GBK"/>
                <w:color w:val="auto"/>
                <w:kern w:val="0"/>
                <w:sz w:val="24"/>
                <w:szCs w:val="24"/>
                <w:highlight w:val="none"/>
              </w:rPr>
              <w:t>规划总建筑面积76320平方米，地上建筑面积47700平方米，地下28620平方米，建设用地40亩，建设与分局发展相匹配的业务技术用房及业务警种办公用房。</w:t>
            </w:r>
          </w:p>
          <w:p w14:paraId="2FFF374B">
            <w:pPr>
              <w:pStyle w:val="38"/>
              <w:spacing w:line="380" w:lineRule="exact"/>
              <w:rPr>
                <w:rFonts w:hint="eastAsia" w:ascii="方正书宋_GBK" w:hAnsi="方正书宋_GBK" w:eastAsia="方正书宋_GBK" w:cs="方正书宋_GBK"/>
                <w:color w:val="auto"/>
                <w:kern w:val="0"/>
                <w:sz w:val="24"/>
                <w:szCs w:val="24"/>
                <w:highlight w:val="none"/>
              </w:rPr>
            </w:pPr>
            <w:r>
              <w:rPr>
                <w:rFonts w:hint="eastAsia" w:ascii="Times New Roman" w:hAnsi="Times New Roman" w:eastAsia="方正黑体_GBK" w:cs="方正黑体_GBK"/>
                <w:color w:val="auto"/>
                <w:kern w:val="0"/>
                <w:sz w:val="24"/>
                <w:szCs w:val="24"/>
                <w:highlight w:val="none"/>
                <w:u w:val="none"/>
                <w:lang w:val="en-US" w:eastAsia="zh-CN"/>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rPr>
              <w:t>高新区看守所（含住所武警中队）、执法办案中心、警务技能训练基地、警犬基地合建项目</w:t>
            </w:r>
            <w:r>
              <w:rPr>
                <w:rFonts w:hint="eastAsia" w:eastAsia="方正黑体_GBK" w:cs="方正黑体_GBK"/>
                <w:color w:val="auto"/>
                <w:kern w:val="0"/>
                <w:sz w:val="24"/>
                <w:szCs w:val="24"/>
                <w:highlight w:val="none"/>
                <w:u w:val="none"/>
                <w:lang w:eastAsia="zh-CN"/>
              </w:rPr>
              <w:t>。</w:t>
            </w:r>
            <w:r>
              <w:rPr>
                <w:rFonts w:hint="eastAsia" w:ascii="方正书宋_GBK" w:hAnsi="方正书宋_GBK" w:eastAsia="方正书宋_GBK" w:cs="方正书宋_GBK"/>
                <w:color w:val="auto"/>
                <w:kern w:val="0"/>
                <w:sz w:val="24"/>
                <w:szCs w:val="24"/>
                <w:highlight w:val="none"/>
              </w:rPr>
              <w:t>规划总建筑面积63436平方米，总建设用地253亩，五个项目选址在同一地块，分期建设</w:t>
            </w:r>
            <w:r>
              <w:rPr>
                <w:rFonts w:hint="eastAsia" w:ascii="方正书宋_GBK" w:hAnsi="方正书宋_GBK" w:eastAsia="方正书宋_GBK" w:cs="方正书宋_GBK"/>
                <w:color w:val="auto"/>
                <w:kern w:val="0"/>
                <w:sz w:val="24"/>
                <w:szCs w:val="24"/>
                <w:highlight w:val="none"/>
                <w:lang w:eastAsia="zh-CN"/>
              </w:rPr>
              <w:t>，</w:t>
            </w:r>
            <w:r>
              <w:rPr>
                <w:rFonts w:hint="eastAsia" w:ascii="方正书宋_GBK" w:hAnsi="方正书宋_GBK" w:eastAsia="方正书宋_GBK" w:cs="方正书宋_GBK"/>
                <w:color w:val="auto"/>
                <w:kern w:val="0"/>
                <w:sz w:val="24"/>
                <w:szCs w:val="24"/>
                <w:highlight w:val="none"/>
              </w:rPr>
              <w:t>逐步解决分局关押场所、训练场所及规范化执法办案场所。</w:t>
            </w:r>
          </w:p>
          <w:p w14:paraId="5A6030AF">
            <w:pPr>
              <w:pStyle w:val="38"/>
              <w:spacing w:line="380" w:lineRule="exact"/>
              <w:rPr>
                <w:rFonts w:hint="eastAsia" w:ascii="方正书宋_GBK" w:hAnsi="方正书宋_GBK" w:eastAsia="方正书宋_GBK" w:cs="方正书宋_GBK"/>
                <w:color w:val="auto"/>
                <w:sz w:val="24"/>
                <w:szCs w:val="24"/>
                <w:highlight w:val="none"/>
              </w:rPr>
            </w:pPr>
            <w:r>
              <w:rPr>
                <w:rFonts w:hint="eastAsia" w:eastAsia="方正黑体_GBK" w:cs="方正黑体_GBK"/>
                <w:color w:val="auto"/>
                <w:kern w:val="0"/>
                <w:sz w:val="24"/>
                <w:szCs w:val="24"/>
                <w:highlight w:val="none"/>
                <w:u w:val="none"/>
                <w:lang w:val="en-US" w:eastAsia="zh-CN"/>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rPr>
              <w:t>高新区车辆管理所项目。</w:t>
            </w:r>
            <w:r>
              <w:rPr>
                <w:rFonts w:hint="eastAsia" w:ascii="方正书宋_GBK" w:hAnsi="方正书宋_GBK" w:eastAsia="方正书宋_GBK" w:cs="方正书宋_GBK"/>
                <w:color w:val="auto"/>
                <w:kern w:val="0"/>
                <w:sz w:val="24"/>
                <w:szCs w:val="24"/>
                <w:highlight w:val="none"/>
              </w:rPr>
              <w:t>规划建筑面积9506</w:t>
            </w:r>
            <w:r>
              <w:rPr>
                <w:rFonts w:hint="eastAsia" w:ascii="方正书宋_GBK" w:hAnsi="方正书宋_GBK" w:eastAsia="方正书宋_GBK" w:cs="方正书宋_GBK"/>
                <w:color w:val="auto"/>
                <w:kern w:val="0"/>
                <w:sz w:val="24"/>
                <w:szCs w:val="24"/>
                <w:highlight w:val="none"/>
                <w:lang w:val="en-US" w:eastAsia="zh-CN"/>
              </w:rPr>
              <w:t>平方米</w:t>
            </w:r>
            <w:r>
              <w:rPr>
                <w:rFonts w:hint="eastAsia" w:ascii="方正书宋_GBK" w:hAnsi="方正书宋_GBK" w:eastAsia="方正书宋_GBK" w:cs="方正书宋_GBK"/>
                <w:color w:val="auto"/>
                <w:kern w:val="0"/>
                <w:sz w:val="24"/>
                <w:szCs w:val="24"/>
                <w:highlight w:val="none"/>
              </w:rPr>
              <w:t>，建设用地面积30.65亩，建设集车辆查验、驾驶证培训考试和交通安全宣传为一体的现代化车、驾、管场所，为全区车辆、驾驶人提供高效便捷服务。</w:t>
            </w:r>
          </w:p>
        </w:tc>
      </w:tr>
    </w:tbl>
    <w:p w14:paraId="0C03A9C1">
      <w:pPr>
        <w:numPr>
          <w:ilvl w:val="255"/>
          <w:numId w:val="0"/>
        </w:num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742" w:name="_Toc10395"/>
      <w:bookmarkStart w:id="743" w:name="_Toc13536"/>
      <w:bookmarkStart w:id="744" w:name="_Toc27228"/>
      <w:bookmarkStart w:id="745" w:name="_Toc777723896"/>
      <w:bookmarkStart w:id="746" w:name="_Toc19547"/>
      <w:bookmarkStart w:id="747" w:name="_Toc1066355159"/>
      <w:bookmarkStart w:id="748" w:name="_Toc22852"/>
      <w:r>
        <w:rPr>
          <w:rFonts w:hint="eastAsia" w:ascii="Times New Roman" w:hAnsi="Times New Roman" w:eastAsia="方正楷体_GBK" w:cs="方正楷体_GBK"/>
          <w:color w:val="auto"/>
          <w:sz w:val="32"/>
          <w:szCs w:val="32"/>
          <w:highlight w:val="none"/>
        </w:rPr>
        <w:t>第二节 持续打好安全生产保卫战</w:t>
      </w:r>
      <w:bookmarkEnd w:id="742"/>
      <w:bookmarkEnd w:id="743"/>
      <w:bookmarkEnd w:id="744"/>
      <w:bookmarkEnd w:id="745"/>
      <w:bookmarkEnd w:id="746"/>
      <w:bookmarkEnd w:id="747"/>
      <w:bookmarkEnd w:id="748"/>
    </w:p>
    <w:p w14:paraId="7CD1214D">
      <w:pPr>
        <w:adjustRightInd w:val="0"/>
        <w:snapToGrid w:val="0"/>
        <w:spacing w:line="600" w:lineRule="exact"/>
        <w:ind w:firstLine="640" w:firstLineChars="200"/>
        <w:textAlignment w:val="baseline"/>
        <w:rPr>
          <w:color w:val="auto"/>
          <w:highlight w:val="none"/>
        </w:rPr>
      </w:pPr>
      <w:r>
        <w:rPr>
          <w:rFonts w:ascii="Times New Roman" w:hAnsi="Times New Roman" w:eastAsia="方正仿宋_GBK" w:cs="Times New Roman"/>
          <w:bCs/>
          <w:color w:val="auto"/>
          <w:kern w:val="0"/>
          <w:sz w:val="32"/>
          <w:szCs w:val="32"/>
          <w:highlight w:val="none"/>
        </w:rPr>
        <w:t>以高水平安全护航高质量发展，系统构建高水平安全保障体系。深化治本攻坚，全面压实党政领导、部门监管、镇街属地、企业主体及岗位人员</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五方责任</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，强力推行企业全员安全生产责任制和一线岗位</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两单两卡</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。聚焦危险化学品、</w:t>
      </w:r>
      <w:r>
        <w:rPr>
          <w:rFonts w:hint="eastAsia" w:ascii="Times New Roman" w:hAnsi="Times New Roman" w:eastAsia="方正仿宋_GBK" w:cs="Times New Roman"/>
          <w:bCs/>
          <w:color w:val="auto"/>
          <w:kern w:val="0"/>
          <w:sz w:val="32"/>
          <w:szCs w:val="32"/>
          <w:highlight w:val="none"/>
        </w:rPr>
        <w:t>工贸、</w:t>
      </w:r>
      <w:r>
        <w:rPr>
          <w:rFonts w:ascii="Times New Roman" w:hAnsi="Times New Roman" w:eastAsia="方正仿宋_GBK" w:cs="Times New Roman"/>
          <w:bCs/>
          <w:color w:val="auto"/>
          <w:kern w:val="0"/>
          <w:sz w:val="32"/>
          <w:szCs w:val="32"/>
          <w:highlight w:val="none"/>
        </w:rPr>
        <w:t>建筑施工、交通运输、消防等重点行业领域，以及动火、有限空间等高风险作业环节，深化重大事故隐患</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大排查、大曝光、大整治</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，严格实施闭环管理和挂牌督办，推动重大隐患动态清零。</w:t>
      </w:r>
      <w:r>
        <w:rPr>
          <w:rFonts w:hint="eastAsia" w:ascii="Times New Roman" w:hAnsi="Times New Roman" w:eastAsia="方正仿宋_GBK" w:cs="Times New Roman"/>
          <w:bCs/>
          <w:color w:val="auto"/>
          <w:kern w:val="0"/>
          <w:sz w:val="32"/>
          <w:szCs w:val="32"/>
          <w:highlight w:val="none"/>
        </w:rPr>
        <w:t>常态化开展人员密集场所、厂房库房等火灾高风险区域隐患排查，持续抓好高层建筑消防安全治理</w:t>
      </w:r>
      <w:r>
        <w:rPr>
          <w:rFonts w:hint="eastAsia" w:ascii="Times New Roman" w:hAnsi="Times New Roman" w:eastAsia="方正仿宋_GBK" w:cs="Times New Roman"/>
          <w:bCs/>
          <w:color w:val="auto"/>
          <w:kern w:val="0"/>
          <w:sz w:val="32"/>
          <w:szCs w:val="32"/>
          <w:highlight w:val="none"/>
          <w:lang w:eastAsia="zh-CN"/>
        </w:rPr>
        <w:t>。</w:t>
      </w:r>
      <w:r>
        <w:rPr>
          <w:rFonts w:ascii="Times New Roman" w:hAnsi="Times New Roman" w:eastAsia="方正仿宋_GBK" w:cs="Times New Roman"/>
          <w:bCs/>
          <w:color w:val="auto"/>
          <w:kern w:val="0"/>
          <w:sz w:val="32"/>
          <w:szCs w:val="32"/>
          <w:highlight w:val="none"/>
        </w:rPr>
        <w:t>强化科技赋能，积极运用</w:t>
      </w:r>
      <w:r>
        <w:rPr>
          <w:rFonts w:hint="eastAsia" w:ascii="Times New Roman" w:hAnsi="Times New Roman" w:eastAsia="方正仿宋_GBK" w:cs="Times New Roman"/>
          <w:bCs/>
          <w:color w:val="auto"/>
          <w:kern w:val="0"/>
          <w:sz w:val="32"/>
          <w:szCs w:val="32"/>
          <w:highlight w:val="none"/>
          <w:lang w:val="en-US" w:eastAsia="zh-CN"/>
        </w:rPr>
        <w:t>人工智能</w:t>
      </w:r>
      <w:r>
        <w:rPr>
          <w:rFonts w:ascii="Times New Roman" w:hAnsi="Times New Roman" w:eastAsia="方正仿宋_GBK" w:cs="Times New Roman"/>
          <w:bCs/>
          <w:color w:val="auto"/>
          <w:kern w:val="0"/>
          <w:sz w:val="32"/>
          <w:szCs w:val="32"/>
          <w:highlight w:val="none"/>
        </w:rPr>
        <w:t>、物联网等技术建设智慧监管平台，在危化、电梯、消防等领域推广智能化监测预警与应急装备，提升本质安全水平。着力推动社会共治，通过深化安全宣传、警示教育与技能竞赛，营造</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人人讲安全、个个会应急</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的浓厚氛围，并畅通监督举报渠道，构建企业负责、政府监管、行业自律、社会协同的安全生产新格局。</w:t>
      </w:r>
    </w:p>
    <w:p w14:paraId="39880D16">
      <w:pPr>
        <w:numPr>
          <w:ilvl w:val="255"/>
          <w:numId w:val="0"/>
        </w:num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749" w:name="_Toc5893"/>
      <w:bookmarkStart w:id="750" w:name="_Toc6493"/>
      <w:bookmarkStart w:id="751" w:name="_Toc4896"/>
      <w:bookmarkStart w:id="752" w:name="_Toc3233"/>
      <w:bookmarkStart w:id="753" w:name="_Toc24827"/>
      <w:bookmarkStart w:id="754" w:name="_Toc1620044430"/>
      <w:bookmarkStart w:id="755" w:name="_Toc1480123098"/>
      <w:r>
        <w:rPr>
          <w:rFonts w:hint="eastAsia" w:ascii="Times New Roman" w:hAnsi="Times New Roman" w:eastAsia="方正楷体_GBK" w:cs="方正楷体_GBK"/>
          <w:color w:val="auto"/>
          <w:sz w:val="32"/>
          <w:szCs w:val="32"/>
          <w:highlight w:val="none"/>
        </w:rPr>
        <w:t>第三节 保障食品药品安全</w:t>
      </w:r>
      <w:bookmarkEnd w:id="749"/>
      <w:bookmarkEnd w:id="750"/>
      <w:bookmarkEnd w:id="751"/>
      <w:bookmarkEnd w:id="752"/>
      <w:bookmarkEnd w:id="753"/>
      <w:bookmarkEnd w:id="754"/>
      <w:bookmarkEnd w:id="755"/>
    </w:p>
    <w:p w14:paraId="0836ACB3">
      <w:pPr>
        <w:pStyle w:val="19"/>
        <w:overflowPunct w:val="0"/>
        <w:adjustRightInd w:val="0"/>
        <w:snapToGrid w:val="0"/>
        <w:spacing w:beforeAutospacing="0" w:afterAutospacing="0" w:line="600" w:lineRule="exact"/>
        <w:ind w:firstLine="640" w:firstLineChars="200"/>
        <w:jc w:val="both"/>
        <w:rPr>
          <w:rFonts w:hint="eastAsia" w:ascii="Times New Roman" w:hAnsi="Times New Roman" w:eastAsia="方正仿宋_GBK"/>
          <w:bCs/>
          <w:color w:val="auto"/>
          <w:sz w:val="32"/>
          <w:szCs w:val="32"/>
          <w:highlight w:val="none"/>
          <w:lang w:eastAsia="zh-CN"/>
        </w:rPr>
      </w:pPr>
      <w:r>
        <w:rPr>
          <w:rFonts w:hint="eastAsia" w:ascii="Times New Roman" w:hAnsi="Times New Roman" w:eastAsia="方正仿宋_GBK" w:cs="方正仿宋_GBK"/>
          <w:color w:val="auto"/>
          <w:sz w:val="32"/>
          <w:szCs w:val="32"/>
          <w:highlight w:val="none"/>
        </w:rPr>
        <w:t>构建全程闭环、无缝衔接、数智赋能的食品药品安全监管体系，实现全品种、全链条数字化追溯。实施食品安全放心工程，提升食品安全检验检测能力，加大对学校等集中用餐单位监管力度，建设“阳光厨房”，推动外卖餐饮等平台商户实行“互联网+明厨亮灶”。</w:t>
      </w:r>
      <w:r>
        <w:rPr>
          <w:rFonts w:ascii="Times New Roman" w:hAnsi="Times New Roman" w:eastAsia="方正仿宋_GBK"/>
          <w:bCs/>
          <w:color w:val="auto"/>
          <w:sz w:val="32"/>
          <w:szCs w:val="32"/>
          <w:highlight w:val="none"/>
        </w:rPr>
        <w:t>加快建设统一的食品药品安全智慧追溯与监管平台，推动大数据、人工智能、物联网等技术在风险识别、非现场检查、产品追溯等场景的深度应用，提升监管精准化与效能。</w:t>
      </w:r>
      <w:r>
        <w:rPr>
          <w:rFonts w:hint="eastAsia" w:ascii="Times New Roman" w:hAnsi="Times New Roman" w:eastAsia="方正仿宋_GBK"/>
          <w:bCs/>
          <w:color w:val="auto"/>
          <w:sz w:val="32"/>
          <w:szCs w:val="32"/>
          <w:highlight w:val="none"/>
        </w:rPr>
        <w:t>紧盯</w:t>
      </w:r>
      <w:r>
        <w:rPr>
          <w:rFonts w:ascii="Times New Roman" w:hAnsi="Times New Roman" w:eastAsia="方正仿宋_GBK"/>
          <w:bCs/>
          <w:color w:val="auto"/>
          <w:sz w:val="32"/>
          <w:szCs w:val="32"/>
          <w:highlight w:val="none"/>
        </w:rPr>
        <w:t>食品生产、流通、餐饮全链条和药品研发、生产、流通、使用全生命周期，深化源头治理和专项整治，强化对</w:t>
      </w:r>
      <w:r>
        <w:rPr>
          <w:rFonts w:hint="eastAsia" w:ascii="Times New Roman" w:hAnsi="Times New Roman" w:eastAsia="方正仿宋_GBK" w:cs="方正仿宋_GBK"/>
          <w:color w:val="auto"/>
          <w:sz w:val="32"/>
          <w:szCs w:val="32"/>
          <w:highlight w:val="none"/>
        </w:rPr>
        <w:t>疫苗、血液制品等高风险药品和无菌、植入性医疗器械监管力度</w:t>
      </w:r>
      <w:r>
        <w:rPr>
          <w:rFonts w:ascii="Times New Roman" w:hAnsi="Times New Roman" w:eastAsia="方正仿宋_GBK"/>
          <w:bCs/>
          <w:color w:val="auto"/>
          <w:sz w:val="32"/>
          <w:szCs w:val="32"/>
          <w:highlight w:val="none"/>
        </w:rPr>
        <w:t>，健全跨部门协同的风险监测预警与应急处置机制</w:t>
      </w:r>
      <w:r>
        <w:rPr>
          <w:rFonts w:hint="eastAsia" w:ascii="Times New Roman" w:hAnsi="Times New Roman" w:eastAsia="方正仿宋_GBK" w:cs="方正仿宋_GBK"/>
          <w:color w:val="auto"/>
          <w:sz w:val="32"/>
          <w:szCs w:val="32"/>
          <w:highlight w:val="none"/>
        </w:rPr>
        <w:t>，药品抽检合格率保持在99%以上。健全食品药品安全法规制度。</w:t>
      </w:r>
      <w:r>
        <w:rPr>
          <w:rFonts w:ascii="Times New Roman" w:hAnsi="Times New Roman" w:eastAsia="方正仿宋_GBK"/>
          <w:bCs/>
          <w:color w:val="auto"/>
          <w:sz w:val="32"/>
          <w:szCs w:val="32"/>
          <w:highlight w:val="none"/>
        </w:rPr>
        <w:t>构建广泛的社会共治格局，畅通投诉举报渠道，落实</w:t>
      </w:r>
      <w:r>
        <w:rPr>
          <w:rFonts w:hint="eastAsia" w:ascii="Times New Roman" w:hAnsi="Times New Roman" w:eastAsia="方正仿宋_GBK"/>
          <w:bCs/>
          <w:color w:val="auto"/>
          <w:sz w:val="32"/>
          <w:szCs w:val="32"/>
          <w:highlight w:val="none"/>
        </w:rPr>
        <w:t>“</w:t>
      </w:r>
      <w:r>
        <w:rPr>
          <w:rFonts w:ascii="Times New Roman" w:hAnsi="Times New Roman" w:eastAsia="方正仿宋_GBK"/>
          <w:bCs/>
          <w:color w:val="auto"/>
          <w:sz w:val="32"/>
          <w:szCs w:val="32"/>
          <w:highlight w:val="none"/>
        </w:rPr>
        <w:t>吹哨人</w:t>
      </w:r>
      <w:r>
        <w:rPr>
          <w:rFonts w:hint="eastAsia" w:ascii="Times New Roman" w:hAnsi="Times New Roman" w:eastAsia="方正仿宋_GBK"/>
          <w:bCs/>
          <w:color w:val="auto"/>
          <w:sz w:val="32"/>
          <w:szCs w:val="32"/>
          <w:highlight w:val="none"/>
        </w:rPr>
        <w:t>”</w:t>
      </w:r>
      <w:r>
        <w:rPr>
          <w:rFonts w:ascii="Times New Roman" w:hAnsi="Times New Roman" w:eastAsia="方正仿宋_GBK"/>
          <w:bCs/>
          <w:color w:val="auto"/>
          <w:sz w:val="32"/>
          <w:szCs w:val="32"/>
          <w:highlight w:val="none"/>
        </w:rPr>
        <w:t>制度，强化行业自律与诚信体系建设，深化科普宣传与风险交流，主动引入媒体与公众监督</w:t>
      </w:r>
      <w:r>
        <w:rPr>
          <w:rFonts w:hint="eastAsia" w:ascii="Times New Roman" w:hAnsi="Times New Roman" w:eastAsia="方正仿宋_GBK"/>
          <w:bCs/>
          <w:color w:val="auto"/>
          <w:sz w:val="32"/>
          <w:szCs w:val="32"/>
          <w:highlight w:val="none"/>
          <w:lang w:eastAsia="zh-CN"/>
        </w:rPr>
        <w:t>。</w:t>
      </w:r>
    </w:p>
    <w:p w14:paraId="1676B8E6">
      <w:pPr>
        <w:numPr>
          <w:ilvl w:val="-1"/>
          <w:numId w:val="0"/>
        </w:numPr>
        <w:overflowPunct/>
        <w:adjustRightInd w:val="0"/>
        <w:snapToGrid w:val="0"/>
        <w:spacing w:line="600" w:lineRule="exact"/>
        <w:ind w:firstLine="640" w:firstLineChars="200"/>
        <w:jc w:val="left"/>
        <w:textAlignment w:val="baseline"/>
        <w:outlineLvl w:val="9"/>
        <w:rPr>
          <w:rFonts w:hint="eastAsia" w:ascii="Times New Roman" w:hAnsi="Times New Roman" w:eastAsia="方正仿宋_GBK" w:cs="Times New Roman"/>
          <w:bCs/>
          <w:color w:val="auto"/>
          <w:kern w:val="0"/>
          <w:sz w:val="32"/>
          <w:szCs w:val="32"/>
          <w:highlight w:val="none"/>
        </w:rPr>
      </w:pPr>
      <w:bookmarkStart w:id="756" w:name="_Toc19273"/>
      <w:bookmarkStart w:id="757" w:name="_Toc24087"/>
      <w:bookmarkStart w:id="758" w:name="_Toc10392"/>
      <w:bookmarkStart w:id="759" w:name="_Toc13368"/>
      <w:bookmarkStart w:id="760" w:name="_Toc27456"/>
      <w:bookmarkStart w:id="761" w:name="_Toc2125824885"/>
      <w:bookmarkStart w:id="762" w:name="_Toc3184"/>
      <w:bookmarkStart w:id="763" w:name="_Toc10894"/>
      <w:bookmarkStart w:id="764" w:name="_Toc1561"/>
      <w:bookmarkStart w:id="765" w:name="_Toc141574697"/>
    </w:p>
    <w:p w14:paraId="6BCE282D">
      <w:pPr>
        <w:numPr>
          <w:ilvl w:val="255"/>
          <w:numId w:val="0"/>
        </w:numPr>
        <w:overflowPunct w:val="0"/>
        <w:adjustRightInd w:val="0"/>
        <w:snapToGrid w:val="0"/>
        <w:spacing w:line="600" w:lineRule="exact"/>
        <w:jc w:val="center"/>
        <w:outlineLvl w:val="1"/>
        <w:rPr>
          <w:rFonts w:ascii="Times New Roman" w:hAnsi="Times New Roman" w:eastAsia="方正黑体_GBK" w:cs="方正黑体_GBK"/>
          <w:color w:val="auto"/>
          <w:sz w:val="32"/>
          <w:szCs w:val="32"/>
          <w:highlight w:val="none"/>
        </w:rPr>
      </w:pPr>
      <w:bookmarkStart w:id="766" w:name="_Toc866"/>
      <w:r>
        <w:rPr>
          <w:rFonts w:hint="eastAsia" w:ascii="Times New Roman" w:hAnsi="Times New Roman" w:eastAsia="方正黑体_GBK" w:cs="方正黑体_GBK"/>
          <w:color w:val="auto"/>
          <w:sz w:val="32"/>
          <w:szCs w:val="32"/>
          <w:highlight w:val="none"/>
        </w:rPr>
        <w:t>第四章 建设法治高新</w:t>
      </w:r>
      <w:bookmarkEnd w:id="756"/>
      <w:bookmarkEnd w:id="757"/>
      <w:bookmarkEnd w:id="758"/>
      <w:bookmarkEnd w:id="759"/>
      <w:bookmarkEnd w:id="760"/>
      <w:bookmarkEnd w:id="761"/>
      <w:bookmarkEnd w:id="762"/>
      <w:bookmarkEnd w:id="763"/>
      <w:bookmarkEnd w:id="764"/>
      <w:bookmarkEnd w:id="765"/>
      <w:bookmarkEnd w:id="766"/>
    </w:p>
    <w:p w14:paraId="25BE929A">
      <w:pPr>
        <w:adjustRightInd w:val="0"/>
        <w:snapToGrid w:val="0"/>
        <w:spacing w:line="600" w:lineRule="exact"/>
        <w:ind w:firstLine="640" w:firstLineChars="200"/>
        <w:textAlignment w:val="baseline"/>
        <w:rPr>
          <w:rFonts w:ascii="Times New Roman" w:hAnsi="Times New Roman" w:eastAsia="方正仿宋_GBK" w:cs="Times New Roman"/>
          <w:bCs/>
          <w:color w:val="auto"/>
          <w:kern w:val="0"/>
          <w:sz w:val="32"/>
          <w:szCs w:val="32"/>
          <w:highlight w:val="none"/>
        </w:rPr>
      </w:pPr>
      <w:r>
        <w:rPr>
          <w:rFonts w:hint="eastAsia" w:ascii="Times New Roman" w:hAnsi="Times New Roman" w:eastAsia="方正仿宋_GBK" w:cs="Times New Roman"/>
          <w:bCs/>
          <w:color w:val="auto"/>
          <w:kern w:val="0"/>
          <w:sz w:val="32"/>
          <w:szCs w:val="32"/>
          <w:highlight w:val="none"/>
        </w:rPr>
        <w:t>健全全面依法治区体系，</w:t>
      </w:r>
      <w:r>
        <w:rPr>
          <w:rFonts w:ascii="Times New Roman" w:hAnsi="Times New Roman" w:eastAsia="方正仿宋_GBK" w:cs="Times New Roman"/>
          <w:bCs/>
          <w:color w:val="auto"/>
          <w:kern w:val="0"/>
          <w:sz w:val="32"/>
          <w:szCs w:val="32"/>
          <w:highlight w:val="none"/>
        </w:rPr>
        <w:t>构建依法行政体系、营造公平高效司法环境、培育全民守法社会生态三大路径，全面夯实</w:t>
      </w:r>
      <w:r>
        <w:rPr>
          <w:rFonts w:hint="eastAsia" w:ascii="Times New Roman" w:hAnsi="Times New Roman" w:eastAsia="方正仿宋_GBK" w:cs="Times New Roman"/>
          <w:bCs/>
          <w:color w:val="auto"/>
          <w:kern w:val="0"/>
          <w:sz w:val="32"/>
          <w:szCs w:val="32"/>
          <w:highlight w:val="none"/>
        </w:rPr>
        <w:t>高新区</w:t>
      </w:r>
      <w:r>
        <w:rPr>
          <w:rFonts w:ascii="Times New Roman" w:hAnsi="Times New Roman" w:eastAsia="方正仿宋_GBK" w:cs="Times New Roman"/>
          <w:bCs/>
          <w:color w:val="auto"/>
          <w:kern w:val="0"/>
          <w:sz w:val="32"/>
          <w:szCs w:val="32"/>
          <w:highlight w:val="none"/>
        </w:rPr>
        <w:t>高质量发展的法治根基。</w:t>
      </w:r>
    </w:p>
    <w:p w14:paraId="714F7E6D">
      <w:pPr>
        <w:numPr>
          <w:ilvl w:val="255"/>
          <w:numId w:val="0"/>
        </w:num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767" w:name="_Toc26902"/>
      <w:bookmarkStart w:id="768" w:name="_Toc34051603"/>
      <w:bookmarkStart w:id="769" w:name="_Toc25927"/>
      <w:bookmarkStart w:id="770" w:name="_Toc23342"/>
      <w:bookmarkStart w:id="771" w:name="_Toc30174"/>
      <w:bookmarkStart w:id="772" w:name="_Toc1053407056"/>
      <w:r>
        <w:rPr>
          <w:rFonts w:hint="eastAsia" w:ascii="Times New Roman" w:hAnsi="Times New Roman" w:eastAsia="方正楷体_GBK" w:cs="方正楷体_GBK"/>
          <w:color w:val="auto"/>
          <w:sz w:val="32"/>
          <w:szCs w:val="32"/>
          <w:highlight w:val="none"/>
        </w:rPr>
        <w:t>第一节 深化建设法治政府</w:t>
      </w:r>
      <w:bookmarkEnd w:id="767"/>
      <w:bookmarkEnd w:id="768"/>
      <w:bookmarkEnd w:id="769"/>
      <w:bookmarkEnd w:id="770"/>
      <w:bookmarkEnd w:id="771"/>
      <w:bookmarkEnd w:id="772"/>
    </w:p>
    <w:p w14:paraId="3208FDCA">
      <w:pPr>
        <w:adjustRightInd w:val="0"/>
        <w:snapToGrid w:val="0"/>
        <w:spacing w:line="600" w:lineRule="exact"/>
        <w:ind w:firstLine="640" w:firstLineChars="200"/>
        <w:textAlignment w:val="baseline"/>
        <w:rPr>
          <w:rFonts w:ascii="Times New Roman" w:hAnsi="Times New Roman" w:eastAsia="方正仿宋_GBK" w:cs="Times New Roman"/>
          <w:bCs/>
          <w:color w:val="auto"/>
          <w:kern w:val="0"/>
          <w:sz w:val="32"/>
          <w:szCs w:val="32"/>
          <w:highlight w:val="none"/>
        </w:rPr>
      </w:pPr>
      <w:r>
        <w:rPr>
          <w:rFonts w:hint="eastAsia" w:ascii="Times New Roman" w:hAnsi="Times New Roman" w:eastAsia="方正仿宋_GBK" w:cs="方正仿宋_GBK"/>
          <w:color w:val="auto"/>
          <w:sz w:val="32"/>
          <w:szCs w:val="32"/>
          <w:highlight w:val="none"/>
        </w:rPr>
        <w:t>完善依法行政治理体系，推进政府机构职能责任法定化，构建涵盖行政所有职权类型的“全景式权力清单”，持续深化政务公开。加强领导干部依法办事监督检查，完善综合性法治评价工作机制。推进严格规范公正文明执法，加强行政执法协调监督工作体系建设，推进“执法+监督”实战实用。健全行政复议体制机制，充分发挥行政复议化解行政争议主渠道作用。加强基层法治队伍建设，实施法治强基工程和基层执法人员能力提升计划。</w:t>
      </w:r>
      <w:r>
        <w:rPr>
          <w:rFonts w:ascii="Times New Roman" w:hAnsi="Times New Roman" w:eastAsia="方正仿宋_GBK" w:cs="Times New Roman"/>
          <w:bCs/>
          <w:color w:val="auto"/>
          <w:kern w:val="0"/>
          <w:sz w:val="32"/>
          <w:szCs w:val="32"/>
          <w:highlight w:val="none"/>
        </w:rPr>
        <w:t>强化行政执法监督，全面应用</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互联网+监管</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平台，实现执法全过程留痕和可回溯管理。</w:t>
      </w:r>
    </w:p>
    <w:p w14:paraId="42BA9B38">
      <w:pPr>
        <w:numPr>
          <w:ilvl w:val="255"/>
          <w:numId w:val="0"/>
        </w:num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773" w:name="_Toc20702"/>
      <w:bookmarkStart w:id="774" w:name="_Toc6955"/>
      <w:bookmarkStart w:id="775" w:name="_Toc745"/>
      <w:bookmarkStart w:id="776" w:name="_Toc25046"/>
      <w:bookmarkStart w:id="777" w:name="_Toc7220"/>
      <w:bookmarkStart w:id="778" w:name="_Toc12252"/>
      <w:bookmarkStart w:id="779" w:name="_Toc1074641519"/>
      <w:bookmarkStart w:id="780" w:name="_Toc5712"/>
      <w:bookmarkStart w:id="781" w:name="_Toc757204324"/>
      <w:r>
        <w:rPr>
          <w:rFonts w:hint="eastAsia" w:ascii="Times New Roman" w:hAnsi="Times New Roman" w:eastAsia="方正楷体_GBK" w:cs="方正楷体_GBK"/>
          <w:color w:val="auto"/>
          <w:sz w:val="32"/>
          <w:szCs w:val="32"/>
          <w:highlight w:val="none"/>
        </w:rPr>
        <w:t>第二节 加强公正高效权威司法</w:t>
      </w:r>
      <w:bookmarkEnd w:id="773"/>
      <w:bookmarkEnd w:id="774"/>
      <w:bookmarkEnd w:id="775"/>
      <w:bookmarkEnd w:id="776"/>
      <w:bookmarkEnd w:id="777"/>
      <w:bookmarkEnd w:id="778"/>
      <w:bookmarkEnd w:id="779"/>
      <w:bookmarkEnd w:id="780"/>
      <w:bookmarkEnd w:id="781"/>
    </w:p>
    <w:p w14:paraId="1BC69808">
      <w:pPr>
        <w:pStyle w:val="19"/>
        <w:overflowPunct w:val="0"/>
        <w:adjustRightInd w:val="0"/>
        <w:snapToGrid w:val="0"/>
        <w:spacing w:beforeAutospacing="0" w:afterAutospacing="0" w:line="600" w:lineRule="exact"/>
        <w:ind w:firstLine="640" w:firstLineChars="200"/>
        <w:jc w:val="both"/>
        <w:rPr>
          <w:rFonts w:ascii="Times New Roman" w:hAnsi="Times New Roman" w:eastAsia="方正仿宋_GBK"/>
          <w:bCs/>
          <w:color w:val="auto"/>
          <w:sz w:val="32"/>
          <w:szCs w:val="32"/>
          <w:highlight w:val="none"/>
        </w:rPr>
      </w:pPr>
      <w:r>
        <w:rPr>
          <w:rFonts w:ascii="Times New Roman" w:hAnsi="Times New Roman" w:eastAsia="方正仿宋_GBK"/>
          <w:bCs/>
          <w:color w:val="auto"/>
          <w:sz w:val="32"/>
          <w:szCs w:val="32"/>
          <w:highlight w:val="none"/>
        </w:rPr>
        <w:t>深化司法体制综合配套改革，全面落实司法责任制，完善监察权、侦查权、检察权、审判权、执行权相互配合、相互制约的体制机制，严格规范</w:t>
      </w:r>
      <w:r>
        <w:rPr>
          <w:rFonts w:hint="eastAsia" w:ascii="Times New Roman" w:hAnsi="Times New Roman" w:eastAsia="方正仿宋_GBK"/>
          <w:bCs/>
          <w:color w:val="auto"/>
          <w:sz w:val="32"/>
          <w:szCs w:val="32"/>
          <w:highlight w:val="none"/>
        </w:rPr>
        <w:t>行政</w:t>
      </w:r>
      <w:r>
        <w:rPr>
          <w:rFonts w:ascii="Times New Roman" w:hAnsi="Times New Roman" w:eastAsia="方正仿宋_GBK"/>
          <w:bCs/>
          <w:color w:val="auto"/>
          <w:sz w:val="32"/>
          <w:szCs w:val="32"/>
          <w:highlight w:val="none"/>
        </w:rPr>
        <w:t>执</w:t>
      </w:r>
      <w:r>
        <w:rPr>
          <w:rFonts w:hint="eastAsia" w:ascii="Times New Roman" w:hAnsi="Times New Roman" w:eastAsia="方正仿宋_GBK"/>
          <w:bCs/>
          <w:color w:val="auto"/>
          <w:sz w:val="32"/>
          <w:szCs w:val="32"/>
          <w:highlight w:val="none"/>
        </w:rPr>
        <w:t>法</w:t>
      </w:r>
      <w:r>
        <w:rPr>
          <w:rFonts w:ascii="Times New Roman" w:hAnsi="Times New Roman" w:eastAsia="方正仿宋_GBK"/>
          <w:bCs/>
          <w:color w:val="auto"/>
          <w:sz w:val="32"/>
          <w:szCs w:val="32"/>
          <w:highlight w:val="none"/>
        </w:rPr>
        <w:t>程序</w:t>
      </w:r>
      <w:r>
        <w:rPr>
          <w:rFonts w:hint="eastAsia" w:ascii="Times New Roman" w:hAnsi="Times New Roman" w:eastAsia="方正仿宋_GBK"/>
          <w:bCs/>
          <w:color w:val="auto"/>
          <w:sz w:val="32"/>
          <w:szCs w:val="32"/>
          <w:highlight w:val="none"/>
        </w:rPr>
        <w:t>，</w:t>
      </w:r>
      <w:r>
        <w:rPr>
          <w:rFonts w:ascii="Times New Roman" w:hAnsi="Times New Roman" w:eastAsia="方正仿宋_GBK"/>
          <w:bCs/>
          <w:color w:val="auto"/>
          <w:sz w:val="32"/>
          <w:szCs w:val="32"/>
          <w:highlight w:val="none"/>
        </w:rPr>
        <w:t>依法保障人民群众合法权益。完善执法司法态势分析和信息共享机制，构建执法司法权力全生命周期监督体系，完善司法公正实现和评价机制，加强执法司法案件评查检查与责任追究，提高司法裁判公正性、稳定性、权威性。迭代升级</w:t>
      </w:r>
      <w:r>
        <w:rPr>
          <w:rFonts w:hint="eastAsia" w:ascii="Times New Roman" w:hAnsi="Times New Roman" w:eastAsia="方正仿宋_GBK"/>
          <w:bCs/>
          <w:color w:val="auto"/>
          <w:sz w:val="32"/>
          <w:szCs w:val="32"/>
          <w:highlight w:val="none"/>
        </w:rPr>
        <w:t>执法、</w:t>
      </w:r>
      <w:r>
        <w:rPr>
          <w:rFonts w:ascii="Times New Roman" w:hAnsi="Times New Roman" w:eastAsia="方正仿宋_GBK"/>
          <w:bCs/>
          <w:color w:val="auto"/>
          <w:sz w:val="32"/>
          <w:szCs w:val="32"/>
          <w:highlight w:val="none"/>
        </w:rPr>
        <w:t>政法工作数字化平台</w:t>
      </w:r>
      <w:r>
        <w:rPr>
          <w:rFonts w:hint="eastAsia" w:ascii="Times New Roman" w:hAnsi="Times New Roman" w:eastAsia="方正仿宋_GBK"/>
          <w:bCs/>
          <w:color w:val="auto"/>
          <w:sz w:val="32"/>
          <w:szCs w:val="32"/>
          <w:highlight w:val="none"/>
        </w:rPr>
        <w:t>建设工作</w:t>
      </w:r>
      <w:r>
        <w:rPr>
          <w:rFonts w:ascii="Times New Roman" w:hAnsi="Times New Roman" w:eastAsia="方正仿宋_GBK"/>
          <w:bCs/>
          <w:color w:val="auto"/>
          <w:sz w:val="32"/>
          <w:szCs w:val="32"/>
          <w:highlight w:val="none"/>
        </w:rPr>
        <w:t>。</w:t>
      </w:r>
    </w:p>
    <w:p w14:paraId="177B322C">
      <w:pPr>
        <w:overflowPunct w:val="0"/>
        <w:adjustRightInd w:val="0"/>
        <w:snapToGrid w:val="0"/>
        <w:spacing w:line="600" w:lineRule="exact"/>
        <w:jc w:val="center"/>
        <w:outlineLvl w:val="2"/>
        <w:rPr>
          <w:color w:val="auto"/>
          <w:highlight w:val="none"/>
        </w:rPr>
      </w:pPr>
      <w:bookmarkStart w:id="782" w:name="_Toc27676"/>
      <w:bookmarkStart w:id="783" w:name="_Toc6357"/>
      <w:bookmarkStart w:id="784" w:name="_Toc344981346"/>
      <w:bookmarkStart w:id="785" w:name="_Toc23706"/>
      <w:bookmarkStart w:id="786" w:name="_Toc1162538563"/>
      <w:bookmarkStart w:id="787" w:name="_Toc28016"/>
      <w:bookmarkStart w:id="788" w:name="_Toc6003"/>
      <w:bookmarkStart w:id="789" w:name="_Toc21068"/>
      <w:bookmarkStart w:id="790" w:name="_Toc27735"/>
      <w:r>
        <w:rPr>
          <w:rFonts w:hint="eastAsia" w:ascii="Times New Roman" w:hAnsi="Times New Roman" w:eastAsia="方正楷体_GBK" w:cs="方正楷体_GBK"/>
          <w:color w:val="auto"/>
          <w:sz w:val="32"/>
          <w:szCs w:val="32"/>
          <w:highlight w:val="none"/>
        </w:rPr>
        <w:t>第三节 加强法治社会建设</w:t>
      </w:r>
      <w:bookmarkEnd w:id="782"/>
      <w:bookmarkEnd w:id="783"/>
      <w:bookmarkEnd w:id="784"/>
      <w:bookmarkEnd w:id="785"/>
      <w:bookmarkEnd w:id="786"/>
      <w:bookmarkEnd w:id="787"/>
      <w:bookmarkEnd w:id="788"/>
      <w:bookmarkEnd w:id="789"/>
      <w:bookmarkEnd w:id="790"/>
    </w:p>
    <w:p w14:paraId="0D0B8A0E">
      <w:pPr>
        <w:pStyle w:val="19"/>
        <w:overflowPunct w:val="0"/>
        <w:adjustRightInd w:val="0"/>
        <w:snapToGrid w:val="0"/>
        <w:spacing w:beforeAutospacing="0" w:afterAutospacing="0" w:line="600" w:lineRule="exact"/>
        <w:ind w:firstLine="640" w:firstLineChars="200"/>
        <w:jc w:val="both"/>
        <w:rPr>
          <w:rFonts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构建社会大普法工作格局，实施公民法治素养提升行动，营造全社会崇尚法治、恪守规则、尊重契约、维护公正</w:t>
      </w:r>
      <w:r>
        <w:rPr>
          <w:rFonts w:ascii="Times New Roman" w:hAnsi="Times New Roman" w:eastAsia="方正仿宋_GBK"/>
          <w:bCs/>
          <w:color w:val="auto"/>
          <w:sz w:val="32"/>
          <w:szCs w:val="32"/>
          <w:highlight w:val="none"/>
        </w:rPr>
        <w:t>的良好环境。推进覆盖城乡的现代公共法律服务体系建设，</w:t>
      </w:r>
      <w:r>
        <w:rPr>
          <w:rFonts w:hint="eastAsia" w:ascii="Times New Roman" w:hAnsi="Times New Roman" w:eastAsia="方正仿宋_GBK"/>
          <w:bCs/>
          <w:color w:val="auto"/>
          <w:sz w:val="32"/>
          <w:szCs w:val="32"/>
          <w:highlight w:val="none"/>
        </w:rPr>
        <w:t>整合律师、公证、调解、仲裁等资源，</w:t>
      </w:r>
      <w:r>
        <w:rPr>
          <w:rFonts w:ascii="Times New Roman" w:hAnsi="Times New Roman" w:eastAsia="方正仿宋_GBK"/>
          <w:bCs/>
          <w:color w:val="auto"/>
          <w:sz w:val="32"/>
          <w:szCs w:val="32"/>
          <w:highlight w:val="none"/>
        </w:rPr>
        <w:t>深化</w:t>
      </w:r>
      <w:r>
        <w:rPr>
          <w:rFonts w:hint="eastAsia" w:ascii="Times New Roman" w:hAnsi="Times New Roman" w:eastAsia="方正仿宋_GBK"/>
          <w:bCs/>
          <w:color w:val="auto"/>
          <w:sz w:val="32"/>
          <w:szCs w:val="32"/>
          <w:highlight w:val="none"/>
          <w:lang w:val="en-US" w:eastAsia="zh-CN"/>
        </w:rPr>
        <w:t>相关</w:t>
      </w:r>
      <w:r>
        <w:rPr>
          <w:rFonts w:ascii="Times New Roman" w:hAnsi="Times New Roman" w:eastAsia="方正仿宋_GBK"/>
          <w:bCs/>
          <w:color w:val="auto"/>
          <w:sz w:val="32"/>
          <w:szCs w:val="32"/>
          <w:highlight w:val="none"/>
        </w:rPr>
        <w:t>领域改革</w:t>
      </w:r>
      <w:r>
        <w:rPr>
          <w:rFonts w:hint="eastAsia" w:ascii="Times New Roman" w:hAnsi="Times New Roman" w:eastAsia="方正仿宋_GBK"/>
          <w:bCs/>
          <w:color w:val="auto"/>
          <w:sz w:val="32"/>
          <w:szCs w:val="32"/>
          <w:highlight w:val="none"/>
          <w:lang w:eastAsia="zh-CN"/>
        </w:rPr>
        <w:t>，</w:t>
      </w:r>
      <w:r>
        <w:rPr>
          <w:rFonts w:hint="eastAsia" w:ascii="Times New Roman" w:hAnsi="Times New Roman" w:eastAsia="方正仿宋_GBK"/>
          <w:bCs/>
          <w:color w:val="auto"/>
          <w:sz w:val="32"/>
          <w:szCs w:val="32"/>
          <w:highlight w:val="none"/>
        </w:rPr>
        <w:t>建设便捷高效的公共法律服务网络，推广“云上法律诊所”等数字化服务</w:t>
      </w:r>
      <w:r>
        <w:rPr>
          <w:rFonts w:hint="eastAsia" w:ascii="Times New Roman" w:hAnsi="Times New Roman" w:eastAsia="方正仿宋_GBK"/>
          <w:bCs/>
          <w:color w:val="auto"/>
          <w:sz w:val="32"/>
          <w:szCs w:val="32"/>
          <w:highlight w:val="none"/>
          <w:lang w:eastAsia="zh-CN"/>
        </w:rPr>
        <w:t>。</w:t>
      </w:r>
      <w:r>
        <w:rPr>
          <w:rFonts w:ascii="Times New Roman" w:hAnsi="Times New Roman" w:eastAsia="方正仿宋_GBK"/>
          <w:bCs/>
          <w:color w:val="auto"/>
          <w:sz w:val="32"/>
          <w:szCs w:val="32"/>
          <w:highlight w:val="none"/>
        </w:rPr>
        <w:t>加强涉外法治建设，深化与东盟等国家地区的区域性法治交流合作，培育涉外法治人才，提升涉外法律服务水</w:t>
      </w:r>
      <w:r>
        <w:rPr>
          <w:rFonts w:hint="eastAsia" w:ascii="Times New Roman" w:hAnsi="Times New Roman" w:eastAsia="方正仿宋_GBK" w:cs="方正仿宋_GBK"/>
          <w:color w:val="auto"/>
          <w:sz w:val="32"/>
          <w:szCs w:val="32"/>
          <w:highlight w:val="none"/>
        </w:rPr>
        <w:t>平。加强行业依法治理，引导和支持各行业依法制定章程、规约。</w:t>
      </w:r>
    </w:p>
    <w:p w14:paraId="068DE84D">
      <w:pPr>
        <w:numPr>
          <w:ilvl w:val="255"/>
          <w:numId w:val="0"/>
        </w:numPr>
        <w:spacing w:line="600" w:lineRule="exact"/>
        <w:jc w:val="left"/>
        <w:rPr>
          <w:rFonts w:ascii="Times New Roman" w:hAnsi="Times New Roman" w:eastAsia="方正黑体_GBK" w:cs="方正黑体_GBK"/>
          <w:color w:val="auto"/>
          <w:sz w:val="32"/>
          <w:szCs w:val="32"/>
          <w:highlight w:val="none"/>
        </w:rPr>
      </w:pPr>
      <w:bookmarkStart w:id="791" w:name="_Toc25476"/>
      <w:bookmarkStart w:id="792" w:name="_Toc30061"/>
      <w:bookmarkStart w:id="793" w:name="_Toc27164"/>
      <w:bookmarkStart w:id="794" w:name="_Toc10973"/>
      <w:bookmarkStart w:id="795" w:name="_Toc10404"/>
      <w:bookmarkStart w:id="796" w:name="_Toc8868"/>
      <w:bookmarkStart w:id="797" w:name="_Toc20593"/>
      <w:bookmarkStart w:id="798" w:name="_Toc24598"/>
    </w:p>
    <w:p w14:paraId="0E36C502">
      <w:pPr>
        <w:numPr>
          <w:ilvl w:val="255"/>
          <w:numId w:val="0"/>
        </w:numPr>
        <w:overflowPunct w:val="0"/>
        <w:adjustRightInd w:val="0"/>
        <w:snapToGrid w:val="0"/>
        <w:spacing w:line="600" w:lineRule="exact"/>
        <w:jc w:val="center"/>
        <w:outlineLvl w:val="1"/>
        <w:rPr>
          <w:rFonts w:ascii="Times New Roman" w:hAnsi="Times New Roman" w:eastAsia="方正黑体_GBK" w:cs="方正黑体_GBK"/>
          <w:color w:val="auto"/>
          <w:sz w:val="32"/>
          <w:szCs w:val="32"/>
          <w:highlight w:val="none"/>
        </w:rPr>
      </w:pPr>
      <w:bookmarkStart w:id="799" w:name="_Toc22896"/>
      <w:bookmarkStart w:id="800" w:name="_Toc979407935"/>
      <w:bookmarkStart w:id="801" w:name="_Toc2043118969"/>
      <w:r>
        <w:rPr>
          <w:rFonts w:hint="eastAsia" w:ascii="Times New Roman" w:hAnsi="Times New Roman" w:eastAsia="方正黑体_GBK" w:cs="方正黑体_GBK"/>
          <w:color w:val="auto"/>
          <w:sz w:val="32"/>
          <w:szCs w:val="32"/>
          <w:highlight w:val="none"/>
        </w:rPr>
        <w:t>第五章 推进社会治理现代化</w:t>
      </w:r>
      <w:bookmarkEnd w:id="791"/>
      <w:bookmarkEnd w:id="792"/>
      <w:bookmarkEnd w:id="793"/>
      <w:bookmarkEnd w:id="794"/>
      <w:bookmarkEnd w:id="795"/>
      <w:bookmarkEnd w:id="796"/>
      <w:bookmarkEnd w:id="797"/>
      <w:bookmarkEnd w:id="798"/>
      <w:bookmarkEnd w:id="799"/>
      <w:bookmarkEnd w:id="800"/>
      <w:bookmarkEnd w:id="801"/>
    </w:p>
    <w:p w14:paraId="12A2F590">
      <w:pPr>
        <w:adjustRightInd w:val="0"/>
        <w:snapToGrid w:val="0"/>
        <w:spacing w:line="600" w:lineRule="exact"/>
        <w:ind w:firstLine="640" w:firstLineChars="200"/>
        <w:textAlignment w:val="baseline"/>
        <w:rPr>
          <w:rFonts w:ascii="Times New Roman" w:hAnsi="Times New Roman" w:eastAsia="方正仿宋_GBK" w:cs="Times New Roman"/>
          <w:bCs/>
          <w:color w:val="auto"/>
          <w:kern w:val="0"/>
          <w:sz w:val="32"/>
          <w:szCs w:val="32"/>
          <w:highlight w:val="none"/>
        </w:rPr>
      </w:pPr>
      <w:r>
        <w:rPr>
          <w:rFonts w:hint="eastAsia" w:ascii="Times New Roman" w:hAnsi="Times New Roman" w:eastAsia="方正仿宋_GBK" w:cs="Times New Roman"/>
          <w:bCs/>
          <w:color w:val="auto"/>
          <w:kern w:val="0"/>
          <w:sz w:val="32"/>
          <w:szCs w:val="32"/>
          <w:highlight w:val="none"/>
        </w:rPr>
        <w:t>坚持</w:t>
      </w:r>
      <w:r>
        <w:rPr>
          <w:rFonts w:ascii="Times New Roman" w:hAnsi="Times New Roman" w:eastAsia="方正仿宋_GBK" w:cs="Times New Roman"/>
          <w:bCs/>
          <w:color w:val="auto"/>
          <w:kern w:val="0"/>
          <w:sz w:val="32"/>
          <w:szCs w:val="32"/>
          <w:highlight w:val="none"/>
        </w:rPr>
        <w:t>以党建为统领、基层为根基、服务为导向，织密</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党组织+网格+楼栋</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组织链条</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提升社区治理服务效能惠民生，构建共建共治共享治理格局。</w:t>
      </w:r>
    </w:p>
    <w:p w14:paraId="1A1166F6">
      <w:pPr>
        <w:overflowPunct w:val="0"/>
        <w:adjustRightInd w:val="0"/>
        <w:snapToGrid w:val="0"/>
        <w:spacing w:line="600" w:lineRule="exact"/>
        <w:jc w:val="center"/>
        <w:outlineLvl w:val="2"/>
        <w:rPr>
          <w:color w:val="auto"/>
          <w:highlight w:val="none"/>
        </w:rPr>
      </w:pPr>
      <w:bookmarkStart w:id="802" w:name="_Toc18672"/>
      <w:bookmarkStart w:id="803" w:name="_Toc4880"/>
      <w:bookmarkStart w:id="804" w:name="_Toc13373"/>
      <w:bookmarkStart w:id="805" w:name="_Toc447009290"/>
      <w:bookmarkStart w:id="806" w:name="_Toc26823"/>
      <w:bookmarkStart w:id="807" w:name="_Toc6872"/>
      <w:bookmarkStart w:id="808" w:name="_Toc436996453"/>
      <w:bookmarkStart w:id="809" w:name="_Toc14628"/>
      <w:bookmarkStart w:id="810" w:name="_Toc18822"/>
      <w:r>
        <w:rPr>
          <w:rFonts w:hint="eastAsia" w:ascii="Times New Roman" w:hAnsi="Times New Roman" w:eastAsia="方正楷体_GBK" w:cs="方正楷体_GBK"/>
          <w:color w:val="auto"/>
          <w:sz w:val="32"/>
          <w:szCs w:val="32"/>
          <w:highlight w:val="none"/>
        </w:rPr>
        <w:t>第一节 健全党建引领基层治理体系</w:t>
      </w:r>
      <w:bookmarkEnd w:id="802"/>
      <w:bookmarkEnd w:id="803"/>
      <w:bookmarkEnd w:id="804"/>
      <w:bookmarkEnd w:id="805"/>
      <w:bookmarkEnd w:id="806"/>
      <w:bookmarkEnd w:id="807"/>
      <w:bookmarkEnd w:id="808"/>
    </w:p>
    <w:p w14:paraId="6D0C3A44">
      <w:pPr>
        <w:pStyle w:val="19"/>
        <w:overflowPunct w:val="0"/>
        <w:adjustRightInd w:val="0"/>
        <w:snapToGrid w:val="0"/>
        <w:spacing w:beforeAutospacing="0" w:afterAutospacing="0" w:line="600" w:lineRule="exact"/>
        <w:ind w:firstLine="640" w:firstLineChars="200"/>
        <w:jc w:val="both"/>
        <w:rPr>
          <w:rFonts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迭代</w:t>
      </w:r>
      <w:r>
        <w:rPr>
          <w:rFonts w:hint="eastAsia" w:ascii="Times New Roman" w:hAnsi="Times New Roman" w:eastAsia="方正仿宋_GBK" w:cs="方正仿宋_GBK"/>
          <w:color w:val="auto"/>
          <w:sz w:val="32"/>
          <w:szCs w:val="32"/>
          <w:highlight w:val="none"/>
          <w:lang w:val="en-US" w:eastAsia="zh-CN"/>
        </w:rPr>
        <w:t>提升</w:t>
      </w:r>
      <w:r>
        <w:rPr>
          <w:rFonts w:hint="eastAsia" w:ascii="Times New Roman" w:hAnsi="Times New Roman" w:eastAsia="方正仿宋_GBK" w:cs="方正仿宋_GBK"/>
          <w:color w:val="auto"/>
          <w:sz w:val="32"/>
          <w:szCs w:val="32"/>
          <w:highlight w:val="none"/>
        </w:rPr>
        <w:t>党建统领“141”基层智治体系实战效能，完善乡镇（街道）履职事项清单编制运行机制，健全村（社区）工作事项准入制度。健全机关、国企、学校、事业单位等各领域党组织发挥实质作用有效机制，强化新经济组织、新社会组织、新就业群体党的建设，加快打造新时代“红岩先锋”变革型组织。加强社会组织的培育和监管，依法依规推动行业协会商会等改革发展，</w:t>
      </w:r>
      <w:r>
        <w:rPr>
          <w:rFonts w:hint="eastAsia" w:ascii="Times New Roman" w:hAnsi="Times New Roman" w:eastAsia="方正仿宋_GBK" w:cs="方正仿宋_GBK"/>
          <w:color w:val="auto"/>
          <w:sz w:val="32"/>
          <w:szCs w:val="32"/>
          <w:highlight w:val="none"/>
          <w:lang w:val="en-US" w:eastAsia="zh-CN"/>
        </w:rPr>
        <w:t>打造更多</w:t>
      </w:r>
      <w:r>
        <w:rPr>
          <w:rFonts w:hint="eastAsia" w:ascii="Times New Roman" w:hAnsi="Times New Roman" w:eastAsia="方正仿宋_GBK" w:cs="方正仿宋_GBK"/>
          <w:color w:val="auto"/>
          <w:sz w:val="32"/>
          <w:szCs w:val="32"/>
          <w:highlight w:val="none"/>
        </w:rPr>
        <w:t>“渝会有为”品牌</w:t>
      </w:r>
      <w:r>
        <w:rPr>
          <w:rFonts w:hint="eastAsia" w:ascii="Times New Roman" w:hAnsi="Times New Roman" w:eastAsia="方正仿宋_GBK" w:cs="方正仿宋_GBK"/>
          <w:color w:val="auto"/>
          <w:sz w:val="32"/>
          <w:szCs w:val="32"/>
          <w:highlight w:val="none"/>
          <w:lang w:val="en-US" w:eastAsia="zh-CN"/>
        </w:rPr>
        <w:t>案例</w:t>
      </w:r>
      <w:r>
        <w:rPr>
          <w:rFonts w:hint="eastAsia" w:ascii="Times New Roman" w:hAnsi="Times New Roman" w:eastAsia="方正仿宋_GBK" w:cs="方正仿宋_GBK"/>
          <w:color w:val="auto"/>
          <w:sz w:val="32"/>
          <w:szCs w:val="32"/>
          <w:highlight w:val="none"/>
        </w:rPr>
        <w:t>。</w:t>
      </w:r>
      <w:r>
        <w:rPr>
          <w:rFonts w:hint="eastAsia" w:ascii="Times New Roman" w:hAnsi="Times New Roman" w:eastAsia="方正仿宋_GBK" w:cs="方正仿宋_GBK"/>
          <w:color w:val="auto"/>
          <w:sz w:val="32"/>
          <w:szCs w:val="32"/>
          <w:highlight w:val="none"/>
          <w:lang w:val="en-US" w:eastAsia="zh-CN"/>
        </w:rPr>
        <w:t>落地</w:t>
      </w:r>
      <w:r>
        <w:rPr>
          <w:rFonts w:hint="eastAsia" w:ascii="Times New Roman" w:hAnsi="Times New Roman" w:eastAsia="方正仿宋_GBK" w:cs="方正仿宋_GBK"/>
          <w:color w:val="auto"/>
          <w:sz w:val="32"/>
          <w:szCs w:val="32"/>
          <w:highlight w:val="none"/>
        </w:rPr>
        <w:t>实施“头雁领航·强村富民”工程，加强村（社区）“两委”班子建设。健全凝聚服务群众工作机制，加强乡村治理、社区治理，</w:t>
      </w:r>
      <w:r>
        <w:rPr>
          <w:rFonts w:hint="eastAsia" w:ascii="Times New Roman" w:hAnsi="Times New Roman" w:eastAsia="方正仿宋_GBK" w:cs="方正仿宋_GBK"/>
          <w:color w:val="auto"/>
          <w:sz w:val="32"/>
          <w:szCs w:val="32"/>
          <w:highlight w:val="none"/>
          <w:lang w:val="en-US" w:eastAsia="zh-CN"/>
        </w:rPr>
        <w:t>融入</w:t>
      </w:r>
      <w:r>
        <w:rPr>
          <w:rFonts w:hint="eastAsia" w:ascii="Times New Roman" w:hAnsi="Times New Roman" w:eastAsia="方正仿宋_GBK" w:cs="方正仿宋_GBK"/>
          <w:color w:val="auto"/>
          <w:sz w:val="32"/>
          <w:szCs w:val="32"/>
          <w:highlight w:val="none"/>
        </w:rPr>
        <w:t>“渝里乡约”建设，完善服务设施和经费保障机制，提升基层服务管理能力。规范发展志愿服务，打造</w:t>
      </w:r>
      <w:r>
        <w:rPr>
          <w:rFonts w:hint="eastAsia" w:ascii="Times New Roman" w:hAnsi="Times New Roman" w:eastAsia="方正仿宋_GBK" w:cs="方正仿宋_GBK"/>
          <w:color w:val="auto"/>
          <w:sz w:val="32"/>
          <w:szCs w:val="32"/>
          <w:highlight w:val="none"/>
          <w:lang w:val="en-US" w:eastAsia="zh-CN"/>
        </w:rPr>
        <w:t>具有重庆高新区特色的</w:t>
      </w:r>
      <w:r>
        <w:rPr>
          <w:rFonts w:hint="eastAsia" w:ascii="Times New Roman" w:hAnsi="Times New Roman" w:eastAsia="方正仿宋_GBK" w:cs="方正仿宋_GBK"/>
          <w:color w:val="auto"/>
          <w:sz w:val="32"/>
          <w:szCs w:val="32"/>
          <w:highlight w:val="none"/>
        </w:rPr>
        <w:t>“渝善渝美”志愿服务品牌</w:t>
      </w:r>
      <w:r>
        <w:rPr>
          <w:rFonts w:hint="eastAsia" w:ascii="Times New Roman" w:hAnsi="Times New Roman" w:eastAsia="方正仿宋_GBK" w:cs="方正仿宋_GBK"/>
          <w:color w:val="auto"/>
          <w:sz w:val="32"/>
          <w:szCs w:val="32"/>
          <w:highlight w:val="none"/>
          <w:lang w:val="en-US" w:eastAsia="zh-CN"/>
        </w:rPr>
        <w:t>案例</w:t>
      </w:r>
      <w:r>
        <w:rPr>
          <w:rFonts w:hint="eastAsia" w:ascii="Times New Roman" w:hAnsi="Times New Roman" w:eastAsia="方正仿宋_GBK" w:cs="方正仿宋_GBK"/>
          <w:color w:val="auto"/>
          <w:sz w:val="32"/>
          <w:szCs w:val="32"/>
          <w:highlight w:val="none"/>
        </w:rPr>
        <w:t>。健全为基层减负长效机制。</w:t>
      </w:r>
      <w:bookmarkStart w:id="811" w:name="TitleIndex244"/>
      <w:bookmarkEnd w:id="811"/>
      <w:r>
        <w:rPr>
          <w:rFonts w:hint="eastAsia" w:ascii="Times New Roman" w:hAnsi="Times New Roman" w:eastAsia="方正仿宋_GBK" w:cs="方正仿宋_GBK"/>
          <w:color w:val="auto"/>
          <w:sz w:val="32"/>
          <w:szCs w:val="32"/>
          <w:highlight w:val="none"/>
        </w:rPr>
        <w:t>建立涉众型经济犯罪、网络安全、心理健康问题等新型风险识别预警和源头治理机制，完善社会心理疏导和危机干预机制。构建数字赋能多跨协同“大调解”体系，加强人民法庭、派出所、派驻检察室、司法所等场所标准化建设，持续推进综治中心规范化建设，法治化推动矛盾纠纷源头化解、多元化解、有序化解。深化党建引领“民呼我为”改革，推进信访工作法治化，强化信访问题实质性解决。</w:t>
      </w:r>
    </w:p>
    <w:p w14:paraId="190EB7A3">
      <w:pPr>
        <w:overflowPunct w:val="0"/>
        <w:adjustRightInd w:val="0"/>
        <w:snapToGrid w:val="0"/>
        <w:spacing w:line="600" w:lineRule="exact"/>
        <w:jc w:val="center"/>
        <w:outlineLvl w:val="2"/>
        <w:rPr>
          <w:color w:val="auto"/>
          <w:highlight w:val="none"/>
        </w:rPr>
      </w:pPr>
      <w:bookmarkStart w:id="812" w:name="_Toc205312831"/>
      <w:bookmarkStart w:id="813" w:name="_Toc670"/>
      <w:bookmarkStart w:id="814" w:name="_Toc17609"/>
      <w:bookmarkStart w:id="815" w:name="_Toc987339824"/>
      <w:bookmarkStart w:id="816" w:name="_Toc15950"/>
      <w:bookmarkStart w:id="817" w:name="_Toc32657"/>
      <w:bookmarkStart w:id="818" w:name="_Toc4046"/>
      <w:bookmarkStart w:id="819" w:name="_Toc3771"/>
      <w:bookmarkStart w:id="820" w:name="_Toc39"/>
      <w:bookmarkStart w:id="821" w:name="_Toc15369"/>
      <w:r>
        <w:rPr>
          <w:rFonts w:hint="eastAsia" w:ascii="Times New Roman" w:hAnsi="Times New Roman" w:eastAsia="方正楷体_GBK" w:cs="方正楷体_GBK"/>
          <w:color w:val="auto"/>
          <w:sz w:val="32"/>
          <w:szCs w:val="32"/>
          <w:highlight w:val="none"/>
        </w:rPr>
        <w:t>第二节 提升基层社会治理水平</w:t>
      </w:r>
      <w:bookmarkEnd w:id="812"/>
      <w:bookmarkEnd w:id="813"/>
      <w:bookmarkEnd w:id="814"/>
      <w:bookmarkEnd w:id="815"/>
      <w:bookmarkEnd w:id="816"/>
      <w:bookmarkEnd w:id="817"/>
      <w:bookmarkEnd w:id="818"/>
      <w:bookmarkEnd w:id="819"/>
      <w:bookmarkEnd w:id="820"/>
    </w:p>
    <w:p w14:paraId="46D0F1FA">
      <w:pPr>
        <w:adjustRightInd w:val="0"/>
        <w:snapToGrid w:val="0"/>
        <w:spacing w:line="600" w:lineRule="exact"/>
        <w:ind w:firstLine="640" w:firstLineChars="200"/>
        <w:textAlignment w:val="baseline"/>
        <w:rPr>
          <w:rFonts w:ascii="Times New Roman" w:hAnsi="Times New Roman" w:eastAsia="方正仿宋_GBK" w:cs="Times New Roman"/>
          <w:bCs/>
          <w:color w:val="auto"/>
          <w:kern w:val="0"/>
          <w:sz w:val="32"/>
          <w:szCs w:val="32"/>
          <w:highlight w:val="none"/>
        </w:rPr>
      </w:pPr>
      <w:r>
        <w:rPr>
          <w:rFonts w:hint="eastAsia" w:ascii="Times New Roman" w:hAnsi="Times New Roman" w:eastAsia="方正仿宋_GBK" w:cs="Times New Roman"/>
          <w:bCs/>
          <w:color w:val="auto"/>
          <w:kern w:val="0"/>
          <w:sz w:val="32"/>
          <w:szCs w:val="32"/>
          <w:highlight w:val="none"/>
        </w:rPr>
        <w:t>坚持党建引领基层高效能治理，以提升群众获得感、幸福感、安全感为目标，深化具有科学城辨识度的基层治理创新实践。持续强化党组织在基层治理中的领导核心作用，推广“党建+民非”等模式，推动资源、服务、管理向基层下沉，将党的政治优势、组织优势转化为治理效能。全面深化数智赋能，推动“城市大脑”与“1+2”综治中心体系深度融合，构建宽口径、全量化的社会治理数字基座。拓展“共享电单车监管一件事”等智能应用场景，完善“感知预警—决策处置”闭环，推动治理模式从“被动响应”向“主动发现、未诉先办”转型，实现“一屏观全域、一网揽全局”。坚持和发展新时代“枫桥经验”，优化“五带四沉三协同”区带镇街工作机制与“网格+镇街+区中心”分层过滤体系，确保矛盾纠纷化解率稳定在98%以上，基本实现“小事不出村、大事不出镇、矛盾不上交”。</w:t>
      </w:r>
    </w:p>
    <w:p w14:paraId="78A332A5">
      <w:pPr>
        <w:overflowPunct w:val="0"/>
        <w:adjustRightInd w:val="0"/>
        <w:snapToGrid w:val="0"/>
        <w:spacing w:line="600" w:lineRule="exact"/>
        <w:jc w:val="center"/>
        <w:outlineLvl w:val="2"/>
        <w:rPr>
          <w:color w:val="auto"/>
          <w:highlight w:val="none"/>
        </w:rPr>
      </w:pPr>
      <w:bookmarkStart w:id="822" w:name="_Toc1834013535"/>
      <w:bookmarkStart w:id="823" w:name="_Toc1227"/>
      <w:bookmarkStart w:id="824" w:name="_Toc10484"/>
      <w:bookmarkStart w:id="825" w:name="_Toc614281599"/>
      <w:bookmarkStart w:id="826" w:name="_Toc19728"/>
      <w:bookmarkStart w:id="827" w:name="_Toc9358"/>
      <w:r>
        <w:rPr>
          <w:rFonts w:hint="eastAsia" w:ascii="Times New Roman" w:hAnsi="Times New Roman" w:eastAsia="方正楷体_GBK" w:cs="方正楷体_GBK"/>
          <w:color w:val="auto"/>
          <w:sz w:val="32"/>
          <w:szCs w:val="32"/>
          <w:highlight w:val="none"/>
        </w:rPr>
        <w:t>第三节 提升社区治理服务效能</w:t>
      </w:r>
      <w:bookmarkEnd w:id="809"/>
      <w:bookmarkEnd w:id="810"/>
      <w:bookmarkEnd w:id="821"/>
      <w:bookmarkEnd w:id="822"/>
      <w:bookmarkEnd w:id="823"/>
      <w:bookmarkEnd w:id="824"/>
      <w:bookmarkEnd w:id="825"/>
      <w:bookmarkEnd w:id="826"/>
      <w:bookmarkEnd w:id="827"/>
    </w:p>
    <w:p w14:paraId="4980EA65">
      <w:pPr>
        <w:adjustRightInd w:val="0"/>
        <w:snapToGrid w:val="0"/>
        <w:spacing w:line="600" w:lineRule="exact"/>
        <w:ind w:firstLine="640" w:firstLineChars="200"/>
        <w:textAlignment w:val="baseline"/>
        <w:rPr>
          <w:rFonts w:hint="eastAsia" w:ascii="Times New Roman" w:hAnsi="Times New Roman" w:eastAsia="方正仿宋_GBK" w:cs="Times New Roman"/>
          <w:bCs/>
          <w:color w:val="auto"/>
          <w:kern w:val="0"/>
          <w:sz w:val="32"/>
          <w:szCs w:val="32"/>
          <w:highlight w:val="none"/>
          <w:lang w:eastAsia="zh-CN"/>
        </w:rPr>
      </w:pPr>
      <w:r>
        <w:rPr>
          <w:rFonts w:ascii="Times New Roman" w:hAnsi="Times New Roman" w:eastAsia="方正仿宋_GBK" w:cs="Times New Roman"/>
          <w:bCs/>
          <w:color w:val="auto"/>
          <w:kern w:val="0"/>
          <w:sz w:val="32"/>
          <w:szCs w:val="32"/>
          <w:highlight w:val="none"/>
        </w:rPr>
        <w:t>聚焦社区基础单元，以提升居民生活品质为核心，着力增强社区治理服务效能，构建精准高效、共建共享的</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美好生活共同体</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。深化</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社区党组织</w:t>
      </w:r>
      <w:r>
        <w:rPr>
          <w:rFonts w:hint="eastAsia" w:ascii="Times New Roman" w:hAnsi="Times New Roman" w:eastAsia="方正仿宋_GBK" w:cs="Times New Roman"/>
          <w:bCs/>
          <w:color w:val="auto"/>
          <w:kern w:val="0"/>
          <w:sz w:val="32"/>
          <w:szCs w:val="32"/>
          <w:highlight w:val="none"/>
          <w:lang w:eastAsia="zh-CN"/>
        </w:rPr>
        <w:t>—</w:t>
      </w:r>
      <w:r>
        <w:rPr>
          <w:rFonts w:ascii="Times New Roman" w:hAnsi="Times New Roman" w:eastAsia="方正仿宋_GBK" w:cs="Times New Roman"/>
          <w:bCs/>
          <w:color w:val="auto"/>
          <w:kern w:val="0"/>
          <w:sz w:val="32"/>
          <w:szCs w:val="32"/>
          <w:highlight w:val="none"/>
        </w:rPr>
        <w:t>网格党支部</w:t>
      </w:r>
      <w:r>
        <w:rPr>
          <w:rFonts w:hint="eastAsia" w:ascii="Times New Roman" w:hAnsi="Times New Roman" w:eastAsia="方正仿宋_GBK" w:cs="Times New Roman"/>
          <w:bCs/>
          <w:color w:val="auto"/>
          <w:kern w:val="0"/>
          <w:sz w:val="32"/>
          <w:szCs w:val="32"/>
          <w:highlight w:val="none"/>
          <w:lang w:eastAsia="zh-CN"/>
        </w:rPr>
        <w:t>—</w:t>
      </w:r>
      <w:r>
        <w:rPr>
          <w:rFonts w:ascii="Times New Roman" w:hAnsi="Times New Roman" w:eastAsia="方正仿宋_GBK" w:cs="Times New Roman"/>
          <w:bCs/>
          <w:color w:val="auto"/>
          <w:kern w:val="0"/>
          <w:sz w:val="32"/>
          <w:szCs w:val="32"/>
          <w:highlight w:val="none"/>
        </w:rPr>
        <w:t>楼栋党小组</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组织链条，推广</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红色议事厅</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等协商平台，确保党的组织和工作在社区治理中全面覆盖、有效引领。全面推进数智赋能社区</w:t>
      </w:r>
      <w:r>
        <w:rPr>
          <w:rFonts w:hint="eastAsia" w:ascii="Times New Roman" w:hAnsi="Times New Roman" w:eastAsia="方正仿宋_GBK" w:cs="Times New Roman"/>
          <w:bCs/>
          <w:color w:val="auto"/>
          <w:kern w:val="0"/>
          <w:sz w:val="32"/>
          <w:szCs w:val="32"/>
          <w:highlight w:val="none"/>
        </w:rPr>
        <w:t>建设</w:t>
      </w:r>
      <w:r>
        <w:rPr>
          <w:rFonts w:ascii="Times New Roman" w:hAnsi="Times New Roman" w:eastAsia="方正仿宋_GBK" w:cs="Times New Roman"/>
          <w:bCs/>
          <w:color w:val="auto"/>
          <w:kern w:val="0"/>
          <w:sz w:val="32"/>
          <w:szCs w:val="32"/>
          <w:highlight w:val="none"/>
        </w:rPr>
        <w:t>，推动</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智慧社区</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平台全覆盖，深化数据互联互通，拓展</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政策找人</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、智慧安防、为老助残等精准服务场景，实现社区事务</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一网通办</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、居民诉求</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一键响应</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。创新协同治理机制，健全</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五社联动</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模式，积极培育社区社会组织与志愿服务力量，完善社区工作者专业化职业化体系，引导驻区单位、商户、新市民等多方主体有序参与，形成</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人人参与、人人尽责</w:t>
      </w:r>
      <w:r>
        <w:rPr>
          <w:rFonts w:hint="eastAsia" w:ascii="Times New Roman" w:hAnsi="Times New Roman" w:eastAsia="方正仿宋_GBK" w:cs="Times New Roman"/>
          <w:bCs/>
          <w:color w:val="auto"/>
          <w:kern w:val="0"/>
          <w:sz w:val="32"/>
          <w:szCs w:val="32"/>
          <w:highlight w:val="none"/>
        </w:rPr>
        <w:t>”</w:t>
      </w:r>
      <w:r>
        <w:rPr>
          <w:rFonts w:ascii="Times New Roman" w:hAnsi="Times New Roman" w:eastAsia="方正仿宋_GBK" w:cs="Times New Roman"/>
          <w:bCs/>
          <w:color w:val="auto"/>
          <w:kern w:val="0"/>
          <w:sz w:val="32"/>
          <w:szCs w:val="32"/>
          <w:highlight w:val="none"/>
        </w:rPr>
        <w:t>的生动局面</w:t>
      </w:r>
      <w:r>
        <w:rPr>
          <w:rFonts w:hint="eastAsia" w:ascii="Times New Roman" w:hAnsi="Times New Roman" w:eastAsia="方正仿宋_GBK" w:cs="Times New Roman"/>
          <w:bCs/>
          <w:color w:val="auto"/>
          <w:kern w:val="0"/>
          <w:sz w:val="32"/>
          <w:szCs w:val="32"/>
          <w:highlight w:val="none"/>
          <w:lang w:eastAsia="zh-CN"/>
        </w:rPr>
        <w:t>。</w:t>
      </w:r>
    </w:p>
    <w:p w14:paraId="51FA7571">
      <w:pPr>
        <w:adjustRightInd w:val="0"/>
        <w:snapToGrid w:val="0"/>
        <w:spacing w:line="600" w:lineRule="exact"/>
        <w:ind w:firstLine="640" w:firstLineChars="200"/>
        <w:textAlignment w:val="baseline"/>
        <w:rPr>
          <w:rFonts w:hint="eastAsia" w:ascii="Times New Roman" w:hAnsi="Times New Roman" w:eastAsia="方正仿宋_GBK" w:cs="Times New Roman"/>
          <w:bCs/>
          <w:color w:val="auto"/>
          <w:kern w:val="0"/>
          <w:sz w:val="32"/>
          <w:szCs w:val="32"/>
          <w:highlight w:val="none"/>
          <w:lang w:eastAsia="zh-CN"/>
        </w:rPr>
      </w:pPr>
    </w:p>
    <w:p w14:paraId="5C7BD3FC">
      <w:pPr>
        <w:numPr>
          <w:ilvl w:val="255"/>
          <w:numId w:val="0"/>
        </w:numPr>
        <w:overflowPunct w:val="0"/>
        <w:adjustRightInd w:val="0"/>
        <w:snapToGrid w:val="0"/>
        <w:spacing w:line="600" w:lineRule="exact"/>
        <w:ind w:firstLine="0" w:firstLineChars="0"/>
        <w:jc w:val="center"/>
        <w:textAlignment w:val="auto"/>
        <w:outlineLvl w:val="1"/>
        <w:rPr>
          <w:rFonts w:hint="eastAsia" w:ascii="Times New Roman" w:hAnsi="Times New Roman" w:eastAsia="方正黑体_GBK" w:cs="方正黑体_GBK"/>
          <w:bCs w:val="0"/>
          <w:color w:val="auto"/>
          <w:kern w:val="2"/>
          <w:sz w:val="32"/>
          <w:szCs w:val="32"/>
          <w:highlight w:val="none"/>
          <w:lang w:val="en-US" w:eastAsia="zh-CN"/>
        </w:rPr>
      </w:pPr>
      <w:bookmarkStart w:id="828" w:name="_Toc1432697354"/>
      <w:bookmarkStart w:id="829" w:name="_Toc1276943264"/>
      <w:bookmarkStart w:id="830" w:name="_Toc1465"/>
      <w:r>
        <w:rPr>
          <w:rFonts w:hint="eastAsia" w:ascii="Times New Roman" w:hAnsi="Times New Roman" w:eastAsia="方正黑体_GBK" w:cs="方正黑体_GBK"/>
          <w:bCs w:val="0"/>
          <w:color w:val="auto"/>
          <w:kern w:val="2"/>
          <w:sz w:val="32"/>
          <w:szCs w:val="32"/>
          <w:highlight w:val="none"/>
          <w:lang w:val="en-US" w:eastAsia="zh-CN"/>
        </w:rPr>
        <w:t>第六章 推动实现高水平城乡融合发展</w:t>
      </w:r>
      <w:bookmarkEnd w:id="828"/>
      <w:bookmarkEnd w:id="829"/>
      <w:bookmarkEnd w:id="830"/>
    </w:p>
    <w:p w14:paraId="24EF71DA">
      <w:pPr>
        <w:pStyle w:val="19"/>
        <w:overflowPunct w:val="0"/>
        <w:spacing w:beforeAutospacing="0" w:afterAutospacing="0" w:line="600" w:lineRule="exact"/>
        <w:ind w:firstLine="640" w:firstLineChars="200"/>
        <w:jc w:val="both"/>
        <w:rPr>
          <w:rFonts w:ascii="Times New Roman" w:hAnsi="Times New Roman" w:eastAsia="方正仿宋_GBK"/>
          <w:color w:val="auto"/>
          <w:sz w:val="32"/>
          <w:szCs w:val="32"/>
          <w:highlight w:val="none"/>
        </w:rPr>
      </w:pPr>
      <w:r>
        <w:rPr>
          <w:rFonts w:hint="eastAsia" w:ascii="Times New Roman" w:hAnsi="Times New Roman" w:eastAsia="方正仿宋_GBK" w:cs="方正仿宋_GBK"/>
          <w:color w:val="auto"/>
          <w:sz w:val="32"/>
          <w:szCs w:val="32"/>
          <w:highlight w:val="none"/>
        </w:rPr>
        <w:t>学习运用“千万工程”经验，</w:t>
      </w:r>
      <w:r>
        <w:rPr>
          <w:rFonts w:hint="eastAsia" w:ascii="Times New Roman" w:hAnsi="Times New Roman" w:eastAsia="方正仿宋_GBK"/>
          <w:color w:val="auto"/>
          <w:sz w:val="32"/>
          <w:szCs w:val="32"/>
          <w:highlight w:val="none"/>
        </w:rPr>
        <w:t>以城乡融合发展为引领，加强国土空间协同治理，强化农业科技支撑赋能，着力建设示范性和美乡村，大力维护粮食安全，提升现代农业发展能级，构建宜居宜业、协同高效的城乡融合新格局。</w:t>
      </w:r>
    </w:p>
    <w:p w14:paraId="5901FCD1">
      <w:pPr>
        <w:adjustRightInd w:val="0"/>
        <w:snapToGrid w:val="0"/>
        <w:spacing w:line="600" w:lineRule="exact"/>
        <w:jc w:val="center"/>
        <w:outlineLvl w:val="2"/>
        <w:rPr>
          <w:rFonts w:ascii="Times New Roman" w:hAnsi="Times New Roman" w:eastAsia="方正仿宋_GBK" w:cs="方正仿宋_GBK"/>
          <w:color w:val="auto"/>
          <w:sz w:val="32"/>
          <w:szCs w:val="32"/>
          <w:highlight w:val="none"/>
        </w:rPr>
      </w:pPr>
      <w:bookmarkStart w:id="831" w:name="_Toc27987"/>
      <w:bookmarkStart w:id="832" w:name="_Toc1757778514"/>
      <w:bookmarkStart w:id="833" w:name="_Toc1781353577"/>
      <w:r>
        <w:rPr>
          <w:rFonts w:hint="eastAsia" w:ascii="Times New Roman" w:hAnsi="Times New Roman" w:eastAsia="方正楷体_GBK" w:cs="Times New Roman"/>
          <w:color w:val="auto"/>
          <w:sz w:val="32"/>
          <w:highlight w:val="none"/>
        </w:rPr>
        <w:t>第一节 加强国土空间协同治理</w:t>
      </w:r>
      <w:bookmarkEnd w:id="831"/>
      <w:bookmarkEnd w:id="832"/>
      <w:bookmarkEnd w:id="833"/>
    </w:p>
    <w:p w14:paraId="61F34FE3">
      <w:pPr>
        <w:pStyle w:val="19"/>
        <w:overflowPunct w:val="0"/>
        <w:spacing w:beforeAutospacing="0" w:afterAutospacing="0" w:line="600" w:lineRule="exact"/>
        <w:ind w:firstLine="640" w:firstLineChars="200"/>
        <w:jc w:val="both"/>
        <w:rPr>
          <w:rFonts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推进国土空间协同治理。结合高新区主体功能定位，强化国土空间规划“一张图”动态管理，建立健全耕地和永久基本农田、生态保护红线、城镇开发边界</w:t>
      </w:r>
      <w:r>
        <w:rPr>
          <w:rFonts w:hint="eastAsia" w:ascii="Times New Roman" w:hAnsi="Times New Roman" w:eastAsia="方正仿宋_GBK" w:cs="方正仿宋_GBK"/>
          <w:color w:val="auto"/>
          <w:sz w:val="32"/>
          <w:szCs w:val="32"/>
          <w:highlight w:val="none"/>
          <w:lang w:val="en-US" w:eastAsia="zh-CN"/>
        </w:rPr>
        <w:t>三条</w:t>
      </w:r>
      <w:r>
        <w:rPr>
          <w:rFonts w:hint="eastAsia" w:ascii="Times New Roman" w:hAnsi="Times New Roman" w:eastAsia="方正仿宋_GBK" w:cs="方正仿宋_GBK"/>
          <w:color w:val="auto"/>
          <w:sz w:val="32"/>
          <w:szCs w:val="32"/>
          <w:highlight w:val="none"/>
        </w:rPr>
        <w:t>控制线动态监测、局部优化机制。分区分类实施差别化、精细化用途管制，实行建设用地存量统筹和增量供给，强化用地用林用草等联动审批。持续完善高新区“一级三类”国土空间规划体系，按需推进详细规划编制报批。加强国土空间规划与国民经济和社会发展规划衔接，保障重大项目用地需求。</w:t>
      </w:r>
    </w:p>
    <w:p w14:paraId="40B1CCFD">
      <w:pPr>
        <w:pStyle w:val="19"/>
        <w:overflowPunct w:val="0"/>
        <w:spacing w:beforeAutospacing="0" w:afterAutospacing="0" w:line="600" w:lineRule="exact"/>
        <w:ind w:firstLine="640" w:firstLineChars="200"/>
        <w:jc w:val="both"/>
        <w:rPr>
          <w:rFonts w:ascii="Times New Roman" w:hAnsi="Times New Roman" w:eastAsia="方正仿宋_GBK"/>
          <w:color w:val="auto"/>
          <w:sz w:val="32"/>
          <w:szCs w:val="32"/>
          <w:highlight w:val="none"/>
        </w:rPr>
      </w:pPr>
      <w:r>
        <w:rPr>
          <w:rFonts w:hint="eastAsia" w:ascii="Times New Roman" w:hAnsi="Times New Roman" w:eastAsia="方正仿宋_GBK" w:cs="方正仿宋_GBK"/>
          <w:color w:val="auto"/>
          <w:sz w:val="32"/>
          <w:szCs w:val="32"/>
          <w:highlight w:val="none"/>
        </w:rPr>
        <w:t>推动城乡规划、产业、要素、机制融合</w:t>
      </w:r>
      <w:r>
        <w:rPr>
          <w:rFonts w:hint="eastAsia" w:ascii="Times New Roman" w:hAnsi="Times New Roman" w:eastAsia="方正仿宋_GBK"/>
          <w:color w:val="auto"/>
          <w:sz w:val="32"/>
          <w:szCs w:val="32"/>
          <w:highlight w:val="none"/>
        </w:rPr>
        <w:t>。发挥城市辐射带动作用，</w:t>
      </w:r>
      <w:r>
        <w:rPr>
          <w:rFonts w:hint="eastAsia" w:ascii="Times New Roman" w:hAnsi="Times New Roman" w:eastAsia="方正仿宋_GBK" w:cs="方正仿宋_GBK"/>
          <w:color w:val="auto"/>
          <w:sz w:val="32"/>
          <w:szCs w:val="32"/>
          <w:highlight w:val="none"/>
        </w:rPr>
        <w:t>促进农业转移人口全面融入城市。</w:t>
      </w:r>
      <w:r>
        <w:rPr>
          <w:rFonts w:hint="eastAsia" w:ascii="Times New Roman" w:hAnsi="Times New Roman" w:eastAsia="方正仿宋_GBK"/>
          <w:color w:val="auto"/>
          <w:sz w:val="32"/>
          <w:szCs w:val="32"/>
          <w:highlight w:val="none"/>
        </w:rPr>
        <w:t>实现城乡“水、电、路、气、讯、物流”一体化规划建设和管护，梯次推进农村聚居点市政设施管网覆盖、城乡供水和饮水质量提升。按需编制</w:t>
      </w:r>
      <w:r>
        <w:rPr>
          <w:rFonts w:hint="eastAsia" w:ascii="ti" w:hAnsi="ti" w:eastAsia="方正仿宋_GBK" w:cs="方正仿宋_GBK"/>
          <w:snapToGrid w:val="0"/>
          <w:color w:val="auto"/>
          <w:sz w:val="32"/>
          <w:szCs w:val="32"/>
          <w:highlight w:val="none"/>
          <w:shd w:val="clear" w:color="auto" w:fill="FFFFFF"/>
        </w:rPr>
        <w:t>村庄规划</w:t>
      </w:r>
      <w:r>
        <w:rPr>
          <w:rFonts w:hint="eastAsia"/>
          <w:color w:val="auto"/>
          <w:highlight w:val="none"/>
        </w:rPr>
        <w:t>，</w:t>
      </w:r>
      <w:r>
        <w:rPr>
          <w:rFonts w:hint="eastAsia" w:ascii="Times New Roman" w:hAnsi="Times New Roman" w:eastAsia="方正仿宋_GBK"/>
          <w:color w:val="auto"/>
          <w:sz w:val="32"/>
          <w:szCs w:val="32"/>
          <w:highlight w:val="none"/>
        </w:rPr>
        <w:t>保障乡村振兴项目落地空间，完善</w:t>
      </w:r>
      <w:r>
        <w:rPr>
          <w:rFonts w:ascii="Times New Roman" w:hAnsi="Times New Roman" w:eastAsia="方正仿宋_GBK"/>
          <w:color w:val="auto"/>
          <w:sz w:val="32"/>
          <w:szCs w:val="32"/>
          <w:highlight w:val="none"/>
        </w:rPr>
        <w:t>村庄建设用地指标</w:t>
      </w:r>
      <w:r>
        <w:rPr>
          <w:rFonts w:hint="eastAsia" w:ascii="Times New Roman" w:hAnsi="Times New Roman" w:eastAsia="方正仿宋_GBK"/>
          <w:color w:val="auto"/>
          <w:sz w:val="32"/>
          <w:szCs w:val="32"/>
          <w:highlight w:val="none"/>
        </w:rPr>
        <w:t>分级</w:t>
      </w:r>
      <w:r>
        <w:rPr>
          <w:rFonts w:ascii="Times New Roman" w:hAnsi="Times New Roman" w:eastAsia="方正仿宋_GBK"/>
          <w:color w:val="auto"/>
          <w:sz w:val="32"/>
          <w:szCs w:val="32"/>
          <w:highlight w:val="none"/>
        </w:rPr>
        <w:t>管理机制</w:t>
      </w:r>
      <w:r>
        <w:rPr>
          <w:rFonts w:hint="eastAsia" w:ascii="Times New Roman" w:hAnsi="Times New Roman" w:eastAsia="方正仿宋_GBK"/>
          <w:color w:val="auto"/>
          <w:sz w:val="32"/>
          <w:szCs w:val="32"/>
          <w:highlight w:val="none"/>
        </w:rPr>
        <w:t>。按需推进农村集体经营性建设用地入市，</w:t>
      </w:r>
      <w:r>
        <w:rPr>
          <w:rFonts w:hint="eastAsia" w:ascii="Times New Roman" w:hAnsi="Times New Roman" w:eastAsia="方正仿宋_GBK"/>
          <w:color w:val="auto"/>
          <w:sz w:val="32"/>
          <w:szCs w:val="32"/>
          <w:highlight w:val="none"/>
          <w:lang w:bidi="ar"/>
        </w:rPr>
        <w:t>深化集体林权制度改革</w:t>
      </w:r>
      <w:r>
        <w:rPr>
          <w:rFonts w:hint="eastAsia" w:ascii="Times New Roman" w:hAnsi="Times New Roman" w:eastAsia="方正仿宋_GBK"/>
          <w:color w:val="auto"/>
          <w:sz w:val="32"/>
          <w:szCs w:val="32"/>
          <w:highlight w:val="none"/>
        </w:rPr>
        <w:t>。壮大新型农村集体经济，</w:t>
      </w:r>
      <w:r>
        <w:rPr>
          <w:rFonts w:hint="eastAsia" w:ascii="Times New Roman" w:hAnsi="Times New Roman" w:eastAsia="方正仿宋_GBK"/>
          <w:color w:val="auto"/>
          <w:sz w:val="32"/>
          <w:szCs w:val="32"/>
          <w:highlight w:val="none"/>
          <w:lang w:bidi="ar"/>
        </w:rPr>
        <w:t>推广农安村土地入股分红、虎峰山村闲置农房租赁增收经验，</w:t>
      </w:r>
      <w:r>
        <w:rPr>
          <w:rFonts w:hint="eastAsia" w:ascii="Times New Roman" w:hAnsi="Times New Roman" w:eastAsia="方正仿宋_GBK"/>
          <w:color w:val="auto"/>
          <w:sz w:val="32"/>
          <w:szCs w:val="32"/>
          <w:highlight w:val="none"/>
        </w:rPr>
        <w:t>探索“资源盘活+产业培育+利益联结”增收模式。以</w:t>
      </w:r>
      <w:r>
        <w:rPr>
          <w:rFonts w:hint="eastAsia" w:ascii="Times New Roman" w:hAnsi="Times New Roman" w:eastAsia="方正仿宋_GBK"/>
          <w:color w:val="auto"/>
          <w:sz w:val="32"/>
          <w:szCs w:val="32"/>
          <w:highlight w:val="none"/>
          <w:lang w:bidi="ar"/>
        </w:rPr>
        <w:t>巴福镇钟鹤村为重点试点区域，稳步推进第二轮农村土地承包到期后再延长三十年试点。到</w:t>
      </w:r>
      <w:r>
        <w:rPr>
          <w:rFonts w:hint="eastAsia" w:ascii="Times New Roman" w:hAnsi="Times New Roman" w:eastAsia="方正仿宋_GBK"/>
          <w:color w:val="auto"/>
          <w:sz w:val="32"/>
          <w:szCs w:val="32"/>
          <w:highlight w:val="none"/>
        </w:rPr>
        <w:t>2030年，常住人口城镇化率不低于90%。</w:t>
      </w:r>
    </w:p>
    <w:p w14:paraId="31FAD167">
      <w:pPr>
        <w:adjustRightInd/>
        <w:snapToGrid/>
        <w:spacing w:line="240" w:lineRule="auto"/>
        <w:jc w:val="left"/>
        <w:outlineLvl w:val="9"/>
        <w:rPr>
          <w:rFonts w:hint="eastAsia" w:ascii="Times New Roman" w:hAnsi="Times New Roman" w:eastAsia="方正楷体_GBK" w:cs="Times New Roman"/>
          <w:color w:val="auto"/>
          <w:sz w:val="32"/>
          <w:highlight w:val="none"/>
        </w:rPr>
      </w:pPr>
      <w:bookmarkStart w:id="834" w:name="_Toc50953019"/>
      <w:bookmarkStart w:id="835" w:name="_Toc1140045812"/>
      <w:bookmarkStart w:id="836" w:name="_Toc29318"/>
      <w:r>
        <w:rPr>
          <w:rFonts w:hint="eastAsia" w:ascii="Times New Roman" w:hAnsi="Times New Roman" w:eastAsia="方正楷体_GBK" w:cs="Times New Roman"/>
          <w:color w:val="auto"/>
          <w:sz w:val="32"/>
          <w:highlight w:val="none"/>
        </w:rPr>
        <w:br w:type="page"/>
      </w:r>
    </w:p>
    <w:p w14:paraId="38853E78">
      <w:pPr>
        <w:adjustRightInd w:val="0"/>
        <w:snapToGrid w:val="0"/>
        <w:spacing w:line="600" w:lineRule="exact"/>
        <w:jc w:val="center"/>
        <w:outlineLvl w:val="2"/>
        <w:rPr>
          <w:rFonts w:ascii="Times New Roman" w:hAnsi="Times New Roman" w:eastAsia="方正楷体_GBK" w:cs="Times New Roman"/>
          <w:color w:val="auto"/>
          <w:sz w:val="32"/>
          <w:highlight w:val="none"/>
        </w:rPr>
      </w:pPr>
      <w:r>
        <w:rPr>
          <w:rFonts w:hint="eastAsia" w:ascii="Times New Roman" w:hAnsi="Times New Roman" w:eastAsia="方正楷体_GBK" w:cs="Times New Roman"/>
          <w:color w:val="auto"/>
          <w:sz w:val="32"/>
          <w:highlight w:val="none"/>
        </w:rPr>
        <w:t xml:space="preserve">第二节 </w:t>
      </w:r>
      <w:bookmarkEnd w:id="834"/>
      <w:bookmarkEnd w:id="835"/>
      <w:r>
        <w:rPr>
          <w:rFonts w:hint="eastAsia" w:ascii="Times New Roman" w:hAnsi="Times New Roman" w:eastAsia="方正楷体_GBK" w:cs="Times New Roman"/>
          <w:color w:val="auto"/>
          <w:sz w:val="32"/>
          <w:highlight w:val="none"/>
        </w:rPr>
        <w:t>提升农业科技和安全水平</w:t>
      </w:r>
      <w:bookmarkEnd w:id="836"/>
    </w:p>
    <w:p w14:paraId="336828C7">
      <w:pPr>
        <w:pStyle w:val="20"/>
        <w:adjustRightInd w:val="0"/>
        <w:snapToGrid w:val="0"/>
        <w:spacing w:after="0" w:line="600"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强化农业科技支撑。深化实施种业振兴行动，发挥种质创制大科学中心科研平台优势，深化“区企共建、院地合作”机制，联合市农科院等科研院所开展科企联合育种攻关，建设农业农村部种质创制重点实验室，强化人才培育和产业转化。推动农业关键核心技术攻关和装备研发制造，加快推动山地农业科技创新基地等科创平台建设，促进科技强农向</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种</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养</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加</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储</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销</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rPr>
        <w:t>全链条延伸。升级智能农机产线，提升微耕机、收割机等优势产品市占率，规划建设山地智能农机装备研发中心与试验验证场，为农机装备性能测试、改进提供平台支撑。推动智慧农业技术集成应用，发展农业机器人、天空地一体化遥感监测、智能灌溉系统，推动鱼菜共生AI工厂、食用菌智能工厂、蔬菜数字工厂</w:t>
      </w:r>
      <w:r>
        <w:rPr>
          <w:rFonts w:hint="eastAsia" w:ascii="Times New Roman" w:hAnsi="Times New Roman" w:eastAsia="方正仿宋_GBK" w:cs="Times New Roman"/>
          <w:color w:val="auto"/>
          <w:sz w:val="32"/>
          <w:szCs w:val="32"/>
          <w:highlight w:val="none"/>
          <w:lang w:val="en-US" w:eastAsia="zh-CN"/>
        </w:rPr>
        <w:t>等</w:t>
      </w:r>
      <w:r>
        <w:rPr>
          <w:rFonts w:hint="eastAsia" w:ascii="Times New Roman" w:hAnsi="Times New Roman" w:eastAsia="方正仿宋_GBK" w:cs="Times New Roman"/>
          <w:color w:val="auto"/>
          <w:sz w:val="32"/>
          <w:szCs w:val="32"/>
          <w:highlight w:val="none"/>
        </w:rPr>
        <w:t>产业化应用，提升农业生产数字化水平。</w:t>
      </w:r>
    </w:p>
    <w:p w14:paraId="41584DC4">
      <w:pPr>
        <w:adjustRightInd w:val="0"/>
        <w:snapToGrid w:val="0"/>
        <w:spacing w:line="600" w:lineRule="exact"/>
        <w:ind w:firstLine="640" w:firstLineChars="200"/>
        <w:rPr>
          <w:rFonts w:hint="eastAsia" w:ascii="方正仿宋_GBK" w:hAnsi="方正仿宋_GBK" w:eastAsia="方正仿宋_GBK" w:cs="方正仿宋_GBK"/>
          <w:color w:val="auto"/>
          <w:sz w:val="32"/>
          <w:szCs w:val="32"/>
          <w:highlight w:val="none"/>
        </w:rPr>
      </w:pPr>
      <w:r>
        <w:rPr>
          <w:rFonts w:hint="eastAsia" w:ascii="Times New Roman" w:hAnsi="Times New Roman" w:eastAsia="方正仿宋_GBK" w:cs="Times New Roman"/>
          <w:color w:val="auto"/>
          <w:sz w:val="32"/>
          <w:szCs w:val="32"/>
          <w:highlight w:val="none"/>
        </w:rPr>
        <w:t>大力维护粮食安全。</w:t>
      </w:r>
      <w:r>
        <w:rPr>
          <w:rFonts w:hint="eastAsia" w:ascii="方正仿宋_GBK" w:hAnsi="方正仿宋_GBK" w:eastAsia="方正仿宋_GBK" w:cs="方正仿宋_GBK"/>
          <w:color w:val="auto"/>
          <w:sz w:val="32"/>
          <w:szCs w:val="32"/>
          <w:highlight w:val="none"/>
        </w:rPr>
        <w:t>严格落实耕地保护与用途管制制度，坚决守住耕地红线，统筹协调耕林空间布局，严格遏制耕地“非农化”、防止耕地“非粮化”，牢牢守住全区</w:t>
      </w:r>
      <w:r>
        <w:rPr>
          <w:rFonts w:ascii="Times New Roman" w:hAnsi="Times New Roman" w:eastAsia="方正仿宋_GBK" w:cs="Times New Roman"/>
          <w:color w:val="auto"/>
          <w:sz w:val="32"/>
          <w:szCs w:val="32"/>
          <w:highlight w:val="none"/>
        </w:rPr>
        <w:t>27.3</w:t>
      </w:r>
      <w:r>
        <w:rPr>
          <w:rFonts w:hint="eastAsia" w:ascii="方正仿宋_GBK" w:hAnsi="方正仿宋_GBK" w:eastAsia="方正仿宋_GBK" w:cs="方正仿宋_GBK"/>
          <w:color w:val="auto"/>
          <w:sz w:val="32"/>
          <w:szCs w:val="32"/>
          <w:highlight w:val="none"/>
        </w:rPr>
        <w:t>平方公里耕地保有量和</w:t>
      </w:r>
      <w:r>
        <w:rPr>
          <w:rFonts w:ascii="Times New Roman" w:hAnsi="Times New Roman" w:eastAsia="方正仿宋_GBK" w:cs="Times New Roman"/>
          <w:color w:val="auto"/>
          <w:sz w:val="32"/>
          <w:szCs w:val="32"/>
          <w:highlight w:val="none"/>
        </w:rPr>
        <w:t>4</w:t>
      </w:r>
      <w:r>
        <w:rPr>
          <w:rFonts w:hint="eastAsia" w:ascii="方正仿宋_GBK" w:hAnsi="方正仿宋_GBK" w:eastAsia="方正仿宋_GBK" w:cs="方正仿宋_GBK"/>
          <w:color w:val="auto"/>
          <w:sz w:val="32"/>
          <w:szCs w:val="32"/>
          <w:highlight w:val="none"/>
        </w:rPr>
        <w:t>平方公里永久基本农田。全面提升耕地质量与抗灾能力，深入实施新一轮高标准农田建设与改造提升工程，实现永久基本农田与高标准农田“双向奔赴”、“粮田”与“良田”“双向匹配”。</w:t>
      </w:r>
      <w:r>
        <w:rPr>
          <w:rFonts w:hint="eastAsia" w:ascii="Times New Roman" w:hAnsi="Times New Roman" w:eastAsia="方正仿宋_GBK" w:cs="方正仿宋_GBK"/>
          <w:color w:val="auto"/>
          <w:sz w:val="32"/>
          <w:szCs w:val="32"/>
          <w:highlight w:val="none"/>
        </w:rPr>
        <w:t>稳步开展全域土地综合整治。到</w:t>
      </w:r>
      <w:r>
        <w:rPr>
          <w:rFonts w:ascii="Times New Roman" w:hAnsi="Times New Roman" w:eastAsia="方正仿宋_GBK" w:cs="Times New Roman"/>
          <w:color w:val="auto"/>
          <w:sz w:val="32"/>
          <w:szCs w:val="32"/>
          <w:highlight w:val="none"/>
        </w:rPr>
        <w:t>2030</w:t>
      </w:r>
      <w:r>
        <w:rPr>
          <w:rFonts w:hint="eastAsia" w:ascii="方正仿宋_GBK" w:hAnsi="方正仿宋_GBK" w:eastAsia="方正仿宋_GBK" w:cs="方正仿宋_GBK"/>
          <w:color w:val="auto"/>
          <w:sz w:val="32"/>
          <w:szCs w:val="32"/>
          <w:highlight w:val="none"/>
        </w:rPr>
        <w:t>年，全区粮食综合生产能力稳定</w:t>
      </w:r>
      <w:r>
        <w:rPr>
          <w:rFonts w:ascii="Times New Roman" w:hAnsi="Times New Roman" w:eastAsia="方正仿宋_GBK" w:cs="Times New Roman"/>
          <w:color w:val="auto"/>
          <w:sz w:val="32"/>
          <w:szCs w:val="32"/>
          <w:highlight w:val="none"/>
        </w:rPr>
        <w:t>在2800吨以</w:t>
      </w:r>
      <w:r>
        <w:rPr>
          <w:rFonts w:hint="eastAsia" w:ascii="方正仿宋_GBK" w:hAnsi="方正仿宋_GBK" w:eastAsia="方正仿宋_GBK" w:cs="方正仿宋_GBK"/>
          <w:color w:val="auto"/>
          <w:sz w:val="32"/>
          <w:szCs w:val="32"/>
          <w:highlight w:val="none"/>
        </w:rPr>
        <w:t>上。</w:t>
      </w:r>
    </w:p>
    <w:p w14:paraId="113261E6">
      <w:pPr>
        <w:adjustRightInd w:val="0"/>
        <w:snapToGrid w:val="0"/>
        <w:spacing w:line="600" w:lineRule="exact"/>
        <w:jc w:val="center"/>
        <w:outlineLvl w:val="2"/>
        <w:rPr>
          <w:rFonts w:ascii="Times New Roman" w:hAnsi="Times New Roman" w:eastAsia="方正黑体_GBK" w:cs="方正黑体_GBK"/>
          <w:color w:val="auto"/>
          <w:sz w:val="32"/>
          <w:szCs w:val="32"/>
          <w:highlight w:val="none"/>
        </w:rPr>
      </w:pPr>
      <w:bookmarkStart w:id="837" w:name="_Toc32090"/>
      <w:bookmarkStart w:id="838" w:name="_Toc1668898827"/>
      <w:bookmarkStart w:id="839" w:name="_Toc900863750"/>
      <w:r>
        <w:rPr>
          <w:rFonts w:hint="eastAsia" w:ascii="Times New Roman" w:hAnsi="Times New Roman" w:eastAsia="方正楷体_GBK" w:cs="Times New Roman"/>
          <w:color w:val="auto"/>
          <w:sz w:val="32"/>
          <w:highlight w:val="none"/>
        </w:rPr>
        <w:t>第三节 建设示范性和美乡村</w:t>
      </w:r>
      <w:bookmarkEnd w:id="837"/>
      <w:bookmarkEnd w:id="838"/>
      <w:bookmarkEnd w:id="839"/>
    </w:p>
    <w:p w14:paraId="5C88788D">
      <w:pPr>
        <w:spacing w:line="600" w:lineRule="exact"/>
        <w:ind w:firstLine="640" w:firstLineChars="200"/>
        <w:rPr>
          <w:rFonts w:ascii="Times New Roman" w:hAnsi="Times New Roman" w:cs="Times New Roman"/>
          <w:color w:val="auto"/>
          <w:kern w:val="1"/>
          <w:szCs w:val="32"/>
          <w:highlight w:val="none"/>
        </w:rPr>
      </w:pPr>
      <w:r>
        <w:rPr>
          <w:rFonts w:hint="eastAsia" w:ascii="Times New Roman" w:hAnsi="Times New Roman" w:eastAsia="方正仿宋_GBK" w:cs="Times New Roman"/>
          <w:color w:val="auto"/>
          <w:sz w:val="32"/>
          <w:szCs w:val="32"/>
          <w:highlight w:val="none"/>
        </w:rPr>
        <w:t>提升乡村建设现代化水平。</w:t>
      </w:r>
      <w:r>
        <w:rPr>
          <w:rFonts w:hint="eastAsia" w:ascii="Times New Roman" w:hAnsi="Times New Roman" w:eastAsia="方正仿宋_GBK" w:cs="Times New Roman"/>
          <w:color w:val="auto"/>
          <w:sz w:val="32"/>
          <w:szCs w:val="32"/>
          <w:highlight w:val="none"/>
          <w:lang w:eastAsia="zh"/>
        </w:rPr>
        <w:t>持续整治提升农村人居环境，接续开展“五清理一活动”，推动村容村貌整治提升</w:t>
      </w:r>
      <w:r>
        <w:rPr>
          <w:rFonts w:hint="eastAsia" w:ascii="Times New Roman" w:hAnsi="Times New Roman" w:eastAsia="方正仿宋_GBK" w:cs="Times New Roman"/>
          <w:color w:val="auto"/>
          <w:sz w:val="32"/>
          <w:szCs w:val="32"/>
          <w:highlight w:val="none"/>
        </w:rPr>
        <w:t>。落实巴渝和美乡村建设要求，统筹管控乡村建设项目布局、体量、高度等，提升乡村地区风貌管理水平。持续推进数字乡村建设，补齐农业农村数字基础设施短板，推进乡村网络基础设施优化升级。</w:t>
      </w:r>
      <w:r>
        <w:rPr>
          <w:rFonts w:hint="eastAsia" w:ascii="Times New Roman" w:hAnsi="Times New Roman" w:eastAsia="方正仿宋_GBK"/>
          <w:color w:val="auto"/>
          <w:sz w:val="32"/>
          <w:szCs w:val="32"/>
          <w:highlight w:val="none"/>
        </w:rPr>
        <w:t>实施耕地保护利用、科技创新转化、农业产业培育</w:t>
      </w:r>
      <w:r>
        <w:rPr>
          <w:rFonts w:hint="eastAsia" w:ascii="Times New Roman" w:hAnsi="Times New Roman" w:eastAsia="方正仿宋_GBK"/>
          <w:color w:val="auto"/>
          <w:sz w:val="32"/>
          <w:szCs w:val="32"/>
          <w:highlight w:val="none"/>
          <w:lang w:val="en-US" w:eastAsia="zh-CN"/>
        </w:rPr>
        <w:t>与</w:t>
      </w:r>
      <w:r>
        <w:rPr>
          <w:rFonts w:hint="eastAsia" w:ascii="Times New Roman" w:hAnsi="Times New Roman" w:eastAsia="方正仿宋_GBK"/>
          <w:color w:val="auto"/>
          <w:sz w:val="32"/>
          <w:szCs w:val="32"/>
          <w:highlight w:val="none"/>
        </w:rPr>
        <w:t>和美乡村建设等领域农业农村现代化重点项目。</w:t>
      </w:r>
      <w:r>
        <w:rPr>
          <w:rFonts w:ascii="Times New Roman" w:hAnsi="Times New Roman" w:eastAsia="方正仿宋_GBK" w:cs="Times New Roman"/>
          <w:color w:val="auto"/>
          <w:sz w:val="32"/>
          <w:szCs w:val="32"/>
          <w:highlight w:val="none"/>
        </w:rPr>
        <w:t>推进金凤镇九凤村、曾家镇虎峰山村和美乡村连</w:t>
      </w:r>
      <w:r>
        <w:rPr>
          <w:rFonts w:hint="eastAsia" w:ascii="Times New Roman" w:hAnsi="Times New Roman" w:eastAsia="方正仿宋_GBK" w:cs="Times New Roman"/>
          <w:color w:val="auto"/>
          <w:sz w:val="32"/>
          <w:szCs w:val="32"/>
          <w:highlight w:val="none"/>
        </w:rPr>
        <w:t>片建设，助力村庄产业发展，提升乡村治理水平</w:t>
      </w:r>
      <w:r>
        <w:rPr>
          <w:rFonts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rPr>
        <w:t>到2030年，</w:t>
      </w:r>
      <w:r>
        <w:rPr>
          <w:rFonts w:hint="eastAsia" w:ascii="Times New Roman" w:hAnsi="Times New Roman" w:eastAsia="方正仿宋_GBK" w:cs="Times New Roman"/>
          <w:color w:val="auto"/>
          <w:sz w:val="32"/>
          <w:szCs w:val="32"/>
          <w:highlight w:val="none"/>
          <w:lang w:val="en-US" w:eastAsia="zh-CN"/>
        </w:rPr>
        <w:t>高标准建成</w:t>
      </w:r>
      <w:r>
        <w:rPr>
          <w:rFonts w:hint="eastAsia" w:ascii="Times New Roman" w:hAnsi="Times New Roman" w:eastAsia="方正仿宋_GBK" w:cs="Times New Roman"/>
          <w:color w:val="auto"/>
          <w:sz w:val="32"/>
          <w:szCs w:val="32"/>
          <w:highlight w:val="none"/>
        </w:rPr>
        <w:t>巴渝和美乡村</w:t>
      </w:r>
      <w:r>
        <w:rPr>
          <w:rFonts w:hint="eastAsia" w:ascii="Times New Roman" w:hAnsi="Times New Roman" w:eastAsia="方正仿宋_GBK" w:cs="Times New Roman"/>
          <w:color w:val="auto"/>
          <w:sz w:val="32"/>
          <w:szCs w:val="32"/>
          <w:highlight w:val="none"/>
          <w:lang w:val="en-US" w:eastAsia="zh-CN"/>
        </w:rPr>
        <w:t>累计55</w:t>
      </w:r>
      <w:r>
        <w:rPr>
          <w:rFonts w:hint="eastAsia" w:ascii="Times New Roman" w:hAnsi="Times New Roman" w:eastAsia="方正仿宋_GBK" w:cs="Times New Roman"/>
          <w:color w:val="auto"/>
          <w:sz w:val="32"/>
          <w:szCs w:val="32"/>
          <w:highlight w:val="none"/>
        </w:rPr>
        <w:t>个</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其中新增2个</w:t>
      </w:r>
      <w:r>
        <w:rPr>
          <w:rFonts w:hint="eastAsia" w:ascii="Times New Roman" w:hAnsi="Times New Roman" w:eastAsia="方正仿宋_GBK" w:cs="Times New Roman"/>
          <w:color w:val="auto"/>
          <w:sz w:val="32"/>
          <w:szCs w:val="32"/>
          <w:highlight w:val="none"/>
        </w:rPr>
        <w:t>。</w:t>
      </w:r>
    </w:p>
    <w:p w14:paraId="3B9C6649">
      <w:pPr>
        <w:adjustRightInd w:val="0"/>
        <w:snapToGrid w:val="0"/>
        <w:spacing w:line="600" w:lineRule="exact"/>
        <w:ind w:firstLine="640" w:firstLineChars="200"/>
        <w:textAlignment w:val="baseline"/>
        <w:rPr>
          <w:rFonts w:ascii="Times New Roman" w:hAnsi="Times New Roman" w:eastAsia="方正仿宋_GBK" w:cs="方正仿宋_GBK"/>
          <w:color w:val="auto"/>
          <w:sz w:val="32"/>
          <w:szCs w:val="32"/>
          <w:highlight w:val="none"/>
        </w:rPr>
      </w:pPr>
      <w:r>
        <w:rPr>
          <w:rFonts w:hint="eastAsia" w:ascii="Times New Roman" w:hAnsi="Times New Roman" w:eastAsia="方正仿宋_GBK" w:cs="Times New Roman"/>
          <w:color w:val="auto"/>
          <w:sz w:val="32"/>
          <w:szCs w:val="32"/>
          <w:highlight w:val="none"/>
        </w:rPr>
        <w:t>提升</w:t>
      </w:r>
      <w:r>
        <w:rPr>
          <w:rFonts w:ascii="Times New Roman" w:hAnsi="Times New Roman" w:eastAsia="方正仿宋_GBK" w:cs="Times New Roman"/>
          <w:color w:val="auto"/>
          <w:sz w:val="32"/>
          <w:szCs w:val="32"/>
          <w:highlight w:val="none"/>
        </w:rPr>
        <w:t>乡村治理效能</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方正仿宋_GBK"/>
          <w:color w:val="auto"/>
          <w:sz w:val="32"/>
          <w:szCs w:val="32"/>
          <w:highlight w:val="none"/>
        </w:rPr>
        <w:t>建好建强农村基层党组织，</w:t>
      </w:r>
      <w:r>
        <w:rPr>
          <w:rFonts w:ascii="Times New Roman" w:hAnsi="Times New Roman" w:eastAsia="方正仿宋_GBK" w:cs="Times New Roman"/>
          <w:color w:val="auto"/>
          <w:sz w:val="32"/>
          <w:szCs w:val="32"/>
          <w:highlight w:val="none"/>
        </w:rPr>
        <w:t>扎实推动乡村</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四治</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融合，落实</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四议两公开</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制度。聚焦</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三制一化</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重点任务，规范村级组织管理，细化乡村微治理单元。</w:t>
      </w:r>
      <w:r>
        <w:rPr>
          <w:rFonts w:hint="eastAsia" w:ascii="Times New Roman" w:hAnsi="Times New Roman" w:eastAsia="方正仿宋_GBK" w:cs="方正仿宋_GBK"/>
          <w:color w:val="auto"/>
          <w:sz w:val="32"/>
          <w:szCs w:val="32"/>
          <w:highlight w:val="none"/>
        </w:rPr>
        <w:t>拓宽村民参与村级公共事务渠道，依法管理农村宗教事务。</w:t>
      </w:r>
    </w:p>
    <w:p w14:paraId="253A23BB">
      <w:pPr>
        <w:widowControl/>
        <w:overflowPunct w:val="0"/>
        <w:snapToGrid w:val="0"/>
        <w:jc w:val="center"/>
        <w:rPr>
          <w:rFonts w:hint="eastAsia" w:ascii="Times New Roman" w:hAnsi="Times New Roman" w:eastAsia="方正黑体_GBK" w:cs="方正黑体_GBK"/>
          <w:color w:val="auto"/>
          <w:kern w:val="0"/>
          <w:sz w:val="32"/>
          <w:szCs w:val="32"/>
          <w:highlight w:val="none"/>
          <w:u w:val="none"/>
          <w:lang w:bidi="ar"/>
        </w:rPr>
      </w:pPr>
      <w:r>
        <w:rPr>
          <w:rFonts w:hint="eastAsia" w:ascii="Times New Roman" w:hAnsi="Times New Roman" w:eastAsia="方正黑体_GBK" w:cs="方正黑体_GBK"/>
          <w:color w:val="auto"/>
          <w:kern w:val="0"/>
          <w:sz w:val="32"/>
          <w:szCs w:val="32"/>
          <w:highlight w:val="none"/>
          <w:u w:val="none"/>
          <w:lang w:bidi="ar"/>
        </w:rPr>
        <w:t>专栏</w:t>
      </w:r>
      <w:r>
        <w:rPr>
          <w:rFonts w:hint="eastAsia" w:ascii="Times New Roman" w:hAnsi="Times New Roman" w:eastAsia="方正黑体_GBK" w:cs="方正黑体_GBK"/>
          <w:color w:val="auto"/>
          <w:kern w:val="0"/>
          <w:sz w:val="32"/>
          <w:szCs w:val="32"/>
          <w:highlight w:val="none"/>
          <w:u w:val="none"/>
          <w:lang w:val="en-US" w:eastAsia="zh-CN" w:bidi="ar"/>
        </w:rPr>
        <w:t>30</w:t>
      </w:r>
      <w:r>
        <w:rPr>
          <w:rFonts w:hint="eastAsia" w:ascii="Times New Roman" w:hAnsi="Times New Roman" w:eastAsia="方正黑体_GBK" w:cs="方正黑体_GBK"/>
          <w:color w:val="auto"/>
          <w:kern w:val="0"/>
          <w:sz w:val="32"/>
          <w:szCs w:val="32"/>
          <w:highlight w:val="none"/>
          <w:u w:val="none"/>
          <w:lang w:bidi="ar"/>
        </w:rPr>
        <w:t xml:space="preserve"> 农业农村现代化重点项目</w:t>
      </w:r>
    </w:p>
    <w:tbl>
      <w:tblPr>
        <w:tblStyle w:val="22"/>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0"/>
      </w:tblGrid>
      <w:tr w14:paraId="58BE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90" w:type="dxa"/>
          </w:tcPr>
          <w:p w14:paraId="40C633C6">
            <w:pPr>
              <w:pStyle w:val="38"/>
              <w:spacing w:line="340" w:lineRule="exact"/>
              <w:rPr>
                <w:rFonts w:hint="eastAsia" w:ascii="Times New Roman" w:hAnsi="Times New Roman" w:eastAsia="方正黑体_GBK" w:cs="方正黑体_GBK"/>
                <w:color w:val="auto"/>
                <w:kern w:val="0"/>
                <w:sz w:val="24"/>
                <w:szCs w:val="24"/>
                <w:highlight w:val="none"/>
                <w:u w:val="none"/>
                <w:lang w:bidi="ar"/>
              </w:rPr>
            </w:pPr>
            <w:r>
              <w:rPr>
                <w:rFonts w:hint="eastAsia" w:ascii="Times New Roman" w:hAnsi="Times New Roman" w:eastAsia="方正黑体_GBK" w:cs="方正黑体_GBK"/>
                <w:color w:val="auto"/>
                <w:kern w:val="0"/>
                <w:sz w:val="24"/>
                <w:szCs w:val="24"/>
                <w:highlight w:val="none"/>
                <w:u w:val="none"/>
                <w:lang w:bidi="ar"/>
              </w:rPr>
              <w:t>1</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bidi="ar"/>
              </w:rPr>
              <w:t>耕地保护和农田建设类。</w:t>
            </w:r>
            <w:r>
              <w:rPr>
                <w:rFonts w:hint="eastAsia" w:ascii="方正书宋_GBK" w:hAnsi="方正书宋_GBK" w:eastAsia="方正书宋_GBK" w:cs="方正书宋_GBK"/>
                <w:color w:val="auto"/>
                <w:kern w:val="0"/>
                <w:sz w:val="24"/>
                <w:szCs w:val="24"/>
                <w:highlight w:val="none"/>
                <w:lang w:bidi="ar"/>
              </w:rPr>
              <w:t>高新区高标准基本农田提质增效示范项目。</w:t>
            </w:r>
          </w:p>
          <w:p w14:paraId="6CD612DB">
            <w:pPr>
              <w:pStyle w:val="38"/>
              <w:spacing w:line="340" w:lineRule="exact"/>
              <w:rPr>
                <w:rFonts w:hint="eastAsia" w:ascii="方正书宋_GBK" w:hAnsi="方正书宋_GBK" w:eastAsia="方正书宋_GBK" w:cs="方正书宋_GBK"/>
                <w:color w:val="auto"/>
                <w:kern w:val="0"/>
                <w:sz w:val="24"/>
                <w:szCs w:val="24"/>
                <w:highlight w:val="none"/>
                <w:lang w:bidi="ar"/>
              </w:rPr>
            </w:pPr>
            <w:r>
              <w:rPr>
                <w:rFonts w:hint="eastAsia" w:ascii="Times New Roman" w:hAnsi="Times New Roman" w:eastAsia="方正黑体_GBK" w:cs="方正黑体_GBK"/>
                <w:color w:val="auto"/>
                <w:kern w:val="0"/>
                <w:sz w:val="24"/>
                <w:szCs w:val="24"/>
                <w:highlight w:val="none"/>
                <w:u w:val="none"/>
                <w:lang w:bidi="ar"/>
              </w:rPr>
              <w:t>2</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bidi="ar"/>
              </w:rPr>
              <w:t>特色产业培育类。</w:t>
            </w:r>
            <w:r>
              <w:rPr>
                <w:rFonts w:hint="eastAsia" w:ascii="方正书宋_GBK" w:hAnsi="方正书宋_GBK" w:eastAsia="方正书宋_GBK" w:cs="方正书宋_GBK"/>
                <w:color w:val="auto"/>
                <w:kern w:val="0"/>
                <w:sz w:val="24"/>
                <w:szCs w:val="24"/>
                <w:highlight w:val="none"/>
                <w:lang w:bidi="ar"/>
              </w:rPr>
              <w:t>食农加工数智科技产业园、食药同源食品科技产业园项目、休闲食品研发生产与运营中心项目、石板镇天池村光伏+食用菌现代农业观光园</w:t>
            </w:r>
            <w:r>
              <w:rPr>
                <w:rFonts w:hint="eastAsia" w:ascii="方正书宋_GBK" w:hAnsi="方正书宋_GBK" w:eastAsia="方正书宋_GBK" w:cs="方正书宋_GBK"/>
                <w:color w:val="auto"/>
                <w:kern w:val="0"/>
                <w:sz w:val="24"/>
                <w:szCs w:val="24"/>
                <w:highlight w:val="none"/>
                <w:lang w:val="en-US" w:eastAsia="zh-CN" w:bidi="ar"/>
              </w:rPr>
              <w:t>项目</w:t>
            </w:r>
            <w:r>
              <w:rPr>
                <w:rFonts w:hint="eastAsia" w:ascii="方正书宋_GBK" w:hAnsi="方正书宋_GBK" w:eastAsia="方正书宋_GBK" w:cs="方正书宋_GBK"/>
                <w:color w:val="auto"/>
                <w:kern w:val="0"/>
                <w:sz w:val="24"/>
                <w:szCs w:val="24"/>
                <w:highlight w:val="none"/>
                <w:lang w:bidi="ar"/>
              </w:rPr>
              <w:t>、科学城食安谷项目、冬虫夏草培植创新基地项目。</w:t>
            </w:r>
          </w:p>
          <w:p w14:paraId="67B4037C">
            <w:pPr>
              <w:pStyle w:val="38"/>
              <w:spacing w:line="340" w:lineRule="exact"/>
              <w:rPr>
                <w:rFonts w:hint="eastAsia" w:ascii="方正书宋_GBK" w:hAnsi="方正书宋_GBK" w:eastAsia="方正书宋_GBK" w:cs="方正书宋_GBK"/>
                <w:color w:val="auto"/>
                <w:kern w:val="0"/>
                <w:sz w:val="24"/>
                <w:szCs w:val="24"/>
                <w:highlight w:val="none"/>
                <w:lang w:bidi="ar"/>
              </w:rPr>
            </w:pPr>
            <w:r>
              <w:rPr>
                <w:rFonts w:hint="eastAsia" w:ascii="Times New Roman" w:hAnsi="Times New Roman" w:eastAsia="方正黑体_GBK" w:cs="方正黑体_GBK"/>
                <w:color w:val="auto"/>
                <w:kern w:val="0"/>
                <w:sz w:val="24"/>
                <w:szCs w:val="24"/>
                <w:highlight w:val="none"/>
                <w:u w:val="none"/>
                <w:lang w:bidi="ar"/>
              </w:rPr>
              <w:t>3</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bidi="ar"/>
              </w:rPr>
              <w:t>农文旅融合发展类。</w:t>
            </w:r>
            <w:r>
              <w:rPr>
                <w:rFonts w:hint="eastAsia" w:ascii="方正书宋_GBK" w:hAnsi="方正书宋_GBK" w:eastAsia="方正书宋_GBK" w:cs="方正书宋_GBK"/>
                <w:color w:val="auto"/>
                <w:spacing w:val="-6"/>
                <w:kern w:val="0"/>
                <w:sz w:val="24"/>
                <w:szCs w:val="24"/>
                <w:highlight w:val="none"/>
                <w:lang w:bidi="ar"/>
              </w:rPr>
              <w:t>虎峰山生态艺术廊道建设项目、高新区安全能力提升工程（含谷标段）、走马古镇及周边历史风貌保护和修复项目、走马镇农文旅融合配套设施完善项目、石板镇天池村萌特矿坑农文旅融合项目、金凤</w:t>
            </w:r>
            <w:r>
              <w:rPr>
                <w:rFonts w:hint="eastAsia" w:ascii="方正书宋_GBK" w:hAnsi="方正书宋_GBK" w:eastAsia="方正书宋_GBK" w:cs="方正书宋_GBK"/>
                <w:color w:val="auto"/>
                <w:spacing w:val="-6"/>
                <w:kern w:val="0"/>
                <w:sz w:val="24"/>
                <w:szCs w:val="24"/>
                <w:highlight w:val="none"/>
                <w:lang w:eastAsia="zh-CN" w:bidi="ar"/>
              </w:rPr>
              <w:t>—</w:t>
            </w:r>
            <w:r>
              <w:rPr>
                <w:rFonts w:hint="eastAsia" w:ascii="方正书宋_GBK" w:hAnsi="方正书宋_GBK" w:eastAsia="方正书宋_GBK" w:cs="方正书宋_GBK"/>
                <w:color w:val="auto"/>
                <w:spacing w:val="-6"/>
                <w:kern w:val="0"/>
                <w:sz w:val="24"/>
                <w:szCs w:val="24"/>
                <w:highlight w:val="none"/>
                <w:lang w:bidi="ar"/>
              </w:rPr>
              <w:t>曾家片区生态农旅连片提升项目。</w:t>
            </w:r>
          </w:p>
          <w:p w14:paraId="1A476AE3">
            <w:pPr>
              <w:pStyle w:val="38"/>
              <w:spacing w:line="340" w:lineRule="exact"/>
              <w:rPr>
                <w:rFonts w:hint="eastAsia" w:ascii="方正书宋_GBK" w:hAnsi="方正书宋_GBK" w:eastAsia="方正书宋_GBK" w:cs="方正书宋_GBK"/>
                <w:color w:val="auto"/>
                <w:kern w:val="0"/>
                <w:sz w:val="24"/>
                <w:szCs w:val="24"/>
                <w:highlight w:val="none"/>
                <w:lang w:bidi="ar"/>
              </w:rPr>
            </w:pPr>
            <w:r>
              <w:rPr>
                <w:rFonts w:hint="eastAsia" w:ascii="Times New Roman" w:hAnsi="Times New Roman" w:eastAsia="方正黑体_GBK" w:cs="方正黑体_GBK"/>
                <w:color w:val="auto"/>
                <w:kern w:val="0"/>
                <w:sz w:val="24"/>
                <w:szCs w:val="24"/>
                <w:highlight w:val="none"/>
                <w:u w:val="none"/>
                <w:lang w:bidi="ar"/>
              </w:rPr>
              <w:t>4</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bidi="ar"/>
              </w:rPr>
              <w:t>巴渝和美乡村类。</w:t>
            </w:r>
            <w:r>
              <w:rPr>
                <w:rFonts w:hint="eastAsia" w:ascii="方正书宋_GBK" w:hAnsi="方正书宋_GBK" w:eastAsia="方正书宋_GBK" w:cs="方正书宋_GBK"/>
                <w:color w:val="auto"/>
                <w:kern w:val="0"/>
                <w:sz w:val="24"/>
                <w:szCs w:val="24"/>
                <w:highlight w:val="none"/>
                <w:lang w:bidi="ar"/>
              </w:rPr>
              <w:t>巴福镇巴林路沿线院落连片整治</w:t>
            </w:r>
            <w:r>
              <w:rPr>
                <w:rFonts w:hint="eastAsia" w:ascii="方正书宋_GBK" w:hAnsi="方正书宋_GBK" w:eastAsia="方正书宋_GBK" w:cs="方正书宋_GBK"/>
                <w:color w:val="auto"/>
                <w:kern w:val="0"/>
                <w:sz w:val="24"/>
                <w:szCs w:val="24"/>
                <w:highlight w:val="none"/>
                <w:lang w:val="en-US" w:eastAsia="zh-CN" w:bidi="ar"/>
              </w:rPr>
              <w:t>项目</w:t>
            </w:r>
            <w:r>
              <w:rPr>
                <w:rFonts w:hint="eastAsia" w:ascii="方正书宋_GBK" w:hAnsi="方正书宋_GBK" w:eastAsia="方正书宋_GBK" w:cs="方正书宋_GBK"/>
                <w:color w:val="auto"/>
                <w:kern w:val="0"/>
                <w:sz w:val="24"/>
                <w:szCs w:val="24"/>
                <w:highlight w:val="none"/>
                <w:lang w:bidi="ar"/>
              </w:rPr>
              <w:t>、金凤</w:t>
            </w:r>
            <w:r>
              <w:rPr>
                <w:rFonts w:hint="eastAsia" w:ascii="方正书宋_GBK" w:hAnsi="方正书宋_GBK" w:eastAsia="方正书宋_GBK" w:cs="方正书宋_GBK"/>
                <w:color w:val="auto"/>
                <w:kern w:val="0"/>
                <w:sz w:val="24"/>
                <w:szCs w:val="24"/>
                <w:highlight w:val="none"/>
                <w:lang w:eastAsia="zh-CN" w:bidi="ar"/>
              </w:rPr>
              <w:t>—</w:t>
            </w:r>
            <w:r>
              <w:rPr>
                <w:rFonts w:hint="eastAsia" w:ascii="方正书宋_GBK" w:hAnsi="方正书宋_GBK" w:eastAsia="方正书宋_GBK" w:cs="方正书宋_GBK"/>
                <w:color w:val="auto"/>
                <w:kern w:val="0"/>
                <w:sz w:val="24"/>
                <w:szCs w:val="24"/>
                <w:highlight w:val="none"/>
                <w:lang w:bidi="ar"/>
              </w:rPr>
              <w:t>曾家和美乡村连片共建项目。</w:t>
            </w:r>
          </w:p>
          <w:p w14:paraId="38606658">
            <w:pPr>
              <w:pStyle w:val="38"/>
              <w:spacing w:line="340" w:lineRule="exact"/>
              <w:rPr>
                <w:rFonts w:hint="eastAsia" w:ascii="方正书宋_GBK" w:hAnsi="方正书宋_GBK" w:eastAsia="方正书宋_GBK" w:cs="方正书宋_GBK"/>
                <w:color w:val="auto"/>
                <w:sz w:val="24"/>
                <w:szCs w:val="24"/>
                <w:highlight w:val="none"/>
              </w:rPr>
            </w:pPr>
            <w:r>
              <w:rPr>
                <w:rFonts w:hint="eastAsia" w:ascii="Times New Roman" w:hAnsi="Times New Roman" w:eastAsia="方正黑体_GBK" w:cs="方正黑体_GBK"/>
                <w:color w:val="auto"/>
                <w:kern w:val="0"/>
                <w:sz w:val="24"/>
                <w:szCs w:val="24"/>
                <w:highlight w:val="none"/>
                <w:u w:val="none"/>
                <w:lang w:bidi="ar"/>
              </w:rPr>
              <w:t>5</w:t>
            </w:r>
            <w:r>
              <w:rPr>
                <w:rFonts w:hint="eastAsia" w:ascii="Times New Roman" w:hAnsi="Times New Roman" w:eastAsia="方正黑体_GBK" w:cs="方正黑体_GBK"/>
                <w:color w:val="auto"/>
                <w:sz w:val="24"/>
                <w:szCs w:val="24"/>
                <w:highlight w:val="none"/>
                <w:u w:val="none"/>
              </w:rPr>
              <w:t>．</w:t>
            </w:r>
            <w:r>
              <w:rPr>
                <w:rFonts w:hint="eastAsia" w:ascii="Times New Roman" w:hAnsi="Times New Roman" w:eastAsia="方正黑体_GBK" w:cs="方正黑体_GBK"/>
                <w:color w:val="auto"/>
                <w:kern w:val="0"/>
                <w:sz w:val="24"/>
                <w:szCs w:val="24"/>
                <w:highlight w:val="none"/>
                <w:u w:val="none"/>
                <w:lang w:bidi="ar"/>
              </w:rPr>
              <w:t>基础设施及公共服务配套</w:t>
            </w:r>
            <w:r>
              <w:rPr>
                <w:rFonts w:hint="eastAsia" w:eastAsia="方正黑体_GBK" w:cs="方正黑体_GBK"/>
                <w:color w:val="auto"/>
                <w:kern w:val="0"/>
                <w:sz w:val="24"/>
                <w:szCs w:val="24"/>
                <w:highlight w:val="none"/>
                <w:u w:val="none"/>
                <w:lang w:val="en-US" w:eastAsia="zh-CN" w:bidi="ar"/>
              </w:rPr>
              <w:t>类</w:t>
            </w:r>
            <w:r>
              <w:rPr>
                <w:rFonts w:hint="eastAsia" w:ascii="Times New Roman" w:hAnsi="Times New Roman" w:eastAsia="方正黑体_GBK" w:cs="方正黑体_GBK"/>
                <w:color w:val="auto"/>
                <w:kern w:val="0"/>
                <w:sz w:val="24"/>
                <w:szCs w:val="24"/>
                <w:highlight w:val="none"/>
                <w:u w:val="none"/>
                <w:lang w:bidi="ar"/>
              </w:rPr>
              <w:t>。</w:t>
            </w:r>
            <w:r>
              <w:rPr>
                <w:rFonts w:hint="eastAsia" w:ascii="方正书宋_GBK" w:hAnsi="方正书宋_GBK" w:eastAsia="方正书宋_GBK" w:cs="方正书宋_GBK"/>
                <w:color w:val="auto"/>
                <w:kern w:val="0"/>
                <w:sz w:val="24"/>
                <w:szCs w:val="24"/>
                <w:highlight w:val="none"/>
                <w:lang w:bidi="ar"/>
              </w:rPr>
              <w:t>乡村振兴道路提质升级项目、金凤镇便民步道修缮及配套设施工程。</w:t>
            </w:r>
          </w:p>
        </w:tc>
      </w:tr>
    </w:tbl>
    <w:p w14:paraId="35309081">
      <w:pPr>
        <w:widowControl/>
        <w:spacing w:line="600" w:lineRule="exact"/>
        <w:jc w:val="left"/>
        <w:rPr>
          <w:rFonts w:ascii="Times New Roman" w:hAnsi="Times New Roman" w:eastAsia="方正仿宋_GBK" w:cs="Times New Roman"/>
          <w:bCs/>
          <w:snapToGrid w:val="0"/>
          <w:color w:val="auto"/>
          <w:kern w:val="0"/>
          <w:sz w:val="33"/>
          <w:szCs w:val="32"/>
          <w:highlight w:val="none"/>
          <w:lang w:bidi="ar"/>
        </w:rPr>
      </w:pPr>
      <w:r>
        <w:rPr>
          <w:rFonts w:hint="eastAsia" w:ascii="Times New Roman" w:hAnsi="Times New Roman" w:eastAsia="方正黑体_GBK" w:cs="方正黑体_GBK"/>
          <w:color w:val="auto"/>
          <w:sz w:val="32"/>
          <w:szCs w:val="32"/>
          <w:highlight w:val="none"/>
        </w:rPr>
        <w:br w:type="page"/>
      </w:r>
    </w:p>
    <w:p w14:paraId="5872EEED">
      <w:pPr>
        <w:overflowPunct w:val="0"/>
        <w:adjustRightInd w:val="0"/>
        <w:snapToGrid w:val="0"/>
        <w:spacing w:line="600" w:lineRule="exact"/>
        <w:jc w:val="center"/>
        <w:outlineLvl w:val="0"/>
        <w:rPr>
          <w:rFonts w:ascii="Times New Roman" w:hAnsi="Times New Roman" w:eastAsia="方正黑体_GBK" w:cs="方正黑体_GBK"/>
          <w:color w:val="auto"/>
          <w:sz w:val="32"/>
          <w:szCs w:val="32"/>
          <w:highlight w:val="none"/>
        </w:rPr>
      </w:pPr>
      <w:bookmarkStart w:id="840" w:name="_Toc1057334900"/>
      <w:bookmarkStart w:id="841" w:name="_Toc898671922"/>
      <w:bookmarkStart w:id="842" w:name="_Toc10070"/>
      <w:bookmarkStart w:id="843" w:name="_Toc21583"/>
      <w:bookmarkStart w:id="844" w:name="_Toc25918"/>
      <w:r>
        <w:rPr>
          <w:rFonts w:hint="eastAsia" w:ascii="Times New Roman" w:hAnsi="Times New Roman" w:eastAsia="方正黑体_GBK" w:cs="方正黑体_GBK"/>
          <w:color w:val="auto"/>
          <w:sz w:val="32"/>
          <w:szCs w:val="32"/>
          <w:highlight w:val="none"/>
        </w:rPr>
        <w:t>第</w:t>
      </w:r>
      <w:r>
        <w:rPr>
          <w:rFonts w:hint="eastAsia" w:ascii="Times New Roman" w:hAnsi="Times New Roman" w:eastAsia="方正黑体_GBK" w:cs="方正黑体_GBK"/>
          <w:color w:val="auto"/>
          <w:sz w:val="32"/>
          <w:szCs w:val="32"/>
          <w:highlight w:val="none"/>
          <w:lang w:val="en-US" w:eastAsia="zh-CN"/>
        </w:rPr>
        <w:t>八</w:t>
      </w:r>
      <w:r>
        <w:rPr>
          <w:rFonts w:hint="eastAsia" w:ascii="Times New Roman" w:hAnsi="Times New Roman" w:eastAsia="方正黑体_GBK" w:cs="方正黑体_GBK"/>
          <w:color w:val="auto"/>
          <w:sz w:val="32"/>
          <w:szCs w:val="32"/>
          <w:highlight w:val="none"/>
        </w:rPr>
        <w:t>篇 健全规划实施保障机制</w:t>
      </w:r>
      <w:bookmarkEnd w:id="840"/>
      <w:bookmarkEnd w:id="841"/>
      <w:bookmarkEnd w:id="842"/>
      <w:bookmarkEnd w:id="843"/>
      <w:bookmarkEnd w:id="844"/>
    </w:p>
    <w:p w14:paraId="7C026CA0">
      <w:pPr>
        <w:overflowPunct w:val="0"/>
        <w:adjustRightInd w:val="0"/>
        <w:snapToGrid w:val="0"/>
        <w:spacing w:line="600" w:lineRule="exact"/>
        <w:ind w:firstLine="640" w:firstLineChars="200"/>
        <w:rPr>
          <w:rFonts w:ascii="Times New Roman" w:hAnsi="Times New Roman" w:eastAsia="方正仿宋_GBK" w:cs="Times New Roman"/>
          <w:color w:val="auto"/>
          <w:sz w:val="32"/>
          <w:szCs w:val="32"/>
          <w:highlight w:val="none"/>
        </w:rPr>
      </w:pPr>
    </w:p>
    <w:p w14:paraId="5BB3D100">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20"/>
          <w:highlight w:val="none"/>
        </w:rPr>
      </w:pPr>
      <w:r>
        <w:rPr>
          <w:rFonts w:hint="eastAsia" w:ascii="Times New Roman" w:hAnsi="Times New Roman" w:eastAsia="方正仿宋_GBK" w:cs="Times New Roman"/>
          <w:color w:val="auto"/>
          <w:sz w:val="32"/>
          <w:szCs w:val="20"/>
          <w:highlight w:val="none"/>
        </w:rPr>
        <w:t>坚持和加强党的全面领导，聚焦规划目标、重点任务、重点项目实施，最大程度激发全</w:t>
      </w:r>
      <w:r>
        <w:rPr>
          <w:rFonts w:hint="eastAsia" w:ascii="Times New Roman" w:hAnsi="Times New Roman" w:eastAsia="方正仿宋_GBK" w:cs="Times New Roman"/>
          <w:bCs/>
          <w:snapToGrid w:val="0"/>
          <w:color w:val="auto"/>
          <w:kern w:val="0"/>
          <w:sz w:val="32"/>
          <w:szCs w:val="32"/>
          <w:highlight w:val="none"/>
          <w:lang w:bidi="ar"/>
        </w:rPr>
        <w:t>社会</w:t>
      </w:r>
      <w:r>
        <w:rPr>
          <w:rFonts w:hint="eastAsia" w:ascii="Times New Roman" w:hAnsi="Times New Roman" w:eastAsia="方正仿宋_GBK" w:cs="Times New Roman"/>
          <w:color w:val="auto"/>
          <w:sz w:val="32"/>
          <w:szCs w:val="20"/>
          <w:highlight w:val="none"/>
        </w:rPr>
        <w:t>力量，建立健全规划有效实施的保障机制，凝聚推动规划落地见效的强大合力。</w:t>
      </w:r>
    </w:p>
    <w:p w14:paraId="3E201097">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20"/>
          <w:highlight w:val="none"/>
        </w:rPr>
      </w:pPr>
    </w:p>
    <w:p w14:paraId="6AB4C1DB">
      <w:pPr>
        <w:numPr>
          <w:ilvl w:val="255"/>
          <w:numId w:val="0"/>
        </w:numPr>
        <w:overflowPunct w:val="0"/>
        <w:adjustRightInd w:val="0"/>
        <w:snapToGrid w:val="0"/>
        <w:spacing w:line="600" w:lineRule="exact"/>
        <w:jc w:val="center"/>
        <w:outlineLvl w:val="1"/>
        <w:rPr>
          <w:rFonts w:ascii="Times New Roman" w:hAnsi="Times New Roman" w:eastAsia="方正黑体_GBK"/>
          <w:bCs/>
          <w:color w:val="auto"/>
          <w:sz w:val="32"/>
          <w:highlight w:val="none"/>
        </w:rPr>
      </w:pPr>
      <w:bookmarkStart w:id="845" w:name="_Toc12118"/>
      <w:bookmarkStart w:id="846" w:name="_Toc24662"/>
      <w:bookmarkStart w:id="847" w:name="_Toc16856"/>
      <w:bookmarkStart w:id="848" w:name="_Toc16729"/>
      <w:bookmarkStart w:id="849" w:name="_Toc14085"/>
      <w:bookmarkStart w:id="850" w:name="_Toc11494"/>
      <w:bookmarkStart w:id="851" w:name="_Toc726503703"/>
      <w:bookmarkStart w:id="852" w:name="_Toc30487"/>
      <w:bookmarkStart w:id="853" w:name="_Toc16970"/>
      <w:bookmarkStart w:id="854" w:name="_Toc7397"/>
      <w:bookmarkStart w:id="855" w:name="_Toc200485375"/>
      <w:r>
        <w:rPr>
          <w:rFonts w:hint="eastAsia" w:ascii="Times New Roman" w:hAnsi="Times New Roman" w:eastAsia="方正黑体_GBK" w:cs="方正黑体_GBK"/>
          <w:color w:val="auto"/>
          <w:sz w:val="32"/>
          <w:szCs w:val="32"/>
          <w:highlight w:val="none"/>
        </w:rPr>
        <w:t>第一章 坚持党对经济社会发展的全面领导</w:t>
      </w:r>
      <w:bookmarkEnd w:id="845"/>
      <w:bookmarkEnd w:id="846"/>
      <w:bookmarkEnd w:id="847"/>
      <w:bookmarkEnd w:id="848"/>
      <w:bookmarkEnd w:id="849"/>
      <w:bookmarkEnd w:id="850"/>
      <w:bookmarkEnd w:id="851"/>
      <w:bookmarkEnd w:id="852"/>
      <w:bookmarkEnd w:id="853"/>
      <w:bookmarkEnd w:id="854"/>
      <w:bookmarkEnd w:id="855"/>
    </w:p>
    <w:p w14:paraId="65986B68">
      <w:pPr>
        <w:pStyle w:val="19"/>
        <w:overflowPunct w:val="0"/>
        <w:adjustRightInd w:val="0"/>
        <w:snapToGrid w:val="0"/>
        <w:spacing w:beforeAutospacing="0" w:afterAutospacing="0" w:line="600" w:lineRule="exact"/>
        <w:ind w:firstLine="640" w:firstLineChars="200"/>
        <w:jc w:val="both"/>
        <w:rPr>
          <w:rFonts w:ascii="Times New Roman" w:hAnsi="Times New Roman" w:eastAsia="方正仿宋_GBK" w:cs="方正仿宋_GBK"/>
          <w:color w:val="auto"/>
          <w:sz w:val="32"/>
          <w:szCs w:val="32"/>
          <w:highlight w:val="none"/>
        </w:rPr>
      </w:pPr>
      <w:bookmarkStart w:id="856" w:name="_Toc1610296139"/>
      <w:bookmarkStart w:id="857" w:name="_Toc6558"/>
      <w:bookmarkStart w:id="858" w:name="_Toc1629764424"/>
      <w:bookmarkStart w:id="859" w:name="_Toc1111757057"/>
      <w:bookmarkStart w:id="860" w:name="_Toc365354230"/>
      <w:bookmarkStart w:id="861" w:name="_Toc1442260421_WPSOffice_Level3"/>
      <w:r>
        <w:rPr>
          <w:rFonts w:hint="eastAsia" w:ascii="Times New Roman" w:hAnsi="Times New Roman" w:eastAsia="方正仿宋_GBK" w:cs="方正仿宋_GBK"/>
          <w:color w:val="auto"/>
          <w:sz w:val="32"/>
          <w:szCs w:val="32"/>
          <w:highlight w:val="none"/>
        </w:rPr>
        <w:t>贯彻党把方向、谋大局、定政策、促改革要求，将党的政治优势、组织优势和社会主义制度集中力量办大事的制度优势，转化为推进规划实施的强大动力和根本保障。</w:t>
      </w:r>
    </w:p>
    <w:p w14:paraId="0CCC5B54">
      <w:pPr>
        <w:adjustRightInd w:val="0"/>
        <w:snapToGrid w:val="0"/>
        <w:spacing w:line="600" w:lineRule="exact"/>
        <w:jc w:val="center"/>
        <w:outlineLvl w:val="2"/>
        <w:rPr>
          <w:rFonts w:ascii="Times New Roman" w:hAnsi="Times New Roman" w:eastAsia="方正仿宋_GBK" w:cs="方正仿宋_GBK"/>
          <w:color w:val="auto"/>
          <w:sz w:val="32"/>
          <w:szCs w:val="32"/>
          <w:highlight w:val="none"/>
        </w:rPr>
      </w:pPr>
      <w:bookmarkStart w:id="862" w:name="_Toc155855482"/>
      <w:bookmarkStart w:id="863" w:name="_Toc1903203126"/>
      <w:bookmarkStart w:id="864" w:name="_Toc23429"/>
      <w:bookmarkStart w:id="865" w:name="_Toc20327"/>
      <w:bookmarkStart w:id="866" w:name="_Toc17424"/>
      <w:r>
        <w:rPr>
          <w:rFonts w:hint="eastAsia" w:ascii="Times New Roman" w:hAnsi="Times New Roman" w:eastAsia="方正楷体_GBK" w:cs="方正楷体_GBK"/>
          <w:color w:val="auto"/>
          <w:sz w:val="32"/>
          <w:szCs w:val="32"/>
          <w:highlight w:val="none"/>
        </w:rPr>
        <w:t>第一节 强化党对规划实施的全过程领导</w:t>
      </w:r>
      <w:bookmarkEnd w:id="856"/>
      <w:bookmarkEnd w:id="857"/>
      <w:bookmarkEnd w:id="858"/>
      <w:bookmarkEnd w:id="859"/>
      <w:bookmarkEnd w:id="860"/>
      <w:bookmarkEnd w:id="861"/>
      <w:bookmarkEnd w:id="862"/>
      <w:bookmarkEnd w:id="863"/>
      <w:bookmarkEnd w:id="864"/>
      <w:bookmarkEnd w:id="865"/>
      <w:bookmarkEnd w:id="866"/>
    </w:p>
    <w:p w14:paraId="5F62B857">
      <w:pPr>
        <w:pStyle w:val="19"/>
        <w:overflowPunct w:val="0"/>
        <w:adjustRightInd w:val="0"/>
        <w:snapToGrid w:val="0"/>
        <w:spacing w:beforeAutospacing="0" w:afterAutospacing="0" w:line="600" w:lineRule="exact"/>
        <w:ind w:firstLine="640" w:firstLineChars="200"/>
        <w:jc w:val="both"/>
        <w:rPr>
          <w:rFonts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深入学习贯彻习近平新时代中国特色社会主义思想，增强“四个意识”、坚定“四个自信”、做到“两个维护”，健全习近平总书记重要指示批示和党中央决策部署闭环落实机制，加强规划实施的统筹协调和指导推动，形成分工明确、协同联动、广泛参与的规划实施工作格局，确保上下贯通、执行有力。健全党建统领“885”工作机制，全面推动各项重点任务闭环落实。</w:t>
      </w:r>
      <w:r>
        <w:rPr>
          <w:rFonts w:hint="eastAsia" w:ascii="Times New Roman" w:hAnsi="Times New Roman" w:eastAsia="方正仿宋_GBK" w:cs="方正仿宋_GBK"/>
          <w:color w:val="auto"/>
          <w:sz w:val="32"/>
          <w:szCs w:val="32"/>
          <w:highlight w:val="none"/>
          <w:lang w:val="en-US" w:eastAsia="zh-CN"/>
        </w:rPr>
        <w:t>将</w:t>
      </w:r>
      <w:r>
        <w:rPr>
          <w:rFonts w:hint="eastAsia" w:ascii="Times New Roman" w:hAnsi="Times New Roman" w:eastAsia="方正仿宋_GBK" w:cs="方正仿宋_GBK"/>
          <w:color w:val="auto"/>
          <w:sz w:val="32"/>
          <w:szCs w:val="32"/>
          <w:highlight w:val="none"/>
        </w:rPr>
        <w:t>规划目标任务落实情况</w:t>
      </w:r>
      <w:r>
        <w:rPr>
          <w:rFonts w:hint="eastAsia" w:ascii="Times New Roman" w:hAnsi="Times New Roman" w:eastAsia="方正仿宋_GBK" w:cs="方正仿宋_GBK"/>
          <w:color w:val="auto"/>
          <w:sz w:val="32"/>
          <w:szCs w:val="32"/>
          <w:highlight w:val="none"/>
          <w:lang w:val="en-US" w:eastAsia="zh-CN"/>
        </w:rPr>
        <w:t>纳入各部门</w:t>
      </w:r>
      <w:r>
        <w:rPr>
          <w:rFonts w:hint="eastAsia" w:ascii="Times New Roman" w:hAnsi="Times New Roman" w:eastAsia="方正仿宋_GBK" w:cs="方正仿宋_GBK"/>
          <w:color w:val="auto"/>
          <w:sz w:val="32"/>
          <w:szCs w:val="32"/>
          <w:highlight w:val="none"/>
        </w:rPr>
        <w:t>向党工委管委会报告</w:t>
      </w:r>
      <w:r>
        <w:rPr>
          <w:rFonts w:hint="eastAsia" w:ascii="Times New Roman" w:hAnsi="Times New Roman" w:eastAsia="方正仿宋_GBK" w:cs="方正仿宋_GBK"/>
          <w:color w:val="auto"/>
          <w:sz w:val="32"/>
          <w:szCs w:val="32"/>
          <w:highlight w:val="none"/>
          <w:lang w:val="en-US" w:eastAsia="zh-CN"/>
        </w:rPr>
        <w:t>的重要内容</w:t>
      </w:r>
      <w:r>
        <w:rPr>
          <w:rFonts w:hint="eastAsia" w:ascii="Times New Roman" w:hAnsi="Times New Roman" w:eastAsia="方正仿宋_GBK" w:cs="方正仿宋_GBK"/>
          <w:color w:val="auto"/>
          <w:sz w:val="32"/>
          <w:szCs w:val="32"/>
          <w:highlight w:val="none"/>
        </w:rPr>
        <w:t>。</w:t>
      </w:r>
    </w:p>
    <w:p w14:paraId="0CF07EFA">
      <w:pPr>
        <w:overflowPunct w:val="0"/>
        <w:adjustRightInd w:val="0"/>
        <w:snapToGrid w:val="0"/>
        <w:spacing w:line="600" w:lineRule="exact"/>
        <w:jc w:val="center"/>
        <w:outlineLvl w:val="2"/>
        <w:rPr>
          <w:rFonts w:ascii="Times New Roman" w:hAnsi="Times New Roman" w:eastAsia="方正楷体_GBK" w:cs="方正楷体_GBK"/>
          <w:color w:val="auto"/>
          <w:sz w:val="32"/>
          <w:szCs w:val="32"/>
          <w:highlight w:val="none"/>
        </w:rPr>
      </w:pPr>
      <w:bookmarkStart w:id="867" w:name="TitleIndex248"/>
      <w:bookmarkEnd w:id="867"/>
      <w:bookmarkStart w:id="868" w:name="_Toc1253395148"/>
      <w:bookmarkStart w:id="869" w:name="_Toc31850"/>
      <w:bookmarkStart w:id="870" w:name="_Toc366016617"/>
      <w:bookmarkStart w:id="871" w:name="_Toc13410"/>
      <w:bookmarkStart w:id="872" w:name="_Toc12107"/>
      <w:bookmarkStart w:id="873" w:name="_Toc1599830873_WPSOffice_Level3"/>
      <w:bookmarkStart w:id="874" w:name="_Toc1680520281"/>
      <w:bookmarkStart w:id="875" w:name="_Toc1062994586"/>
      <w:bookmarkStart w:id="876" w:name="_Toc2510"/>
      <w:bookmarkStart w:id="877" w:name="_Toc239352133"/>
      <w:bookmarkStart w:id="878" w:name="_Toc366964245"/>
      <w:r>
        <w:rPr>
          <w:rFonts w:hint="eastAsia" w:ascii="Times New Roman" w:hAnsi="Times New Roman" w:eastAsia="方正楷体_GBK" w:cs="方正楷体_GBK"/>
          <w:color w:val="auto"/>
          <w:sz w:val="32"/>
          <w:szCs w:val="32"/>
          <w:highlight w:val="none"/>
        </w:rPr>
        <w:t>第二节 全面提高干部现代化建设能力</w:t>
      </w:r>
      <w:bookmarkEnd w:id="868"/>
      <w:bookmarkEnd w:id="869"/>
      <w:bookmarkEnd w:id="870"/>
      <w:bookmarkEnd w:id="871"/>
      <w:bookmarkEnd w:id="872"/>
      <w:bookmarkEnd w:id="873"/>
      <w:bookmarkEnd w:id="874"/>
      <w:bookmarkEnd w:id="875"/>
      <w:bookmarkEnd w:id="876"/>
      <w:bookmarkEnd w:id="877"/>
      <w:bookmarkEnd w:id="878"/>
    </w:p>
    <w:p w14:paraId="237F63D2">
      <w:pPr>
        <w:pStyle w:val="19"/>
        <w:overflowPunct w:val="0"/>
        <w:adjustRightInd w:val="0"/>
        <w:snapToGrid w:val="0"/>
        <w:spacing w:beforeAutospacing="0" w:afterAutospacing="0" w:line="600" w:lineRule="exact"/>
        <w:ind w:firstLine="640" w:firstLineChars="200"/>
        <w:jc w:val="both"/>
        <w:rPr>
          <w:rFonts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坚持正确用人导向，把政治标准放在首位，建强领导班子和干部队伍。全面贯彻落实新时代党的组织路线，</w:t>
      </w:r>
      <w:r>
        <w:rPr>
          <w:rFonts w:hint="eastAsia" w:ascii="Times New Roman" w:hAnsi="Times New Roman" w:eastAsia="方正仿宋_GBK" w:cs="Times New Roman"/>
          <w:spacing w:val="0"/>
          <w:sz w:val="32"/>
          <w:szCs w:val="32"/>
          <w:highlight w:val="none"/>
          <w:u w:val="none" w:color="auto"/>
          <w:lang w:val="en-US" w:eastAsia="zh-CN"/>
        </w:rPr>
        <w:t>扎实开展树立和践行正确政绩观学习教育，</w:t>
      </w:r>
      <w:r>
        <w:rPr>
          <w:rFonts w:hint="eastAsia" w:ascii="Times New Roman" w:hAnsi="Times New Roman" w:eastAsia="方正仿宋_GBK" w:cs="方正仿宋_GBK"/>
          <w:color w:val="auto"/>
          <w:sz w:val="32"/>
          <w:szCs w:val="32"/>
          <w:highlight w:val="none"/>
        </w:rPr>
        <w:t>坚持为人民出政绩、以实干出政绩，自觉按规律办事，以正确政绩观推动高质量发展，以实绩实效回应人民群众新要求新期待。完善干部差异化考核评价机制，提高考核的针对性和科学性，调整不胜任现职干部，推进领导干部能上能下常态化。深化干部现代化建设能力提升计划。坚持严管厚爱结合、激励约束并重，探索尽职免责管理模式，鼓励干部大胆创新、奋发作为。</w:t>
      </w:r>
    </w:p>
    <w:p w14:paraId="7B64F2D1">
      <w:pPr>
        <w:overflowPunct w:val="0"/>
        <w:adjustRightInd w:val="0"/>
        <w:snapToGrid w:val="0"/>
        <w:spacing w:line="600" w:lineRule="exact"/>
        <w:jc w:val="center"/>
        <w:outlineLvl w:val="2"/>
        <w:rPr>
          <w:color w:val="auto"/>
          <w:highlight w:val="none"/>
        </w:rPr>
      </w:pPr>
      <w:bookmarkStart w:id="879" w:name="TitleIndex249"/>
      <w:bookmarkEnd w:id="879"/>
      <w:bookmarkStart w:id="880" w:name="_Toc1248116911"/>
      <w:bookmarkStart w:id="881" w:name="_Toc8710"/>
      <w:bookmarkStart w:id="882" w:name="_Toc2021726980"/>
      <w:bookmarkStart w:id="883" w:name="_Toc14363"/>
      <w:bookmarkStart w:id="884" w:name="_Toc1950711774"/>
      <w:bookmarkStart w:id="885" w:name="_Toc2515"/>
      <w:bookmarkStart w:id="886" w:name="_Toc780544460_WPSOffice_Level3"/>
      <w:bookmarkStart w:id="887" w:name="_Toc2028801057"/>
      <w:bookmarkStart w:id="888" w:name="_Toc4962"/>
      <w:bookmarkStart w:id="889" w:name="_Toc799437423"/>
      <w:bookmarkStart w:id="890" w:name="_Toc1993110092"/>
      <w:r>
        <w:rPr>
          <w:rFonts w:hint="eastAsia" w:ascii="Times New Roman" w:hAnsi="Times New Roman" w:eastAsia="方正楷体_GBK" w:cs="方正楷体_GBK"/>
          <w:color w:val="auto"/>
          <w:sz w:val="32"/>
          <w:szCs w:val="32"/>
          <w:highlight w:val="none"/>
        </w:rPr>
        <w:t>第三节 完善监督体系</w:t>
      </w:r>
      <w:bookmarkEnd w:id="880"/>
      <w:bookmarkEnd w:id="881"/>
      <w:bookmarkEnd w:id="882"/>
      <w:bookmarkEnd w:id="883"/>
      <w:bookmarkEnd w:id="884"/>
      <w:bookmarkEnd w:id="885"/>
      <w:bookmarkEnd w:id="886"/>
      <w:bookmarkEnd w:id="887"/>
      <w:bookmarkEnd w:id="888"/>
      <w:bookmarkEnd w:id="889"/>
      <w:bookmarkEnd w:id="890"/>
    </w:p>
    <w:p w14:paraId="408DA865">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20"/>
          <w:highlight w:val="none"/>
        </w:rPr>
      </w:pPr>
      <w:r>
        <w:rPr>
          <w:rFonts w:hint="eastAsia" w:ascii="Times New Roman" w:hAnsi="Times New Roman" w:eastAsia="方正仿宋_GBK" w:cs="方正仿宋_GBK"/>
          <w:color w:val="auto"/>
          <w:sz w:val="32"/>
          <w:szCs w:val="32"/>
          <w:highlight w:val="none"/>
        </w:rPr>
        <w:t>健全党统一领导、全面覆盖、权威高效的监督体系，持续完善深入肃清流毒影响机制，营造风清气正的政治生态。强化全面从严治党主体责任和监督责任，推进政治监督具体化、精准化、常态化，发挥政治巡察利剑作用。锲而不舍落实中央八项规定精神，狠刹各种不正之风，推进作风建设常态化长效化。保持反腐败永远在路上的清醒坚定，一体推进不敢腐、不能腐、不想腐，着力铲除腐败滋生的土壤和条件。严查权力集中、资金密集、资源富集领域腐败，有效防治新型腐败和隐性腐败，持续深化整治群众身边不正之风和腐败问题，全域深化清廉重庆建设。加强对“一把手”等“关键少数”和年轻干部等重点群体的监督。以党内监督为主导，推动各类监督贯通协调，深化纪检监察监督与审计、财会、统计等监督协作配合机制。深化纪检监察体制改革，加强纪检监察工作规范化、法治化、正规化建设。</w:t>
      </w:r>
    </w:p>
    <w:p w14:paraId="44557664">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20"/>
          <w:highlight w:val="none"/>
        </w:rPr>
      </w:pPr>
    </w:p>
    <w:p w14:paraId="73F2804D">
      <w:pPr>
        <w:numPr>
          <w:ilvl w:val="255"/>
          <w:numId w:val="0"/>
        </w:numPr>
        <w:overflowPunct w:val="0"/>
        <w:adjustRightInd w:val="0"/>
        <w:snapToGrid w:val="0"/>
        <w:spacing w:line="600" w:lineRule="exact"/>
        <w:jc w:val="center"/>
        <w:outlineLvl w:val="1"/>
        <w:rPr>
          <w:rFonts w:ascii="Times New Roman" w:hAnsi="Times New Roman" w:eastAsia="方正黑体_GBK" w:cs="方正黑体_GBK"/>
          <w:color w:val="auto"/>
          <w:sz w:val="32"/>
          <w:szCs w:val="32"/>
          <w:highlight w:val="none"/>
        </w:rPr>
      </w:pPr>
      <w:bookmarkStart w:id="891" w:name="_Toc15972"/>
      <w:bookmarkStart w:id="892" w:name="_Toc29111"/>
      <w:bookmarkStart w:id="893" w:name="_Toc13753"/>
      <w:bookmarkStart w:id="894" w:name="_Toc1487072729"/>
      <w:bookmarkStart w:id="895" w:name="_Toc32065"/>
      <w:bookmarkStart w:id="896" w:name="_Toc8189"/>
      <w:bookmarkStart w:id="897" w:name="_Toc25203"/>
      <w:bookmarkStart w:id="898" w:name="_Toc480659281"/>
      <w:bookmarkStart w:id="899" w:name="_Toc31057"/>
      <w:bookmarkStart w:id="900" w:name="_Toc9546"/>
      <w:bookmarkStart w:id="901" w:name="_Toc3950"/>
      <w:r>
        <w:rPr>
          <w:rFonts w:hint="eastAsia" w:ascii="Times New Roman" w:hAnsi="Times New Roman" w:eastAsia="方正黑体_GBK" w:cs="方正黑体_GBK"/>
          <w:color w:val="auto"/>
          <w:sz w:val="32"/>
          <w:szCs w:val="32"/>
          <w:highlight w:val="none"/>
        </w:rPr>
        <w:t>第二章 广泛调动社会力量</w:t>
      </w:r>
      <w:bookmarkEnd w:id="891"/>
      <w:bookmarkEnd w:id="892"/>
      <w:bookmarkEnd w:id="893"/>
      <w:bookmarkEnd w:id="894"/>
      <w:bookmarkEnd w:id="895"/>
      <w:bookmarkEnd w:id="896"/>
      <w:bookmarkEnd w:id="897"/>
      <w:bookmarkEnd w:id="898"/>
      <w:bookmarkEnd w:id="899"/>
      <w:bookmarkEnd w:id="900"/>
      <w:bookmarkEnd w:id="901"/>
    </w:p>
    <w:p w14:paraId="71287B07">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始终坚持党的领导、人民当家作主、依法治国三者有机统一，笃定不移走好中国特色社会主义政治发展道路。持续巩固和壮大最广泛的爱国统一战线，充分调动民主党派、工商联及无党派人士的积极性与主动性，着力促进政党、民族、宗教、阶层、海内外同胞五大关系和谐共处。进一步强化工会、共青团、妇联、科协等群团组织的桥梁纽带功能，凝聚各方合力，共同为重庆高新区改革攻坚、发展提质、大局稳定注入强劲动能。积极引导广大企业家厚植爱国情怀，带领企业朝着质量更优、效益更高、竞争力更强、影响力更大的方向迈进，全力争当新时代构建新发展格局、建设现代化经济体系、推动高质量发展的中坚力量。突出青年在创新创业中的主力军地位，健全青年创新创业全链条服务体系，有效激发青年群体的创新活力与创业热情，加快培育储备一批高素质青年人才。</w:t>
      </w:r>
    </w:p>
    <w:p w14:paraId="5C3CD8E5">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20"/>
          <w:highlight w:val="none"/>
        </w:rPr>
      </w:pPr>
    </w:p>
    <w:p w14:paraId="2E943BC8">
      <w:pPr>
        <w:numPr>
          <w:ilvl w:val="255"/>
          <w:numId w:val="0"/>
        </w:numPr>
        <w:overflowPunct w:val="0"/>
        <w:adjustRightInd w:val="0"/>
        <w:snapToGrid w:val="0"/>
        <w:spacing w:line="600" w:lineRule="exact"/>
        <w:jc w:val="center"/>
        <w:outlineLvl w:val="1"/>
        <w:rPr>
          <w:rFonts w:ascii="Times New Roman" w:hAnsi="Times New Roman" w:eastAsia="方正黑体_GBK" w:cs="方正黑体_GBK"/>
          <w:color w:val="auto"/>
          <w:sz w:val="32"/>
          <w:szCs w:val="32"/>
          <w:highlight w:val="none"/>
        </w:rPr>
      </w:pPr>
      <w:bookmarkStart w:id="902" w:name="_Toc19080"/>
      <w:bookmarkStart w:id="903" w:name="_Toc1754539400"/>
      <w:bookmarkStart w:id="904" w:name="_Toc17602"/>
      <w:bookmarkStart w:id="905" w:name="_Toc25849"/>
      <w:bookmarkStart w:id="906" w:name="_Toc12606"/>
      <w:bookmarkStart w:id="907" w:name="_Toc31857"/>
      <w:bookmarkStart w:id="908" w:name="_Toc816672517"/>
      <w:bookmarkStart w:id="909" w:name="_Toc2171"/>
      <w:bookmarkStart w:id="910" w:name="_Toc19353"/>
      <w:bookmarkStart w:id="911" w:name="_Toc16793"/>
      <w:bookmarkStart w:id="912" w:name="_Toc19807"/>
      <w:r>
        <w:rPr>
          <w:rFonts w:hint="eastAsia" w:ascii="Times New Roman" w:hAnsi="Times New Roman" w:eastAsia="方正黑体_GBK" w:cs="方正黑体_GBK"/>
          <w:color w:val="auto"/>
          <w:sz w:val="32"/>
          <w:szCs w:val="32"/>
          <w:highlight w:val="none"/>
        </w:rPr>
        <w:t>第三章 加强规划组织实施</w:t>
      </w:r>
      <w:bookmarkEnd w:id="902"/>
      <w:bookmarkEnd w:id="903"/>
      <w:bookmarkEnd w:id="904"/>
      <w:bookmarkEnd w:id="905"/>
      <w:bookmarkEnd w:id="906"/>
      <w:bookmarkEnd w:id="907"/>
      <w:bookmarkEnd w:id="908"/>
    </w:p>
    <w:p w14:paraId="736DDB04">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20"/>
          <w:highlight w:val="none"/>
        </w:rPr>
      </w:pPr>
      <w:r>
        <w:rPr>
          <w:rFonts w:hint="eastAsia" w:ascii="Times New Roman" w:hAnsi="Times New Roman" w:eastAsia="方正仿宋_GBK" w:cs="Times New Roman"/>
          <w:color w:val="auto"/>
          <w:sz w:val="32"/>
          <w:szCs w:val="20"/>
          <w:highlight w:val="none"/>
        </w:rPr>
        <w:t>以推动规划落地见效为导向，加强规划实施全过程管理监测，加强规划全方位衔接，增强规划管理、项目支撑、监测评价等能力建设，实现规划有支撑、管理有闭环，加速目标任务高效达成。</w:t>
      </w:r>
    </w:p>
    <w:p w14:paraId="7991DE47">
      <w:pPr>
        <w:overflowPunct w:val="0"/>
        <w:adjustRightInd w:val="0"/>
        <w:snapToGrid w:val="0"/>
        <w:spacing w:line="600" w:lineRule="exact"/>
        <w:jc w:val="center"/>
        <w:outlineLvl w:val="2"/>
        <w:rPr>
          <w:color w:val="auto"/>
          <w:highlight w:val="none"/>
        </w:rPr>
      </w:pPr>
      <w:bookmarkStart w:id="913" w:name="_Toc1445738843"/>
      <w:bookmarkStart w:id="914" w:name="_Toc31944"/>
      <w:bookmarkStart w:id="915" w:name="_Toc13498"/>
      <w:bookmarkStart w:id="916" w:name="_Toc884"/>
      <w:bookmarkStart w:id="917" w:name="_Toc1247005242"/>
      <w:bookmarkStart w:id="918" w:name="_Toc13535"/>
      <w:r>
        <w:rPr>
          <w:rFonts w:hint="eastAsia" w:ascii="Times New Roman" w:hAnsi="Times New Roman" w:eastAsia="方正楷体_GBK" w:cs="方正楷体_GBK"/>
          <w:color w:val="auto"/>
          <w:sz w:val="32"/>
          <w:szCs w:val="32"/>
          <w:highlight w:val="none"/>
        </w:rPr>
        <w:t>第一节 完善规划管理制度</w:t>
      </w:r>
      <w:bookmarkEnd w:id="913"/>
      <w:bookmarkEnd w:id="914"/>
      <w:bookmarkEnd w:id="915"/>
      <w:bookmarkEnd w:id="916"/>
      <w:bookmarkEnd w:id="917"/>
      <w:bookmarkEnd w:id="918"/>
    </w:p>
    <w:p w14:paraId="503F11BD">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20"/>
          <w:highlight w:val="none"/>
        </w:rPr>
      </w:pPr>
      <w:r>
        <w:rPr>
          <w:rFonts w:hint="eastAsia" w:ascii="Times New Roman" w:hAnsi="Times New Roman" w:eastAsia="方正仿宋_GBK" w:cs="Times New Roman"/>
          <w:color w:val="auto"/>
          <w:sz w:val="32"/>
          <w:szCs w:val="20"/>
          <w:highlight w:val="none"/>
        </w:rPr>
        <w:t>践行“多规合一”理念，构建以重庆高新区发展规划纲要为统领，以国土空间规划为基础，以专项规划和片区规划为支撑，定位准确、边界清晰、功能互补、统一衔接的规划体系。坚持把</w:t>
      </w:r>
      <w:r>
        <w:rPr>
          <w:rFonts w:ascii="Times New Roman" w:hAnsi="Times New Roman" w:eastAsia="方正仿宋_GBK" w:cs="Times New Roman"/>
          <w:color w:val="auto"/>
          <w:sz w:val="32"/>
          <w:szCs w:val="20"/>
          <w:highlight w:val="none"/>
        </w:rPr>
        <w:t>本规划作为制定</w:t>
      </w:r>
      <w:r>
        <w:rPr>
          <w:rFonts w:hint="eastAsia" w:ascii="Times New Roman" w:hAnsi="Times New Roman" w:eastAsia="方正仿宋_GBK" w:cs="Times New Roman"/>
          <w:color w:val="auto"/>
          <w:sz w:val="32"/>
          <w:szCs w:val="20"/>
          <w:highlight w:val="none"/>
        </w:rPr>
        <w:t>国</w:t>
      </w:r>
      <w:r>
        <w:rPr>
          <w:rFonts w:hint="eastAsia" w:ascii="Times New Roman" w:hAnsi="Times New Roman" w:eastAsia="方正仿宋_GBK" w:cs="Times New Roman"/>
          <w:color w:val="auto"/>
          <w:sz w:val="32"/>
          <w:szCs w:val="32"/>
          <w:highlight w:val="none"/>
        </w:rPr>
        <w:t>土</w:t>
      </w:r>
      <w:r>
        <w:rPr>
          <w:rFonts w:ascii="Times New Roman" w:hAnsi="Times New Roman" w:eastAsia="方正仿宋_GBK" w:cs="Times New Roman"/>
          <w:color w:val="auto"/>
          <w:sz w:val="32"/>
          <w:szCs w:val="32"/>
          <w:highlight w:val="none"/>
        </w:rPr>
        <w:t>空间</w:t>
      </w:r>
      <w:r>
        <w:rPr>
          <w:rFonts w:hint="eastAsia" w:ascii="Times New Roman" w:hAnsi="Times New Roman" w:eastAsia="方正仿宋_GBK" w:cs="Times New Roman"/>
          <w:bCs/>
          <w:snapToGrid w:val="0"/>
          <w:color w:val="auto"/>
          <w:kern w:val="0"/>
          <w:sz w:val="32"/>
          <w:szCs w:val="32"/>
          <w:highlight w:val="none"/>
          <w:lang w:bidi="ar"/>
        </w:rPr>
        <w:t>规划</w:t>
      </w:r>
      <w:r>
        <w:rPr>
          <w:rFonts w:ascii="Times New Roman" w:hAnsi="Times New Roman" w:eastAsia="方正仿宋_GBK" w:cs="Times New Roman"/>
          <w:color w:val="auto"/>
          <w:sz w:val="32"/>
          <w:szCs w:val="32"/>
          <w:highlight w:val="none"/>
        </w:rPr>
        <w:t>、专项规划、各</w:t>
      </w:r>
      <w:r>
        <w:rPr>
          <w:rFonts w:hint="eastAsia" w:ascii="Times New Roman" w:hAnsi="Times New Roman" w:eastAsia="方正仿宋_GBK" w:cs="Times New Roman"/>
          <w:color w:val="auto"/>
          <w:sz w:val="32"/>
          <w:szCs w:val="32"/>
          <w:highlight w:val="none"/>
        </w:rPr>
        <w:t>片</w:t>
      </w:r>
      <w:r>
        <w:rPr>
          <w:rFonts w:ascii="Times New Roman" w:hAnsi="Times New Roman" w:eastAsia="方正仿宋_GBK" w:cs="Times New Roman"/>
          <w:color w:val="auto"/>
          <w:sz w:val="32"/>
          <w:szCs w:val="20"/>
          <w:highlight w:val="none"/>
        </w:rPr>
        <w:t>区发展规划及相关政策、安排重大项目的重要依据</w:t>
      </w:r>
      <w:r>
        <w:rPr>
          <w:rFonts w:hint="eastAsia" w:ascii="Times New Roman" w:hAnsi="Times New Roman" w:eastAsia="方正仿宋_GBK" w:cs="Times New Roman"/>
          <w:color w:val="auto"/>
          <w:sz w:val="32"/>
          <w:szCs w:val="20"/>
          <w:highlight w:val="none"/>
        </w:rPr>
        <w:t>。强化规划对公共预算安排、金融资本运用、国土空间开发、资源配置等领域的统筹引领。</w:t>
      </w:r>
      <w:r>
        <w:rPr>
          <w:rFonts w:ascii="Times New Roman" w:hAnsi="Times New Roman" w:eastAsia="方正仿宋_GBK" w:cs="Times New Roman"/>
          <w:color w:val="auto"/>
          <w:sz w:val="32"/>
          <w:szCs w:val="20"/>
          <w:highlight w:val="none"/>
        </w:rPr>
        <w:t>强化年度工作计划与规划衔接落实，将</w:t>
      </w:r>
      <w:r>
        <w:rPr>
          <w:rFonts w:hint="eastAsia" w:ascii="Times New Roman" w:hAnsi="Times New Roman" w:eastAsia="方正仿宋_GBK" w:cs="Times New Roman"/>
          <w:color w:val="auto"/>
          <w:sz w:val="32"/>
          <w:szCs w:val="20"/>
          <w:highlight w:val="none"/>
        </w:rPr>
        <w:t>本</w:t>
      </w:r>
      <w:r>
        <w:rPr>
          <w:rFonts w:ascii="Times New Roman" w:hAnsi="Times New Roman" w:eastAsia="方正仿宋_GBK" w:cs="Times New Roman"/>
          <w:color w:val="auto"/>
          <w:sz w:val="32"/>
          <w:szCs w:val="20"/>
          <w:highlight w:val="none"/>
        </w:rPr>
        <w:t>规划主要指标</w:t>
      </w:r>
      <w:r>
        <w:rPr>
          <w:rFonts w:hint="eastAsia" w:ascii="Times New Roman" w:hAnsi="Times New Roman" w:eastAsia="方正仿宋_GBK" w:cs="Times New Roman"/>
          <w:color w:val="auto"/>
          <w:sz w:val="32"/>
          <w:szCs w:val="20"/>
          <w:highlight w:val="none"/>
        </w:rPr>
        <w:t>和重大政策、重大改革举措、重大工程项目</w:t>
      </w:r>
      <w:r>
        <w:rPr>
          <w:rFonts w:ascii="Times New Roman" w:hAnsi="Times New Roman" w:eastAsia="方正仿宋_GBK" w:cs="Times New Roman"/>
          <w:color w:val="auto"/>
          <w:sz w:val="32"/>
          <w:szCs w:val="20"/>
          <w:highlight w:val="none"/>
        </w:rPr>
        <w:t>纳入年度</w:t>
      </w:r>
      <w:r>
        <w:rPr>
          <w:rFonts w:hint="eastAsia" w:ascii="Times New Roman" w:hAnsi="Times New Roman" w:eastAsia="方正仿宋_GBK" w:cs="Times New Roman"/>
          <w:color w:val="auto"/>
          <w:sz w:val="32"/>
          <w:szCs w:val="20"/>
          <w:highlight w:val="none"/>
        </w:rPr>
        <w:t>计划实施。</w:t>
      </w:r>
    </w:p>
    <w:p w14:paraId="5D10A1A1">
      <w:pPr>
        <w:overflowPunct w:val="0"/>
        <w:adjustRightInd w:val="0"/>
        <w:snapToGrid w:val="0"/>
        <w:spacing w:line="600" w:lineRule="exact"/>
        <w:jc w:val="center"/>
        <w:outlineLvl w:val="2"/>
        <w:rPr>
          <w:color w:val="auto"/>
          <w:highlight w:val="none"/>
        </w:rPr>
      </w:pPr>
      <w:bookmarkStart w:id="919" w:name="_Toc3757"/>
      <w:bookmarkStart w:id="920" w:name="_Toc20699"/>
      <w:bookmarkStart w:id="921" w:name="_Toc22529"/>
      <w:bookmarkStart w:id="922" w:name="_Toc1902752143"/>
      <w:bookmarkStart w:id="923" w:name="_Toc9503"/>
      <w:bookmarkStart w:id="924" w:name="_Toc1124191221"/>
      <w:r>
        <w:rPr>
          <w:rFonts w:hint="eastAsia" w:ascii="Times New Roman" w:hAnsi="Times New Roman" w:eastAsia="方正楷体_GBK" w:cs="方正楷体_GBK"/>
          <w:color w:val="auto"/>
          <w:sz w:val="32"/>
          <w:szCs w:val="32"/>
          <w:highlight w:val="none"/>
        </w:rPr>
        <w:t>第二节 强化“四个重大”支撑</w:t>
      </w:r>
      <w:bookmarkEnd w:id="919"/>
      <w:bookmarkEnd w:id="920"/>
      <w:bookmarkEnd w:id="921"/>
      <w:bookmarkEnd w:id="922"/>
      <w:bookmarkEnd w:id="923"/>
      <w:bookmarkEnd w:id="924"/>
    </w:p>
    <w:p w14:paraId="72E9226A">
      <w:pPr>
        <w:adjustRightInd w:val="0"/>
        <w:snapToGrid w:val="0"/>
        <w:spacing w:line="600" w:lineRule="exact"/>
        <w:ind w:firstLine="640" w:firstLineChars="200"/>
        <w:textAlignment w:val="baseline"/>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坚持以规划</w:t>
      </w:r>
      <w:r>
        <w:rPr>
          <w:rFonts w:hint="eastAsia" w:ascii="Times New Roman" w:hAnsi="Times New Roman" w:eastAsia="方正仿宋_GBK" w:cs="Times New Roman"/>
          <w:color w:val="auto"/>
          <w:sz w:val="32"/>
          <w:szCs w:val="32"/>
          <w:highlight w:val="none"/>
        </w:rPr>
        <w:t>谋定</w:t>
      </w:r>
      <w:r>
        <w:rPr>
          <w:rFonts w:ascii="Times New Roman" w:hAnsi="Times New Roman" w:eastAsia="方正仿宋_GBK" w:cs="Times New Roman"/>
          <w:color w:val="auto"/>
          <w:sz w:val="32"/>
          <w:szCs w:val="32"/>
          <w:highlight w:val="none"/>
        </w:rPr>
        <w:t>项目、以项目</w:t>
      </w:r>
      <w:r>
        <w:rPr>
          <w:rFonts w:hint="eastAsia" w:ascii="Times New Roman" w:hAnsi="Times New Roman" w:eastAsia="方正仿宋_GBK" w:cs="Times New Roman"/>
          <w:color w:val="auto"/>
          <w:sz w:val="32"/>
          <w:szCs w:val="32"/>
          <w:highlight w:val="none"/>
        </w:rPr>
        <w:t>支撑</w:t>
      </w:r>
      <w:r>
        <w:rPr>
          <w:rFonts w:ascii="Times New Roman" w:hAnsi="Times New Roman" w:eastAsia="方正仿宋_GBK" w:cs="Times New Roman"/>
          <w:color w:val="auto"/>
          <w:sz w:val="32"/>
          <w:szCs w:val="32"/>
          <w:highlight w:val="none"/>
        </w:rPr>
        <w:t>规划，统筹财政、土地、人才、金融、环保、用能等关键要素保障，推动规划明确的重大项目、重大政策、重大改革、重大平台落地见效。健全重大项目储备库管理制度与闭环推进机制，</w:t>
      </w:r>
      <w:r>
        <w:rPr>
          <w:rFonts w:hint="eastAsia" w:ascii="Times New Roman" w:hAnsi="Times New Roman" w:eastAsia="方正仿宋_GBK" w:cs="Times New Roman"/>
          <w:color w:val="auto"/>
          <w:sz w:val="32"/>
          <w:szCs w:val="32"/>
          <w:highlight w:val="none"/>
          <w:lang w:val="en-US" w:eastAsia="zh-CN"/>
        </w:rPr>
        <w:t>依法</w:t>
      </w:r>
      <w:r>
        <w:rPr>
          <w:rFonts w:ascii="Times New Roman" w:hAnsi="Times New Roman" w:eastAsia="方正仿宋_GBK" w:cs="Times New Roman"/>
          <w:color w:val="auto"/>
          <w:sz w:val="32"/>
          <w:szCs w:val="32"/>
          <w:highlight w:val="none"/>
        </w:rPr>
        <w:t>保障重大工程项目的规划选址、土地供应及融资需求。一体落实中央及市委、市政府部署的重大改革任务</w:t>
      </w:r>
      <w:r>
        <w:rPr>
          <w:rFonts w:hint="eastAsia" w:ascii="Times New Roman" w:hAnsi="Times New Roman" w:eastAsia="方正仿宋_GBK" w:cs="Times New Roman"/>
          <w:color w:val="auto"/>
          <w:sz w:val="32"/>
          <w:szCs w:val="32"/>
          <w:highlight w:val="none"/>
        </w:rPr>
        <w:t>，加大</w:t>
      </w:r>
      <w:r>
        <w:rPr>
          <w:rFonts w:ascii="Times New Roman" w:hAnsi="Times New Roman" w:eastAsia="方正仿宋_GBK" w:cs="Times New Roman"/>
          <w:color w:val="auto"/>
          <w:sz w:val="32"/>
          <w:szCs w:val="32"/>
          <w:highlight w:val="none"/>
        </w:rPr>
        <w:t>探索创新，培育更多原创性、差异化改革实践，形成</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一地创新、全域推广</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的示范样板。聚焦发展所需、企业所盼、群众所急，持续丰富政策工具箱，强化政策工具的系统集成与协同发力，常态化开展敞口式政策预研储备，打好精准有效的政策组合拳。集中优势资源建设创新、产业、开放、消费等重大平台，打造高质量发展的标志性成果。</w:t>
      </w:r>
    </w:p>
    <w:p w14:paraId="7F5761AA">
      <w:pPr>
        <w:overflowPunct w:val="0"/>
        <w:adjustRightInd w:val="0"/>
        <w:snapToGrid w:val="0"/>
        <w:spacing w:line="600" w:lineRule="exact"/>
        <w:jc w:val="center"/>
        <w:outlineLvl w:val="2"/>
        <w:rPr>
          <w:color w:val="auto"/>
          <w:highlight w:val="none"/>
        </w:rPr>
      </w:pPr>
      <w:bookmarkStart w:id="925" w:name="_Toc19074"/>
      <w:bookmarkStart w:id="926" w:name="_Toc12445"/>
      <w:bookmarkStart w:id="927" w:name="_Toc1376279924"/>
      <w:bookmarkStart w:id="928" w:name="_Toc24854"/>
      <w:bookmarkStart w:id="929" w:name="_Toc20273"/>
      <w:bookmarkStart w:id="930" w:name="_Toc720725041"/>
      <w:r>
        <w:rPr>
          <w:rFonts w:hint="eastAsia" w:ascii="Times New Roman" w:hAnsi="Times New Roman" w:eastAsia="方正楷体_GBK" w:cs="方正楷体_GBK"/>
          <w:color w:val="auto"/>
          <w:sz w:val="32"/>
          <w:szCs w:val="32"/>
          <w:highlight w:val="none"/>
        </w:rPr>
        <w:t>第三节 加强规划实施监测评估</w:t>
      </w:r>
      <w:bookmarkEnd w:id="909"/>
      <w:bookmarkEnd w:id="910"/>
      <w:bookmarkEnd w:id="911"/>
      <w:bookmarkEnd w:id="912"/>
      <w:bookmarkEnd w:id="925"/>
      <w:bookmarkEnd w:id="926"/>
      <w:bookmarkEnd w:id="927"/>
      <w:bookmarkEnd w:id="928"/>
      <w:bookmarkEnd w:id="929"/>
      <w:bookmarkEnd w:id="930"/>
    </w:p>
    <w:p w14:paraId="418D5417">
      <w:pPr>
        <w:adjustRightInd w:val="0"/>
        <w:snapToGrid w:val="0"/>
        <w:spacing w:line="600" w:lineRule="exact"/>
        <w:ind w:firstLine="640" w:firstLineChars="200"/>
        <w:textAlignment w:val="baseline"/>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rPr>
        <w:t>建立健全规划实施监测评估机制，加强规划内容对工作开展的指导作用，推动规划任务拆解落地，明确规划任务分工，按时序、分重点开展规划目标、任务、“四个重大”拆解，确保规划有效落地实施。加强规划实施过程监测，完善规划重大议题调度机制，对年度拆解目标、任务完成情况实施“回头看”行动，动态掌握规划实施进度及效果。持续优化评估考核机制，将规划目标、任务等纳入年度绩效考核体系</w:t>
      </w:r>
      <w:r>
        <w:rPr>
          <w:rFonts w:hint="eastAsia" w:ascii="Times New Roman" w:hAnsi="Times New Roman" w:eastAsia="方正仿宋_GBK" w:cs="Times New Roman"/>
          <w:color w:val="auto"/>
          <w:sz w:val="32"/>
          <w:szCs w:val="32"/>
          <w:highlight w:val="none"/>
          <w:lang w:eastAsia="zh-CN"/>
        </w:rPr>
        <w:t>。</w:t>
      </w:r>
    </w:p>
    <w:p w14:paraId="276A251D">
      <w:pPr>
        <w:rPr>
          <w:rFonts w:hint="default" w:ascii="Times New Roman" w:hAnsi="Times New Roman" w:eastAsia="方正仿宋_GBK" w:cs="Times New Roman"/>
          <w:color w:val="auto"/>
          <w:sz w:val="32"/>
          <w:szCs w:val="32"/>
          <w:highlight w:val="none"/>
          <w:lang w:val="en-US" w:eastAsia="zh-CN"/>
        </w:rPr>
      </w:pPr>
    </w:p>
    <w:p w14:paraId="743EF7C6">
      <w:pPr>
        <w:pStyle w:val="7"/>
        <w:rPr>
          <w:rFonts w:hint="default" w:ascii="Times New Roman" w:hAnsi="Times New Roman" w:eastAsia="方正仿宋_GBK" w:cs="Times New Roman"/>
          <w:color w:val="auto"/>
          <w:sz w:val="32"/>
          <w:szCs w:val="32"/>
          <w:highlight w:val="none"/>
          <w:lang w:val="en-US" w:eastAsia="zh-CN"/>
        </w:rPr>
      </w:pPr>
    </w:p>
    <w:p w14:paraId="67FF71C3">
      <w:pPr>
        <w:pStyle w:val="8"/>
        <w:rPr>
          <w:rFonts w:hint="default"/>
          <w:lang w:val="en-US" w:eastAsia="zh-CN"/>
        </w:rPr>
      </w:pPr>
    </w:p>
    <w:p w14:paraId="1AA819AD">
      <w:pPr>
        <w:rPr>
          <w:rFonts w:hint="default"/>
          <w:lang w:val="en-US" w:eastAsia="zh-CN"/>
        </w:rPr>
      </w:pPr>
    </w:p>
    <w:sectPr>
      <w:footerReference r:id="rId8" w:type="default"/>
      <w:pgSz w:w="11906" w:h="16838"/>
      <w:pgMar w:top="2098" w:right="1531" w:bottom="1984" w:left="1531"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56D34B-48D2-48CB-A94A-879DC64736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8DC6A30-E477-491F-9F4C-FB0512ED61EE}"/>
  </w:font>
  <w:font w:name="方正楷体_GBK">
    <w:panose1 w:val="03000509000000000000"/>
    <w:charset w:val="86"/>
    <w:family w:val="script"/>
    <w:pitch w:val="default"/>
    <w:sig w:usb0="00000001" w:usb1="080E0000" w:usb2="00000000" w:usb3="00000000" w:csb0="00040000" w:csb1="00000000"/>
    <w:embedRegular r:id="rId3" w:fontKey="{F27D3A45-D8C1-4672-A1C6-A3154AB08CCF}"/>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58853EAD-87E4-4306-8311-1C9CBB378151}"/>
  </w:font>
  <w:font w:name="方正仿宋_GBK">
    <w:panose1 w:val="03000509000000000000"/>
    <w:charset w:val="86"/>
    <w:family w:val="auto"/>
    <w:pitch w:val="default"/>
    <w:sig w:usb0="00000001" w:usb1="080E0000" w:usb2="00000000" w:usb3="00000000" w:csb0="00040000" w:csb1="00000000"/>
    <w:embedRegular r:id="rId5" w:fontKey="{63DBF640-2D34-4E59-8F8E-39E41DF714AB}"/>
  </w:font>
  <w:font w:name="方正小标宋_GBK">
    <w:panose1 w:val="03000509000000000000"/>
    <w:charset w:val="86"/>
    <w:family w:val="script"/>
    <w:pitch w:val="default"/>
    <w:sig w:usb0="00000001" w:usb1="080E0000" w:usb2="00000000" w:usb3="00000000" w:csb0="00040000" w:csb1="00000000"/>
    <w:embedRegular r:id="rId6" w:fontKey="{DBBFFF37-1D38-4E4D-8AAC-87B8A0CF7FFD}"/>
  </w:font>
  <w:font w:name="微软雅黑">
    <w:panose1 w:val="020B0503020204020204"/>
    <w:charset w:val="86"/>
    <w:family w:val="auto"/>
    <w:pitch w:val="default"/>
    <w:sig w:usb0="80000287" w:usb1="2ACF3C50" w:usb2="00000016" w:usb3="00000000" w:csb0="0004001F" w:csb1="00000000"/>
    <w:embedRegular r:id="rId7" w:fontKey="{16442467-740D-4943-9487-47C12F328492}"/>
  </w:font>
  <w:font w:name="方正黑体_GBK">
    <w:panose1 w:val="03000509000000000000"/>
    <w:charset w:val="86"/>
    <w:family w:val="script"/>
    <w:pitch w:val="default"/>
    <w:sig w:usb0="00000001" w:usb1="080E0000" w:usb2="00000000" w:usb3="00000000" w:csb0="00040000" w:csb1="00000000"/>
    <w:embedRegular r:id="rId8" w:fontKey="{1D7B63F9-E546-44C9-A8BA-7466616FCD2F}"/>
  </w:font>
  <w:font w:name="方正书宋_GBK">
    <w:panose1 w:val="03000509000000000000"/>
    <w:charset w:val="86"/>
    <w:family w:val="script"/>
    <w:pitch w:val="default"/>
    <w:sig w:usb0="00000001" w:usb1="080E0000" w:usb2="00000000" w:usb3="00000000" w:csb0="00040000" w:csb1="00000000"/>
    <w:embedRegular r:id="rId9" w:fontKey="{9F5A3EA3-B313-44DB-BECA-381F3355B72F}"/>
  </w:font>
  <w:font w:name="ti">
    <w:altName w:val="Noto Serif SC"/>
    <w:panose1 w:val="00000000000000000000"/>
    <w:charset w:val="00"/>
    <w:family w:val="roman"/>
    <w:pitch w:val="default"/>
    <w:sig w:usb0="00000000" w:usb1="00000000" w:usb2="00000000" w:usb3="00000000" w:csb0="00040001" w:csb1="00000000"/>
    <w:embedRegular r:id="rId10" w:fontKey="{4D42EA9F-49D2-400B-B1A0-18B940C3ED59}"/>
  </w:font>
  <w:font w:name="Noto Serif SC">
    <w:panose1 w:val="02020200000000000000"/>
    <w:charset w:val="86"/>
    <w:family w:val="auto"/>
    <w:pitch w:val="default"/>
    <w:sig w:usb0="20000083" w:usb1="2ADF3C10" w:usb2="00000016" w:usb3="00000000" w:csb0="60060107" w:csb1="00000000"/>
  </w:font>
  <w:font w:name="WPSEMBED13">
    <w:panose1 w:val="03000509000000000000"/>
    <w:charset w:val="86"/>
    <w:family w:val="auto"/>
    <w:pitch w:val="default"/>
    <w:sig w:usb0="00000001" w:usb1="080E0000" w:usb2="00000000" w:usb3="00000000" w:csb0="00040000" w:csb1="00000000"/>
  </w:font>
  <w:font w:name="WPSEMBED12">
    <w:panose1 w:val="03000509000000000000"/>
    <w:charset w:val="86"/>
    <w:family w:val="auto"/>
    <w:pitch w:val="default"/>
    <w:sig w:usb0="00000001" w:usb1="080E0000" w:usb2="00000000" w:usb3="00000000" w:csb0="00040000" w:csb1="00000000"/>
  </w:font>
  <w:font w:name="WPSEMBED14">
    <w:panose1 w:val="03000509000000000000"/>
    <w:charset w:val="86"/>
    <w:family w:val="auto"/>
    <w:pitch w:val="default"/>
    <w:sig w:usb0="00000001" w:usb1="080E0000" w:usb2="00000000" w:usb3="00000000" w:csb0="00040000" w:csb1="00000000"/>
  </w:font>
  <w:font w:name="WPSEMBED11">
    <w:panose1 w:val="03000509000000000000"/>
    <w:charset w:val="86"/>
    <w:family w:val="auto"/>
    <w:pitch w:val="default"/>
    <w:sig w:usb0="00000001" w:usb1="080E0000" w:usb2="00000000" w:usb3="00000000" w:csb0="00040000" w:csb1="00000000"/>
  </w:font>
  <w:font w:name="WPSEMBED15">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8BA5B">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287560">
                          <w:pPr>
                            <w:pStyle w:val="1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287560">
                    <w:pPr>
                      <w:pStyle w:val="1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421D8">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10FA2">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03C47">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0F099">
                          <w:pPr>
                            <w:pStyle w:val="13"/>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A10F099">
                    <w:pPr>
                      <w:pStyle w:val="13"/>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F2BC3">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A3B62">
    <w:pPr>
      <w:pStyle w:val="1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Y0ODBiYmIxNDU0NTg4NzBlMzk1ZWM4NTk2ZmMxMzIifQ=="/>
  </w:docVars>
  <w:rsids>
    <w:rsidRoot w:val="00DF18BE"/>
    <w:rsid w:val="00042698"/>
    <w:rsid w:val="00047A2C"/>
    <w:rsid w:val="00060C6A"/>
    <w:rsid w:val="00063F6C"/>
    <w:rsid w:val="00072C34"/>
    <w:rsid w:val="000762F7"/>
    <w:rsid w:val="00085720"/>
    <w:rsid w:val="00092FA1"/>
    <w:rsid w:val="000A7B8F"/>
    <w:rsid w:val="000B2C31"/>
    <w:rsid w:val="000D6FDF"/>
    <w:rsid w:val="001020A7"/>
    <w:rsid w:val="00106419"/>
    <w:rsid w:val="00122280"/>
    <w:rsid w:val="0015173E"/>
    <w:rsid w:val="001655E6"/>
    <w:rsid w:val="00177A9F"/>
    <w:rsid w:val="001826CD"/>
    <w:rsid w:val="00192EDB"/>
    <w:rsid w:val="001D61EC"/>
    <w:rsid w:val="001F22A6"/>
    <w:rsid w:val="00217054"/>
    <w:rsid w:val="00223AE0"/>
    <w:rsid w:val="00240551"/>
    <w:rsid w:val="0024769C"/>
    <w:rsid w:val="002630BB"/>
    <w:rsid w:val="002633E8"/>
    <w:rsid w:val="0027720B"/>
    <w:rsid w:val="002B54B9"/>
    <w:rsid w:val="002D2D2C"/>
    <w:rsid w:val="002E5A8F"/>
    <w:rsid w:val="00313B0C"/>
    <w:rsid w:val="003336CD"/>
    <w:rsid w:val="00366C2E"/>
    <w:rsid w:val="003C1170"/>
    <w:rsid w:val="003D3FDE"/>
    <w:rsid w:val="003F3F80"/>
    <w:rsid w:val="004047B2"/>
    <w:rsid w:val="00436717"/>
    <w:rsid w:val="004D0094"/>
    <w:rsid w:val="00504381"/>
    <w:rsid w:val="00523AEE"/>
    <w:rsid w:val="005379C5"/>
    <w:rsid w:val="005450CB"/>
    <w:rsid w:val="005650FD"/>
    <w:rsid w:val="005744B7"/>
    <w:rsid w:val="0058662B"/>
    <w:rsid w:val="005B5F6E"/>
    <w:rsid w:val="005C03EA"/>
    <w:rsid w:val="005C68FA"/>
    <w:rsid w:val="005E7DE3"/>
    <w:rsid w:val="005F5DE1"/>
    <w:rsid w:val="00603C72"/>
    <w:rsid w:val="00647C27"/>
    <w:rsid w:val="00654B5B"/>
    <w:rsid w:val="00664231"/>
    <w:rsid w:val="00684AA1"/>
    <w:rsid w:val="00692FA7"/>
    <w:rsid w:val="006A68E2"/>
    <w:rsid w:val="006B1E81"/>
    <w:rsid w:val="006D113A"/>
    <w:rsid w:val="00726300"/>
    <w:rsid w:val="00773916"/>
    <w:rsid w:val="007919FA"/>
    <w:rsid w:val="007A1859"/>
    <w:rsid w:val="00823409"/>
    <w:rsid w:val="008246E9"/>
    <w:rsid w:val="00825CF4"/>
    <w:rsid w:val="0089154A"/>
    <w:rsid w:val="008A1164"/>
    <w:rsid w:val="008F291B"/>
    <w:rsid w:val="0091418C"/>
    <w:rsid w:val="00930024"/>
    <w:rsid w:val="00931742"/>
    <w:rsid w:val="009C15CF"/>
    <w:rsid w:val="009E70F5"/>
    <w:rsid w:val="00A175E8"/>
    <w:rsid w:val="00A46D25"/>
    <w:rsid w:val="00A96396"/>
    <w:rsid w:val="00AB4D8B"/>
    <w:rsid w:val="00AC4DF8"/>
    <w:rsid w:val="00AC522E"/>
    <w:rsid w:val="00AD729E"/>
    <w:rsid w:val="00B13D5F"/>
    <w:rsid w:val="00B34905"/>
    <w:rsid w:val="00B45E65"/>
    <w:rsid w:val="00B614AA"/>
    <w:rsid w:val="00B61F8A"/>
    <w:rsid w:val="00B6683B"/>
    <w:rsid w:val="00B871E5"/>
    <w:rsid w:val="00B95CDD"/>
    <w:rsid w:val="00BA0CA9"/>
    <w:rsid w:val="00BB78FD"/>
    <w:rsid w:val="00BC299E"/>
    <w:rsid w:val="00BE581A"/>
    <w:rsid w:val="00C00665"/>
    <w:rsid w:val="00C670DA"/>
    <w:rsid w:val="00C84867"/>
    <w:rsid w:val="00CD309F"/>
    <w:rsid w:val="00CE6DE7"/>
    <w:rsid w:val="00D0482A"/>
    <w:rsid w:val="00D15516"/>
    <w:rsid w:val="00D20B4D"/>
    <w:rsid w:val="00D4452A"/>
    <w:rsid w:val="00D76E6D"/>
    <w:rsid w:val="00DB20F7"/>
    <w:rsid w:val="00DF18BE"/>
    <w:rsid w:val="00DF3269"/>
    <w:rsid w:val="00E01DB3"/>
    <w:rsid w:val="00E21DC1"/>
    <w:rsid w:val="00E40D9B"/>
    <w:rsid w:val="00E46004"/>
    <w:rsid w:val="00E55F1A"/>
    <w:rsid w:val="00E57E10"/>
    <w:rsid w:val="00E66C20"/>
    <w:rsid w:val="00E67960"/>
    <w:rsid w:val="00E84814"/>
    <w:rsid w:val="00E90BCA"/>
    <w:rsid w:val="00EB1C0E"/>
    <w:rsid w:val="00ED72EA"/>
    <w:rsid w:val="00F0326F"/>
    <w:rsid w:val="00F118AA"/>
    <w:rsid w:val="00F1537F"/>
    <w:rsid w:val="00F21EF2"/>
    <w:rsid w:val="00F461CA"/>
    <w:rsid w:val="00F6483D"/>
    <w:rsid w:val="00F73629"/>
    <w:rsid w:val="00FA00A3"/>
    <w:rsid w:val="00FA2DD8"/>
    <w:rsid w:val="00FC1FCA"/>
    <w:rsid w:val="00FC2586"/>
    <w:rsid w:val="0100033D"/>
    <w:rsid w:val="011A20F4"/>
    <w:rsid w:val="015123B9"/>
    <w:rsid w:val="015D0D5E"/>
    <w:rsid w:val="016A6FD7"/>
    <w:rsid w:val="017A502F"/>
    <w:rsid w:val="01822573"/>
    <w:rsid w:val="01883901"/>
    <w:rsid w:val="019422A6"/>
    <w:rsid w:val="0196601E"/>
    <w:rsid w:val="01A050EF"/>
    <w:rsid w:val="01AC3A93"/>
    <w:rsid w:val="01B34E22"/>
    <w:rsid w:val="01B42948"/>
    <w:rsid w:val="01C12490"/>
    <w:rsid w:val="01C33A23"/>
    <w:rsid w:val="01D9415D"/>
    <w:rsid w:val="01DB6127"/>
    <w:rsid w:val="01DE333B"/>
    <w:rsid w:val="01EC3E90"/>
    <w:rsid w:val="01F36FCC"/>
    <w:rsid w:val="01F462C4"/>
    <w:rsid w:val="01F571E8"/>
    <w:rsid w:val="01F80A87"/>
    <w:rsid w:val="020A2568"/>
    <w:rsid w:val="020F0DBE"/>
    <w:rsid w:val="020F7B7E"/>
    <w:rsid w:val="02111B48"/>
    <w:rsid w:val="021653B1"/>
    <w:rsid w:val="02184C85"/>
    <w:rsid w:val="021D04ED"/>
    <w:rsid w:val="022504A0"/>
    <w:rsid w:val="022655F4"/>
    <w:rsid w:val="022B0E5C"/>
    <w:rsid w:val="02491AB4"/>
    <w:rsid w:val="024950DF"/>
    <w:rsid w:val="024A681D"/>
    <w:rsid w:val="0264611C"/>
    <w:rsid w:val="026B1259"/>
    <w:rsid w:val="02724161"/>
    <w:rsid w:val="027C6194"/>
    <w:rsid w:val="028A2341"/>
    <w:rsid w:val="02AE13C8"/>
    <w:rsid w:val="02B726F0"/>
    <w:rsid w:val="02C46BBB"/>
    <w:rsid w:val="02DA1F3A"/>
    <w:rsid w:val="02EE64DC"/>
    <w:rsid w:val="03060ADB"/>
    <w:rsid w:val="03072543"/>
    <w:rsid w:val="03100052"/>
    <w:rsid w:val="03125C8A"/>
    <w:rsid w:val="03180BE8"/>
    <w:rsid w:val="032064E7"/>
    <w:rsid w:val="03304250"/>
    <w:rsid w:val="03433A17"/>
    <w:rsid w:val="03435DF1"/>
    <w:rsid w:val="0349368C"/>
    <w:rsid w:val="035A307B"/>
    <w:rsid w:val="035B2A2F"/>
    <w:rsid w:val="035C5045"/>
    <w:rsid w:val="035E700F"/>
    <w:rsid w:val="036B12EF"/>
    <w:rsid w:val="0371289F"/>
    <w:rsid w:val="039406F2"/>
    <w:rsid w:val="03AE3AF3"/>
    <w:rsid w:val="03AF1619"/>
    <w:rsid w:val="03BD7D68"/>
    <w:rsid w:val="03E07A24"/>
    <w:rsid w:val="03E33071"/>
    <w:rsid w:val="03E5503B"/>
    <w:rsid w:val="040760B4"/>
    <w:rsid w:val="04126905"/>
    <w:rsid w:val="04216CBD"/>
    <w:rsid w:val="04246451"/>
    <w:rsid w:val="04253689"/>
    <w:rsid w:val="04275653"/>
    <w:rsid w:val="042F4508"/>
    <w:rsid w:val="043438CC"/>
    <w:rsid w:val="043A72F4"/>
    <w:rsid w:val="043E7C97"/>
    <w:rsid w:val="044B2962"/>
    <w:rsid w:val="04504BAA"/>
    <w:rsid w:val="045126D0"/>
    <w:rsid w:val="04567CE7"/>
    <w:rsid w:val="04676B4B"/>
    <w:rsid w:val="04706FFA"/>
    <w:rsid w:val="04714B20"/>
    <w:rsid w:val="047D1717"/>
    <w:rsid w:val="04A3117E"/>
    <w:rsid w:val="04AB3B8E"/>
    <w:rsid w:val="04B10051"/>
    <w:rsid w:val="04B137A1"/>
    <w:rsid w:val="04C428F3"/>
    <w:rsid w:val="04D22B28"/>
    <w:rsid w:val="04DC01EC"/>
    <w:rsid w:val="04EB48D3"/>
    <w:rsid w:val="04ED187B"/>
    <w:rsid w:val="04F548E2"/>
    <w:rsid w:val="04F551A4"/>
    <w:rsid w:val="04FF3B67"/>
    <w:rsid w:val="050D65F7"/>
    <w:rsid w:val="051756C8"/>
    <w:rsid w:val="051E6A56"/>
    <w:rsid w:val="05235E1B"/>
    <w:rsid w:val="053A3164"/>
    <w:rsid w:val="053B7608"/>
    <w:rsid w:val="053C512E"/>
    <w:rsid w:val="0547596F"/>
    <w:rsid w:val="0549003C"/>
    <w:rsid w:val="05537C3D"/>
    <w:rsid w:val="0559183C"/>
    <w:rsid w:val="055C757F"/>
    <w:rsid w:val="05625778"/>
    <w:rsid w:val="056B1570"/>
    <w:rsid w:val="056B6747"/>
    <w:rsid w:val="056F60B6"/>
    <w:rsid w:val="058F1702"/>
    <w:rsid w:val="059A7BFE"/>
    <w:rsid w:val="059C797B"/>
    <w:rsid w:val="05A36CA6"/>
    <w:rsid w:val="05A50F26"/>
    <w:rsid w:val="05B42F17"/>
    <w:rsid w:val="05C26EB5"/>
    <w:rsid w:val="05C8568A"/>
    <w:rsid w:val="05CD222A"/>
    <w:rsid w:val="05DC112D"/>
    <w:rsid w:val="05F26F6E"/>
    <w:rsid w:val="05F35E11"/>
    <w:rsid w:val="05FB28F4"/>
    <w:rsid w:val="05FC0525"/>
    <w:rsid w:val="06046BA4"/>
    <w:rsid w:val="061B3570"/>
    <w:rsid w:val="061D1F57"/>
    <w:rsid w:val="061E4834"/>
    <w:rsid w:val="06231908"/>
    <w:rsid w:val="062B2BBF"/>
    <w:rsid w:val="06305096"/>
    <w:rsid w:val="063858F6"/>
    <w:rsid w:val="06472967"/>
    <w:rsid w:val="06481187"/>
    <w:rsid w:val="064859FB"/>
    <w:rsid w:val="06565D7C"/>
    <w:rsid w:val="065F0A12"/>
    <w:rsid w:val="067D2B3B"/>
    <w:rsid w:val="0681314D"/>
    <w:rsid w:val="068648B3"/>
    <w:rsid w:val="068C07CD"/>
    <w:rsid w:val="068C3AD4"/>
    <w:rsid w:val="068C566F"/>
    <w:rsid w:val="069C1ED5"/>
    <w:rsid w:val="069D39AB"/>
    <w:rsid w:val="06A92350"/>
    <w:rsid w:val="06AB60C8"/>
    <w:rsid w:val="06B16C72"/>
    <w:rsid w:val="06C32529"/>
    <w:rsid w:val="06CD24E2"/>
    <w:rsid w:val="06D575E9"/>
    <w:rsid w:val="06DA5ADA"/>
    <w:rsid w:val="06DF0467"/>
    <w:rsid w:val="07043081"/>
    <w:rsid w:val="071E2D3E"/>
    <w:rsid w:val="073065CD"/>
    <w:rsid w:val="07334D82"/>
    <w:rsid w:val="074D3623"/>
    <w:rsid w:val="0757624F"/>
    <w:rsid w:val="07612C2A"/>
    <w:rsid w:val="07886409"/>
    <w:rsid w:val="079274C1"/>
    <w:rsid w:val="07A64AE1"/>
    <w:rsid w:val="07BC60B3"/>
    <w:rsid w:val="07E33FEF"/>
    <w:rsid w:val="07E55609"/>
    <w:rsid w:val="07E850FA"/>
    <w:rsid w:val="07EC4BEA"/>
    <w:rsid w:val="07F7358F"/>
    <w:rsid w:val="07F92E63"/>
    <w:rsid w:val="07FB4E2D"/>
    <w:rsid w:val="08102208"/>
    <w:rsid w:val="08167EB9"/>
    <w:rsid w:val="08183C31"/>
    <w:rsid w:val="082F6A38"/>
    <w:rsid w:val="08397436"/>
    <w:rsid w:val="083B5718"/>
    <w:rsid w:val="083D71F3"/>
    <w:rsid w:val="08534C69"/>
    <w:rsid w:val="08634780"/>
    <w:rsid w:val="0869448C"/>
    <w:rsid w:val="086E3851"/>
    <w:rsid w:val="08797B44"/>
    <w:rsid w:val="087D1CE6"/>
    <w:rsid w:val="088E7A4F"/>
    <w:rsid w:val="08A13C26"/>
    <w:rsid w:val="08A47272"/>
    <w:rsid w:val="08AC25CB"/>
    <w:rsid w:val="08C72F61"/>
    <w:rsid w:val="08C92D5A"/>
    <w:rsid w:val="08D43AEC"/>
    <w:rsid w:val="08D538D0"/>
    <w:rsid w:val="08D757B9"/>
    <w:rsid w:val="08DD7629"/>
    <w:rsid w:val="08E41D65"/>
    <w:rsid w:val="08E7715F"/>
    <w:rsid w:val="09016473"/>
    <w:rsid w:val="090C3286"/>
    <w:rsid w:val="091D420B"/>
    <w:rsid w:val="09491BC8"/>
    <w:rsid w:val="094B3B92"/>
    <w:rsid w:val="0952267F"/>
    <w:rsid w:val="09646EE5"/>
    <w:rsid w:val="096E7880"/>
    <w:rsid w:val="09750C0F"/>
    <w:rsid w:val="097F4126"/>
    <w:rsid w:val="0983332C"/>
    <w:rsid w:val="0983497E"/>
    <w:rsid w:val="098F685E"/>
    <w:rsid w:val="09934604"/>
    <w:rsid w:val="099F5C8C"/>
    <w:rsid w:val="09AF5ECF"/>
    <w:rsid w:val="09B2776D"/>
    <w:rsid w:val="09B41737"/>
    <w:rsid w:val="09B434E5"/>
    <w:rsid w:val="09CA2D09"/>
    <w:rsid w:val="09CB4CD3"/>
    <w:rsid w:val="09CD45A7"/>
    <w:rsid w:val="09D771D4"/>
    <w:rsid w:val="09DB3168"/>
    <w:rsid w:val="09DB4F16"/>
    <w:rsid w:val="09ED5EFC"/>
    <w:rsid w:val="09F26440"/>
    <w:rsid w:val="09F31EAA"/>
    <w:rsid w:val="0A1246B0"/>
    <w:rsid w:val="0A1977EC"/>
    <w:rsid w:val="0A3D172D"/>
    <w:rsid w:val="0A4D56E8"/>
    <w:rsid w:val="0A4E393A"/>
    <w:rsid w:val="0A5371A2"/>
    <w:rsid w:val="0A560A40"/>
    <w:rsid w:val="0A59408D"/>
    <w:rsid w:val="0A602FEF"/>
    <w:rsid w:val="0A60366D"/>
    <w:rsid w:val="0A6842D0"/>
    <w:rsid w:val="0A6E11C5"/>
    <w:rsid w:val="0A870BFA"/>
    <w:rsid w:val="0A8F3F52"/>
    <w:rsid w:val="0A920F88"/>
    <w:rsid w:val="0A9357F1"/>
    <w:rsid w:val="0AA96DC2"/>
    <w:rsid w:val="0AAB0D8C"/>
    <w:rsid w:val="0ACA6D38"/>
    <w:rsid w:val="0AD21BD7"/>
    <w:rsid w:val="0AE75B3C"/>
    <w:rsid w:val="0AEC6CAF"/>
    <w:rsid w:val="0AF374FA"/>
    <w:rsid w:val="0B167E75"/>
    <w:rsid w:val="0B1D50BA"/>
    <w:rsid w:val="0B1F33EE"/>
    <w:rsid w:val="0B2C17A1"/>
    <w:rsid w:val="0B301291"/>
    <w:rsid w:val="0B3A3EBE"/>
    <w:rsid w:val="0B424B21"/>
    <w:rsid w:val="0B50723E"/>
    <w:rsid w:val="0B642CE9"/>
    <w:rsid w:val="0B6B22C9"/>
    <w:rsid w:val="0B732F2C"/>
    <w:rsid w:val="0B7E6AB6"/>
    <w:rsid w:val="0B811AED"/>
    <w:rsid w:val="0BC14CD6"/>
    <w:rsid w:val="0BDA11FD"/>
    <w:rsid w:val="0BDA2FAB"/>
    <w:rsid w:val="0BEB6F66"/>
    <w:rsid w:val="0BFE6C9A"/>
    <w:rsid w:val="0C012C2E"/>
    <w:rsid w:val="0C040028"/>
    <w:rsid w:val="0C0452F3"/>
    <w:rsid w:val="0C063DA0"/>
    <w:rsid w:val="0C0D15D3"/>
    <w:rsid w:val="0C0F0EA7"/>
    <w:rsid w:val="0C1348A8"/>
    <w:rsid w:val="0C180F68"/>
    <w:rsid w:val="0C605BA6"/>
    <w:rsid w:val="0C6306C8"/>
    <w:rsid w:val="0C6805B7"/>
    <w:rsid w:val="0C6C62F9"/>
    <w:rsid w:val="0C7927C4"/>
    <w:rsid w:val="0C796C68"/>
    <w:rsid w:val="0C806EDF"/>
    <w:rsid w:val="0C807FF6"/>
    <w:rsid w:val="0C85560D"/>
    <w:rsid w:val="0C891492"/>
    <w:rsid w:val="0C8E44C1"/>
    <w:rsid w:val="0C9B6F3C"/>
    <w:rsid w:val="0C9E222B"/>
    <w:rsid w:val="0C9E3220"/>
    <w:rsid w:val="0CA85443"/>
    <w:rsid w:val="0CC72B6F"/>
    <w:rsid w:val="0CC945AE"/>
    <w:rsid w:val="0CD362C5"/>
    <w:rsid w:val="0CD52DF4"/>
    <w:rsid w:val="0CD563F7"/>
    <w:rsid w:val="0CD83E94"/>
    <w:rsid w:val="0CDE3BA0"/>
    <w:rsid w:val="0CE045F1"/>
    <w:rsid w:val="0CE71E24"/>
    <w:rsid w:val="0CFF5294"/>
    <w:rsid w:val="0D0A78C0"/>
    <w:rsid w:val="0D3A05F9"/>
    <w:rsid w:val="0D3D5B1A"/>
    <w:rsid w:val="0D486352"/>
    <w:rsid w:val="0D5D3E94"/>
    <w:rsid w:val="0D5D44E5"/>
    <w:rsid w:val="0D5F5E5E"/>
    <w:rsid w:val="0D660F9A"/>
    <w:rsid w:val="0D70555E"/>
    <w:rsid w:val="0D8B60D7"/>
    <w:rsid w:val="0D913B3D"/>
    <w:rsid w:val="0D9513B2"/>
    <w:rsid w:val="0D9C50C5"/>
    <w:rsid w:val="0D9D0734"/>
    <w:rsid w:val="0D9D7710"/>
    <w:rsid w:val="0D9E6986"/>
    <w:rsid w:val="0D9F26FE"/>
    <w:rsid w:val="0DB02216"/>
    <w:rsid w:val="0DBB0207"/>
    <w:rsid w:val="0DBC0BBA"/>
    <w:rsid w:val="0DC43F13"/>
    <w:rsid w:val="0DC65EDD"/>
    <w:rsid w:val="0DC7755F"/>
    <w:rsid w:val="0DE46363"/>
    <w:rsid w:val="0DEA1BCB"/>
    <w:rsid w:val="0DFB4F97"/>
    <w:rsid w:val="0E082052"/>
    <w:rsid w:val="0E107158"/>
    <w:rsid w:val="0E236477"/>
    <w:rsid w:val="0E43308A"/>
    <w:rsid w:val="0E5D6419"/>
    <w:rsid w:val="0E63197E"/>
    <w:rsid w:val="0E664511"/>
    <w:rsid w:val="0E76520D"/>
    <w:rsid w:val="0E772D33"/>
    <w:rsid w:val="0E7C659C"/>
    <w:rsid w:val="0E9E6512"/>
    <w:rsid w:val="0EA93835"/>
    <w:rsid w:val="0EAE4866"/>
    <w:rsid w:val="0EC55484"/>
    <w:rsid w:val="0EDB32C2"/>
    <w:rsid w:val="0EF16F8A"/>
    <w:rsid w:val="0F0E18E7"/>
    <w:rsid w:val="0F1342A8"/>
    <w:rsid w:val="0F140720"/>
    <w:rsid w:val="0F1F58A5"/>
    <w:rsid w:val="0F264E85"/>
    <w:rsid w:val="0F380715"/>
    <w:rsid w:val="0F524B7B"/>
    <w:rsid w:val="0F531364"/>
    <w:rsid w:val="0F6239E3"/>
    <w:rsid w:val="0F67724C"/>
    <w:rsid w:val="0F7A2ADB"/>
    <w:rsid w:val="0F8751F8"/>
    <w:rsid w:val="0F8971C2"/>
    <w:rsid w:val="0F955B67"/>
    <w:rsid w:val="0F9A4F2B"/>
    <w:rsid w:val="0FA1275E"/>
    <w:rsid w:val="0FA5470B"/>
    <w:rsid w:val="0FAE09D7"/>
    <w:rsid w:val="0FB104C7"/>
    <w:rsid w:val="0FC1695C"/>
    <w:rsid w:val="0FD0094D"/>
    <w:rsid w:val="0FD04DF1"/>
    <w:rsid w:val="0FD50659"/>
    <w:rsid w:val="0FDA4B92"/>
    <w:rsid w:val="0FDA5C70"/>
    <w:rsid w:val="0FDE4854"/>
    <w:rsid w:val="0FF327C5"/>
    <w:rsid w:val="0FF524FA"/>
    <w:rsid w:val="100769A7"/>
    <w:rsid w:val="100833DB"/>
    <w:rsid w:val="100C1B36"/>
    <w:rsid w:val="1017657C"/>
    <w:rsid w:val="101C1DE4"/>
    <w:rsid w:val="10295F68"/>
    <w:rsid w:val="102B5195"/>
    <w:rsid w:val="106043C7"/>
    <w:rsid w:val="10613C9B"/>
    <w:rsid w:val="10613EAA"/>
    <w:rsid w:val="10703EDE"/>
    <w:rsid w:val="107144FC"/>
    <w:rsid w:val="107231CB"/>
    <w:rsid w:val="107240FA"/>
    <w:rsid w:val="10765998"/>
    <w:rsid w:val="10890B53"/>
    <w:rsid w:val="10A5002C"/>
    <w:rsid w:val="10B325AF"/>
    <w:rsid w:val="10B71B0D"/>
    <w:rsid w:val="10CF6E57"/>
    <w:rsid w:val="10DD5A17"/>
    <w:rsid w:val="10DE5653"/>
    <w:rsid w:val="10E41FA9"/>
    <w:rsid w:val="10EE19D3"/>
    <w:rsid w:val="10F24FE2"/>
    <w:rsid w:val="10F2653F"/>
    <w:rsid w:val="10F71D18"/>
    <w:rsid w:val="10FA2C3E"/>
    <w:rsid w:val="110277B3"/>
    <w:rsid w:val="110D6ED0"/>
    <w:rsid w:val="110F0D5C"/>
    <w:rsid w:val="11160F29"/>
    <w:rsid w:val="11194576"/>
    <w:rsid w:val="11230F50"/>
    <w:rsid w:val="112837AC"/>
    <w:rsid w:val="11392918"/>
    <w:rsid w:val="115529EF"/>
    <w:rsid w:val="116B48D8"/>
    <w:rsid w:val="11716160"/>
    <w:rsid w:val="11783060"/>
    <w:rsid w:val="11790735"/>
    <w:rsid w:val="117B6B08"/>
    <w:rsid w:val="118E286E"/>
    <w:rsid w:val="11955B27"/>
    <w:rsid w:val="11A023A5"/>
    <w:rsid w:val="11A16A45"/>
    <w:rsid w:val="11BB562D"/>
    <w:rsid w:val="11BB73DB"/>
    <w:rsid w:val="11E3709B"/>
    <w:rsid w:val="11ED1C8A"/>
    <w:rsid w:val="11F272A1"/>
    <w:rsid w:val="11F56E15"/>
    <w:rsid w:val="11F76665"/>
    <w:rsid w:val="11FD79F3"/>
    <w:rsid w:val="12062D4C"/>
    <w:rsid w:val="12096398"/>
    <w:rsid w:val="122D668E"/>
    <w:rsid w:val="12432852"/>
    <w:rsid w:val="124B075F"/>
    <w:rsid w:val="12513CF8"/>
    <w:rsid w:val="125150F0"/>
    <w:rsid w:val="126C4404"/>
    <w:rsid w:val="127759F8"/>
    <w:rsid w:val="127B54E8"/>
    <w:rsid w:val="12825398"/>
    <w:rsid w:val="12927480"/>
    <w:rsid w:val="12A01B42"/>
    <w:rsid w:val="12A6008B"/>
    <w:rsid w:val="12AD31C8"/>
    <w:rsid w:val="12B24C82"/>
    <w:rsid w:val="12D70244"/>
    <w:rsid w:val="12DC7000"/>
    <w:rsid w:val="12E7492B"/>
    <w:rsid w:val="12EF37E0"/>
    <w:rsid w:val="12F86B39"/>
    <w:rsid w:val="13034431"/>
    <w:rsid w:val="13076D7C"/>
    <w:rsid w:val="130B063D"/>
    <w:rsid w:val="131103EA"/>
    <w:rsid w:val="13286CF2"/>
    <w:rsid w:val="132C5993"/>
    <w:rsid w:val="132E137E"/>
    <w:rsid w:val="1331204B"/>
    <w:rsid w:val="1340403C"/>
    <w:rsid w:val="135A1F83"/>
    <w:rsid w:val="137361BF"/>
    <w:rsid w:val="138A3509"/>
    <w:rsid w:val="13966C30"/>
    <w:rsid w:val="139E0D62"/>
    <w:rsid w:val="13A21AF8"/>
    <w:rsid w:val="13A37AA1"/>
    <w:rsid w:val="13AF4D1D"/>
    <w:rsid w:val="13CE5AEB"/>
    <w:rsid w:val="13E9022F"/>
    <w:rsid w:val="13EE54F1"/>
    <w:rsid w:val="140D6614"/>
    <w:rsid w:val="14171240"/>
    <w:rsid w:val="142806DC"/>
    <w:rsid w:val="14294AD0"/>
    <w:rsid w:val="143F2545"/>
    <w:rsid w:val="14496F20"/>
    <w:rsid w:val="144D1713"/>
    <w:rsid w:val="14522278"/>
    <w:rsid w:val="146B6E96"/>
    <w:rsid w:val="14820767"/>
    <w:rsid w:val="14847F58"/>
    <w:rsid w:val="14AE262C"/>
    <w:rsid w:val="14C12F5A"/>
    <w:rsid w:val="14D26F15"/>
    <w:rsid w:val="14DD31E7"/>
    <w:rsid w:val="14E07627"/>
    <w:rsid w:val="14EB6229"/>
    <w:rsid w:val="14F52C04"/>
    <w:rsid w:val="14F90946"/>
    <w:rsid w:val="150B65A8"/>
    <w:rsid w:val="15112048"/>
    <w:rsid w:val="15135779"/>
    <w:rsid w:val="1514752E"/>
    <w:rsid w:val="15225EAA"/>
    <w:rsid w:val="15267261"/>
    <w:rsid w:val="15373021"/>
    <w:rsid w:val="1537678F"/>
    <w:rsid w:val="15431BC1"/>
    <w:rsid w:val="154871D8"/>
    <w:rsid w:val="154F185E"/>
    <w:rsid w:val="15581B10"/>
    <w:rsid w:val="155E2E9F"/>
    <w:rsid w:val="157D3325"/>
    <w:rsid w:val="1582093B"/>
    <w:rsid w:val="158D1021"/>
    <w:rsid w:val="159E5049"/>
    <w:rsid w:val="15A20FDE"/>
    <w:rsid w:val="15B91E83"/>
    <w:rsid w:val="15C26F8A"/>
    <w:rsid w:val="15CF21CB"/>
    <w:rsid w:val="15D55DE5"/>
    <w:rsid w:val="15D8422F"/>
    <w:rsid w:val="15DB14DB"/>
    <w:rsid w:val="15DE18EA"/>
    <w:rsid w:val="15FA2BC8"/>
    <w:rsid w:val="15FD7FC2"/>
    <w:rsid w:val="160C6494"/>
    <w:rsid w:val="160F59D5"/>
    <w:rsid w:val="16161084"/>
    <w:rsid w:val="161F618A"/>
    <w:rsid w:val="162714E3"/>
    <w:rsid w:val="163C04FA"/>
    <w:rsid w:val="16442C6D"/>
    <w:rsid w:val="164B44B0"/>
    <w:rsid w:val="165276AC"/>
    <w:rsid w:val="16565924"/>
    <w:rsid w:val="165B2F3A"/>
    <w:rsid w:val="1660347D"/>
    <w:rsid w:val="166242C9"/>
    <w:rsid w:val="167556F0"/>
    <w:rsid w:val="167652E8"/>
    <w:rsid w:val="16775FC6"/>
    <w:rsid w:val="16777D74"/>
    <w:rsid w:val="167A7865"/>
    <w:rsid w:val="169133EE"/>
    <w:rsid w:val="169828B9"/>
    <w:rsid w:val="169C0461"/>
    <w:rsid w:val="169C5A2D"/>
    <w:rsid w:val="16A42B33"/>
    <w:rsid w:val="16AB5C70"/>
    <w:rsid w:val="16BA4105"/>
    <w:rsid w:val="16BC1C2B"/>
    <w:rsid w:val="16DC22CD"/>
    <w:rsid w:val="16DC2528"/>
    <w:rsid w:val="16DE150C"/>
    <w:rsid w:val="16DF5FF9"/>
    <w:rsid w:val="16E32CDB"/>
    <w:rsid w:val="1700420E"/>
    <w:rsid w:val="17077858"/>
    <w:rsid w:val="170D17F7"/>
    <w:rsid w:val="170D692B"/>
    <w:rsid w:val="171B1048"/>
    <w:rsid w:val="172061BC"/>
    <w:rsid w:val="17215F32"/>
    <w:rsid w:val="17231CAA"/>
    <w:rsid w:val="172A128B"/>
    <w:rsid w:val="173D7210"/>
    <w:rsid w:val="1740285C"/>
    <w:rsid w:val="17466FCB"/>
    <w:rsid w:val="174D6D27"/>
    <w:rsid w:val="174D72CB"/>
    <w:rsid w:val="174F0CF1"/>
    <w:rsid w:val="17620A24"/>
    <w:rsid w:val="17620DC5"/>
    <w:rsid w:val="176C53FF"/>
    <w:rsid w:val="17710C68"/>
    <w:rsid w:val="178070FD"/>
    <w:rsid w:val="178C3CF3"/>
    <w:rsid w:val="17914E66"/>
    <w:rsid w:val="17924D93"/>
    <w:rsid w:val="179928C2"/>
    <w:rsid w:val="179C380B"/>
    <w:rsid w:val="17C055C6"/>
    <w:rsid w:val="17C37F89"/>
    <w:rsid w:val="17C76AD9"/>
    <w:rsid w:val="17DB4333"/>
    <w:rsid w:val="17E31439"/>
    <w:rsid w:val="17E81194"/>
    <w:rsid w:val="17EC02EE"/>
    <w:rsid w:val="17EC7D4E"/>
    <w:rsid w:val="17FF6273"/>
    <w:rsid w:val="181226FE"/>
    <w:rsid w:val="181A12FF"/>
    <w:rsid w:val="18251A52"/>
    <w:rsid w:val="18275FAD"/>
    <w:rsid w:val="18463EA2"/>
    <w:rsid w:val="18512FA4"/>
    <w:rsid w:val="185A16FC"/>
    <w:rsid w:val="185F4F64"/>
    <w:rsid w:val="186C7681"/>
    <w:rsid w:val="18702CCD"/>
    <w:rsid w:val="18716A45"/>
    <w:rsid w:val="18816FFA"/>
    <w:rsid w:val="189A5F9C"/>
    <w:rsid w:val="189D5A8C"/>
    <w:rsid w:val="18A70C53"/>
    <w:rsid w:val="18B52DD6"/>
    <w:rsid w:val="18CB25F9"/>
    <w:rsid w:val="18D3325C"/>
    <w:rsid w:val="18D86AC4"/>
    <w:rsid w:val="18DA45EA"/>
    <w:rsid w:val="18DF60A5"/>
    <w:rsid w:val="18E01A75"/>
    <w:rsid w:val="18ED6A14"/>
    <w:rsid w:val="18EF5A71"/>
    <w:rsid w:val="190478B9"/>
    <w:rsid w:val="19121FD6"/>
    <w:rsid w:val="19157D18"/>
    <w:rsid w:val="19185734"/>
    <w:rsid w:val="19205339"/>
    <w:rsid w:val="19232435"/>
    <w:rsid w:val="19235F91"/>
    <w:rsid w:val="19241F81"/>
    <w:rsid w:val="19265A82"/>
    <w:rsid w:val="19293F67"/>
    <w:rsid w:val="192C5D83"/>
    <w:rsid w:val="192C7C91"/>
    <w:rsid w:val="192F0DDA"/>
    <w:rsid w:val="19305E07"/>
    <w:rsid w:val="193F08F1"/>
    <w:rsid w:val="194A79C2"/>
    <w:rsid w:val="195E16BF"/>
    <w:rsid w:val="1968684A"/>
    <w:rsid w:val="19695FA6"/>
    <w:rsid w:val="196B7938"/>
    <w:rsid w:val="19707ECA"/>
    <w:rsid w:val="19864B80"/>
    <w:rsid w:val="19B72B7E"/>
    <w:rsid w:val="19D454DE"/>
    <w:rsid w:val="19DF5FB1"/>
    <w:rsid w:val="19E7666B"/>
    <w:rsid w:val="19F618F8"/>
    <w:rsid w:val="19F93196"/>
    <w:rsid w:val="1A0517B3"/>
    <w:rsid w:val="1A116732"/>
    <w:rsid w:val="1A231FC1"/>
    <w:rsid w:val="1A2521DD"/>
    <w:rsid w:val="1A2E0437"/>
    <w:rsid w:val="1A2E1092"/>
    <w:rsid w:val="1A3B100D"/>
    <w:rsid w:val="1A3F6DFB"/>
    <w:rsid w:val="1A4413C5"/>
    <w:rsid w:val="1A453701"/>
    <w:rsid w:val="1A4E703E"/>
    <w:rsid w:val="1A58610F"/>
    <w:rsid w:val="1A5F749D"/>
    <w:rsid w:val="1A6A3B28"/>
    <w:rsid w:val="1A6B15D1"/>
    <w:rsid w:val="1A6B1C29"/>
    <w:rsid w:val="1A756CC1"/>
    <w:rsid w:val="1A7670A0"/>
    <w:rsid w:val="1A772A39"/>
    <w:rsid w:val="1A7A7E33"/>
    <w:rsid w:val="1A9F3D3E"/>
    <w:rsid w:val="1AA84695"/>
    <w:rsid w:val="1AD02149"/>
    <w:rsid w:val="1AD5775F"/>
    <w:rsid w:val="1AD734D7"/>
    <w:rsid w:val="1ADD03C2"/>
    <w:rsid w:val="1ADF05DE"/>
    <w:rsid w:val="1AE16104"/>
    <w:rsid w:val="1AE479A2"/>
    <w:rsid w:val="1AFF296D"/>
    <w:rsid w:val="1B0D514B"/>
    <w:rsid w:val="1B107B2E"/>
    <w:rsid w:val="1B2D7593"/>
    <w:rsid w:val="1B32070E"/>
    <w:rsid w:val="1B3A5814"/>
    <w:rsid w:val="1B414DF5"/>
    <w:rsid w:val="1B423649"/>
    <w:rsid w:val="1B5E5CBE"/>
    <w:rsid w:val="1B697EA8"/>
    <w:rsid w:val="1B913106"/>
    <w:rsid w:val="1B9211AC"/>
    <w:rsid w:val="1B927C49"/>
    <w:rsid w:val="1B9405AB"/>
    <w:rsid w:val="1B9969DF"/>
    <w:rsid w:val="1BA01B1B"/>
    <w:rsid w:val="1BA50EE0"/>
    <w:rsid w:val="1BB2184F"/>
    <w:rsid w:val="1BB93B82"/>
    <w:rsid w:val="1BE063BC"/>
    <w:rsid w:val="1BE35EAC"/>
    <w:rsid w:val="1BE37C5A"/>
    <w:rsid w:val="1BE834C2"/>
    <w:rsid w:val="1C0E2F29"/>
    <w:rsid w:val="1C2264FA"/>
    <w:rsid w:val="1C4F52EF"/>
    <w:rsid w:val="1C533032"/>
    <w:rsid w:val="1C6A5624"/>
    <w:rsid w:val="1C714522"/>
    <w:rsid w:val="1C8E406A"/>
    <w:rsid w:val="1C93342E"/>
    <w:rsid w:val="1C9F6277"/>
    <w:rsid w:val="1CAC629E"/>
    <w:rsid w:val="1CB11B06"/>
    <w:rsid w:val="1CB27013"/>
    <w:rsid w:val="1CC61A56"/>
    <w:rsid w:val="1CCC4B92"/>
    <w:rsid w:val="1CD80D2E"/>
    <w:rsid w:val="1CDA105D"/>
    <w:rsid w:val="1CFD2045"/>
    <w:rsid w:val="1D005EEF"/>
    <w:rsid w:val="1D047E88"/>
    <w:rsid w:val="1D0E284F"/>
    <w:rsid w:val="1D0F08AC"/>
    <w:rsid w:val="1D104A7F"/>
    <w:rsid w:val="1D13456F"/>
    <w:rsid w:val="1D2C7601"/>
    <w:rsid w:val="1D39424F"/>
    <w:rsid w:val="1D526E45"/>
    <w:rsid w:val="1D5726AE"/>
    <w:rsid w:val="1D864D41"/>
    <w:rsid w:val="1D927D1E"/>
    <w:rsid w:val="1DA50210"/>
    <w:rsid w:val="1DAD49C3"/>
    <w:rsid w:val="1DAF6046"/>
    <w:rsid w:val="1DC248DC"/>
    <w:rsid w:val="1DC65F93"/>
    <w:rsid w:val="1DCF66E8"/>
    <w:rsid w:val="1DD957B9"/>
    <w:rsid w:val="1DE73159"/>
    <w:rsid w:val="1DFA6641"/>
    <w:rsid w:val="1E011134"/>
    <w:rsid w:val="1E05035C"/>
    <w:rsid w:val="1E081BFA"/>
    <w:rsid w:val="1E312EFF"/>
    <w:rsid w:val="1E326C77"/>
    <w:rsid w:val="1E401394"/>
    <w:rsid w:val="1E587535"/>
    <w:rsid w:val="1E805C34"/>
    <w:rsid w:val="1E9E60BA"/>
    <w:rsid w:val="1EAF02C7"/>
    <w:rsid w:val="1EC64A9D"/>
    <w:rsid w:val="1ED16490"/>
    <w:rsid w:val="1EF36406"/>
    <w:rsid w:val="1F130856"/>
    <w:rsid w:val="1F134806"/>
    <w:rsid w:val="1F3D58D3"/>
    <w:rsid w:val="1F4D3D68"/>
    <w:rsid w:val="1F6A31B9"/>
    <w:rsid w:val="1F841754"/>
    <w:rsid w:val="1F890B18"/>
    <w:rsid w:val="1F8C3803"/>
    <w:rsid w:val="1F953961"/>
    <w:rsid w:val="1F987D28"/>
    <w:rsid w:val="1FA47700"/>
    <w:rsid w:val="1FBE1084"/>
    <w:rsid w:val="1FBF69A5"/>
    <w:rsid w:val="1FCC169C"/>
    <w:rsid w:val="1FCF29CF"/>
    <w:rsid w:val="1FE83A91"/>
    <w:rsid w:val="1FF93EF0"/>
    <w:rsid w:val="2000702C"/>
    <w:rsid w:val="200F1D7A"/>
    <w:rsid w:val="20140D2A"/>
    <w:rsid w:val="20191E9C"/>
    <w:rsid w:val="20236FAC"/>
    <w:rsid w:val="202D76F6"/>
    <w:rsid w:val="203942EC"/>
    <w:rsid w:val="2053115F"/>
    <w:rsid w:val="206375BB"/>
    <w:rsid w:val="2077343C"/>
    <w:rsid w:val="208539D6"/>
    <w:rsid w:val="208732AA"/>
    <w:rsid w:val="208C0195"/>
    <w:rsid w:val="209D5157"/>
    <w:rsid w:val="20A51982"/>
    <w:rsid w:val="20AF45AF"/>
    <w:rsid w:val="20B816B5"/>
    <w:rsid w:val="20B9542D"/>
    <w:rsid w:val="20BB73F7"/>
    <w:rsid w:val="20BD6CCC"/>
    <w:rsid w:val="20D05F7A"/>
    <w:rsid w:val="20DD2ECA"/>
    <w:rsid w:val="20DF4E94"/>
    <w:rsid w:val="20E4583C"/>
    <w:rsid w:val="20EA3839"/>
    <w:rsid w:val="20F841A8"/>
    <w:rsid w:val="210C7C53"/>
    <w:rsid w:val="210E5779"/>
    <w:rsid w:val="21115269"/>
    <w:rsid w:val="21260D15"/>
    <w:rsid w:val="21472A39"/>
    <w:rsid w:val="215238B8"/>
    <w:rsid w:val="21615480"/>
    <w:rsid w:val="21627873"/>
    <w:rsid w:val="21696E53"/>
    <w:rsid w:val="216E6218"/>
    <w:rsid w:val="217A23F1"/>
    <w:rsid w:val="21902632"/>
    <w:rsid w:val="21A25EC1"/>
    <w:rsid w:val="21AD6D40"/>
    <w:rsid w:val="21B761EC"/>
    <w:rsid w:val="21C06F7F"/>
    <w:rsid w:val="21C61BB0"/>
    <w:rsid w:val="21C83B7A"/>
    <w:rsid w:val="21CD1190"/>
    <w:rsid w:val="21D81917"/>
    <w:rsid w:val="21DC7E95"/>
    <w:rsid w:val="21DD6EFA"/>
    <w:rsid w:val="21E11EC2"/>
    <w:rsid w:val="21E5052C"/>
    <w:rsid w:val="21EE1107"/>
    <w:rsid w:val="21EF55AB"/>
    <w:rsid w:val="21F030D1"/>
    <w:rsid w:val="21F50F3D"/>
    <w:rsid w:val="22105521"/>
    <w:rsid w:val="222A65E3"/>
    <w:rsid w:val="222C28DC"/>
    <w:rsid w:val="2241392C"/>
    <w:rsid w:val="224B0307"/>
    <w:rsid w:val="224B55F8"/>
    <w:rsid w:val="226650A3"/>
    <w:rsid w:val="22682C67"/>
    <w:rsid w:val="226B2757"/>
    <w:rsid w:val="22737F8A"/>
    <w:rsid w:val="22743D02"/>
    <w:rsid w:val="227635D6"/>
    <w:rsid w:val="22806203"/>
    <w:rsid w:val="22A068A5"/>
    <w:rsid w:val="22B8599C"/>
    <w:rsid w:val="22B97967"/>
    <w:rsid w:val="22C205C9"/>
    <w:rsid w:val="22C500B9"/>
    <w:rsid w:val="22CA56D0"/>
    <w:rsid w:val="22D07082"/>
    <w:rsid w:val="22D56B65"/>
    <w:rsid w:val="22DF73CD"/>
    <w:rsid w:val="22E418F0"/>
    <w:rsid w:val="22F0425E"/>
    <w:rsid w:val="22F97D63"/>
    <w:rsid w:val="230C7A96"/>
    <w:rsid w:val="231132FF"/>
    <w:rsid w:val="23160915"/>
    <w:rsid w:val="231B5003"/>
    <w:rsid w:val="231D31B4"/>
    <w:rsid w:val="23316EE6"/>
    <w:rsid w:val="233D5EA2"/>
    <w:rsid w:val="234353D1"/>
    <w:rsid w:val="234731C4"/>
    <w:rsid w:val="235F050E"/>
    <w:rsid w:val="23616034"/>
    <w:rsid w:val="236175E4"/>
    <w:rsid w:val="2362709F"/>
    <w:rsid w:val="23767606"/>
    <w:rsid w:val="23887A65"/>
    <w:rsid w:val="23A6613D"/>
    <w:rsid w:val="23AC3027"/>
    <w:rsid w:val="23AD74CB"/>
    <w:rsid w:val="23BA1BE8"/>
    <w:rsid w:val="23D06D16"/>
    <w:rsid w:val="23D1073B"/>
    <w:rsid w:val="23DD2B08"/>
    <w:rsid w:val="23FC3FAF"/>
    <w:rsid w:val="240502B9"/>
    <w:rsid w:val="241A61E3"/>
    <w:rsid w:val="242A28CA"/>
    <w:rsid w:val="242F7EE0"/>
    <w:rsid w:val="24415E66"/>
    <w:rsid w:val="24661428"/>
    <w:rsid w:val="24674AC7"/>
    <w:rsid w:val="2479115B"/>
    <w:rsid w:val="248C5333"/>
    <w:rsid w:val="249661B1"/>
    <w:rsid w:val="24970412"/>
    <w:rsid w:val="24B30B11"/>
    <w:rsid w:val="24B5685E"/>
    <w:rsid w:val="24E231A5"/>
    <w:rsid w:val="24F42ED8"/>
    <w:rsid w:val="2500362B"/>
    <w:rsid w:val="25034EC9"/>
    <w:rsid w:val="25290DD3"/>
    <w:rsid w:val="252C08C4"/>
    <w:rsid w:val="25336CD6"/>
    <w:rsid w:val="25880798"/>
    <w:rsid w:val="25893E7E"/>
    <w:rsid w:val="259A75DB"/>
    <w:rsid w:val="25A057D3"/>
    <w:rsid w:val="25B20DC9"/>
    <w:rsid w:val="25C81CB5"/>
    <w:rsid w:val="25DD396C"/>
    <w:rsid w:val="25E46AA9"/>
    <w:rsid w:val="25E82A3D"/>
    <w:rsid w:val="25E940BF"/>
    <w:rsid w:val="25ED4601"/>
    <w:rsid w:val="25F807A6"/>
    <w:rsid w:val="26013AFE"/>
    <w:rsid w:val="261F3F85"/>
    <w:rsid w:val="26265D59"/>
    <w:rsid w:val="263C4B36"/>
    <w:rsid w:val="263F7BBA"/>
    <w:rsid w:val="264C3C60"/>
    <w:rsid w:val="26645C78"/>
    <w:rsid w:val="267B2530"/>
    <w:rsid w:val="26865DB2"/>
    <w:rsid w:val="268B33C8"/>
    <w:rsid w:val="269A550E"/>
    <w:rsid w:val="26A55C9F"/>
    <w:rsid w:val="26CD6371"/>
    <w:rsid w:val="26D134D1"/>
    <w:rsid w:val="26D905D7"/>
    <w:rsid w:val="26E119EC"/>
    <w:rsid w:val="26E643AD"/>
    <w:rsid w:val="26F947D6"/>
    <w:rsid w:val="27221F7E"/>
    <w:rsid w:val="27312075"/>
    <w:rsid w:val="273121C1"/>
    <w:rsid w:val="27316602"/>
    <w:rsid w:val="27363334"/>
    <w:rsid w:val="27400656"/>
    <w:rsid w:val="274C2B57"/>
    <w:rsid w:val="2753038A"/>
    <w:rsid w:val="27664B16"/>
    <w:rsid w:val="276C37BE"/>
    <w:rsid w:val="279544FE"/>
    <w:rsid w:val="279B3ADF"/>
    <w:rsid w:val="279D7857"/>
    <w:rsid w:val="27A300CB"/>
    <w:rsid w:val="27B5694E"/>
    <w:rsid w:val="27BB1A8B"/>
    <w:rsid w:val="27C759C6"/>
    <w:rsid w:val="27C941A8"/>
    <w:rsid w:val="27D86AE1"/>
    <w:rsid w:val="27E72880"/>
    <w:rsid w:val="27E95C8D"/>
    <w:rsid w:val="28034162"/>
    <w:rsid w:val="28043432"/>
    <w:rsid w:val="28106212"/>
    <w:rsid w:val="2811047F"/>
    <w:rsid w:val="28245882"/>
    <w:rsid w:val="282D0BDB"/>
    <w:rsid w:val="28533DB0"/>
    <w:rsid w:val="28577A06"/>
    <w:rsid w:val="28610884"/>
    <w:rsid w:val="28681C13"/>
    <w:rsid w:val="28706D19"/>
    <w:rsid w:val="287738A9"/>
    <w:rsid w:val="288E70B4"/>
    <w:rsid w:val="289B6C43"/>
    <w:rsid w:val="28A6273B"/>
    <w:rsid w:val="28B51443"/>
    <w:rsid w:val="28B704A4"/>
    <w:rsid w:val="28CD1444"/>
    <w:rsid w:val="28E079FB"/>
    <w:rsid w:val="28E9662B"/>
    <w:rsid w:val="28EA2628"/>
    <w:rsid w:val="28FB17EE"/>
    <w:rsid w:val="28FC5518"/>
    <w:rsid w:val="290A19EB"/>
    <w:rsid w:val="290D27BA"/>
    <w:rsid w:val="29235B3A"/>
    <w:rsid w:val="29283150"/>
    <w:rsid w:val="292875F4"/>
    <w:rsid w:val="292F2731"/>
    <w:rsid w:val="293164A9"/>
    <w:rsid w:val="29373393"/>
    <w:rsid w:val="294D2BB7"/>
    <w:rsid w:val="29565F0F"/>
    <w:rsid w:val="295959FF"/>
    <w:rsid w:val="2961415C"/>
    <w:rsid w:val="29746395"/>
    <w:rsid w:val="2979095A"/>
    <w:rsid w:val="29850AC8"/>
    <w:rsid w:val="29946A38"/>
    <w:rsid w:val="29995DFC"/>
    <w:rsid w:val="299A404E"/>
    <w:rsid w:val="29A40D78"/>
    <w:rsid w:val="29AE5D4B"/>
    <w:rsid w:val="29B5042A"/>
    <w:rsid w:val="29B55BD2"/>
    <w:rsid w:val="29C15A7E"/>
    <w:rsid w:val="29C56BF1"/>
    <w:rsid w:val="29C94933"/>
    <w:rsid w:val="29D837E4"/>
    <w:rsid w:val="29DA38D2"/>
    <w:rsid w:val="29DD03DE"/>
    <w:rsid w:val="29E928DF"/>
    <w:rsid w:val="29F309D8"/>
    <w:rsid w:val="29FB12FC"/>
    <w:rsid w:val="2A2E0C3A"/>
    <w:rsid w:val="2A381377"/>
    <w:rsid w:val="2A420242"/>
    <w:rsid w:val="2A557F75"/>
    <w:rsid w:val="2A585CB7"/>
    <w:rsid w:val="2A5A1A2F"/>
    <w:rsid w:val="2A6353BA"/>
    <w:rsid w:val="2A693A20"/>
    <w:rsid w:val="2A701253"/>
    <w:rsid w:val="2A704A83"/>
    <w:rsid w:val="2A756869"/>
    <w:rsid w:val="2A7C0912"/>
    <w:rsid w:val="2A7C3754"/>
    <w:rsid w:val="2A842608"/>
    <w:rsid w:val="2A9C5BA4"/>
    <w:rsid w:val="2AB96F29"/>
    <w:rsid w:val="2AC34A37"/>
    <w:rsid w:val="2ACF5F79"/>
    <w:rsid w:val="2ADC2444"/>
    <w:rsid w:val="2AF36BB8"/>
    <w:rsid w:val="2AF51E59"/>
    <w:rsid w:val="2AF93B6E"/>
    <w:rsid w:val="2AFB5C85"/>
    <w:rsid w:val="2B05199B"/>
    <w:rsid w:val="2B126E05"/>
    <w:rsid w:val="2B163BA8"/>
    <w:rsid w:val="2B195446"/>
    <w:rsid w:val="2B2804EC"/>
    <w:rsid w:val="2B612949"/>
    <w:rsid w:val="2B620F43"/>
    <w:rsid w:val="2B632B65"/>
    <w:rsid w:val="2B6568DD"/>
    <w:rsid w:val="2B6A5CA2"/>
    <w:rsid w:val="2B765F15"/>
    <w:rsid w:val="2B7E52A9"/>
    <w:rsid w:val="2B8E1990"/>
    <w:rsid w:val="2B9E213E"/>
    <w:rsid w:val="2BB221A4"/>
    <w:rsid w:val="2BB67139"/>
    <w:rsid w:val="2BB92785"/>
    <w:rsid w:val="2BBB02AC"/>
    <w:rsid w:val="2BC43604"/>
    <w:rsid w:val="2BCB541E"/>
    <w:rsid w:val="2BCE7FDF"/>
    <w:rsid w:val="2BE5357A"/>
    <w:rsid w:val="2BF3462D"/>
    <w:rsid w:val="2BF533E7"/>
    <w:rsid w:val="2C000590"/>
    <w:rsid w:val="2C396270"/>
    <w:rsid w:val="2C443561"/>
    <w:rsid w:val="2C484235"/>
    <w:rsid w:val="2C5030EA"/>
    <w:rsid w:val="2C5129BE"/>
    <w:rsid w:val="2C5A348C"/>
    <w:rsid w:val="2C666469"/>
    <w:rsid w:val="2C844B41"/>
    <w:rsid w:val="2C866B0B"/>
    <w:rsid w:val="2C9355D3"/>
    <w:rsid w:val="2C9A0BE2"/>
    <w:rsid w:val="2C9E7CE8"/>
    <w:rsid w:val="2C9F3729"/>
    <w:rsid w:val="2C9F5E1F"/>
    <w:rsid w:val="2C9F70F2"/>
    <w:rsid w:val="2CBA6C7A"/>
    <w:rsid w:val="2CBC6B9C"/>
    <w:rsid w:val="2CD45928"/>
    <w:rsid w:val="2CDA6061"/>
    <w:rsid w:val="2CE675AA"/>
    <w:rsid w:val="2CED6B8B"/>
    <w:rsid w:val="2D0A14EA"/>
    <w:rsid w:val="2D1519FD"/>
    <w:rsid w:val="2D214A9F"/>
    <w:rsid w:val="2D2C76B3"/>
    <w:rsid w:val="2D3E2F42"/>
    <w:rsid w:val="2D450775"/>
    <w:rsid w:val="2D4744ED"/>
    <w:rsid w:val="2D5E1836"/>
    <w:rsid w:val="2D636E4D"/>
    <w:rsid w:val="2D662499"/>
    <w:rsid w:val="2D6D3827"/>
    <w:rsid w:val="2D725670"/>
    <w:rsid w:val="2D98715B"/>
    <w:rsid w:val="2DA90D03"/>
    <w:rsid w:val="2DB66F7C"/>
    <w:rsid w:val="2DB76019"/>
    <w:rsid w:val="2DBD030B"/>
    <w:rsid w:val="2DC773DC"/>
    <w:rsid w:val="2DD955C1"/>
    <w:rsid w:val="2DEE132C"/>
    <w:rsid w:val="2DEF06E0"/>
    <w:rsid w:val="2DF97F5C"/>
    <w:rsid w:val="2E073C7C"/>
    <w:rsid w:val="2E0E500A"/>
    <w:rsid w:val="2E104609"/>
    <w:rsid w:val="2E107BE2"/>
    <w:rsid w:val="2E1D6FFC"/>
    <w:rsid w:val="2E24482E"/>
    <w:rsid w:val="2E271C28"/>
    <w:rsid w:val="2E3E1E97"/>
    <w:rsid w:val="2E3F51C4"/>
    <w:rsid w:val="2E4F43FF"/>
    <w:rsid w:val="2E5774DB"/>
    <w:rsid w:val="2E5C048D"/>
    <w:rsid w:val="2E701DAA"/>
    <w:rsid w:val="2E7C01C6"/>
    <w:rsid w:val="2E823302"/>
    <w:rsid w:val="2E887C64"/>
    <w:rsid w:val="2E9D6DCF"/>
    <w:rsid w:val="2EA814D2"/>
    <w:rsid w:val="2EBA0CEE"/>
    <w:rsid w:val="2EC41B6D"/>
    <w:rsid w:val="2EC456C9"/>
    <w:rsid w:val="2EC6434A"/>
    <w:rsid w:val="2F1A353B"/>
    <w:rsid w:val="2F1F6523"/>
    <w:rsid w:val="2F204FF5"/>
    <w:rsid w:val="2F21455C"/>
    <w:rsid w:val="2F3A3EF1"/>
    <w:rsid w:val="2F3C7955"/>
    <w:rsid w:val="2F416D1A"/>
    <w:rsid w:val="2F5527C5"/>
    <w:rsid w:val="2F606532"/>
    <w:rsid w:val="2F656EAC"/>
    <w:rsid w:val="2F6A001E"/>
    <w:rsid w:val="2F7F11FF"/>
    <w:rsid w:val="2F7F5B97"/>
    <w:rsid w:val="2F82046F"/>
    <w:rsid w:val="2F9C03F4"/>
    <w:rsid w:val="2FA04F81"/>
    <w:rsid w:val="2FA16F22"/>
    <w:rsid w:val="2FB94A5B"/>
    <w:rsid w:val="2FC17E5A"/>
    <w:rsid w:val="2FC4487C"/>
    <w:rsid w:val="2FD656B4"/>
    <w:rsid w:val="2FD81674"/>
    <w:rsid w:val="2FDB2CCA"/>
    <w:rsid w:val="2FDD2EE6"/>
    <w:rsid w:val="2FDE281A"/>
    <w:rsid w:val="2FFA4131"/>
    <w:rsid w:val="30055F99"/>
    <w:rsid w:val="30093CDB"/>
    <w:rsid w:val="301663F8"/>
    <w:rsid w:val="301A5EE8"/>
    <w:rsid w:val="301F1693"/>
    <w:rsid w:val="302C5C1C"/>
    <w:rsid w:val="302F1268"/>
    <w:rsid w:val="30395C43"/>
    <w:rsid w:val="303D3985"/>
    <w:rsid w:val="306929CC"/>
    <w:rsid w:val="3069477A"/>
    <w:rsid w:val="307373A7"/>
    <w:rsid w:val="307849BD"/>
    <w:rsid w:val="307C565C"/>
    <w:rsid w:val="30874C00"/>
    <w:rsid w:val="30896EF9"/>
    <w:rsid w:val="309531D7"/>
    <w:rsid w:val="309F019C"/>
    <w:rsid w:val="30A87A77"/>
    <w:rsid w:val="30AC447F"/>
    <w:rsid w:val="30B05F05"/>
    <w:rsid w:val="30BF083E"/>
    <w:rsid w:val="30BF76D4"/>
    <w:rsid w:val="30C16364"/>
    <w:rsid w:val="30DB6CFA"/>
    <w:rsid w:val="30DC13F0"/>
    <w:rsid w:val="30E97669"/>
    <w:rsid w:val="30F46739"/>
    <w:rsid w:val="310426F5"/>
    <w:rsid w:val="31046538"/>
    <w:rsid w:val="312A215B"/>
    <w:rsid w:val="314031B4"/>
    <w:rsid w:val="3172499E"/>
    <w:rsid w:val="31807FCD"/>
    <w:rsid w:val="3188248E"/>
    <w:rsid w:val="319054C4"/>
    <w:rsid w:val="319770C5"/>
    <w:rsid w:val="31A737AC"/>
    <w:rsid w:val="31B07A2F"/>
    <w:rsid w:val="31D245A1"/>
    <w:rsid w:val="31EA5447"/>
    <w:rsid w:val="31F167D5"/>
    <w:rsid w:val="31FD2C13"/>
    <w:rsid w:val="3212499D"/>
    <w:rsid w:val="321625C9"/>
    <w:rsid w:val="32171FB4"/>
    <w:rsid w:val="321E77E6"/>
    <w:rsid w:val="322841C1"/>
    <w:rsid w:val="323B5CA2"/>
    <w:rsid w:val="3240150B"/>
    <w:rsid w:val="324F12AF"/>
    <w:rsid w:val="325925CC"/>
    <w:rsid w:val="32616EAD"/>
    <w:rsid w:val="3268280F"/>
    <w:rsid w:val="32715B68"/>
    <w:rsid w:val="327D62BB"/>
    <w:rsid w:val="3281224F"/>
    <w:rsid w:val="3286265A"/>
    <w:rsid w:val="32A75EAC"/>
    <w:rsid w:val="32AC094E"/>
    <w:rsid w:val="32AE46C6"/>
    <w:rsid w:val="32B75C71"/>
    <w:rsid w:val="32D0298D"/>
    <w:rsid w:val="32D54E77"/>
    <w:rsid w:val="32ED45E0"/>
    <w:rsid w:val="32FA5B5D"/>
    <w:rsid w:val="331A3570"/>
    <w:rsid w:val="33435756"/>
    <w:rsid w:val="33460DA3"/>
    <w:rsid w:val="33641229"/>
    <w:rsid w:val="336D5070"/>
    <w:rsid w:val="337552D5"/>
    <w:rsid w:val="337F000C"/>
    <w:rsid w:val="33A12CAA"/>
    <w:rsid w:val="33A31BFE"/>
    <w:rsid w:val="33AB50A9"/>
    <w:rsid w:val="33C00B55"/>
    <w:rsid w:val="33CF2B46"/>
    <w:rsid w:val="33D37246"/>
    <w:rsid w:val="33D52499"/>
    <w:rsid w:val="33DE722D"/>
    <w:rsid w:val="33E761B3"/>
    <w:rsid w:val="33E83EE4"/>
    <w:rsid w:val="33F407FF"/>
    <w:rsid w:val="34050C5E"/>
    <w:rsid w:val="342563FC"/>
    <w:rsid w:val="34313E97"/>
    <w:rsid w:val="3435004D"/>
    <w:rsid w:val="343C3F54"/>
    <w:rsid w:val="3446098F"/>
    <w:rsid w:val="344C742B"/>
    <w:rsid w:val="345B6AD0"/>
    <w:rsid w:val="34767465"/>
    <w:rsid w:val="34796F56"/>
    <w:rsid w:val="3491429F"/>
    <w:rsid w:val="349646B2"/>
    <w:rsid w:val="349B511E"/>
    <w:rsid w:val="34A00133"/>
    <w:rsid w:val="34AC7670"/>
    <w:rsid w:val="34D66156"/>
    <w:rsid w:val="34F308B0"/>
    <w:rsid w:val="351F18AB"/>
    <w:rsid w:val="3529272A"/>
    <w:rsid w:val="35322D2E"/>
    <w:rsid w:val="35325A82"/>
    <w:rsid w:val="35366E63"/>
    <w:rsid w:val="353F1CAE"/>
    <w:rsid w:val="3546508A"/>
    <w:rsid w:val="354D536F"/>
    <w:rsid w:val="354D6418"/>
    <w:rsid w:val="354E03E2"/>
    <w:rsid w:val="35645510"/>
    <w:rsid w:val="3569521C"/>
    <w:rsid w:val="356B0A71"/>
    <w:rsid w:val="35706D35"/>
    <w:rsid w:val="35713351"/>
    <w:rsid w:val="3578720D"/>
    <w:rsid w:val="357C038A"/>
    <w:rsid w:val="357E3BC5"/>
    <w:rsid w:val="3587034C"/>
    <w:rsid w:val="359C73A0"/>
    <w:rsid w:val="35A35B01"/>
    <w:rsid w:val="35C10BB4"/>
    <w:rsid w:val="35CD3626"/>
    <w:rsid w:val="35D72186"/>
    <w:rsid w:val="35D73F34"/>
    <w:rsid w:val="35E34252"/>
    <w:rsid w:val="35E6686D"/>
    <w:rsid w:val="35EA2894"/>
    <w:rsid w:val="35FE6BA4"/>
    <w:rsid w:val="3608571A"/>
    <w:rsid w:val="36140CE4"/>
    <w:rsid w:val="361B33A6"/>
    <w:rsid w:val="36351B2C"/>
    <w:rsid w:val="363F42D5"/>
    <w:rsid w:val="364A0BAA"/>
    <w:rsid w:val="366854D4"/>
    <w:rsid w:val="36723C5D"/>
    <w:rsid w:val="36AC0582"/>
    <w:rsid w:val="36B07F6D"/>
    <w:rsid w:val="36C26992"/>
    <w:rsid w:val="36E7464B"/>
    <w:rsid w:val="36FA437E"/>
    <w:rsid w:val="371A1D58"/>
    <w:rsid w:val="37260804"/>
    <w:rsid w:val="372B2789"/>
    <w:rsid w:val="373A6E70"/>
    <w:rsid w:val="374C0952"/>
    <w:rsid w:val="374D6BA3"/>
    <w:rsid w:val="37533A8E"/>
    <w:rsid w:val="37562722"/>
    <w:rsid w:val="375D490D"/>
    <w:rsid w:val="37691503"/>
    <w:rsid w:val="378D51F2"/>
    <w:rsid w:val="378E0F6A"/>
    <w:rsid w:val="37977BBC"/>
    <w:rsid w:val="37CA01F4"/>
    <w:rsid w:val="37FE1C4C"/>
    <w:rsid w:val="380A6843"/>
    <w:rsid w:val="381B27FE"/>
    <w:rsid w:val="3824052A"/>
    <w:rsid w:val="38242BA0"/>
    <w:rsid w:val="3833774F"/>
    <w:rsid w:val="3837515E"/>
    <w:rsid w:val="383C2D6D"/>
    <w:rsid w:val="38422875"/>
    <w:rsid w:val="384A2C9C"/>
    <w:rsid w:val="384A6C3F"/>
    <w:rsid w:val="38575800"/>
    <w:rsid w:val="387737AC"/>
    <w:rsid w:val="387D5266"/>
    <w:rsid w:val="388A168B"/>
    <w:rsid w:val="388C4B29"/>
    <w:rsid w:val="389B56ED"/>
    <w:rsid w:val="389B749B"/>
    <w:rsid w:val="38AC5B4C"/>
    <w:rsid w:val="38D64977"/>
    <w:rsid w:val="38E8140D"/>
    <w:rsid w:val="38EE1CC0"/>
    <w:rsid w:val="39114E7D"/>
    <w:rsid w:val="39290F4A"/>
    <w:rsid w:val="3935413A"/>
    <w:rsid w:val="393C6ED0"/>
    <w:rsid w:val="394538AA"/>
    <w:rsid w:val="394C2E8B"/>
    <w:rsid w:val="39535398"/>
    <w:rsid w:val="3958538C"/>
    <w:rsid w:val="396471C4"/>
    <w:rsid w:val="396E2E01"/>
    <w:rsid w:val="39752B6A"/>
    <w:rsid w:val="39777F08"/>
    <w:rsid w:val="397C3770"/>
    <w:rsid w:val="39921B3C"/>
    <w:rsid w:val="39934616"/>
    <w:rsid w:val="3995038E"/>
    <w:rsid w:val="399D5D37"/>
    <w:rsid w:val="399D7487"/>
    <w:rsid w:val="39A41A86"/>
    <w:rsid w:val="39B747A8"/>
    <w:rsid w:val="39BF540B"/>
    <w:rsid w:val="39C80763"/>
    <w:rsid w:val="39DC5FBD"/>
    <w:rsid w:val="39E6600D"/>
    <w:rsid w:val="39ED01CA"/>
    <w:rsid w:val="39F71049"/>
    <w:rsid w:val="39FC040D"/>
    <w:rsid w:val="3A0379ED"/>
    <w:rsid w:val="3A117C25"/>
    <w:rsid w:val="3A160918"/>
    <w:rsid w:val="3A1C3049"/>
    <w:rsid w:val="3A276A09"/>
    <w:rsid w:val="3A3F1347"/>
    <w:rsid w:val="3A4E4336"/>
    <w:rsid w:val="3A500759"/>
    <w:rsid w:val="3A540F2B"/>
    <w:rsid w:val="3A5E7E31"/>
    <w:rsid w:val="3A7E04AD"/>
    <w:rsid w:val="3A7E52C6"/>
    <w:rsid w:val="3A8C79E3"/>
    <w:rsid w:val="3A995C5C"/>
    <w:rsid w:val="3A9E7716"/>
    <w:rsid w:val="3AA20FB4"/>
    <w:rsid w:val="3AB17449"/>
    <w:rsid w:val="3ACA22B9"/>
    <w:rsid w:val="3AD31DCF"/>
    <w:rsid w:val="3AD82C28"/>
    <w:rsid w:val="3AE55345"/>
    <w:rsid w:val="3AEE568A"/>
    <w:rsid w:val="3B0B6E7C"/>
    <w:rsid w:val="3B1E3EC9"/>
    <w:rsid w:val="3B2319C9"/>
    <w:rsid w:val="3B2C0DDB"/>
    <w:rsid w:val="3B5E2A01"/>
    <w:rsid w:val="3B5F50F7"/>
    <w:rsid w:val="3B7A0B95"/>
    <w:rsid w:val="3B81580C"/>
    <w:rsid w:val="3B8F6E11"/>
    <w:rsid w:val="3B950B19"/>
    <w:rsid w:val="3BA0301A"/>
    <w:rsid w:val="3BA96372"/>
    <w:rsid w:val="3BBB7E54"/>
    <w:rsid w:val="3BCB453B"/>
    <w:rsid w:val="3BCC2061"/>
    <w:rsid w:val="3BCE402B"/>
    <w:rsid w:val="3BD038FF"/>
    <w:rsid w:val="3BD57167"/>
    <w:rsid w:val="3BD80A06"/>
    <w:rsid w:val="3BDB47EE"/>
    <w:rsid w:val="3BE70C49"/>
    <w:rsid w:val="3BE800D3"/>
    <w:rsid w:val="3BFF1FE6"/>
    <w:rsid w:val="3BFF33E6"/>
    <w:rsid w:val="3C027F6F"/>
    <w:rsid w:val="3C033CD5"/>
    <w:rsid w:val="3C08753D"/>
    <w:rsid w:val="3C237ED3"/>
    <w:rsid w:val="3C243C71"/>
    <w:rsid w:val="3C2D0D52"/>
    <w:rsid w:val="3C336DD6"/>
    <w:rsid w:val="3C38554A"/>
    <w:rsid w:val="3C5A58BF"/>
    <w:rsid w:val="3C681D8A"/>
    <w:rsid w:val="3C6A5B02"/>
    <w:rsid w:val="3C700C3E"/>
    <w:rsid w:val="3C81109D"/>
    <w:rsid w:val="3C964B49"/>
    <w:rsid w:val="3CA32DC2"/>
    <w:rsid w:val="3CA52FDE"/>
    <w:rsid w:val="3CA56B3A"/>
    <w:rsid w:val="3CAD59EE"/>
    <w:rsid w:val="3CAF1767"/>
    <w:rsid w:val="3CBB635D"/>
    <w:rsid w:val="3CCA2A44"/>
    <w:rsid w:val="3CCB73C0"/>
    <w:rsid w:val="3CD411CD"/>
    <w:rsid w:val="3CDC4526"/>
    <w:rsid w:val="3CDC62D4"/>
    <w:rsid w:val="3CE23C30"/>
    <w:rsid w:val="3CE3066D"/>
    <w:rsid w:val="3CE8111C"/>
    <w:rsid w:val="3CF42D4A"/>
    <w:rsid w:val="3CF95789"/>
    <w:rsid w:val="3CFD00CF"/>
    <w:rsid w:val="3D0B1265"/>
    <w:rsid w:val="3D136199"/>
    <w:rsid w:val="3D2757A1"/>
    <w:rsid w:val="3D477BF1"/>
    <w:rsid w:val="3D595B76"/>
    <w:rsid w:val="3D5C4FEC"/>
    <w:rsid w:val="3D600CB3"/>
    <w:rsid w:val="3D627E02"/>
    <w:rsid w:val="3D65276D"/>
    <w:rsid w:val="3D6764E5"/>
    <w:rsid w:val="3D766728"/>
    <w:rsid w:val="3D915310"/>
    <w:rsid w:val="3DA36453"/>
    <w:rsid w:val="3DAB4624"/>
    <w:rsid w:val="3DB86D41"/>
    <w:rsid w:val="3DC37B42"/>
    <w:rsid w:val="3DC477DE"/>
    <w:rsid w:val="3DD05E38"/>
    <w:rsid w:val="3DD11BB1"/>
    <w:rsid w:val="3DD513A3"/>
    <w:rsid w:val="3DE32D35"/>
    <w:rsid w:val="3DFA1107"/>
    <w:rsid w:val="3E0755D2"/>
    <w:rsid w:val="3E151A9D"/>
    <w:rsid w:val="3E1B6952"/>
    <w:rsid w:val="3E23065E"/>
    <w:rsid w:val="3E345D1D"/>
    <w:rsid w:val="3E4A49E8"/>
    <w:rsid w:val="3E514029"/>
    <w:rsid w:val="3E574B9A"/>
    <w:rsid w:val="3E5C0AF7"/>
    <w:rsid w:val="3E623F01"/>
    <w:rsid w:val="3E6B790F"/>
    <w:rsid w:val="3E6C634A"/>
    <w:rsid w:val="3EB069C3"/>
    <w:rsid w:val="3EB65311"/>
    <w:rsid w:val="3EC27265"/>
    <w:rsid w:val="3EC62D97"/>
    <w:rsid w:val="3ED43706"/>
    <w:rsid w:val="3EE020AB"/>
    <w:rsid w:val="3EEA117C"/>
    <w:rsid w:val="3EEF0540"/>
    <w:rsid w:val="3EF21DDE"/>
    <w:rsid w:val="3F042D6B"/>
    <w:rsid w:val="3F0B352A"/>
    <w:rsid w:val="3F1C6E5B"/>
    <w:rsid w:val="3F3B5533"/>
    <w:rsid w:val="3F3D5750"/>
    <w:rsid w:val="3F4168C2"/>
    <w:rsid w:val="3F43088C"/>
    <w:rsid w:val="3F4343E8"/>
    <w:rsid w:val="3F6B3D19"/>
    <w:rsid w:val="3F8F762D"/>
    <w:rsid w:val="3F91126E"/>
    <w:rsid w:val="3F952E18"/>
    <w:rsid w:val="3F9F2443"/>
    <w:rsid w:val="3FAA4467"/>
    <w:rsid w:val="3FC22084"/>
    <w:rsid w:val="3FD6525C"/>
    <w:rsid w:val="3FDA7AD5"/>
    <w:rsid w:val="3FDB620C"/>
    <w:rsid w:val="3FE36170"/>
    <w:rsid w:val="3FEA3806"/>
    <w:rsid w:val="3FF94BFC"/>
    <w:rsid w:val="40000EB7"/>
    <w:rsid w:val="400125CD"/>
    <w:rsid w:val="40093884"/>
    <w:rsid w:val="40094992"/>
    <w:rsid w:val="40153856"/>
    <w:rsid w:val="401A783F"/>
    <w:rsid w:val="40217FC5"/>
    <w:rsid w:val="40224945"/>
    <w:rsid w:val="40297A82"/>
    <w:rsid w:val="40442B0E"/>
    <w:rsid w:val="405F16F6"/>
    <w:rsid w:val="406C796F"/>
    <w:rsid w:val="406E36E7"/>
    <w:rsid w:val="40703903"/>
    <w:rsid w:val="408E3D89"/>
    <w:rsid w:val="40A4667F"/>
    <w:rsid w:val="40AB0497"/>
    <w:rsid w:val="40AB493B"/>
    <w:rsid w:val="40CF0629"/>
    <w:rsid w:val="40D07EFD"/>
    <w:rsid w:val="40D22921"/>
    <w:rsid w:val="40E679D2"/>
    <w:rsid w:val="40F3190F"/>
    <w:rsid w:val="40F95D14"/>
    <w:rsid w:val="40FE34AB"/>
    <w:rsid w:val="41153C2F"/>
    <w:rsid w:val="411A4C6D"/>
    <w:rsid w:val="4123610F"/>
    <w:rsid w:val="41251484"/>
    <w:rsid w:val="413019F7"/>
    <w:rsid w:val="41326E0A"/>
    <w:rsid w:val="41371888"/>
    <w:rsid w:val="41597EF3"/>
    <w:rsid w:val="416D1BF0"/>
    <w:rsid w:val="41782A6F"/>
    <w:rsid w:val="41B16F4C"/>
    <w:rsid w:val="41B45A71"/>
    <w:rsid w:val="41B8730F"/>
    <w:rsid w:val="41B976E4"/>
    <w:rsid w:val="41C061C4"/>
    <w:rsid w:val="41C23CEA"/>
    <w:rsid w:val="41D30636"/>
    <w:rsid w:val="41E2613A"/>
    <w:rsid w:val="42174BFC"/>
    <w:rsid w:val="42197963"/>
    <w:rsid w:val="422A4209"/>
    <w:rsid w:val="422E137F"/>
    <w:rsid w:val="42310E70"/>
    <w:rsid w:val="424566C9"/>
    <w:rsid w:val="42462B6D"/>
    <w:rsid w:val="425132C0"/>
    <w:rsid w:val="42537038"/>
    <w:rsid w:val="42545136"/>
    <w:rsid w:val="425D3A13"/>
    <w:rsid w:val="42725710"/>
    <w:rsid w:val="428C0B42"/>
    <w:rsid w:val="429107C7"/>
    <w:rsid w:val="4294732D"/>
    <w:rsid w:val="429F227D"/>
    <w:rsid w:val="42CE4578"/>
    <w:rsid w:val="42DA3976"/>
    <w:rsid w:val="42EB0F8C"/>
    <w:rsid w:val="42F36125"/>
    <w:rsid w:val="42F500EF"/>
    <w:rsid w:val="42F9198D"/>
    <w:rsid w:val="43014CE6"/>
    <w:rsid w:val="4303280C"/>
    <w:rsid w:val="43044884"/>
    <w:rsid w:val="430622FC"/>
    <w:rsid w:val="43077F4B"/>
    <w:rsid w:val="430D368B"/>
    <w:rsid w:val="43370708"/>
    <w:rsid w:val="433E3844"/>
    <w:rsid w:val="436112E1"/>
    <w:rsid w:val="4361678F"/>
    <w:rsid w:val="436C5358"/>
    <w:rsid w:val="43707776"/>
    <w:rsid w:val="43713C1A"/>
    <w:rsid w:val="43721A65"/>
    <w:rsid w:val="4373683C"/>
    <w:rsid w:val="4383394D"/>
    <w:rsid w:val="438356FB"/>
    <w:rsid w:val="438A4CDB"/>
    <w:rsid w:val="438C5C19"/>
    <w:rsid w:val="438F22F2"/>
    <w:rsid w:val="43A22025"/>
    <w:rsid w:val="43A51B15"/>
    <w:rsid w:val="43A53730"/>
    <w:rsid w:val="43AC2EA4"/>
    <w:rsid w:val="43AD539D"/>
    <w:rsid w:val="43B70C1D"/>
    <w:rsid w:val="43BD6E5F"/>
    <w:rsid w:val="43C53F65"/>
    <w:rsid w:val="43C62D7F"/>
    <w:rsid w:val="43C875B2"/>
    <w:rsid w:val="43CC52F4"/>
    <w:rsid w:val="43D83C99"/>
    <w:rsid w:val="43DB47A0"/>
    <w:rsid w:val="43E3619A"/>
    <w:rsid w:val="441822E7"/>
    <w:rsid w:val="442C4F36"/>
    <w:rsid w:val="44432009"/>
    <w:rsid w:val="444F63D4"/>
    <w:rsid w:val="44615A3C"/>
    <w:rsid w:val="447A08AC"/>
    <w:rsid w:val="447D039C"/>
    <w:rsid w:val="447F2366"/>
    <w:rsid w:val="4493196E"/>
    <w:rsid w:val="44935E12"/>
    <w:rsid w:val="44A6598D"/>
    <w:rsid w:val="44A91191"/>
    <w:rsid w:val="44AB4F09"/>
    <w:rsid w:val="44AC0150"/>
    <w:rsid w:val="44AC2D8E"/>
    <w:rsid w:val="44B32C61"/>
    <w:rsid w:val="44BD7F5B"/>
    <w:rsid w:val="44D34876"/>
    <w:rsid w:val="44DE52DF"/>
    <w:rsid w:val="44E87F0C"/>
    <w:rsid w:val="44ED72D0"/>
    <w:rsid w:val="45010FCD"/>
    <w:rsid w:val="450E6E58"/>
    <w:rsid w:val="45182E8B"/>
    <w:rsid w:val="453018B3"/>
    <w:rsid w:val="45390406"/>
    <w:rsid w:val="45392515"/>
    <w:rsid w:val="454315E6"/>
    <w:rsid w:val="454A4722"/>
    <w:rsid w:val="4550160D"/>
    <w:rsid w:val="455038FC"/>
    <w:rsid w:val="45617CBE"/>
    <w:rsid w:val="456B6447"/>
    <w:rsid w:val="45765517"/>
    <w:rsid w:val="458446C0"/>
    <w:rsid w:val="45A2455E"/>
    <w:rsid w:val="45AD4CB1"/>
    <w:rsid w:val="45C02C36"/>
    <w:rsid w:val="45C46C54"/>
    <w:rsid w:val="45CD1B48"/>
    <w:rsid w:val="45DE6011"/>
    <w:rsid w:val="45E85CE9"/>
    <w:rsid w:val="45ED50AE"/>
    <w:rsid w:val="45EE1F1D"/>
    <w:rsid w:val="45F34DBA"/>
    <w:rsid w:val="46040D37"/>
    <w:rsid w:val="460743C1"/>
    <w:rsid w:val="461D4BCB"/>
    <w:rsid w:val="462E6942"/>
    <w:rsid w:val="4642189D"/>
    <w:rsid w:val="464D4CE7"/>
    <w:rsid w:val="46595CDC"/>
    <w:rsid w:val="465A0995"/>
    <w:rsid w:val="465F41FD"/>
    <w:rsid w:val="466510E8"/>
    <w:rsid w:val="46674E60"/>
    <w:rsid w:val="466960D4"/>
    <w:rsid w:val="466F1F67"/>
    <w:rsid w:val="467375E0"/>
    <w:rsid w:val="467D4684"/>
    <w:rsid w:val="467F21AA"/>
    <w:rsid w:val="46804174"/>
    <w:rsid w:val="468248A6"/>
    <w:rsid w:val="46A211E8"/>
    <w:rsid w:val="46A41C10"/>
    <w:rsid w:val="46AC6D17"/>
    <w:rsid w:val="46B207D1"/>
    <w:rsid w:val="46B27509"/>
    <w:rsid w:val="46B67B95"/>
    <w:rsid w:val="46BD2CD2"/>
    <w:rsid w:val="46D417B0"/>
    <w:rsid w:val="46D87B0C"/>
    <w:rsid w:val="46DA7D28"/>
    <w:rsid w:val="46DC584E"/>
    <w:rsid w:val="46DE3369"/>
    <w:rsid w:val="46F030A7"/>
    <w:rsid w:val="46F801AE"/>
    <w:rsid w:val="46FA5CD4"/>
    <w:rsid w:val="46FA73EB"/>
    <w:rsid w:val="470B1C8F"/>
    <w:rsid w:val="470D5A07"/>
    <w:rsid w:val="471054F8"/>
    <w:rsid w:val="472650D5"/>
    <w:rsid w:val="47354F5E"/>
    <w:rsid w:val="47555600"/>
    <w:rsid w:val="475E7875"/>
    <w:rsid w:val="47615D53"/>
    <w:rsid w:val="476870E2"/>
    <w:rsid w:val="47692345"/>
    <w:rsid w:val="476B0980"/>
    <w:rsid w:val="476B7AA9"/>
    <w:rsid w:val="476F4F18"/>
    <w:rsid w:val="4787079B"/>
    <w:rsid w:val="47A3011A"/>
    <w:rsid w:val="47A34ACE"/>
    <w:rsid w:val="47BB36B5"/>
    <w:rsid w:val="47CA56A6"/>
    <w:rsid w:val="47DD7AD0"/>
    <w:rsid w:val="47E932BB"/>
    <w:rsid w:val="47EE45F5"/>
    <w:rsid w:val="47F84572"/>
    <w:rsid w:val="47F95F8C"/>
    <w:rsid w:val="480212E4"/>
    <w:rsid w:val="48036E0A"/>
    <w:rsid w:val="480908C5"/>
    <w:rsid w:val="480F3A01"/>
    <w:rsid w:val="48362D3C"/>
    <w:rsid w:val="48384D06"/>
    <w:rsid w:val="484B195E"/>
    <w:rsid w:val="484B6BDE"/>
    <w:rsid w:val="4853189A"/>
    <w:rsid w:val="486024AF"/>
    <w:rsid w:val="48643D4D"/>
    <w:rsid w:val="487054F1"/>
    <w:rsid w:val="48717D9E"/>
    <w:rsid w:val="48735D3E"/>
    <w:rsid w:val="487970CD"/>
    <w:rsid w:val="48822425"/>
    <w:rsid w:val="488C32A4"/>
    <w:rsid w:val="489E39BE"/>
    <w:rsid w:val="48A24875"/>
    <w:rsid w:val="48A3448F"/>
    <w:rsid w:val="48A51C70"/>
    <w:rsid w:val="48AF2AEE"/>
    <w:rsid w:val="48C22822"/>
    <w:rsid w:val="48C26CC5"/>
    <w:rsid w:val="48C742DC"/>
    <w:rsid w:val="48D34A2F"/>
    <w:rsid w:val="48EE1869"/>
    <w:rsid w:val="48FC3F85"/>
    <w:rsid w:val="49096952"/>
    <w:rsid w:val="490E1F0B"/>
    <w:rsid w:val="49153299"/>
    <w:rsid w:val="4933371F"/>
    <w:rsid w:val="49396F88"/>
    <w:rsid w:val="49456FE6"/>
    <w:rsid w:val="4949644B"/>
    <w:rsid w:val="494C550B"/>
    <w:rsid w:val="49537D5A"/>
    <w:rsid w:val="49596BEB"/>
    <w:rsid w:val="495A0CAC"/>
    <w:rsid w:val="496164DE"/>
    <w:rsid w:val="49675177"/>
    <w:rsid w:val="49787384"/>
    <w:rsid w:val="49962188"/>
    <w:rsid w:val="49AF724A"/>
    <w:rsid w:val="49B06B1E"/>
    <w:rsid w:val="49DA50C7"/>
    <w:rsid w:val="49E07403"/>
    <w:rsid w:val="49E1318C"/>
    <w:rsid w:val="49E57569"/>
    <w:rsid w:val="49FA46A4"/>
    <w:rsid w:val="4A01321D"/>
    <w:rsid w:val="4A227A1C"/>
    <w:rsid w:val="4A25750C"/>
    <w:rsid w:val="4A2D75FD"/>
    <w:rsid w:val="4A314F18"/>
    <w:rsid w:val="4A35074C"/>
    <w:rsid w:val="4A365275"/>
    <w:rsid w:val="4A3B288C"/>
    <w:rsid w:val="4A506A7B"/>
    <w:rsid w:val="4A5751EC"/>
    <w:rsid w:val="4A5C4BFA"/>
    <w:rsid w:val="4A62250E"/>
    <w:rsid w:val="4A783AE0"/>
    <w:rsid w:val="4A895CED"/>
    <w:rsid w:val="4AAE7501"/>
    <w:rsid w:val="4AB64608"/>
    <w:rsid w:val="4ABB1C1E"/>
    <w:rsid w:val="4AC5484B"/>
    <w:rsid w:val="4AC977B2"/>
    <w:rsid w:val="4AD54A8E"/>
    <w:rsid w:val="4AD8632C"/>
    <w:rsid w:val="4AE0679B"/>
    <w:rsid w:val="4AED7288"/>
    <w:rsid w:val="4AF14026"/>
    <w:rsid w:val="4AF40C8C"/>
    <w:rsid w:val="4AF965F4"/>
    <w:rsid w:val="4B0640B6"/>
    <w:rsid w:val="4B1A06F3"/>
    <w:rsid w:val="4B2257F9"/>
    <w:rsid w:val="4B296B88"/>
    <w:rsid w:val="4B306168"/>
    <w:rsid w:val="4B3453BF"/>
    <w:rsid w:val="4B3B0B60"/>
    <w:rsid w:val="4B576CEC"/>
    <w:rsid w:val="4B642D5E"/>
    <w:rsid w:val="4B694C3F"/>
    <w:rsid w:val="4B773D97"/>
    <w:rsid w:val="4B7823E4"/>
    <w:rsid w:val="4B797B0F"/>
    <w:rsid w:val="4B7E5126"/>
    <w:rsid w:val="4B895879"/>
    <w:rsid w:val="4B9366F7"/>
    <w:rsid w:val="4B991F60"/>
    <w:rsid w:val="4BA803F5"/>
    <w:rsid w:val="4BAB3F4F"/>
    <w:rsid w:val="4BAC1502"/>
    <w:rsid w:val="4BAF1783"/>
    <w:rsid w:val="4BB11B3A"/>
    <w:rsid w:val="4BB26B7D"/>
    <w:rsid w:val="4BBA5AD8"/>
    <w:rsid w:val="4BCE3924"/>
    <w:rsid w:val="4BD60F44"/>
    <w:rsid w:val="4BED4059"/>
    <w:rsid w:val="4BF4363A"/>
    <w:rsid w:val="4BFF30BE"/>
    <w:rsid w:val="4C0373D9"/>
    <w:rsid w:val="4C037E0C"/>
    <w:rsid w:val="4C070DF6"/>
    <w:rsid w:val="4C082C41"/>
    <w:rsid w:val="4C093134"/>
    <w:rsid w:val="4C1121C4"/>
    <w:rsid w:val="4C213D03"/>
    <w:rsid w:val="4C261319"/>
    <w:rsid w:val="4C2757BD"/>
    <w:rsid w:val="4C2C4B82"/>
    <w:rsid w:val="4C3752D5"/>
    <w:rsid w:val="4C4A14AC"/>
    <w:rsid w:val="4C5639AD"/>
    <w:rsid w:val="4C5D1748"/>
    <w:rsid w:val="4C6B3C12"/>
    <w:rsid w:val="4C753097"/>
    <w:rsid w:val="4C8D3147"/>
    <w:rsid w:val="4C9444D5"/>
    <w:rsid w:val="4C96649F"/>
    <w:rsid w:val="4C9D15DC"/>
    <w:rsid w:val="4CB66B41"/>
    <w:rsid w:val="4CBB7CB4"/>
    <w:rsid w:val="4CC0351C"/>
    <w:rsid w:val="4CC90623"/>
    <w:rsid w:val="4CCC3C6F"/>
    <w:rsid w:val="4CE146D1"/>
    <w:rsid w:val="4D0005C3"/>
    <w:rsid w:val="4D070E2A"/>
    <w:rsid w:val="4D1A2C2C"/>
    <w:rsid w:val="4D1B0A8D"/>
    <w:rsid w:val="4D20220D"/>
    <w:rsid w:val="4D534390"/>
    <w:rsid w:val="4D5719B3"/>
    <w:rsid w:val="4D572122"/>
    <w:rsid w:val="4D5E08FC"/>
    <w:rsid w:val="4D602609"/>
    <w:rsid w:val="4D6245D3"/>
    <w:rsid w:val="4D76301F"/>
    <w:rsid w:val="4D7F68B2"/>
    <w:rsid w:val="4D803A30"/>
    <w:rsid w:val="4D8A5DD3"/>
    <w:rsid w:val="4D9329DF"/>
    <w:rsid w:val="4DA44BEC"/>
    <w:rsid w:val="4DAA6110"/>
    <w:rsid w:val="4DAC584E"/>
    <w:rsid w:val="4DBD2832"/>
    <w:rsid w:val="4DC306E5"/>
    <w:rsid w:val="4DC60558"/>
    <w:rsid w:val="4DCB03CA"/>
    <w:rsid w:val="4DCD7C9F"/>
    <w:rsid w:val="4DD1256D"/>
    <w:rsid w:val="4DDE1EAC"/>
    <w:rsid w:val="4DE84AD8"/>
    <w:rsid w:val="4E143B1F"/>
    <w:rsid w:val="4E3008AC"/>
    <w:rsid w:val="4E323FA5"/>
    <w:rsid w:val="4E437F61"/>
    <w:rsid w:val="4E4E286F"/>
    <w:rsid w:val="4E5E123E"/>
    <w:rsid w:val="4E5E2FEC"/>
    <w:rsid w:val="4E712D20"/>
    <w:rsid w:val="4E740A62"/>
    <w:rsid w:val="4E7E046D"/>
    <w:rsid w:val="4E8E1784"/>
    <w:rsid w:val="4E9E5901"/>
    <w:rsid w:val="4EB26E94"/>
    <w:rsid w:val="4EB923B7"/>
    <w:rsid w:val="4EC06B6F"/>
    <w:rsid w:val="4EC106FD"/>
    <w:rsid w:val="4ED17C62"/>
    <w:rsid w:val="4ED65279"/>
    <w:rsid w:val="4EDD03B5"/>
    <w:rsid w:val="4EDE5EDB"/>
    <w:rsid w:val="4EE03A01"/>
    <w:rsid w:val="4EE07EA5"/>
    <w:rsid w:val="4EEA4880"/>
    <w:rsid w:val="4EF43951"/>
    <w:rsid w:val="4EF860EF"/>
    <w:rsid w:val="4F135B85"/>
    <w:rsid w:val="4F24484D"/>
    <w:rsid w:val="4F276AF0"/>
    <w:rsid w:val="4F29184C"/>
    <w:rsid w:val="4F2953A8"/>
    <w:rsid w:val="4F2D5851"/>
    <w:rsid w:val="4F4977F9"/>
    <w:rsid w:val="4F4A0D86"/>
    <w:rsid w:val="4F657B50"/>
    <w:rsid w:val="4F7F76BE"/>
    <w:rsid w:val="4F8100E7"/>
    <w:rsid w:val="4FB56C3C"/>
    <w:rsid w:val="4FBA4253"/>
    <w:rsid w:val="4FD27620"/>
    <w:rsid w:val="4FD95020"/>
    <w:rsid w:val="4FDE6809"/>
    <w:rsid w:val="50016554"/>
    <w:rsid w:val="50041972"/>
    <w:rsid w:val="50154B32"/>
    <w:rsid w:val="50267B3A"/>
    <w:rsid w:val="502F4878"/>
    <w:rsid w:val="50447FC0"/>
    <w:rsid w:val="504C33D6"/>
    <w:rsid w:val="504F6567"/>
    <w:rsid w:val="505E4B9C"/>
    <w:rsid w:val="5060304C"/>
    <w:rsid w:val="506048C8"/>
    <w:rsid w:val="506348EA"/>
    <w:rsid w:val="5066262C"/>
    <w:rsid w:val="506F4906"/>
    <w:rsid w:val="50827466"/>
    <w:rsid w:val="50837A90"/>
    <w:rsid w:val="508605D9"/>
    <w:rsid w:val="50A54F03"/>
    <w:rsid w:val="50AC44E3"/>
    <w:rsid w:val="50B500CA"/>
    <w:rsid w:val="50C01D3C"/>
    <w:rsid w:val="50C8299F"/>
    <w:rsid w:val="50CC6933"/>
    <w:rsid w:val="50DF1314"/>
    <w:rsid w:val="50E0418D"/>
    <w:rsid w:val="50EC53CB"/>
    <w:rsid w:val="50ED0658"/>
    <w:rsid w:val="50ED7893"/>
    <w:rsid w:val="51051E45"/>
    <w:rsid w:val="51273B6A"/>
    <w:rsid w:val="5137165B"/>
    <w:rsid w:val="513F0ACD"/>
    <w:rsid w:val="5147420C"/>
    <w:rsid w:val="51491D32"/>
    <w:rsid w:val="51516E38"/>
    <w:rsid w:val="51586419"/>
    <w:rsid w:val="515D3A2F"/>
    <w:rsid w:val="51622DF4"/>
    <w:rsid w:val="51752B27"/>
    <w:rsid w:val="51805A47"/>
    <w:rsid w:val="51864D34"/>
    <w:rsid w:val="51976F41"/>
    <w:rsid w:val="5198244D"/>
    <w:rsid w:val="51A4340C"/>
    <w:rsid w:val="51AC406F"/>
    <w:rsid w:val="51C15D6C"/>
    <w:rsid w:val="51C36258"/>
    <w:rsid w:val="51D0506A"/>
    <w:rsid w:val="51D6733E"/>
    <w:rsid w:val="51DE2265"/>
    <w:rsid w:val="51E2758D"/>
    <w:rsid w:val="52151C14"/>
    <w:rsid w:val="522B06B1"/>
    <w:rsid w:val="522B768A"/>
    <w:rsid w:val="52320A18"/>
    <w:rsid w:val="52326C6A"/>
    <w:rsid w:val="52383B54"/>
    <w:rsid w:val="524E5B26"/>
    <w:rsid w:val="52524C16"/>
    <w:rsid w:val="526130AB"/>
    <w:rsid w:val="528806F1"/>
    <w:rsid w:val="528C1C29"/>
    <w:rsid w:val="52940359"/>
    <w:rsid w:val="52B14033"/>
    <w:rsid w:val="52C94B0D"/>
    <w:rsid w:val="52CF2E82"/>
    <w:rsid w:val="52D63A99"/>
    <w:rsid w:val="52D7336D"/>
    <w:rsid w:val="52D93B7C"/>
    <w:rsid w:val="52F04CE0"/>
    <w:rsid w:val="530103EA"/>
    <w:rsid w:val="53035F10"/>
    <w:rsid w:val="530D6D8F"/>
    <w:rsid w:val="531719BC"/>
    <w:rsid w:val="53195734"/>
    <w:rsid w:val="531D00F7"/>
    <w:rsid w:val="53364538"/>
    <w:rsid w:val="53487DC7"/>
    <w:rsid w:val="534B0154"/>
    <w:rsid w:val="534B4945"/>
    <w:rsid w:val="53592C74"/>
    <w:rsid w:val="536643CE"/>
    <w:rsid w:val="536A2433"/>
    <w:rsid w:val="537312E8"/>
    <w:rsid w:val="538A6632"/>
    <w:rsid w:val="53975234"/>
    <w:rsid w:val="53A21BCD"/>
    <w:rsid w:val="53B536AF"/>
    <w:rsid w:val="53B67427"/>
    <w:rsid w:val="53BD6A07"/>
    <w:rsid w:val="53BF0089"/>
    <w:rsid w:val="53C03E02"/>
    <w:rsid w:val="53C41B44"/>
    <w:rsid w:val="53C438F2"/>
    <w:rsid w:val="53C733E2"/>
    <w:rsid w:val="53CD7174"/>
    <w:rsid w:val="53D37FD9"/>
    <w:rsid w:val="53DA720B"/>
    <w:rsid w:val="53E915AA"/>
    <w:rsid w:val="53F1045F"/>
    <w:rsid w:val="53F73CC7"/>
    <w:rsid w:val="54181E8F"/>
    <w:rsid w:val="541C39D0"/>
    <w:rsid w:val="5429409D"/>
    <w:rsid w:val="54310657"/>
    <w:rsid w:val="543C16DA"/>
    <w:rsid w:val="544669FD"/>
    <w:rsid w:val="54510997"/>
    <w:rsid w:val="54580572"/>
    <w:rsid w:val="545C3B2A"/>
    <w:rsid w:val="54681D0A"/>
    <w:rsid w:val="546B242A"/>
    <w:rsid w:val="54890E82"/>
    <w:rsid w:val="549239F0"/>
    <w:rsid w:val="549561E9"/>
    <w:rsid w:val="54993E85"/>
    <w:rsid w:val="54AB5A3B"/>
    <w:rsid w:val="54B41BB8"/>
    <w:rsid w:val="54B75204"/>
    <w:rsid w:val="54B857F1"/>
    <w:rsid w:val="54C47531"/>
    <w:rsid w:val="54C6369A"/>
    <w:rsid w:val="54D51B2F"/>
    <w:rsid w:val="54D52855"/>
    <w:rsid w:val="54D90BC5"/>
    <w:rsid w:val="54E104D3"/>
    <w:rsid w:val="54E57FC4"/>
    <w:rsid w:val="54ED0C26"/>
    <w:rsid w:val="54EF499E"/>
    <w:rsid w:val="54F46459"/>
    <w:rsid w:val="54F93A6F"/>
    <w:rsid w:val="54FC70BB"/>
    <w:rsid w:val="550611E8"/>
    <w:rsid w:val="550B1DA6"/>
    <w:rsid w:val="550E7F74"/>
    <w:rsid w:val="55115E60"/>
    <w:rsid w:val="551A3E74"/>
    <w:rsid w:val="55264138"/>
    <w:rsid w:val="5529453F"/>
    <w:rsid w:val="55330203"/>
    <w:rsid w:val="554068C8"/>
    <w:rsid w:val="55482300"/>
    <w:rsid w:val="554A676E"/>
    <w:rsid w:val="55546EF7"/>
    <w:rsid w:val="55794BB0"/>
    <w:rsid w:val="557D01FC"/>
    <w:rsid w:val="558A5663"/>
    <w:rsid w:val="55D345A6"/>
    <w:rsid w:val="55D83684"/>
    <w:rsid w:val="55E010B8"/>
    <w:rsid w:val="55EC35D4"/>
    <w:rsid w:val="55ED4C35"/>
    <w:rsid w:val="55EF09CE"/>
    <w:rsid w:val="55F14746"/>
    <w:rsid w:val="5604091D"/>
    <w:rsid w:val="560B2FBF"/>
    <w:rsid w:val="562B5EAA"/>
    <w:rsid w:val="564313E8"/>
    <w:rsid w:val="56513437"/>
    <w:rsid w:val="56535401"/>
    <w:rsid w:val="566118CC"/>
    <w:rsid w:val="56725887"/>
    <w:rsid w:val="567E31CF"/>
    <w:rsid w:val="56AB0D99"/>
    <w:rsid w:val="56B57E6A"/>
    <w:rsid w:val="56BC392E"/>
    <w:rsid w:val="56BF65F2"/>
    <w:rsid w:val="56CF0F2B"/>
    <w:rsid w:val="56D55E16"/>
    <w:rsid w:val="56DF14D7"/>
    <w:rsid w:val="56F3629C"/>
    <w:rsid w:val="57007337"/>
    <w:rsid w:val="57044CE4"/>
    <w:rsid w:val="57122BC6"/>
    <w:rsid w:val="57193F55"/>
    <w:rsid w:val="572052E3"/>
    <w:rsid w:val="57460AC2"/>
    <w:rsid w:val="5748483A"/>
    <w:rsid w:val="57560D05"/>
    <w:rsid w:val="577613A7"/>
    <w:rsid w:val="57783371"/>
    <w:rsid w:val="57792C45"/>
    <w:rsid w:val="57931F59"/>
    <w:rsid w:val="579730CB"/>
    <w:rsid w:val="57A33264"/>
    <w:rsid w:val="57A37CC2"/>
    <w:rsid w:val="57C40364"/>
    <w:rsid w:val="57CF2865"/>
    <w:rsid w:val="57DB7132"/>
    <w:rsid w:val="57FB365A"/>
    <w:rsid w:val="57FF139C"/>
    <w:rsid w:val="58044C05"/>
    <w:rsid w:val="58150846"/>
    <w:rsid w:val="5816759C"/>
    <w:rsid w:val="58311772"/>
    <w:rsid w:val="58313520"/>
    <w:rsid w:val="58382B00"/>
    <w:rsid w:val="583D1EC5"/>
    <w:rsid w:val="58550FBC"/>
    <w:rsid w:val="585A65D3"/>
    <w:rsid w:val="586E7B85"/>
    <w:rsid w:val="58825B29"/>
    <w:rsid w:val="58922210"/>
    <w:rsid w:val="589A2E73"/>
    <w:rsid w:val="58A253FD"/>
    <w:rsid w:val="58A9755A"/>
    <w:rsid w:val="58B53AFC"/>
    <w:rsid w:val="58C023D5"/>
    <w:rsid w:val="58C675C0"/>
    <w:rsid w:val="58E6255C"/>
    <w:rsid w:val="592856EA"/>
    <w:rsid w:val="59374B66"/>
    <w:rsid w:val="594352B9"/>
    <w:rsid w:val="59445C53"/>
    <w:rsid w:val="594B184B"/>
    <w:rsid w:val="594D6137"/>
    <w:rsid w:val="5951306C"/>
    <w:rsid w:val="595B6AA6"/>
    <w:rsid w:val="595E7A20"/>
    <w:rsid w:val="596040BD"/>
    <w:rsid w:val="596A24EB"/>
    <w:rsid w:val="5971586D"/>
    <w:rsid w:val="59722042"/>
    <w:rsid w:val="59725B9E"/>
    <w:rsid w:val="597436C4"/>
    <w:rsid w:val="59796F2C"/>
    <w:rsid w:val="597D48DC"/>
    <w:rsid w:val="599975CF"/>
    <w:rsid w:val="59A71CEC"/>
    <w:rsid w:val="59BF8F1A"/>
    <w:rsid w:val="59C26B25"/>
    <w:rsid w:val="59C53F20"/>
    <w:rsid w:val="59C74B1F"/>
    <w:rsid w:val="59E940B2"/>
    <w:rsid w:val="59EA1BD8"/>
    <w:rsid w:val="5A02517B"/>
    <w:rsid w:val="5A0F49C5"/>
    <w:rsid w:val="5A0F7891"/>
    <w:rsid w:val="5A1720C1"/>
    <w:rsid w:val="5A2275C4"/>
    <w:rsid w:val="5A3D43FE"/>
    <w:rsid w:val="5A4237C2"/>
    <w:rsid w:val="5A4C63EF"/>
    <w:rsid w:val="5A4E2167"/>
    <w:rsid w:val="5A500226"/>
    <w:rsid w:val="5A544481"/>
    <w:rsid w:val="5A5B4884"/>
    <w:rsid w:val="5A690D4F"/>
    <w:rsid w:val="5A696FA1"/>
    <w:rsid w:val="5A7B17C7"/>
    <w:rsid w:val="5A7F6F9F"/>
    <w:rsid w:val="5A8E5594"/>
    <w:rsid w:val="5A963B0E"/>
    <w:rsid w:val="5ACF66A1"/>
    <w:rsid w:val="5AD703AE"/>
    <w:rsid w:val="5AE40D1D"/>
    <w:rsid w:val="5AF01470"/>
    <w:rsid w:val="5AF14420"/>
    <w:rsid w:val="5AF4295F"/>
    <w:rsid w:val="5AFA22EF"/>
    <w:rsid w:val="5AFE1C82"/>
    <w:rsid w:val="5B561E76"/>
    <w:rsid w:val="5B590DC3"/>
    <w:rsid w:val="5B5F03A4"/>
    <w:rsid w:val="5B61236E"/>
    <w:rsid w:val="5B7025B1"/>
    <w:rsid w:val="5B726329"/>
    <w:rsid w:val="5B745BFD"/>
    <w:rsid w:val="5B9938B6"/>
    <w:rsid w:val="5B9B13DC"/>
    <w:rsid w:val="5BA069F2"/>
    <w:rsid w:val="5BB26726"/>
    <w:rsid w:val="5BB31A7F"/>
    <w:rsid w:val="5BC54988"/>
    <w:rsid w:val="5BD40D92"/>
    <w:rsid w:val="5BDC05EC"/>
    <w:rsid w:val="5BE07737"/>
    <w:rsid w:val="5BE64AC5"/>
    <w:rsid w:val="5BFC7A7E"/>
    <w:rsid w:val="5C076A71"/>
    <w:rsid w:val="5C0A47B4"/>
    <w:rsid w:val="5C0F1DCA"/>
    <w:rsid w:val="5C27560A"/>
    <w:rsid w:val="5C2869E8"/>
    <w:rsid w:val="5C321636"/>
    <w:rsid w:val="5C3929A3"/>
    <w:rsid w:val="5C480E38"/>
    <w:rsid w:val="5C4A4BB0"/>
    <w:rsid w:val="5C567919"/>
    <w:rsid w:val="5C757E7F"/>
    <w:rsid w:val="5C7A0D57"/>
    <w:rsid w:val="5C9D6B61"/>
    <w:rsid w:val="5CAE15E3"/>
    <w:rsid w:val="5CBD0CC6"/>
    <w:rsid w:val="5CC22F6F"/>
    <w:rsid w:val="5CC61230"/>
    <w:rsid w:val="5CE2303B"/>
    <w:rsid w:val="5CE62B2B"/>
    <w:rsid w:val="5CE93A54"/>
    <w:rsid w:val="5D096819"/>
    <w:rsid w:val="5D1A0A26"/>
    <w:rsid w:val="5D20065F"/>
    <w:rsid w:val="5D270B8C"/>
    <w:rsid w:val="5D30024A"/>
    <w:rsid w:val="5D342320"/>
    <w:rsid w:val="5D3F223B"/>
    <w:rsid w:val="5D3F22FF"/>
    <w:rsid w:val="5D480399"/>
    <w:rsid w:val="5D4F0F9F"/>
    <w:rsid w:val="5D5D4AFA"/>
    <w:rsid w:val="5D6E42D7"/>
    <w:rsid w:val="5D9C7014"/>
    <w:rsid w:val="5DA05CCA"/>
    <w:rsid w:val="5DA121FD"/>
    <w:rsid w:val="5DAD3649"/>
    <w:rsid w:val="5DAD55EA"/>
    <w:rsid w:val="5DB03139"/>
    <w:rsid w:val="5DB1138B"/>
    <w:rsid w:val="5DB6074F"/>
    <w:rsid w:val="5DC32E6C"/>
    <w:rsid w:val="5DC80482"/>
    <w:rsid w:val="5DCB3ACF"/>
    <w:rsid w:val="5E0E0D51"/>
    <w:rsid w:val="5E104167"/>
    <w:rsid w:val="5E271A0D"/>
    <w:rsid w:val="5E345B18"/>
    <w:rsid w:val="5E3E6996"/>
    <w:rsid w:val="5E451AD3"/>
    <w:rsid w:val="5E483371"/>
    <w:rsid w:val="5E622685"/>
    <w:rsid w:val="5E6E1B79"/>
    <w:rsid w:val="5E761C8C"/>
    <w:rsid w:val="5E7D19B8"/>
    <w:rsid w:val="5E800D5D"/>
    <w:rsid w:val="5E81619A"/>
    <w:rsid w:val="5E82439A"/>
    <w:rsid w:val="5E8343A9"/>
    <w:rsid w:val="5E9B7945"/>
    <w:rsid w:val="5EA63018"/>
    <w:rsid w:val="5EA70098"/>
    <w:rsid w:val="5EAE7678"/>
    <w:rsid w:val="5EB5303E"/>
    <w:rsid w:val="5EE40F07"/>
    <w:rsid w:val="5F011E9E"/>
    <w:rsid w:val="5F16521D"/>
    <w:rsid w:val="5F1F6400"/>
    <w:rsid w:val="5F351B48"/>
    <w:rsid w:val="5F3B5A4A"/>
    <w:rsid w:val="5F4973A1"/>
    <w:rsid w:val="5F5244A8"/>
    <w:rsid w:val="5F5A15AE"/>
    <w:rsid w:val="5F6972FD"/>
    <w:rsid w:val="5F7540C4"/>
    <w:rsid w:val="5F7A0236"/>
    <w:rsid w:val="5F7A57AC"/>
    <w:rsid w:val="5F7E1979"/>
    <w:rsid w:val="5F8B3850"/>
    <w:rsid w:val="5F926F9A"/>
    <w:rsid w:val="5F944AC0"/>
    <w:rsid w:val="5F9F0846"/>
    <w:rsid w:val="5F9F5213"/>
    <w:rsid w:val="5FA97E40"/>
    <w:rsid w:val="5FB2769F"/>
    <w:rsid w:val="5FB7255D"/>
    <w:rsid w:val="5FC61956"/>
    <w:rsid w:val="5FC829BC"/>
    <w:rsid w:val="5FCA6734"/>
    <w:rsid w:val="5FE13A7D"/>
    <w:rsid w:val="5FEC3B08"/>
    <w:rsid w:val="5FFB4B3F"/>
    <w:rsid w:val="5FFC2665"/>
    <w:rsid w:val="600F4147"/>
    <w:rsid w:val="602443A4"/>
    <w:rsid w:val="60491203"/>
    <w:rsid w:val="604D0B16"/>
    <w:rsid w:val="60591866"/>
    <w:rsid w:val="605C0691"/>
    <w:rsid w:val="606326E4"/>
    <w:rsid w:val="606721D5"/>
    <w:rsid w:val="607A11CF"/>
    <w:rsid w:val="60A32AE1"/>
    <w:rsid w:val="60A65766"/>
    <w:rsid w:val="60CD6DE4"/>
    <w:rsid w:val="60FB46CB"/>
    <w:rsid w:val="60FD6695"/>
    <w:rsid w:val="60FF065F"/>
    <w:rsid w:val="61227EAA"/>
    <w:rsid w:val="61286E94"/>
    <w:rsid w:val="612B3202"/>
    <w:rsid w:val="613320B7"/>
    <w:rsid w:val="613528A4"/>
    <w:rsid w:val="614477C8"/>
    <w:rsid w:val="61477910"/>
    <w:rsid w:val="61515E1E"/>
    <w:rsid w:val="61713164"/>
    <w:rsid w:val="61834DEC"/>
    <w:rsid w:val="61897F29"/>
    <w:rsid w:val="619B2EC8"/>
    <w:rsid w:val="619D109C"/>
    <w:rsid w:val="619D759E"/>
    <w:rsid w:val="61AD00BB"/>
    <w:rsid w:val="61CD250B"/>
    <w:rsid w:val="61D45648"/>
    <w:rsid w:val="61DA2E9A"/>
    <w:rsid w:val="61E22AA6"/>
    <w:rsid w:val="61E82EA1"/>
    <w:rsid w:val="61F77588"/>
    <w:rsid w:val="61F95CB3"/>
    <w:rsid w:val="62092E18"/>
    <w:rsid w:val="621041A6"/>
    <w:rsid w:val="621B3277"/>
    <w:rsid w:val="621B4377"/>
    <w:rsid w:val="62243FD2"/>
    <w:rsid w:val="62261C1B"/>
    <w:rsid w:val="62265778"/>
    <w:rsid w:val="624438CC"/>
    <w:rsid w:val="62475593"/>
    <w:rsid w:val="625642AF"/>
    <w:rsid w:val="625D2CE6"/>
    <w:rsid w:val="626A5FAC"/>
    <w:rsid w:val="626B762E"/>
    <w:rsid w:val="626F35C2"/>
    <w:rsid w:val="62712E97"/>
    <w:rsid w:val="627556D3"/>
    <w:rsid w:val="627C183B"/>
    <w:rsid w:val="6286659E"/>
    <w:rsid w:val="62883C98"/>
    <w:rsid w:val="62917095"/>
    <w:rsid w:val="62AE5E99"/>
    <w:rsid w:val="62B50B3A"/>
    <w:rsid w:val="62B611F1"/>
    <w:rsid w:val="62BA138B"/>
    <w:rsid w:val="62BA1E88"/>
    <w:rsid w:val="62C0797A"/>
    <w:rsid w:val="62C27B96"/>
    <w:rsid w:val="62D022B3"/>
    <w:rsid w:val="62F95301"/>
    <w:rsid w:val="62FD472A"/>
    <w:rsid w:val="63192522"/>
    <w:rsid w:val="63272672"/>
    <w:rsid w:val="63275C4B"/>
    <w:rsid w:val="632B573B"/>
    <w:rsid w:val="63506F50"/>
    <w:rsid w:val="635C3B47"/>
    <w:rsid w:val="6372336A"/>
    <w:rsid w:val="6379740E"/>
    <w:rsid w:val="63984453"/>
    <w:rsid w:val="639A01CB"/>
    <w:rsid w:val="63A177AC"/>
    <w:rsid w:val="63B514A9"/>
    <w:rsid w:val="63BD18E0"/>
    <w:rsid w:val="63C82F8A"/>
    <w:rsid w:val="63D538F9"/>
    <w:rsid w:val="63F024E1"/>
    <w:rsid w:val="63F0428F"/>
    <w:rsid w:val="64063AB3"/>
    <w:rsid w:val="6417181C"/>
    <w:rsid w:val="64194198"/>
    <w:rsid w:val="642F125B"/>
    <w:rsid w:val="644F7208"/>
    <w:rsid w:val="645422AA"/>
    <w:rsid w:val="645A5BAC"/>
    <w:rsid w:val="64627B46"/>
    <w:rsid w:val="64744EC0"/>
    <w:rsid w:val="6482420D"/>
    <w:rsid w:val="64852C29"/>
    <w:rsid w:val="6486756C"/>
    <w:rsid w:val="649C627F"/>
    <w:rsid w:val="64A357A5"/>
    <w:rsid w:val="64A70DF2"/>
    <w:rsid w:val="64B61035"/>
    <w:rsid w:val="64C03E85"/>
    <w:rsid w:val="64DB3C10"/>
    <w:rsid w:val="64DD4813"/>
    <w:rsid w:val="64EC2CA8"/>
    <w:rsid w:val="64F47DAF"/>
    <w:rsid w:val="651421FF"/>
    <w:rsid w:val="65235556"/>
    <w:rsid w:val="65402FF4"/>
    <w:rsid w:val="65410C2D"/>
    <w:rsid w:val="65426D6C"/>
    <w:rsid w:val="65440D49"/>
    <w:rsid w:val="654C1999"/>
    <w:rsid w:val="654F3237"/>
    <w:rsid w:val="65556AA0"/>
    <w:rsid w:val="656211BC"/>
    <w:rsid w:val="656B62C3"/>
    <w:rsid w:val="658D448B"/>
    <w:rsid w:val="658F5ADC"/>
    <w:rsid w:val="659D3FA3"/>
    <w:rsid w:val="65A90B99"/>
    <w:rsid w:val="65AA1AAA"/>
    <w:rsid w:val="65B337C6"/>
    <w:rsid w:val="65C14135"/>
    <w:rsid w:val="65C21C5B"/>
    <w:rsid w:val="65C634F9"/>
    <w:rsid w:val="65C94D98"/>
    <w:rsid w:val="65CE4203"/>
    <w:rsid w:val="65D70CA1"/>
    <w:rsid w:val="65DA6FA5"/>
    <w:rsid w:val="65E240AB"/>
    <w:rsid w:val="65F53DDF"/>
    <w:rsid w:val="661029C7"/>
    <w:rsid w:val="661F0E5C"/>
    <w:rsid w:val="66216982"/>
    <w:rsid w:val="66432056"/>
    <w:rsid w:val="6647338D"/>
    <w:rsid w:val="665B6338"/>
    <w:rsid w:val="66650F64"/>
    <w:rsid w:val="666934EC"/>
    <w:rsid w:val="666F1DE3"/>
    <w:rsid w:val="667016B7"/>
    <w:rsid w:val="667C4500"/>
    <w:rsid w:val="66994B0C"/>
    <w:rsid w:val="66B43C9A"/>
    <w:rsid w:val="66B477F6"/>
    <w:rsid w:val="66CA0DC7"/>
    <w:rsid w:val="66CC69F2"/>
    <w:rsid w:val="66D47E98"/>
    <w:rsid w:val="66E30574"/>
    <w:rsid w:val="66E63727"/>
    <w:rsid w:val="66F26570"/>
    <w:rsid w:val="66F44096"/>
    <w:rsid w:val="67087B42"/>
    <w:rsid w:val="672030DD"/>
    <w:rsid w:val="6723497B"/>
    <w:rsid w:val="672C60C2"/>
    <w:rsid w:val="6740552D"/>
    <w:rsid w:val="67420B35"/>
    <w:rsid w:val="674D19FB"/>
    <w:rsid w:val="675B4115"/>
    <w:rsid w:val="675E2E21"/>
    <w:rsid w:val="67730F5E"/>
    <w:rsid w:val="678216A2"/>
    <w:rsid w:val="678B7CC5"/>
    <w:rsid w:val="678C42CF"/>
    <w:rsid w:val="678E0047"/>
    <w:rsid w:val="678E1835"/>
    <w:rsid w:val="67924D39"/>
    <w:rsid w:val="679D028A"/>
    <w:rsid w:val="67A53A1B"/>
    <w:rsid w:val="67C831F8"/>
    <w:rsid w:val="67E1461B"/>
    <w:rsid w:val="67E625AF"/>
    <w:rsid w:val="67F00D02"/>
    <w:rsid w:val="67F87BB6"/>
    <w:rsid w:val="67FB06AE"/>
    <w:rsid w:val="67FF0F45"/>
    <w:rsid w:val="68054E97"/>
    <w:rsid w:val="680B1697"/>
    <w:rsid w:val="68104F00"/>
    <w:rsid w:val="68115A04"/>
    <w:rsid w:val="681317B4"/>
    <w:rsid w:val="68185632"/>
    <w:rsid w:val="681A77FC"/>
    <w:rsid w:val="681D761D"/>
    <w:rsid w:val="68295FC1"/>
    <w:rsid w:val="682E35D8"/>
    <w:rsid w:val="68307350"/>
    <w:rsid w:val="684A1564"/>
    <w:rsid w:val="686D44C4"/>
    <w:rsid w:val="687E5DDE"/>
    <w:rsid w:val="6886652E"/>
    <w:rsid w:val="68914293"/>
    <w:rsid w:val="689941D9"/>
    <w:rsid w:val="689B63E2"/>
    <w:rsid w:val="689E7D1C"/>
    <w:rsid w:val="68A824EB"/>
    <w:rsid w:val="68AA5354"/>
    <w:rsid w:val="68C415F9"/>
    <w:rsid w:val="68C6779B"/>
    <w:rsid w:val="68E72104"/>
    <w:rsid w:val="68EC0EFF"/>
    <w:rsid w:val="69006D22"/>
    <w:rsid w:val="6908207B"/>
    <w:rsid w:val="690F3409"/>
    <w:rsid w:val="69127F3A"/>
    <w:rsid w:val="6915767D"/>
    <w:rsid w:val="69194288"/>
    <w:rsid w:val="69197DE4"/>
    <w:rsid w:val="692844CB"/>
    <w:rsid w:val="6931512E"/>
    <w:rsid w:val="693B6DBC"/>
    <w:rsid w:val="69405E80"/>
    <w:rsid w:val="6942733B"/>
    <w:rsid w:val="69735746"/>
    <w:rsid w:val="69751C91"/>
    <w:rsid w:val="697E40EB"/>
    <w:rsid w:val="6981433F"/>
    <w:rsid w:val="6987405A"/>
    <w:rsid w:val="699F478D"/>
    <w:rsid w:val="69A066CF"/>
    <w:rsid w:val="69B44F51"/>
    <w:rsid w:val="69B95123"/>
    <w:rsid w:val="69BB533F"/>
    <w:rsid w:val="69CC245F"/>
    <w:rsid w:val="69EE07EF"/>
    <w:rsid w:val="69F04FE9"/>
    <w:rsid w:val="69FA19C4"/>
    <w:rsid w:val="6A0171F6"/>
    <w:rsid w:val="6A042842"/>
    <w:rsid w:val="6A0858ED"/>
    <w:rsid w:val="6A116D0D"/>
    <w:rsid w:val="6A161929"/>
    <w:rsid w:val="6A303637"/>
    <w:rsid w:val="6A333127"/>
    <w:rsid w:val="6A356EA0"/>
    <w:rsid w:val="6A4C58AB"/>
    <w:rsid w:val="6A537326"/>
    <w:rsid w:val="6A5437CA"/>
    <w:rsid w:val="6A682DD1"/>
    <w:rsid w:val="6A721EA2"/>
    <w:rsid w:val="6A8B4D12"/>
    <w:rsid w:val="6A9E0AB3"/>
    <w:rsid w:val="6A9E36A9"/>
    <w:rsid w:val="6A9F07BD"/>
    <w:rsid w:val="6AB06526"/>
    <w:rsid w:val="6AB21A88"/>
    <w:rsid w:val="6ABA1153"/>
    <w:rsid w:val="6ABC311D"/>
    <w:rsid w:val="6AC967BD"/>
    <w:rsid w:val="6ACB15B2"/>
    <w:rsid w:val="6AD922AE"/>
    <w:rsid w:val="6ADA2EE2"/>
    <w:rsid w:val="6AE14931"/>
    <w:rsid w:val="6AE461D0"/>
    <w:rsid w:val="6AED1528"/>
    <w:rsid w:val="6B1116BB"/>
    <w:rsid w:val="6B144D07"/>
    <w:rsid w:val="6B1940CB"/>
    <w:rsid w:val="6B1B42E7"/>
    <w:rsid w:val="6B2D5DC9"/>
    <w:rsid w:val="6B340F05"/>
    <w:rsid w:val="6B376C47"/>
    <w:rsid w:val="6B416020"/>
    <w:rsid w:val="6B421874"/>
    <w:rsid w:val="6B45401D"/>
    <w:rsid w:val="6B674B73"/>
    <w:rsid w:val="6B67752D"/>
    <w:rsid w:val="6B686E01"/>
    <w:rsid w:val="6B7C3FE0"/>
    <w:rsid w:val="6B7E3E65"/>
    <w:rsid w:val="6B916358"/>
    <w:rsid w:val="6B981494"/>
    <w:rsid w:val="6BAA605B"/>
    <w:rsid w:val="6BAF1987"/>
    <w:rsid w:val="6BC24677"/>
    <w:rsid w:val="6BE13540"/>
    <w:rsid w:val="6C0F0094"/>
    <w:rsid w:val="6C3358AD"/>
    <w:rsid w:val="6C3D4CEC"/>
    <w:rsid w:val="6C517895"/>
    <w:rsid w:val="6C53185F"/>
    <w:rsid w:val="6C5555D7"/>
    <w:rsid w:val="6C5C6966"/>
    <w:rsid w:val="6C6168D2"/>
    <w:rsid w:val="6C6B3F54"/>
    <w:rsid w:val="6C7A6DEC"/>
    <w:rsid w:val="6C8B724B"/>
    <w:rsid w:val="6CAC7F56"/>
    <w:rsid w:val="6CAD5413"/>
    <w:rsid w:val="6CB247D7"/>
    <w:rsid w:val="6CBE76B7"/>
    <w:rsid w:val="6CC93D8C"/>
    <w:rsid w:val="6CD010B4"/>
    <w:rsid w:val="6CD94D35"/>
    <w:rsid w:val="6CDC2D02"/>
    <w:rsid w:val="6CE03ADF"/>
    <w:rsid w:val="6CEA21C3"/>
    <w:rsid w:val="6CEC16AE"/>
    <w:rsid w:val="6D150C3F"/>
    <w:rsid w:val="6D201D79"/>
    <w:rsid w:val="6D317DF2"/>
    <w:rsid w:val="6D321474"/>
    <w:rsid w:val="6D3A657B"/>
    <w:rsid w:val="6D401DE3"/>
    <w:rsid w:val="6D4C69DA"/>
    <w:rsid w:val="6D54763D"/>
    <w:rsid w:val="6D617FAC"/>
    <w:rsid w:val="6D6A502A"/>
    <w:rsid w:val="6D6C2BD8"/>
    <w:rsid w:val="6D716441"/>
    <w:rsid w:val="6D74405A"/>
    <w:rsid w:val="6D7E290C"/>
    <w:rsid w:val="6D8D0DA1"/>
    <w:rsid w:val="6D910891"/>
    <w:rsid w:val="6D934609"/>
    <w:rsid w:val="6D9B34BE"/>
    <w:rsid w:val="6DA93E2C"/>
    <w:rsid w:val="6DAE137C"/>
    <w:rsid w:val="6DB12CE1"/>
    <w:rsid w:val="6DB66549"/>
    <w:rsid w:val="6DC17626"/>
    <w:rsid w:val="6DDD7632"/>
    <w:rsid w:val="6DE94229"/>
    <w:rsid w:val="6DEE13D3"/>
    <w:rsid w:val="6DF204F3"/>
    <w:rsid w:val="6DF80910"/>
    <w:rsid w:val="6DFB25A7"/>
    <w:rsid w:val="6DFB74A1"/>
    <w:rsid w:val="6DFF4B3E"/>
    <w:rsid w:val="6E032E11"/>
    <w:rsid w:val="6E0C7F17"/>
    <w:rsid w:val="6E107D27"/>
    <w:rsid w:val="6E11552E"/>
    <w:rsid w:val="6E153AA7"/>
    <w:rsid w:val="6E192634"/>
    <w:rsid w:val="6E29543F"/>
    <w:rsid w:val="6E453429"/>
    <w:rsid w:val="6E495542"/>
    <w:rsid w:val="6E530B8F"/>
    <w:rsid w:val="6E5518BE"/>
    <w:rsid w:val="6E5F3098"/>
    <w:rsid w:val="6E645FA5"/>
    <w:rsid w:val="6E7066F8"/>
    <w:rsid w:val="6E767AEE"/>
    <w:rsid w:val="6E7E5A82"/>
    <w:rsid w:val="6E9D3265"/>
    <w:rsid w:val="6EA75E92"/>
    <w:rsid w:val="6EAC5256"/>
    <w:rsid w:val="6EAF4D07"/>
    <w:rsid w:val="6EB760D5"/>
    <w:rsid w:val="6EDC1FE0"/>
    <w:rsid w:val="6EE67B3C"/>
    <w:rsid w:val="6EE92007"/>
    <w:rsid w:val="6EF015E7"/>
    <w:rsid w:val="6EF03395"/>
    <w:rsid w:val="6F01711A"/>
    <w:rsid w:val="6F060E0B"/>
    <w:rsid w:val="6F074A6D"/>
    <w:rsid w:val="6F1352D6"/>
    <w:rsid w:val="6F1E6154"/>
    <w:rsid w:val="6F2B4B68"/>
    <w:rsid w:val="6F2D283B"/>
    <w:rsid w:val="6F306851"/>
    <w:rsid w:val="6F507677"/>
    <w:rsid w:val="6F55769C"/>
    <w:rsid w:val="6F59718C"/>
    <w:rsid w:val="6F6049BF"/>
    <w:rsid w:val="6F60676D"/>
    <w:rsid w:val="6F631DB9"/>
    <w:rsid w:val="6F8C0D3E"/>
    <w:rsid w:val="6F8F524D"/>
    <w:rsid w:val="6F91730F"/>
    <w:rsid w:val="6F937C1E"/>
    <w:rsid w:val="6FA26D85"/>
    <w:rsid w:val="6FAD74D8"/>
    <w:rsid w:val="6FAE76D6"/>
    <w:rsid w:val="6FAF6057"/>
    <w:rsid w:val="6FBB1BF5"/>
    <w:rsid w:val="6FBD596D"/>
    <w:rsid w:val="6FCF744E"/>
    <w:rsid w:val="6FDC1B6B"/>
    <w:rsid w:val="6FE253D4"/>
    <w:rsid w:val="6FE32EFA"/>
    <w:rsid w:val="6FE64AB9"/>
    <w:rsid w:val="6FF46EB5"/>
    <w:rsid w:val="7006260B"/>
    <w:rsid w:val="701B2694"/>
    <w:rsid w:val="701D493C"/>
    <w:rsid w:val="702A6D7B"/>
    <w:rsid w:val="702F4391"/>
    <w:rsid w:val="70415460"/>
    <w:rsid w:val="70455963"/>
    <w:rsid w:val="70524F5E"/>
    <w:rsid w:val="705931BC"/>
    <w:rsid w:val="705A140E"/>
    <w:rsid w:val="705B2B64"/>
    <w:rsid w:val="705E333F"/>
    <w:rsid w:val="70602531"/>
    <w:rsid w:val="706A53C9"/>
    <w:rsid w:val="706C1436"/>
    <w:rsid w:val="70714D70"/>
    <w:rsid w:val="707B3423"/>
    <w:rsid w:val="707F7495"/>
    <w:rsid w:val="708244C1"/>
    <w:rsid w:val="708C17E3"/>
    <w:rsid w:val="708E10B8"/>
    <w:rsid w:val="70A200D8"/>
    <w:rsid w:val="70B76860"/>
    <w:rsid w:val="70CD60A2"/>
    <w:rsid w:val="70D6480D"/>
    <w:rsid w:val="70E60EF4"/>
    <w:rsid w:val="70E76A1A"/>
    <w:rsid w:val="70F058CE"/>
    <w:rsid w:val="70F25AEA"/>
    <w:rsid w:val="71155CE6"/>
    <w:rsid w:val="711E068D"/>
    <w:rsid w:val="71324139"/>
    <w:rsid w:val="713D2C78"/>
    <w:rsid w:val="714D4ACF"/>
    <w:rsid w:val="71527D49"/>
    <w:rsid w:val="71542301"/>
    <w:rsid w:val="7159429E"/>
    <w:rsid w:val="716128A3"/>
    <w:rsid w:val="716B764B"/>
    <w:rsid w:val="717C4ED8"/>
    <w:rsid w:val="71864485"/>
    <w:rsid w:val="718C256D"/>
    <w:rsid w:val="71925BAB"/>
    <w:rsid w:val="71950224"/>
    <w:rsid w:val="719B1CDE"/>
    <w:rsid w:val="71A861A9"/>
    <w:rsid w:val="71BA7C8A"/>
    <w:rsid w:val="71CB5D34"/>
    <w:rsid w:val="71CD5C10"/>
    <w:rsid w:val="71EA4A14"/>
    <w:rsid w:val="71F87130"/>
    <w:rsid w:val="72023B0B"/>
    <w:rsid w:val="72071415"/>
    <w:rsid w:val="720C2BDC"/>
    <w:rsid w:val="721556B0"/>
    <w:rsid w:val="721B697B"/>
    <w:rsid w:val="721E5934"/>
    <w:rsid w:val="72225ADC"/>
    <w:rsid w:val="72275320"/>
    <w:rsid w:val="72352B33"/>
    <w:rsid w:val="72536115"/>
    <w:rsid w:val="72693B8A"/>
    <w:rsid w:val="727B566C"/>
    <w:rsid w:val="729A1F96"/>
    <w:rsid w:val="72A03324"/>
    <w:rsid w:val="72AB41A3"/>
    <w:rsid w:val="72B3231C"/>
    <w:rsid w:val="72B33515"/>
    <w:rsid w:val="72BA2638"/>
    <w:rsid w:val="72DF5BFA"/>
    <w:rsid w:val="72E17BC5"/>
    <w:rsid w:val="72EB0A43"/>
    <w:rsid w:val="72EB27F1"/>
    <w:rsid w:val="72F34E28"/>
    <w:rsid w:val="73016EA5"/>
    <w:rsid w:val="7314132C"/>
    <w:rsid w:val="73221F8B"/>
    <w:rsid w:val="732930C1"/>
    <w:rsid w:val="732F740C"/>
    <w:rsid w:val="7343262D"/>
    <w:rsid w:val="73661E78"/>
    <w:rsid w:val="736B1B84"/>
    <w:rsid w:val="73700F48"/>
    <w:rsid w:val="737E5413"/>
    <w:rsid w:val="737F118B"/>
    <w:rsid w:val="738549F4"/>
    <w:rsid w:val="738B7B30"/>
    <w:rsid w:val="739E7864"/>
    <w:rsid w:val="73BA21C4"/>
    <w:rsid w:val="73DB2866"/>
    <w:rsid w:val="73DD4830"/>
    <w:rsid w:val="73EC4A73"/>
    <w:rsid w:val="73ED4347"/>
    <w:rsid w:val="73F24B82"/>
    <w:rsid w:val="73F90F3E"/>
    <w:rsid w:val="74056669"/>
    <w:rsid w:val="740578E3"/>
    <w:rsid w:val="740D179A"/>
    <w:rsid w:val="741D2E7E"/>
    <w:rsid w:val="74281823"/>
    <w:rsid w:val="742A2BCD"/>
    <w:rsid w:val="74373814"/>
    <w:rsid w:val="743C0E2B"/>
    <w:rsid w:val="74424693"/>
    <w:rsid w:val="7443040B"/>
    <w:rsid w:val="74562359"/>
    <w:rsid w:val="745A5E80"/>
    <w:rsid w:val="745D327B"/>
    <w:rsid w:val="746A3BEA"/>
    <w:rsid w:val="746E36DA"/>
    <w:rsid w:val="74827185"/>
    <w:rsid w:val="748B4C79"/>
    <w:rsid w:val="748C31A5"/>
    <w:rsid w:val="749D3FBF"/>
    <w:rsid w:val="74A726EC"/>
    <w:rsid w:val="74B11819"/>
    <w:rsid w:val="74BB61F3"/>
    <w:rsid w:val="74C4154C"/>
    <w:rsid w:val="74D12BD5"/>
    <w:rsid w:val="74DF5381"/>
    <w:rsid w:val="74E219D2"/>
    <w:rsid w:val="74E43CA8"/>
    <w:rsid w:val="74E474F8"/>
    <w:rsid w:val="74E70690"/>
    <w:rsid w:val="74E7348C"/>
    <w:rsid w:val="74EC6A3D"/>
    <w:rsid w:val="74F33BDF"/>
    <w:rsid w:val="74FD4A5E"/>
    <w:rsid w:val="75081776"/>
    <w:rsid w:val="750C7072"/>
    <w:rsid w:val="750E0A19"/>
    <w:rsid w:val="750E6C49"/>
    <w:rsid w:val="752446F1"/>
    <w:rsid w:val="75475CD9"/>
    <w:rsid w:val="754A4EFB"/>
    <w:rsid w:val="75510906"/>
    <w:rsid w:val="75692310"/>
    <w:rsid w:val="756A4408"/>
    <w:rsid w:val="756D1BE3"/>
    <w:rsid w:val="758E56B6"/>
    <w:rsid w:val="75B02344"/>
    <w:rsid w:val="75B94E29"/>
    <w:rsid w:val="75D42221"/>
    <w:rsid w:val="75E672A0"/>
    <w:rsid w:val="75EC75D1"/>
    <w:rsid w:val="75EF43A6"/>
    <w:rsid w:val="760B6D06"/>
    <w:rsid w:val="760E40D4"/>
    <w:rsid w:val="7641097A"/>
    <w:rsid w:val="76566171"/>
    <w:rsid w:val="76654669"/>
    <w:rsid w:val="76673004"/>
    <w:rsid w:val="76874753"/>
    <w:rsid w:val="76902210"/>
    <w:rsid w:val="769431A0"/>
    <w:rsid w:val="7695363D"/>
    <w:rsid w:val="769E5DCD"/>
    <w:rsid w:val="76A2766B"/>
    <w:rsid w:val="76A41635"/>
    <w:rsid w:val="76B37ACA"/>
    <w:rsid w:val="76BC10D8"/>
    <w:rsid w:val="76C13CAE"/>
    <w:rsid w:val="76CF5F86"/>
    <w:rsid w:val="76D8308D"/>
    <w:rsid w:val="76DA4B51"/>
    <w:rsid w:val="76DD4BEE"/>
    <w:rsid w:val="76E732D0"/>
    <w:rsid w:val="76F12774"/>
    <w:rsid w:val="770420D4"/>
    <w:rsid w:val="770622CE"/>
    <w:rsid w:val="770F2826"/>
    <w:rsid w:val="77143484"/>
    <w:rsid w:val="77336515"/>
    <w:rsid w:val="773B361B"/>
    <w:rsid w:val="77422BFC"/>
    <w:rsid w:val="774E334F"/>
    <w:rsid w:val="7760254B"/>
    <w:rsid w:val="776E6E8E"/>
    <w:rsid w:val="77707769"/>
    <w:rsid w:val="77815801"/>
    <w:rsid w:val="778B6351"/>
    <w:rsid w:val="779E42D6"/>
    <w:rsid w:val="77A4451C"/>
    <w:rsid w:val="77AE203F"/>
    <w:rsid w:val="77C20B3C"/>
    <w:rsid w:val="77C66E70"/>
    <w:rsid w:val="77E55381"/>
    <w:rsid w:val="77E912C9"/>
    <w:rsid w:val="77F9150C"/>
    <w:rsid w:val="78034139"/>
    <w:rsid w:val="780D320A"/>
    <w:rsid w:val="781520BE"/>
    <w:rsid w:val="781971C9"/>
    <w:rsid w:val="784C3D32"/>
    <w:rsid w:val="785664B0"/>
    <w:rsid w:val="785B1A8E"/>
    <w:rsid w:val="785B5D23"/>
    <w:rsid w:val="788A1A2D"/>
    <w:rsid w:val="788B412F"/>
    <w:rsid w:val="788B4F16"/>
    <w:rsid w:val="78997C2F"/>
    <w:rsid w:val="78AA0A59"/>
    <w:rsid w:val="78BC5769"/>
    <w:rsid w:val="78CA2EA9"/>
    <w:rsid w:val="78CB0D0E"/>
    <w:rsid w:val="78D94310"/>
    <w:rsid w:val="78DD304B"/>
    <w:rsid w:val="78E21FA1"/>
    <w:rsid w:val="78E439B9"/>
    <w:rsid w:val="79031FF4"/>
    <w:rsid w:val="79085F4E"/>
    <w:rsid w:val="79132AA2"/>
    <w:rsid w:val="791365FE"/>
    <w:rsid w:val="791505C8"/>
    <w:rsid w:val="791A3E30"/>
    <w:rsid w:val="79366790"/>
    <w:rsid w:val="79442C5B"/>
    <w:rsid w:val="794964C4"/>
    <w:rsid w:val="794C7D62"/>
    <w:rsid w:val="795F1BBD"/>
    <w:rsid w:val="796230E1"/>
    <w:rsid w:val="797057FE"/>
    <w:rsid w:val="7973709D"/>
    <w:rsid w:val="797F77A0"/>
    <w:rsid w:val="798625F1"/>
    <w:rsid w:val="79876FEC"/>
    <w:rsid w:val="7993773F"/>
    <w:rsid w:val="79B31B8F"/>
    <w:rsid w:val="79C618C2"/>
    <w:rsid w:val="79C8388C"/>
    <w:rsid w:val="79D12015"/>
    <w:rsid w:val="79D42231"/>
    <w:rsid w:val="79D42567"/>
    <w:rsid w:val="79DC10E6"/>
    <w:rsid w:val="79DC7338"/>
    <w:rsid w:val="79F36991"/>
    <w:rsid w:val="79FE339E"/>
    <w:rsid w:val="7A036D91"/>
    <w:rsid w:val="7A3820B2"/>
    <w:rsid w:val="7A4874F5"/>
    <w:rsid w:val="7A4A0831"/>
    <w:rsid w:val="7A4D5B40"/>
    <w:rsid w:val="7A5C3FD5"/>
    <w:rsid w:val="7A660CFF"/>
    <w:rsid w:val="7A6B246A"/>
    <w:rsid w:val="7A7255A6"/>
    <w:rsid w:val="7A7305CA"/>
    <w:rsid w:val="7A884DCA"/>
    <w:rsid w:val="7A8F6158"/>
    <w:rsid w:val="7A8F7F06"/>
    <w:rsid w:val="7AA76C4E"/>
    <w:rsid w:val="7AAF05A8"/>
    <w:rsid w:val="7AC514BE"/>
    <w:rsid w:val="7ACC2F08"/>
    <w:rsid w:val="7AD24A31"/>
    <w:rsid w:val="7AD47A61"/>
    <w:rsid w:val="7AD61FD9"/>
    <w:rsid w:val="7AEA15E0"/>
    <w:rsid w:val="7AEC601D"/>
    <w:rsid w:val="7AF10BC1"/>
    <w:rsid w:val="7AFD57B8"/>
    <w:rsid w:val="7B160627"/>
    <w:rsid w:val="7B276391"/>
    <w:rsid w:val="7B2E5971"/>
    <w:rsid w:val="7B404EDF"/>
    <w:rsid w:val="7B4056A4"/>
    <w:rsid w:val="7B4231CA"/>
    <w:rsid w:val="7B4A02D1"/>
    <w:rsid w:val="7B58479C"/>
    <w:rsid w:val="7B64059F"/>
    <w:rsid w:val="7B6E188D"/>
    <w:rsid w:val="7B7A6E08"/>
    <w:rsid w:val="7B890DF9"/>
    <w:rsid w:val="7BAB4B09"/>
    <w:rsid w:val="7BB368A0"/>
    <w:rsid w:val="7BBA0FB3"/>
    <w:rsid w:val="7BBF60B6"/>
    <w:rsid w:val="7BC04649"/>
    <w:rsid w:val="7BC57958"/>
    <w:rsid w:val="7BDC717B"/>
    <w:rsid w:val="7BDF0A19"/>
    <w:rsid w:val="7C262AEC"/>
    <w:rsid w:val="7C2706DE"/>
    <w:rsid w:val="7C41494B"/>
    <w:rsid w:val="7C5533D1"/>
    <w:rsid w:val="7C647170"/>
    <w:rsid w:val="7C683068"/>
    <w:rsid w:val="7C6B04FF"/>
    <w:rsid w:val="7C716B68"/>
    <w:rsid w:val="7C735C72"/>
    <w:rsid w:val="7C7E0232"/>
    <w:rsid w:val="7C7F3CFF"/>
    <w:rsid w:val="7C8B6DF3"/>
    <w:rsid w:val="7CA0464C"/>
    <w:rsid w:val="7CAB14DB"/>
    <w:rsid w:val="7CB2612E"/>
    <w:rsid w:val="7CC11DDE"/>
    <w:rsid w:val="7CC52305"/>
    <w:rsid w:val="7CD04806"/>
    <w:rsid w:val="7D00333D"/>
    <w:rsid w:val="7D0D7808"/>
    <w:rsid w:val="7D140B97"/>
    <w:rsid w:val="7D172435"/>
    <w:rsid w:val="7D1D3EEF"/>
    <w:rsid w:val="7D2012E9"/>
    <w:rsid w:val="7D273DCF"/>
    <w:rsid w:val="7D2F3C22"/>
    <w:rsid w:val="7D2F777E"/>
    <w:rsid w:val="7D3134F6"/>
    <w:rsid w:val="7D3C1EF9"/>
    <w:rsid w:val="7D545437"/>
    <w:rsid w:val="7D5763B6"/>
    <w:rsid w:val="7D627B54"/>
    <w:rsid w:val="7D631F0C"/>
    <w:rsid w:val="7D666B07"/>
    <w:rsid w:val="7D687CF0"/>
    <w:rsid w:val="7D8118ED"/>
    <w:rsid w:val="7D861105"/>
    <w:rsid w:val="7D882AC8"/>
    <w:rsid w:val="7D8B28E9"/>
    <w:rsid w:val="7D8E26F7"/>
    <w:rsid w:val="7D983576"/>
    <w:rsid w:val="7DA54967"/>
    <w:rsid w:val="7DA95783"/>
    <w:rsid w:val="7DBD73C6"/>
    <w:rsid w:val="7DBF53B6"/>
    <w:rsid w:val="7DC205F3"/>
    <w:rsid w:val="7DC65B73"/>
    <w:rsid w:val="7DCE51E9"/>
    <w:rsid w:val="7DE22A43"/>
    <w:rsid w:val="7DF509C8"/>
    <w:rsid w:val="7E062BD5"/>
    <w:rsid w:val="7E176B90"/>
    <w:rsid w:val="7E1D1CCD"/>
    <w:rsid w:val="7E33329E"/>
    <w:rsid w:val="7E4436FD"/>
    <w:rsid w:val="7E447259"/>
    <w:rsid w:val="7E4B05E8"/>
    <w:rsid w:val="7E4B5FB3"/>
    <w:rsid w:val="7E527BC8"/>
    <w:rsid w:val="7E5C23AB"/>
    <w:rsid w:val="7E5C27F5"/>
    <w:rsid w:val="7E5D6916"/>
    <w:rsid w:val="7E635932"/>
    <w:rsid w:val="7E6B6EDC"/>
    <w:rsid w:val="7E7A2C7B"/>
    <w:rsid w:val="7E7E276B"/>
    <w:rsid w:val="7E7F4735"/>
    <w:rsid w:val="7E7FDDD9"/>
    <w:rsid w:val="7E800C18"/>
    <w:rsid w:val="7E803351"/>
    <w:rsid w:val="7E9216F6"/>
    <w:rsid w:val="7EB0669D"/>
    <w:rsid w:val="7ECB14F1"/>
    <w:rsid w:val="7EEF71C5"/>
    <w:rsid w:val="7F10538E"/>
    <w:rsid w:val="7F1B7FBA"/>
    <w:rsid w:val="7F2C4B8A"/>
    <w:rsid w:val="7F343772"/>
    <w:rsid w:val="7F3E014D"/>
    <w:rsid w:val="7F59434F"/>
    <w:rsid w:val="7F7202C9"/>
    <w:rsid w:val="7F736048"/>
    <w:rsid w:val="7F7D6EC7"/>
    <w:rsid w:val="7F7E5BA0"/>
    <w:rsid w:val="7F8C710A"/>
    <w:rsid w:val="7F902884"/>
    <w:rsid w:val="7F963AE5"/>
    <w:rsid w:val="7F9D45ED"/>
    <w:rsid w:val="7FAF2DF8"/>
    <w:rsid w:val="7FB0104A"/>
    <w:rsid w:val="7FD229D7"/>
    <w:rsid w:val="7FF01447"/>
    <w:rsid w:val="7FFB7DEC"/>
    <w:rsid w:val="BBC519D7"/>
    <w:rsid w:val="C7FC03A3"/>
    <w:rsid w:val="D3EA79D9"/>
    <w:rsid w:val="DBF56C89"/>
    <w:rsid w:val="DFBF531A"/>
    <w:rsid w:val="F7DEE8B1"/>
    <w:rsid w:val="FDFB283D"/>
    <w:rsid w:val="FF7A8F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unhideWhenUsed/>
    <w:qFormat/>
    <w:uiPriority w:val="0"/>
    <w:pPr>
      <w:adjustRightInd w:val="0"/>
      <w:spacing w:beforeAutospacing="0" w:afterAutospacing="0"/>
      <w:ind w:firstLine="632" w:firstLineChars="200"/>
      <w:jc w:val="left"/>
      <w:outlineLvl w:val="2"/>
    </w:pPr>
    <w:rPr>
      <w:rFonts w:ascii="Times New Roman" w:hAnsi="Times New Roman" w:eastAsia="方正楷体_GBK"/>
      <w:kern w:val="0"/>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Normal Indent"/>
    <w:basedOn w:val="1"/>
    <w:next w:val="1"/>
    <w:qFormat/>
    <w:uiPriority w:val="0"/>
    <w:pPr>
      <w:spacing w:after="160" w:line="540" w:lineRule="exact"/>
      <w:ind w:firstLine="200" w:firstLineChars="200"/>
    </w:pPr>
    <w:rPr>
      <w:rFonts w:ascii="Calibri" w:hAnsi="Calibri" w:eastAsia="仿宋_GB2312"/>
    </w:rPr>
  </w:style>
  <w:style w:type="paragraph" w:styleId="6">
    <w:name w:val="annotation text"/>
    <w:basedOn w:val="1"/>
    <w:qFormat/>
    <w:uiPriority w:val="0"/>
    <w:pPr>
      <w:jc w:val="left"/>
    </w:pPr>
  </w:style>
  <w:style w:type="paragraph" w:styleId="7">
    <w:name w:val="Body Text"/>
    <w:basedOn w:val="1"/>
    <w:next w:val="8"/>
    <w:unhideWhenUsed/>
    <w:qFormat/>
    <w:uiPriority w:val="99"/>
    <w:pPr>
      <w:spacing w:after="120"/>
    </w:pPr>
  </w:style>
  <w:style w:type="paragraph" w:styleId="8">
    <w:name w:val="Body Text Indent"/>
    <w:basedOn w:val="1"/>
    <w:next w:val="7"/>
    <w:unhideWhenUsed/>
    <w:qFormat/>
    <w:uiPriority w:val="99"/>
    <w:pPr>
      <w:spacing w:line="600" w:lineRule="exact"/>
      <w:ind w:firstLine="200" w:firstLineChars="200"/>
    </w:pPr>
  </w:style>
  <w:style w:type="paragraph" w:styleId="9">
    <w:name w:val="Block Text"/>
    <w:basedOn w:val="1"/>
    <w:unhideWhenUsed/>
    <w:qFormat/>
    <w:uiPriority w:val="0"/>
    <w:pPr>
      <w:spacing w:after="120"/>
      <w:ind w:left="1440" w:leftChars="700" w:right="1440" w:rightChars="700"/>
    </w:pPr>
    <w:rPr>
      <w:szCs w:val="24"/>
    </w:rPr>
  </w:style>
  <w:style w:type="paragraph" w:styleId="10">
    <w:name w:val="toc 3"/>
    <w:basedOn w:val="1"/>
    <w:next w:val="1"/>
    <w:qFormat/>
    <w:uiPriority w:val="0"/>
    <w:pPr>
      <w:ind w:left="840" w:leftChars="400"/>
    </w:pPr>
  </w:style>
  <w:style w:type="paragraph" w:styleId="11">
    <w:name w:val="Plain Text"/>
    <w:basedOn w:val="1"/>
    <w:next w:val="12"/>
    <w:unhideWhenUsed/>
    <w:qFormat/>
    <w:uiPriority w:val="0"/>
    <w:pPr>
      <w:suppressAutoHyphens/>
      <w:spacing w:line="560" w:lineRule="exact"/>
      <w:ind w:firstLine="200"/>
    </w:pPr>
    <w:rPr>
      <w:rFonts w:ascii="宋体" w:hAnsi="Courier New" w:eastAsia="仿宋_GB2312" w:cs="Courier New"/>
      <w:sz w:val="28"/>
    </w:rPr>
  </w:style>
  <w:style w:type="paragraph" w:styleId="12">
    <w:name w:val="Date"/>
    <w:basedOn w:val="1"/>
    <w:next w:val="1"/>
    <w:qFormat/>
    <w:uiPriority w:val="0"/>
    <w:pPr>
      <w:ind w:left="100" w:leftChars="2500"/>
    </w:pPr>
    <w:rPr>
      <w:rFonts w:ascii="Times New Roman" w:hAnsi="Times New Roman" w:eastAsia="宋体" w:cs="Times New Roman"/>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qFormat/>
    <w:uiPriority w:val="0"/>
  </w:style>
  <w:style w:type="paragraph" w:styleId="16">
    <w:name w:val="footnote text"/>
    <w:basedOn w:val="1"/>
    <w:qFormat/>
    <w:uiPriority w:val="0"/>
    <w:pPr>
      <w:snapToGrid w:val="0"/>
      <w:jc w:val="left"/>
    </w:pPr>
    <w:rPr>
      <w:sz w:val="18"/>
    </w:rPr>
  </w:style>
  <w:style w:type="paragraph" w:styleId="17">
    <w:name w:val="index 7"/>
    <w:basedOn w:val="1"/>
    <w:next w:val="1"/>
    <w:unhideWhenUsed/>
    <w:qFormat/>
    <w:uiPriority w:val="99"/>
    <w:pPr>
      <w:ind w:left="1200" w:leftChars="1200"/>
    </w:pPr>
  </w:style>
  <w:style w:type="paragraph" w:styleId="18">
    <w:name w:val="toc 2"/>
    <w:basedOn w:val="1"/>
    <w:next w:val="1"/>
    <w:qFormat/>
    <w:uiPriority w:val="0"/>
    <w:pPr>
      <w:ind w:left="420" w:leftChars="200"/>
    </w:pPr>
  </w:style>
  <w:style w:type="paragraph" w:styleId="19">
    <w:name w:val="Normal (Web)"/>
    <w:basedOn w:val="1"/>
    <w:qFormat/>
    <w:uiPriority w:val="0"/>
    <w:pPr>
      <w:spacing w:beforeAutospacing="1" w:afterAutospacing="1"/>
      <w:jc w:val="left"/>
    </w:pPr>
    <w:rPr>
      <w:rFonts w:cs="Times New Roman"/>
      <w:kern w:val="0"/>
      <w:sz w:val="24"/>
    </w:rPr>
  </w:style>
  <w:style w:type="paragraph" w:styleId="20">
    <w:name w:val="Body Text First Indent"/>
    <w:basedOn w:val="7"/>
    <w:unhideWhenUsed/>
    <w:qFormat/>
    <w:uiPriority w:val="99"/>
    <w:pPr>
      <w:ind w:firstLine="420" w:firstLineChars="1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Emphasis"/>
    <w:basedOn w:val="23"/>
    <w:qFormat/>
    <w:uiPriority w:val="0"/>
    <w:rPr>
      <w:i/>
    </w:rPr>
  </w:style>
  <w:style w:type="character" w:styleId="26">
    <w:name w:val="annotation reference"/>
    <w:basedOn w:val="23"/>
    <w:qFormat/>
    <w:uiPriority w:val="0"/>
    <w:rPr>
      <w:sz w:val="21"/>
      <w:szCs w:val="21"/>
    </w:rPr>
  </w:style>
  <w:style w:type="character" w:styleId="27">
    <w:name w:val="footnote reference"/>
    <w:basedOn w:val="23"/>
    <w:qFormat/>
    <w:uiPriority w:val="0"/>
    <w:rPr>
      <w:vertAlign w:val="superscript"/>
    </w:rPr>
  </w:style>
  <w:style w:type="paragraph" w:customStyle="1" w:styleId="28">
    <w:name w:val="报告正文"/>
    <w:basedOn w:val="5"/>
    <w:qFormat/>
    <w:uiPriority w:val="0"/>
    <w:pPr>
      <w:adjustRightInd w:val="0"/>
      <w:snapToGrid w:val="0"/>
      <w:spacing w:line="360" w:lineRule="auto"/>
    </w:pPr>
    <w:rPr>
      <w:rFonts w:ascii="仿宋_GB2312" w:hAnsi="宋体"/>
      <w:spacing w:val="8"/>
      <w:sz w:val="24"/>
      <w:szCs w:val="28"/>
    </w:rPr>
  </w:style>
  <w:style w:type="paragraph" w:customStyle="1" w:styleId="29">
    <w:name w:val="松哥样式"/>
    <w:basedOn w:val="1"/>
    <w:qFormat/>
    <w:uiPriority w:val="0"/>
    <w:pPr>
      <w:adjustRightInd w:val="0"/>
      <w:snapToGrid w:val="0"/>
      <w:spacing w:line="579" w:lineRule="exact"/>
    </w:pPr>
    <w:rPr>
      <w:szCs w:val="28"/>
    </w:rPr>
  </w:style>
  <w:style w:type="character" w:customStyle="1" w:styleId="30">
    <w:name w:val="font31"/>
    <w:basedOn w:val="23"/>
    <w:qFormat/>
    <w:uiPriority w:val="0"/>
    <w:rPr>
      <w:rFonts w:hint="eastAsia" w:ascii="方正仿宋_GBK" w:hAnsi="方正仿宋_GBK" w:eastAsia="方正仿宋_GBK" w:cs="方正仿宋_GBK"/>
      <w:color w:val="000000"/>
      <w:sz w:val="24"/>
      <w:szCs w:val="24"/>
      <w:u w:val="none"/>
    </w:r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3">
    <w:name w:val="Default"/>
    <w:basedOn w:val="11"/>
    <w:next w:val="1"/>
    <w:qFormat/>
    <w:uiPriority w:val="0"/>
    <w:pPr>
      <w:autoSpaceDE w:val="0"/>
      <w:autoSpaceDN w:val="0"/>
      <w:adjustRightInd w:val="0"/>
    </w:pPr>
    <w:rPr>
      <w:rFonts w:hint="eastAsia" w:hAnsi="宋体" w:eastAsia="宋体" w:cs="Times New Roman"/>
      <w:color w:val="000000"/>
      <w:sz w:val="24"/>
      <w:szCs w:val="22"/>
    </w:rPr>
  </w:style>
  <w:style w:type="paragraph" w:customStyle="1" w:styleId="34">
    <w:name w:val="文本正文"/>
    <w:basedOn w:val="1"/>
    <w:qFormat/>
    <w:uiPriority w:val="0"/>
    <w:pPr>
      <w:overflowPunct w:val="0"/>
      <w:adjustRightInd w:val="0"/>
      <w:snapToGrid w:val="0"/>
      <w:spacing w:line="600" w:lineRule="exact"/>
      <w:ind w:firstLine="640" w:firstLineChars="200"/>
    </w:pPr>
    <w:rPr>
      <w:rFonts w:ascii="Times New Roman" w:hAnsi="Times New Roman" w:eastAsia="方正仿宋_GBK" w:cs="Times New Roman"/>
      <w:sz w:val="32"/>
      <w:szCs w:val="32"/>
    </w:rPr>
  </w:style>
  <w:style w:type="paragraph" w:customStyle="1" w:styleId="35">
    <w:name w:val="Table Text"/>
    <w:basedOn w:val="1"/>
    <w:semiHidden/>
    <w:qFormat/>
    <w:uiPriority w:val="0"/>
    <w:rPr>
      <w:rFonts w:ascii="宋体" w:hAnsi="宋体" w:eastAsia="宋体" w:cs="宋体"/>
      <w:sz w:val="30"/>
      <w:szCs w:val="30"/>
      <w:lang w:eastAsia="en-US"/>
    </w:rPr>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styleId="38">
    <w:name w:val="List Paragraph"/>
    <w:basedOn w:val="1"/>
    <w:qFormat/>
    <w:uiPriority w:val="0"/>
    <w:pPr>
      <w:ind w:firstLine="420" w:firstLineChars="200"/>
    </w:pPr>
    <w:rPr>
      <w:rFonts w:ascii="Times New Roman" w:hAnsi="Times New Roman" w:eastAsia="宋体"/>
    </w:rPr>
  </w:style>
  <w:style w:type="paragraph" w:customStyle="1" w:styleId="39">
    <w:name w:val="Revision"/>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40">
    <w:name w:val="索引 51"/>
    <w:basedOn w:val="1"/>
    <w:next w:val="1"/>
    <w:qFormat/>
    <w:uiPriority w:val="0"/>
    <w:pPr>
      <w:ind w:left="168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13dd2032-4789-4b5c-bec0-23409b7b344e</errorID>
      <errorWord>《关于</errorWord>
      <group>L1_Grammar</group>
      <groupName>语法问题</groupName>
      <ability>L2_Grammar</ability>
      <abilityName>语法错误</abilityName>
      <candidateList>
        <item>《</item>
      </candidateList>
      <explain/>
      <paraID>51BF054C</paraID>
      <start>0</start>
      <end>3</end>
      <status>unmodified</status>
      <modifiedWord/>
      <trackRevisions>false</trackRevisions>
    </reviewItem>
    <reviewItem>
      <errorID>20b65df0-cf7b-4032-aaef-02c431efa460</errorID>
      <errorWord>除开</errorWord>
      <group>L1_Word</group>
      <groupName>字词问题</groupName>
      <ability>L2_Typo</ability>
      <abilityName>字词错误</abilityName>
      <candidateList>
        <item>除去</item>
      </candidateList>
      <explain/>
      <paraID>503FCCF8</paraID>
      <start>23</start>
      <end>25</end>
      <status>unmodified</status>
      <modifiedWord/>
      <trackRevisions>false</trackRevisions>
    </reviewItem>
    <reviewItem>
      <errorID>fc4e4a18-86e6-4827-8dc7-5b0a4dedcc03</errorID>
      <errorWord>统筹发展与安全</errorWord>
      <group>L1_Political</group>
      <groupName>政治性问题</groupName>
      <ability>L2_Unpolitical</ability>
      <abilityName>政治敏感错误</abilityName>
      <candidateList>
        <item>统筹发展和安全</item>
      </candidateList>
      <explain/>
      <paraID>6C32B62E</paraID>
      <start>59</start>
      <end>66</end>
      <status>unmodified</status>
      <modifiedWord/>
      <trackRevisions>false</trackRevisions>
    </reviewItem>
    <reviewItem>
      <errorID>e391ec93-65b4-4ce6-bf14-8cff824c0f3c</errorID>
      <errorWord>纳入到</errorWord>
      <group>L1_Word</group>
      <groupName>字词问题</groupName>
      <ability>L2_Typo</ability>
      <abilityName>字词错误</abilityName>
      <candidateList>
        <item>纳入</item>
      </candidateList>
      <explain>〈动〉放进；归入（多用于抽象事物）：～正轨｜～计划。</explain>
      <paraID>776DA631</paraID>
      <start>179</start>
      <end>182</end>
      <status>unmodified</status>
      <modifiedWord/>
      <trackRevisions>false</trackRevisions>
    </reviewItem>
    <reviewItem>
      <errorID>617e87d7-8d0e-47d2-bbe8-a63f33b95565</errorID>
      <errorWord>奋斗</errorWord>
      <group>L1_Word</group>
      <groupName>字词问题</groupName>
      <ability>L2_Typo</ability>
      <abilityName>字词错误</abilityName>
      <candidateList>
        <item>奋进</item>
      </candidateList>
      <explain/>
      <paraID> 664041B</paraID>
      <start>90</start>
      <end>92</end>
      <status>unmodified</status>
      <modifiedWord/>
      <trackRevisions>false</trackRevisions>
    </reviewItem>
    <reviewItem>
      <errorID>6caff51e-9dc3-4b0a-9b20-685b5e60a755</errorID>
      <errorWord>投入强度</errorWord>
      <group>L1_Grammar</group>
      <groupName>语法问题</groupName>
      <ability>L2_Grammar</ability>
      <abilityName>语法错误</abilityName>
      <candidateList>
        <item>投入</item>
      </candidateList>
      <explain/>
      <paraID>61A4E9F3</paraID>
      <start>77</start>
      <end>81</end>
      <status>unmodified</status>
      <modifiedWord/>
      <trackRevisions>false</trackRevisions>
    </reviewItem>
    <reviewItem>
      <errorID>a98249b1-95dd-4cc9-9800-1ea0147b23ed</errorID>
      <errorWord>名</errorWord>
      <group>L1_Word</group>
      <groupName>字词问题</groupName>
      <ability>L2_Typo</ability>
      <abilityName>字词错误</abilityName>
      <candidateList>
        <item>名第</item>
      </candidateList>
      <explain/>
      <paraID>53726F49</paraID>
      <start>84</start>
      <end>85</end>
      <status>unmodified</status>
      <modifiedWord/>
      <trackRevisions>false</trackRevisions>
    </reviewItem>
    <reviewItem>
      <errorID>d5590540-8f57-4820-8790-0bc13e96904f</errorID>
      <errorWord>10大</errorWord>
      <group>L1_Word</group>
      <groupName>字词问题</groupName>
      <ability>L2_Typo</ability>
      <abilityName>字词错误</abilityName>
      <candidateList>
        <item>十大</item>
      </candidateList>
      <explain/>
      <paraID>27F42BC6</paraID>
      <start>185</start>
      <end>188</end>
      <status>unmodified</status>
      <modifiedWord/>
      <trackRevisions>false</trackRevisions>
    </reviewItem>
    <reviewItem>
      <errorID>9586b26d-bd33-4d99-9f48-cb27d9f860f0</errorID>
      <errorWord>按照</errorWord>
      <group>L1_Word</group>
      <groupName>字词问题</groupName>
      <ability>L2_Typo</ability>
      <abilityName>字词错误</abilityName>
      <candidateList>
        <item>以</item>
      </candidateList>
      <explain/>
      <paraID>180F7001</paraID>
      <start>11</start>
      <end>13</end>
      <status>unmodified</status>
      <modifiedWord/>
      <trackRevisions>false</trackRevisions>
    </reviewItem>
    <reviewItem>
      <errorID>e954bbc9-8713-4430-897e-3d2c818c0a2c</errorID>
      <errorWord>（五）</errorWord>
      <group>L1_Format</group>
      <groupName>格式问题</groupName>
      <ability>L2_Ordinal</ability>
      <abilityName>序号格式</abilityName>
      <candidateList>
        <item>（七）</item>
      </candidateList>
      <explain>标题顺序错误，请检查标题顺序是否合理。</explain>
      <paraID>1E0B93D6</paraID>
      <start>0</start>
      <end>3</end>
      <status>unmodified</status>
      <modifiedWord/>
      <trackRevisions>false</trackRevisions>
    </reviewItem>
    <reviewItem>
      <errorID>e1ec4926-1f10-42f2-b6ed-b7b4f140d94b</errorID>
      <errorWord>现代化</errorWord>
      <group>L1_Political</group>
      <groupName>政治性问题</groupName>
      <ability>L2_Keyword</ability>
      <abilityName>固定表述</abilityName>
      <candidateList>
        <item>作为现代化</item>
      </candidateList>
      <explain>此处内容疑似含有固定表述相关错误，建议核查。</explain>
      <paraID>2F910C84</paraID>
      <start>84</start>
      <end>87</end>
      <status>unmodified</status>
      <modifiedWord/>
      <trackRevisions>false</trackRevisions>
    </reviewItem>
    <reviewItem>
      <errorID>e80f95a1-d9ca-4ede-9495-73c6accb0386</errorID>
      <errorWord>重要指示精神</errorWord>
      <group>L1_Political</group>
      <groupName>政治性问题</groupName>
      <ability>L2_Keyword</ability>
      <abilityName>固定表述</abilityName>
      <candidateList>
        <item>、重要指示精神</item>
      </candidateList>
      <explain>此处内容疑似含有固定表述相关错误，建议核查。</explain>
      <paraID>513AC753</paraID>
      <start>50</start>
      <end>56</end>
      <status>unmodified</status>
      <modifiedWord/>
      <trackRevisions>false</trackRevisions>
    </reviewItem>
    <reviewItem>
      <errorID>860cd808-625e-4ded-8c28-95cd56743783</errorID>
      <errorWord>、</errorWord>
      <group>L1_Punc</group>
      <groupName>标点问题</groupName>
      <ability>L2_Punc</ability>
      <abilityName>标点符号检查</abilityName>
      <candidateList>
        <item>，</item>
      </candidateList>
      <explain/>
      <paraID>7C6D554C</paraID>
      <start>99</start>
      <end>100</end>
      <status>unmodified</status>
      <modifiedWord/>
      <trackRevisions>false</trackRevisions>
    </reviewItem>
    <reviewItem>
      <errorID>9316bdbe-512c-4b66-addb-9d94099cb591</errorID>
      <errorWord>中心</errorWord>
      <group>L1_Word</group>
      <groupName>字词问题</groupName>
      <ability>L2_Typo</ability>
      <abilityName>字词错误</abilityName>
      <candidateList>
        <item>居中心</item>
      </candidateList>
      <explain/>
      <paraID>7C6D554C</paraID>
      <start>102</start>
      <end>104</end>
      <status>unmodified</status>
      <modifiedWord/>
      <trackRevisions>false</trackRevisions>
    </reviewItem>
    <reviewItem>
      <errorID>51fcaea7-1755-42bb-8761-1f4e2073eafb</errorID>
      <errorWord>、</errorWord>
      <group>L1_Punc</group>
      <groupName>标点问题</groupName>
      <ability>L2_Punc</ability>
      <abilityName>标点符号检查</abilityName>
      <candidateList>
        <item>，</item>
      </candidateList>
      <explain/>
      <paraID> 3F9E8AD</paraID>
      <start>98</start>
      <end>99</end>
      <status>unmodified</status>
      <modifiedWord/>
      <trackRevisions>false</trackRevisions>
    </reviewItem>
    <reviewItem>
      <errorID>f763d3f7-b772-4a0a-a5ef-ad25daf20f04</errorID>
      <errorWord>高新区功能区</errorWord>
      <group>L1_Grammar</group>
      <groupName>语法问题</groupName>
      <ability>L2_Grammar</ability>
      <abilityName>语法错误</abilityName>
      <candidateList>
        <item>、高新区</item>
      </candidateList>
      <explain/>
      <paraID> 3F9E8AD</paraID>
      <start>129</start>
      <end>135</end>
      <status>unmodified</status>
      <modifiedWord/>
      <trackRevisions>false</trackRevisions>
    </reviewItem>
    <reviewItem>
      <errorID>7f55e354-463e-446b-9408-219459824dbd</errorID>
      <errorWord>机制</errorWord>
      <group>L1_Word</group>
      <groupName>字词问题</groupName>
      <ability>L2_Typo</ability>
      <abilityName>字词错误</abilityName>
      <candidateList>
        <item>制度</item>
      </candidateList>
      <explain/>
      <paraID> 3F9E8AD</paraID>
      <start>225</start>
      <end>227</end>
      <status>unmodified</status>
      <modifiedWord/>
      <trackRevisions>false</trackRevisions>
    </reviewItem>
    <reviewItem>
      <errorID>56c7bc87-964a-4677-b26c-9a63ad4ae079</errorID>
      <errorWord>重要战略窗口期</errorWord>
      <group>L1_Political</group>
      <groupName>政治性问题</groupName>
      <ability>L2_Keyword</ability>
      <abilityName>固定表述</abilityName>
      <candidateList>
        <item>重要战略机遇期</item>
      </candidateList>
      <explain>词汇“重要战略机遇期”在特定场景下为固定表述形式，请确认此处的“重要战略窗口期”是否存在不当。</explain>
      <paraID>12041E50</paraID>
      <start>259</start>
      <end>266</end>
      <status>unmodified</status>
      <modifiedWord/>
      <trackRevisions>false</trackRevisions>
    </reviewItem>
    <reviewItem>
      <errorID>283f2360-4b4c-4540-bf41-cec7616af1c9</errorID>
      <errorWord>中</errorWord>
      <group>L1_Grammar</group>
      <groupName>语法问题</groupName>
      <ability>L2_Grammar</ability>
      <abilityName>语法错误</abilityName>
      <candidateList>
        <item>进程中</item>
      </candidateList>
      <explain/>
      <paraID>59573D99</paraID>
      <start>53</start>
      <end>54</end>
      <status>unmodified</status>
      <modifiedWord/>
      <trackRevisions>false</trackRevisions>
    </reviewItem>
    <reviewItem>
      <errorID>c0cfa8c7-f24e-4bde-bbd5-ec3235c21e7f</errorID>
      <errorWord>完整准确全面贯彻新发展理念</errorWord>
      <group>L1_Political</group>
      <groupName>政治性问题</groupName>
      <ability>L2_Keyword</ability>
      <abilityName>固定表述</abilityName>
      <candidateList>
        <item>完整、准确、全面贯彻新发展理念</item>
      </candidateList>
      <explain>此处内容疑似含有固定表述相关错误，建议核查。</explain>
      <paraID>46C71D83</paraID>
      <start>248</start>
      <end>261</end>
      <status>unmodified</status>
      <modifiedWord/>
      <trackRevisions>false</trackRevisions>
    </reviewItem>
    <reviewItem>
      <errorID>72c45723-69c4-4666-a6cd-5fef41ae3695</errorID>
      <errorWord>抓</errorWord>
      <group>L1_Punc</group>
      <groupName>标点问题</groupName>
      <ability>L2_Punc</ability>
      <abilityName>标点符号检查</abilityName>
      <candidateList>
        <item>，抓</item>
      </candidateList>
      <explain/>
      <paraID>46C71D83</paraID>
      <start>384</start>
      <end>385</end>
      <status>unmodified</status>
      <modifiedWord/>
      <trackRevisions>false</trackRevisions>
    </reviewItem>
    <reviewItem>
      <errorID>3355d0dd-f6da-4662-9e20-307315fa0b60</errorID>
      <errorWord>支撑</errorWord>
      <group>L1_Punc</group>
      <groupName>标点问题</groupName>
      <ability>L2_Punc</ability>
      <abilityName>标点符号检查</abilityName>
      <candidateList>
        <item>、支撑</item>
      </candidateList>
      <explain/>
      <paraID>46C71D83</paraID>
      <start>519</start>
      <end>521</end>
      <status>unmodified</status>
      <modifiedWord/>
      <trackRevisions>false</trackRevisions>
    </reviewItem>
    <reviewItem>
      <errorID>306f7816-7835-44f4-b722-0318896c730c</errorID>
      <errorWord>、</errorWord>
      <group>L1_Grammar</group>
      <groupName>语法问题</groupName>
      <ability>L2_Grammar</ability>
      <abilityName>语法错误</abilityName>
      <candidateList>
        <item>，打造</item>
      </candidateList>
      <explain/>
      <paraID>46C71D83</paraID>
      <start>531</start>
      <end>532</end>
      <status>unmodified</status>
      <modifiedWord/>
      <trackRevisions>false</trackRevisions>
    </reviewItem>
    <reviewItem>
      <errorID>c9adc1b4-450d-49cc-940b-740ad65cc181</errorID>
      <errorWord>西部</errorWord>
      <group>L1_Punc</group>
      <groupName>标点问题</groupName>
      <ability>L2_Punc</ability>
      <abilityName>标点符号检查</abilityName>
      <candidateList>
        <item>、西部</item>
      </candidateList>
      <explain/>
      <paraID>46C71D83</paraID>
      <start>536</start>
      <end>538</end>
      <status>unmodified</status>
      <modifiedWord/>
      <trackRevisions>false</trackRevisions>
    </reviewItem>
    <reviewItem>
      <errorID>d939ae36-cfa6-498c-8c3e-fae0c5c01506</errorID>
      <errorWord>、</errorWord>
      <group>L1_Grammar</group>
      <groupName>语法问题</groupName>
      <ability>L2_Grammar</ability>
      <abilityName>语法错误</abilityName>
      <candidateList>
        <item>，成为</item>
      </candidateList>
      <explain/>
      <paraID>46C71D83</paraID>
      <start>549</start>
      <end>550</end>
      <status>unmodified</status>
      <modifiedWord/>
      <trackRevisions>false</trackRevisions>
    </reviewItem>
    <reviewItem>
      <errorID>5e46f1d1-62fe-4ca5-8279-4fa8fa29c5be</errorID>
      <errorWord>、</errorWord>
      <group>L1_Grammar</group>
      <groupName>语法问题</groupName>
      <ability>L2_Grammar</ability>
      <abilityName>语法错误</abilityName>
      <candidateList>
        <item>，成为</item>
      </candidateList>
      <explain/>
      <paraID>46C71D83</paraID>
      <start>566</start>
      <end>567</end>
      <status>unmodified</status>
      <modifiedWord/>
      <trackRevisions>false</trackRevisions>
    </reviewItem>
    <reviewItem>
      <errorID>dca46400-1646-4fa5-a242-83d0756a53aa</errorID>
      <errorWord>民生</errorWord>
      <group>L1_Word</group>
      <groupName>字词问题</groupName>
      <ability>L2_Typo</ability>
      <abilityName>字词错误</abilityName>
      <candidateList>
        <item>的民生</item>
      </candidateList>
      <explain/>
      <paraID>2E538C63</paraID>
      <start>66</start>
      <end>68</end>
      <status>unmodified</status>
      <modifiedWord/>
      <trackRevisions>false</trackRevisions>
    </reviewItem>
    <reviewItem>
      <errorID>901edc38-bd2e-48b9-b184-a9b6262da246</errorID>
      <errorWord>更好服务</errorWord>
      <group>L1_Word</group>
      <groupName>字词问题</groupName>
      <ability>L2_Typo</ability>
      <abilityName>字词错误</abilityName>
      <candidateList>
        <item>更好地服务</item>
      </candidateList>
      <explain/>
      <paraID>4646CB10</paraID>
      <start>115</start>
      <end>119</end>
      <status>unmodified</status>
      <modifiedWord/>
      <trackRevisions>false</trackRevisions>
    </reviewItem>
    <reviewItem>
      <errorID>4eb28d00-2c41-4f33-ae2d-0a88f0dfaaa9</errorID>
      <errorWord>长江经济带发展。</errorWord>
      <group>L1_Political</group>
      <groupName>政治性问题</groupName>
      <ability>L2_Keyword</ability>
      <abilityName>固定表述</abilityName>
      <candidateList>
        <item>长江经济带发展战略。</item>
      </candidateList>
      <explain>此处内容疑似含有固定表述相关错误，建议核查。</explain>
      <paraID>4646CB10</paraID>
      <start>139</start>
      <end>147</end>
      <status>unmodified</status>
      <modifiedWord/>
      <trackRevisions>false</trackRevisions>
    </reviewItem>
    <reviewItem>
      <errorID>56fd30a5-6561-4e63-89a9-7370f82ddd00</errorID>
      <errorWord>载</errorWord>
      <group>L1_Word</group>
      <groupName>字词问题</groupName>
      <ability>L2_Typo</ability>
      <abilityName>字词错误</abilityName>
      <candidateList>
        <item>载能</item>
      </candidateList>
      <explain/>
      <paraID>1182BEEF</paraID>
      <start>48</start>
      <end>49</end>
      <status>unmodified</status>
      <modifiedWord/>
      <trackRevisions>false</trackRevisions>
    </reviewItem>
    <reviewItem>
      <errorID>a2c9fcfb-142b-43ed-a341-c8cd6824a9e5</errorID>
      <errorWord>。</errorWord>
      <group>L1_Punc</group>
      <groupName>标点问题</groupName>
      <ability>L2_Punc</ability>
      <abilityName>标点符号检查</abilityName>
      <candidateList>
        <item>；</item>
      </candidateList>
      <explain/>
      <paraID> 3C79151</paraID>
      <start>148</start>
      <end>149</end>
      <status>unmodified</status>
      <modifiedWord/>
      <trackRevisions>false</trackRevisions>
    </reviewItem>
    <reviewItem>
      <errorID>7ddab082-e65c-4a1a-84de-978d1d796761</errorID>
      <errorWord>重</errorWord>
      <group>L1_Word</group>
      <groupName>字词问题</groupName>
      <ability>L2_Typo</ability>
      <abilityName>字词错误</abilityName>
      <candidateList>
        <item>重达</item>
      </candidateList>
      <explain/>
      <paraID>766C23F8</paraID>
      <start>136</start>
      <end>137</end>
      <status>unmodified</status>
      <modifiedWord/>
      <trackRevisions>false</trackRevisions>
    </reviewItem>
    <reviewItem>
      <errorID>dfdd3f12-90a5-4202-a0fd-d742f75019cb</errorID>
      <errorWord>到</errorWord>
      <group>L1_Word</group>
      <groupName>字词问题</groupName>
      <ability>L2_Typo</ability>
      <abilityName>字词错误</abilityName>
      <candidateList>
        <item>达到</item>
      </candidateList>
      <explain/>
      <paraID>766C23F8</paraID>
      <start>137</start>
      <end>138</end>
      <status>unmodified</status>
      <modifiedWord/>
      <trackRevisions>false</trackRevisions>
    </reviewItem>
    <reviewItem>
      <errorID>3103e773-5e7a-41b8-a8af-3c712317b540</errorID>
      <errorWord>力争前15</errorWord>
      <group>L1_Other</group>
      <groupName>其他问题</groupName>
      <ability>L2_Consistency</ability>
      <abilityName>一致性检查</abilityName>
      <candidateList>
        <item>23</item>
      </candidateList>
      <explain>数字一致性：前文提到‘国家高新区全国排名2025年为25，2027年目标为23，2030年目标为20’，此处‘力争前15’与整体国家高新区排名体系不一致，应统一为23</explain>
      <paraID>1B7F7217</paraID>
      <start>0</start>
      <end>5</end>
      <status>unmodified</status>
      <modifiedWord/>
      <trackRevisions>false</trackRevisions>
    </reviewItem>
    <reviewItem>
      <errorID>09b70996-f5c0-4f2e-a2a2-495249af7853</errorID>
      <errorWord>成渝</errorWord>
      <group>L1_Word</group>
      <groupName>字词问题</groupName>
      <ability>L2_Typo</ability>
      <abilityName>字词错误</abilityName>
      <candidateList>
        <item>以成渝</item>
      </candidateList>
      <explain/>
      <paraID>71922EEF</paraID>
      <start>6</start>
      <end>8</end>
      <status>unmodified</status>
      <modifiedWord/>
      <trackRevisions>false</trackRevisions>
    </reviewItem>
    <reviewItem>
      <errorID>e72dabef-ec2d-484e-8f43-21cb24ad6572</errorID>
      <errorWord>综合性科学中心</errorWord>
      <group>L1_Political</group>
      <groupName>政治性问题</groupName>
      <ability>L2_Keyword</ability>
      <abilityName>固定表述</abilityName>
      <candidateList>
        <item>综合性国家科学中心</item>
      </candidateList>
      <explain>词汇“综合性国家科学中心”在特定场景下为固定表述形式，请确认此处的“综合性科学中心”是否存在不当。</explain>
      <paraID>71922EEF</paraID>
      <start>12</start>
      <end>19</end>
      <status>unmodified</status>
      <modifiedWord/>
      <trackRevisions>false</trackRevisions>
    </reviewItem>
    <reviewItem>
      <errorID>53660ac2-e6bd-409f-8097-57c7a5c94c9e</errorID>
      <errorWord>综合性科学中心</errorWord>
      <group>L1_Political</group>
      <groupName>政治性问题</groupName>
      <ability>L2_Keyword</ability>
      <abilityName>固定表述</abilityName>
      <candidateList>
        <item>综合性国家科学中心</item>
      </candidateList>
      <explain>词汇“综合性国家科学中心”在特定场景下为固定表述形式，请确认此处的“综合性科学中心”是否存在不当。</explain>
      <paraID>3A35BBCD</paraID>
      <start>20</start>
      <end>27</end>
      <status>unmodified</status>
      <modifiedWord/>
      <trackRevisions>false</trackRevisions>
    </reviewItem>
    <reviewItem>
      <errorID>bdec5366-8d52-40aa-bc0b-a65d1486a858</errorID>
      <errorWord>、</errorWord>
      <group>L1_Grammar</group>
      <groupName>语法问题</groupName>
      <ability>L2_Grammar</ability>
      <abilityName>语法错误</abilityName>
      <candidateList>
        <item>，进行</item>
      </candidateList>
      <explain/>
      <paraID>6AB4AE59</paraID>
      <start>118</start>
      <end>119</end>
      <status>unmodified</status>
      <modifiedWord/>
      <trackRevisions>false</trackRevisions>
    </reviewItem>
    <reviewItem>
      <errorID>e6bac341-4bba-4b3d-a79c-dba25d5ef290</errorID>
      <errorWord>及</errorWord>
      <group>L1_Grammar</group>
      <groupName>语法问题</groupName>
      <ability>L2_Grammar</ability>
      <abilityName>语法错误</abilityName>
      <candidateList>
        <item>，开展</item>
      </candidateList>
      <explain/>
      <paraID>6AB4AE59</paraID>
      <start>131</start>
      <end>132</end>
      <status>unmodified</status>
      <modifiedWord/>
      <trackRevisions>false</trackRevisions>
    </reviewItem>
    <reviewItem>
      <errorID>942ddb75-0d11-4d44-bb0c-a710a028aa71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30A5FF62</paraID>
      <start>0</start>
      <end>2</end>
      <status>unmodified</status>
      <modifiedWord/>
      <trackRevisions>false</trackRevisions>
    </reviewItem>
    <reviewItem>
      <errorID>765315b6-3c75-4861-8c87-b888ae372f49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1E1A6913</paraID>
      <start>0</start>
      <end>2</end>
      <status>unmodified</status>
      <modifiedWord/>
      <trackRevisions>false</trackRevisions>
    </reviewItem>
    <reviewItem>
      <errorID>2940e089-97c1-4fd0-9757-f5af5b247272</errorID>
      <errorWord>二</errorWord>
      <group>L1_Word</group>
      <groupName>字词问题</groupName>
      <ability>L2_Typo</ability>
      <abilityName>字词错误</abilityName>
      <candidateList>
        <item>两</item>
      </candidateList>
      <explain/>
      <paraID>7FFAC93D</paraID>
      <start>169</start>
      <end>170</end>
      <status>unmodified</status>
      <modifiedWord/>
      <trackRevisions>false</trackRevisions>
    </reviewItem>
    <reviewItem>
      <errorID>e55e5037-fd34-467d-a05c-c94c778fb08f</errorID>
      <errorWord>二</errorWord>
      <group>L1_Word</group>
      <groupName>字词问题</groupName>
      <ability>L2_Typo</ability>
      <abilityName>字词错误</abilityName>
      <candidateList>
        <item>两</item>
      </candidateList>
      <explain/>
      <paraID>7FFAC93D</paraID>
      <start>173</start>
      <end>174</end>
      <status>unmodified</status>
      <modifiedWord/>
      <trackRevisions>false</trackRevisions>
    </reviewItem>
    <reviewItem>
      <errorID>e8c98478-1c24-4f10-888a-586ebeba8114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1DCB1ACA</paraID>
      <start>0</start>
      <end>2</end>
      <status>unmodified</status>
      <modifiedWord/>
      <trackRevisions>false</trackRevisions>
    </reviewItem>
    <reviewItem>
      <errorID>6ee5ffcc-1338-45ee-8f87-f3f9857a6efc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12CB49DF</paraID>
      <start>0</start>
      <end>2</end>
      <status>unmodified</status>
      <modifiedWord/>
      <trackRevisions>false</trackRevisions>
    </reviewItem>
    <reviewItem>
      <errorID>aa8363f1-a8f7-4fc8-8dfa-b6f16505c5c7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DC35C9E</paraID>
      <start>0</start>
      <end>2</end>
      <status>unmodified</status>
      <modifiedWord/>
      <trackRevisions>false</trackRevisions>
    </reviewItem>
    <reviewItem>
      <errorID>d2f37fbc-c585-4337-8294-73de4bffbb75</errorID>
      <errorWord>国家级</errorWord>
      <group>L1_Word</group>
      <groupName>字词问题</groupName>
      <ability>L2_Typo</ability>
      <abilityName>字词错误</abilityName>
      <candidateList>
        <item>以国家级</item>
      </candidateList>
      <explain/>
      <paraID>2AACA8F8</paraID>
      <start>156</start>
      <end>159</end>
      <status>unmodified</status>
      <modifiedWord/>
      <trackRevisions>false</trackRevisions>
    </reviewItem>
    <reviewItem>
      <errorID>7209bf4a-3e30-4d36-839d-7d5ba531f612</errorID>
      <errorWord>市级</errorWord>
      <group>L1_Word</group>
      <groupName>字词问题</groupName>
      <ability>L2_Typo</ability>
      <abilityName>字词错误</abilityName>
      <candidateList>
        <item>以市级</item>
      </candidateList>
      <explain/>
      <paraID>2AACA8F8</paraID>
      <start>163</start>
      <end>165</end>
      <status>unmodified</status>
      <modifiedWord/>
      <trackRevisions>false</trackRevisions>
    </reviewItem>
    <reviewItem>
      <errorID>300b03f6-0936-45ec-a11b-6c83027c1da3</errorID>
      <errorWord>重点科技创新平台</errorWord>
      <group>L1_Political</group>
      <groupName>政治性问题</groupName>
      <ability>L2_Keyword</ability>
      <abilityName>固定表述</abilityName>
      <candidateList>
        <item>重大科技创新平台</item>
      </candidateList>
      <explain>词汇“重大科技创新平台”在特定场景下为固定表述形式，请确认此处的“重点科技创新平台”是否存在不当。</explain>
      <paraID>5B9E325D</paraID>
      <start>4</start>
      <end>12</end>
      <status>unmodified</status>
      <modifiedWord/>
      <trackRevisions>false</trackRevisions>
    </reviewItem>
    <reviewItem>
      <errorID>3ac3e15b-c799-444e-b2bb-eb8ae82c19b1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3456EB6F</paraID>
      <start>0</start>
      <end>2</end>
      <status>unmodified</status>
      <modifiedWord/>
      <trackRevisions>false</trackRevisions>
    </reviewItem>
    <reviewItem>
      <errorID>41513e0e-0cd2-4721-b471-48c429bf5da5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5BBE2BBE</paraID>
      <start>0</start>
      <end>2</end>
      <status>unmodified</status>
      <modifiedWord/>
      <trackRevisions>false</trackRevisions>
    </reviewItem>
    <reviewItem>
      <errorID>4951b70c-f364-4354-9d29-f853b4581098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1FF5C216</paraID>
      <start>0</start>
      <end>2</end>
      <status>unmodified</status>
      <modifiedWord/>
      <trackRevisions>false</trackRevisions>
    </reviewItem>
    <reviewItem>
      <errorID>7b3f65a1-9cb6-4f3f-bd9e-2b1420dd71df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10161DF2</paraID>
      <start>0</start>
      <end>2</end>
      <status>unmodified</status>
      <modifiedWord/>
      <trackRevisions>false</trackRevisions>
    </reviewItem>
    <reviewItem>
      <errorID>cf3fbc0e-6f55-411f-8071-6cadb9e1c6dd</errorID>
      <errorWord>优质</errorWord>
      <group>L1_Word</group>
      <groupName>字词问题</groupName>
      <ability>L2_Typo</ability>
      <abilityName>字词错误</abilityName>
      <candidateList>
        <item>的优质</item>
      </candidateList>
      <explain/>
      <paraID>438E599C</paraID>
      <start>210</start>
      <end>212</end>
      <status>unmodified</status>
      <modifiedWord/>
      <trackRevisions>false</trackRevisions>
    </reviewItem>
    <reviewItem>
      <errorID>76151f23-ea68-4264-b1ba-432118f53407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753A0FF2</paraID>
      <start>0</start>
      <end>2</end>
      <status>unmodified</status>
      <modifiedWord/>
      <trackRevisions>false</trackRevisions>
    </reviewItem>
    <reviewItem>
      <errorID>38c2d622-f177-463e-a127-ce6636497915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581ADF8B</paraID>
      <start>0</start>
      <end>2</end>
      <status>unmodified</status>
      <modifiedWord/>
      <trackRevisions>false</trackRevisions>
    </reviewItem>
    <reviewItem>
      <errorID>82a7eacd-7537-4346-a323-10fdadddc632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6791F74B</paraID>
      <start>0</start>
      <end>2</end>
      <status>unmodified</status>
      <modifiedWord/>
      <trackRevisions>false</trackRevisions>
    </reviewItem>
    <reviewItem>
      <errorID>54e34809-5816-4688-8c4c-69330ad2cbe9</errorID>
      <errorWord>高水平</errorWord>
      <group>L1_Word</group>
      <groupName>字词问题</groupName>
      <ability>L2_Typo</ability>
      <abilityName>字词错误</abilityName>
      <candidateList>
        <item>以高水平</item>
      </candidateList>
      <explain/>
      <paraID>4F69EC61</paraID>
      <start>6</start>
      <end>9</end>
      <status>unmodified</status>
      <modifiedWord/>
      <trackRevisions>false</trackRevisions>
    </reviewItem>
    <reviewItem>
      <errorID>4f5d1c18-5598-4e04-9752-438385e4048e</errorID>
      <errorWord>科技成果</errorWord>
      <group>L1_Word</group>
      <groupName>字词问题</groupName>
      <ability>L2_Typo</ability>
      <abilityName>字词错误</abilityName>
      <candidateList>
        <item>的科技成果</item>
      </candidateList>
      <explain/>
      <paraID>4EC5BCB3</paraID>
      <start>39</start>
      <end>43</end>
      <status>unmodified</status>
      <modifiedWord/>
      <trackRevisions>false</trackRevisions>
    </reviewItem>
    <reviewItem>
      <errorID>f8804a17-5ddb-4276-9c2c-57198c11561e</errorID>
      <errorWord>、</errorWord>
      <group>L1_Grammar</group>
      <groupName>语法问题</groupName>
      <ability>L2_Grammar</ability>
      <abilityName>语法错误</abilityName>
      <candidateList>
        <item>功能、</item>
      </candidateList>
      <explain/>
      <paraID>4EC5BCB3</paraID>
      <start>45</start>
      <end>46</end>
      <status>unmodified</status>
      <modifiedWord/>
      <trackRevisions>false</trackRevisions>
    </reviewItem>
    <reviewItem>
      <errorID>c742ddfc-4624-47f3-9b3f-ca3c2e7a9781</errorID>
      <errorWord>企业</errorWord>
      <group>L1_Word</group>
      <groupName>字词问题</groupName>
      <ability>L2_Typo</ability>
      <abilityName>字词错误</abilityName>
      <candidateList>
        <item>的企业</item>
      </candidateList>
      <explain/>
      <paraID>4EC5BCB3</paraID>
      <start>56</start>
      <end>58</end>
      <status>unmodified</status>
      <modifiedWord/>
      <trackRevisions>false</trackRevisions>
    </reviewItem>
    <reviewItem>
      <errorID>2756b4e7-8bb0-4787-8f3b-8f4b92bbdf46</errorID>
      <errorWord>资源</errorWord>
      <group>L1_Word</group>
      <groupName>字词问题</groupName>
      <ability>L2_Typo</ability>
      <abilityName>字词错误</abilityName>
      <candidateList>
        <item>的资源</item>
      </candidateList>
      <explain/>
      <paraID>4EC5BCB3</paraID>
      <start>96</start>
      <end>98</end>
      <status>unmodified</status>
      <modifiedWord/>
      <trackRevisions>false</trackRevisions>
    </reviewItem>
    <reviewItem>
      <errorID>d39c04d9-2a00-4468-8dc5-207e05cb0b79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75A650</paraID>
      <start>0</start>
      <end>2</end>
      <status>unmodified</status>
      <modifiedWord/>
      <trackRevisions>false</trackRevisions>
    </reviewItem>
    <reviewItem>
      <errorID>f986fe2a-c86e-433c-9bd1-21b839408d95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1DE0F281</paraID>
      <start>0</start>
      <end>2</end>
      <status>unmodified</status>
      <modifiedWord/>
      <trackRevisions>false</trackRevisions>
    </reviewItem>
    <reviewItem>
      <errorID>dfd73258-22c4-4bd3-a726-fb2ee058d8e8</errorID>
      <errorWord> </errorWord>
      <group>L1_Punc</group>
      <groupName>标点问题</groupName>
      <ability>L2_Punc</ability>
      <abilityName>标点符号检查</abilityName>
      <candidateList>
        <item/>
      </candidateList>
      <explain>此处空格冗余，建议删除。</explain>
      <paraID>1DE0F281</paraID>
      <start>150</start>
      <end>151</end>
      <status>unmodified</status>
      <modifiedWord/>
      <trackRevisions>false</trackRevisions>
    </reviewItem>
    <reviewItem>
      <errorID>0ba34e50-4d9b-4745-b3b0-7125559594fa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20551D3B</paraID>
      <start>0</start>
      <end>2</end>
      <status>unmodified</status>
      <modifiedWord/>
      <trackRevisions>false</trackRevisions>
    </reviewItem>
    <reviewItem>
      <errorID>c82ccf6e-156c-4360-8270-d73445555159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C0655F8</paraID>
      <start>0</start>
      <end>2</end>
      <status>unmodified</status>
      <modifiedWord/>
      <trackRevisions>false</trackRevisions>
    </reviewItem>
    <reviewItem>
      <errorID>9142e49b-e72c-4d11-9f1d-914e34407bf6</errorID>
      <errorWord>大学城</errorWord>
      <group>L1_Word</group>
      <groupName>字词问题</groupName>
      <ability>L2_Typo</ability>
      <abilityName>字词错误</abilityName>
      <candidateList>
        <item>以大学城</item>
      </candidateList>
      <explain/>
      <paraID>7CCB304A</paraID>
      <start>6</start>
      <end>9</end>
      <status>unmodified</status>
      <modifiedWord/>
      <trackRevisions>false</trackRevisions>
    </reviewItem>
    <reviewItem>
      <errorID>5969cc96-beb1-42e1-b0d6-cd446708dda4</errorID>
      <errorWord>改革</errorWord>
      <group>L1_Word</group>
      <groupName>字词问题</groupName>
      <ability>L2_Typo</ability>
      <abilityName>字词错误</abilityName>
      <candidateList>
        <item>的改革</item>
      </candidateList>
      <explain/>
      <paraID>13A44281</paraID>
      <start>12</start>
      <end>14</end>
      <status>unmodified</status>
      <modifiedWord/>
      <trackRevisions>false</trackRevisions>
    </reviewItem>
    <reviewItem>
      <errorID>aa3cf92e-2d1f-4ddd-b3e7-4e2fde526fec</errorID>
      <errorWord>。</errorWord>
      <group>L1_Grammar</group>
      <groupName>语法问题</groupName>
      <ability>L2_Grammar</ability>
      <abilityName>语法错误</abilityName>
      <candidateList>
        <item>模式。</item>
      </candidateList>
      <explain/>
      <paraID>13A44281</paraID>
      <start>52</start>
      <end>53</end>
      <status>unmodified</status>
      <modifiedWord/>
      <trackRevisions>false</trackRevisions>
    </reviewItem>
    <reviewItem>
      <errorID>dc955d59-5be1-43c1-bbe6-eb8dbd871e11</errorID>
      <errorWord>。</errorWord>
      <group>L1_Punc</group>
      <groupName>标点问题</groupName>
      <ability>L2_Punc</ability>
      <abilityName>标点符号检查</abilityName>
      <candidateList>
        <item>，</item>
      </candidateList>
      <explain/>
      <paraID>644136A0</paraID>
      <start>10</start>
      <end>11</end>
      <status>unmodified</status>
      <modifiedWord/>
      <trackRevisions>false</trackRevisions>
    </reviewItem>
    <reviewItem>
      <errorID>b147fca8-7cee-48f6-8d1d-e4bf454ee648</errorID>
      <errorWord>。</errorWord>
      <group>L1_Punc</group>
      <groupName>标点问题</groupName>
      <ability>L2_Punc</ability>
      <abilityName>标点符号检查</abilityName>
      <candidateList>
        <item>，</item>
      </candidateList>
      <explain/>
      <paraID>6777CD8E</paraID>
      <start>15</start>
      <end>16</end>
      <status>unmodified</status>
      <modifiedWord/>
      <trackRevisions>false</trackRevisions>
    </reviewItem>
    <reviewItem>
      <errorID>b523e228-75c9-4382-aad7-d616e600b602</errorID>
      <errorWord>“</errorWord>
      <group>L1_Word</group>
      <groupName>字词问题</groupName>
      <ability>L2_Typo</ability>
      <abilityName>字词错误</abilityName>
      <candidateList>
        <item>以“</item>
      </candidateList>
      <explain/>
      <paraID>64CD0BFE</paraID>
      <start>29</start>
      <end>30</end>
      <status>unmodified</status>
      <modifiedWord/>
      <trackRevisions>false</trackRevisions>
    </reviewItem>
    <reviewItem>
      <errorID>40326a6b-9ce5-4ead-b3d8-aaffd8cae871</errorID>
      <errorWord>予以</errorWord>
      <group>L1_Word</group>
      <groupName>字词问题</groupName>
      <ability>L2_Typo</ability>
      <abilityName>字词错误</abilityName>
      <candidateList>
        <item>进行</item>
      </candidateList>
      <explain/>
      <paraID>64CD0BFE</paraID>
      <start>107</start>
      <end>109</end>
      <status>unmodified</status>
      <modifiedWord/>
      <trackRevisions>false</trackRevisions>
    </reviewItem>
    <reviewItem>
      <errorID>d44af9c6-8446-442e-8ffe-e1ac4557cbe5</errorID>
      <errorWord>高校</errorWord>
      <group>L1_Word</group>
      <groupName>字词问题</groupName>
      <ability>L2_Typo</ability>
      <abilityName>字词错误</abilityName>
      <candidateList>
        <item>在高校</item>
      </candidateList>
      <explain/>
      <paraID>64CD0BFE</paraID>
      <start>180</start>
      <end>182</end>
      <status>unmodified</status>
      <modifiedWord/>
      <trackRevisions>false</trackRevisions>
    </reviewItem>
    <reviewItem>
      <errorID>3c3682bc-50d5-4237-a06f-a5b221d4b55f</errorID>
      <errorWord>的</errorWord>
      <group>L1_Word</group>
      <groupName>字词问题</groupName>
      <ability>L2_Typo</ability>
      <abilityName>字词错误</abilityName>
      <candidateList>
        <item>等</item>
      </candidateList>
      <explain/>
      <paraID>64CD0BFE</paraID>
      <start>194</start>
      <end>195</end>
      <status>unmodified</status>
      <modifiedWord/>
      <trackRevisions>false</trackRevisions>
    </reviewItem>
    <reviewItem>
      <errorID>d256482a-0d11-4c8d-b1ba-9f5972f11de5</errorID>
      <errorWord>支持</errorWord>
      <group>L1_Word</group>
      <groupName>字词问题</groupName>
      <ability>L2_Typo</ability>
      <abilityName>字词错误</abilityName>
      <candidateList>
        <item>等支持</item>
      </candidateList>
      <explain/>
      <paraID>64CD0BFE</paraID>
      <start>226</start>
      <end>228</end>
      <status>unmodified</status>
      <modifiedWord/>
      <trackRevisions>false</trackRevisions>
    </reviewItem>
    <reviewItem>
      <errorID>229caaf1-cd7a-412d-98e8-37d90708ee04</errorID>
      <errorWord>改革</errorWord>
      <group>L1_Word</group>
      <groupName>字词问题</groupName>
      <ability>L2_Typo</ability>
      <abilityName>字词错误</abilityName>
      <candidateList>
        <item>的改革</item>
      </candidateList>
      <explain/>
      <paraID>64CD0BFE</paraID>
      <start>234</start>
      <end>236</end>
      <status>unmodified</status>
      <modifiedWord/>
      <trackRevisions>false</trackRevisions>
    </reviewItem>
    <reviewItem>
      <errorID>39382183-69df-4ace-8036-441bcaf4df8e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2359D0E8</paraID>
      <start>0</start>
      <end>2</end>
      <status>unmodified</status>
      <modifiedWord/>
      <trackRevisions>false</trackRevisions>
    </reviewItem>
    <reviewItem>
      <errorID>4c73eb4d-fb58-4866-99b0-46889997f83c</errorID>
      <errorWord>把</errorWord>
      <group>L1_Word</group>
      <groupName>字词问题</groupName>
      <ability>L2_Typo</ability>
      <abilityName>字词错误</abilityName>
      <candidateList>
        <item>将</item>
      </candidateList>
      <explain/>
      <paraID>2359D0E8</paraID>
      <start>50</start>
      <end>51</end>
      <status>unmodified</status>
      <modifiedWord/>
      <trackRevisions>false</trackRevisions>
    </reviewItem>
    <reviewItem>
      <errorID>1d801499-c9e9-464e-9d66-5d17b1a6ccc6</errorID>
      <errorWord>及</errorWord>
      <group>L1_Word</group>
      <groupName>字词问题</groupName>
      <ability>L2_Typo</ability>
      <abilityName>字词错误</abilityName>
      <candidateList>
        <item>、</item>
      </candidateList>
      <explain/>
      <paraID>2359D0E8</paraID>
      <start>67</start>
      <end>68</end>
      <status>unmodified</status>
      <modifiedWord/>
      <trackRevisions>false</trackRevisions>
    </reviewItem>
    <reviewItem>
      <errorID>a897064d-4517-49f5-88a6-bdb3bfa62178</errorID>
      <errorWord>、</errorWord>
      <group>L1_Word</group>
      <groupName>字词问题</groupName>
      <ability>L2_Typo</ability>
      <abilityName>字词错误</abilityName>
      <candidateList>
        <item>和</item>
      </candidateList>
      <explain/>
      <paraID>2359D0E8</paraID>
      <start>74</start>
      <end>75</end>
      <status>unmodified</status>
      <modifiedWord/>
      <trackRevisions>false</trackRevisions>
    </reviewItem>
    <reviewItem>
      <errorID>dc65cdd5-8879-4676-a255-58c28fb123bc</errorID>
      <errorWord>使用权</errorWord>
      <group>L1_Word</group>
      <groupName>字词问题</groupName>
      <ability>L2_Typo</ability>
      <abilityName>字词错误</abilityName>
      <candidateList>
        <item>的使用权</item>
      </candidateList>
      <explain/>
      <paraID>2359D0E8</paraID>
      <start>113</start>
      <end>116</end>
      <status>unmodified</status>
      <modifiedWord/>
      <trackRevisions>false</trackRevisions>
    </reviewItem>
    <reviewItem>
      <errorID>f80ffab4-1c5c-4ad3-ac23-17950830526a</errorID>
      <errorWord>加速</errorWord>
      <group>L1_Word</group>
      <groupName>字词问题</groupName>
      <ability>L2_Typo</ability>
      <abilityName>字词错误</abilityName>
      <candidateList>
        <item>以加速</item>
      </candidateList>
      <explain/>
      <paraID>2359D0E8</paraID>
      <start>135</start>
      <end>137</end>
      <status>unmodified</status>
      <modifiedWord/>
      <trackRevisions>false</trackRevisions>
    </reviewItem>
    <reviewItem>
      <errorID>8b268f84-d552-4650-8994-ec8080c3ba41</errorID>
      <errorWord>增值</errorWord>
      <group>L1_Word</group>
      <groupName>字词问题</groupName>
      <ability>L2_Typo</ability>
      <abilityName>字词错误</abilityName>
      <candidateList>
        <item>的增值</item>
      </candidateList>
      <explain/>
      <paraID>2359D0E8</paraID>
      <start>139</start>
      <end>141</end>
      <status>unmodified</status>
      <modifiedWord/>
      <trackRevisions>false</trackRevisions>
    </reviewItem>
    <reviewItem>
      <errorID>8ed68efc-f969-461f-b4c5-9e7d000285ca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7038741B</paraID>
      <start>0</start>
      <end>2</end>
      <status>unmodified</status>
      <modifiedWord/>
      <trackRevisions>false</trackRevisions>
    </reviewItem>
    <reviewItem>
      <errorID>a6d5b2ad-e042-4cf3-82ed-8af7b2c4fcdb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1D8D5ED3</paraID>
      <start>0</start>
      <end>2</end>
      <status>unmodified</status>
      <modifiedWord/>
      <trackRevisions>false</trackRevisions>
    </reviewItem>
    <reviewItem>
      <errorID>956a0e7a-ecb2-4986-a257-54fa3ccaa014</errorID>
      <errorWord>先投（研）后股</errorWord>
      <group>L1_Punc</group>
      <groupName>标点问题</groupName>
      <ability>L2_Punc</ability>
      <abilityName>标点符号检查</abilityName>
      <candidateList>
        <item>“先投（研）后股”</item>
      </candidateList>
      <explain/>
      <paraID>1D8D5ED3</paraID>
      <start>28</start>
      <end>35</end>
      <status>unmodified</status>
      <modifiedWord/>
      <trackRevisions>false</trackRevisions>
    </reviewItem>
    <reviewItem>
      <errorID>04c1e4b9-f09d-48cf-8240-eb397da681e3</errorID>
      <errorWord>，</errorWord>
      <group>L1_Punc</group>
      <groupName>标点问题</groupName>
      <ability>L2_Punc</ability>
      <abilityName>标点符号检查</abilityName>
      <candidateList>
        <item>；</item>
      </candidateList>
      <explain/>
      <paraID>1D8D5ED3</paraID>
      <start>83</start>
      <end>84</end>
      <status>unmodified</status>
      <modifiedWord/>
      <trackRevisions>false</trackRevisions>
    </reviewItem>
    <reviewItem>
      <errorID>ec2eaad8-6451-47f0-b8e2-6e531fe20582</errorID>
      <errorWord>实现</errorWord>
      <group>L1_Word</group>
      <groupName>字词问题</groupName>
      <ability>L2_Typo</ability>
      <abilityName>字词错误</abilityName>
      <candidateList>
        <item>以实现</item>
      </candidateList>
      <explain/>
      <paraID>1D8D5ED3</paraID>
      <start>130</start>
      <end>132</end>
      <status>unmodified</status>
      <modifiedWord/>
      <trackRevisions>false</trackRevisions>
    </reviewItem>
    <reviewItem>
      <errorID>6344e6c7-dd65-4701-8b0e-21fe60181016</errorID>
      <errorWord>吋</errorWord>
      <group>L1_Word</group>
      <groupName>字词问题</groupName>
      <ability>L2_Variant</ability>
      <abilityName>异形词</abilityName>
      <candidateList>
        <item>英寸</item>
      </candidateList>
      <explain>词汇[吋]的规范词形写作[英寸]。</explain>
      <paraID>4B10C662</paraID>
      <start>348</start>
      <end>349</end>
      <status>unmodified</status>
      <modifiedWord/>
      <trackRevisions>false</trackRevisions>
    </reviewItem>
    <reviewItem>
      <errorID>c557bdd5-160a-42ca-8cee-133ef482168b</errorID>
      <errorWord>吋</errorWord>
      <group>L1_Word</group>
      <groupName>字词问题</groupName>
      <ability>L2_Variant</ability>
      <abilityName>异形词</abilityName>
      <candidateList>
        <item>英寸</item>
      </candidateList>
      <explain>词汇[吋]的规范词形写作[英寸]。</explain>
      <paraID>4B10C662</paraID>
      <start>983</start>
      <end>984</end>
      <status>unmodified</status>
      <modifiedWord/>
      <trackRevisions>false</trackRevisions>
    </reviewItem>
    <reviewItem>
      <errorID>88e55365-523d-4dba-96bc-3d434594e973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21B56EB9</paraID>
      <start>0</start>
      <end>2</end>
      <status>unmodified</status>
      <modifiedWord/>
      <trackRevisions>false</trackRevisions>
    </reviewItem>
    <reviewItem>
      <errorID>10ab63c8-55e5-4c4c-b74a-db545e869759</errorID>
      <errorWord>RISC</errorWord>
      <group>L1_Word</group>
      <groupName>字词问题</groupName>
      <ability>L2_Typo</ability>
      <abilityName>字词错误</abilityName>
      <candidateList>
        <item>的RISC</item>
      </candidateList>
      <explain/>
      <paraID>21B56EB9</paraID>
      <start>59</start>
      <end>63</end>
      <status>unmodified</status>
      <modifiedWord/>
      <trackRevisions>false</trackRevisions>
    </reviewItem>
    <reviewItem>
      <errorID>626c0fdd-b32c-4a05-aa0e-21a894255424</errorID>
      <errorWord>，</errorWord>
      <group>L1_Grammar</group>
      <groupName>语法问题</groupName>
      <ability>L2_Grammar</ability>
      <abilityName>语法错误</abilityName>
      <candidateList>
        <item>能力，</item>
      </candidateList>
      <explain/>
      <paraID>21B56EB9</paraID>
      <start>97</start>
      <end>98</end>
      <status>unmodified</status>
      <modifiedWord/>
      <trackRevisions>false</trackRevisions>
    </reviewItem>
    <reviewItem>
      <errorID>3d22736b-4779-4bfe-8438-50495b6e157a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4882941F</paraID>
      <start>0</start>
      <end>2</end>
      <status>unmodified</status>
      <modifiedWord/>
      <trackRevisions>false</trackRevisions>
    </reviewItem>
    <reviewItem>
      <errorID>ff46c760-04c7-4391-9450-2b29db45cd19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16BC93CF</paraID>
      <start>0</start>
      <end>2</end>
      <status>unmodified</status>
      <modifiedWord/>
      <trackRevisions>false</trackRevisions>
    </reviewItem>
    <reviewItem>
      <errorID>80a82ae4-5b6f-48a7-8cdc-24a88b0d74f4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71F05EEC</paraID>
      <start>0</start>
      <end>2</end>
      <status>unmodified</status>
      <modifiedWord/>
      <trackRevisions>false</trackRevisions>
    </reviewItem>
    <reviewItem>
      <errorID>8bf8d6a2-74ef-4391-90bd-a4db98ec793c</errorID>
      <errorWord>地图</errorWord>
      <group>L1_Punc</group>
      <groupName>标点问题</groupName>
      <ability>L2_Punc</ability>
      <abilityName>标点符号检查</abilityName>
      <candidateList>
        <item>地图。</item>
      </candidateList>
      <explain/>
      <paraID> 69B6681</paraID>
      <start>10</start>
      <end>12</end>
      <status>unmodified</status>
      <modifiedWord/>
      <trackRevisions>false</trackRevisions>
    </reviewItem>
    <reviewItem>
      <errorID>69ba6b62-0d43-4d41-a4a6-dbe4b959b745</errorID>
      <errorWord>都</errorWord>
      <group>L1_Punc</group>
      <groupName>标点问题</groupName>
      <ability>L2_Punc</ability>
      <abilityName>标点符号检查</abilityName>
      <candidateList>
        <item>都。</item>
      </candidateList>
      <explain/>
      <paraID>345D9CB3</paraID>
      <start>27</start>
      <end>28</end>
      <status>unmodified</status>
      <modifiedWord/>
      <trackRevisions>false</trackRevisions>
    </reviewItem>
    <reviewItem>
      <errorID>a2449dc9-3f8f-4b13-82eb-b65e8a1b05a1</errorID>
      <errorWord>。</errorWord>
      <group>L1_Punc</group>
      <groupName>标点问题</groupName>
      <ability>L2_Punc</ability>
      <abilityName>标点符号检查</abilityName>
      <candidateList>
        <item>：</item>
      </candidateList>
      <explain/>
      <paraID>6353181E</paraID>
      <start>11</start>
      <end>12</end>
      <status>unmodified</status>
      <modifiedWord/>
      <trackRevisions>false</trackRevisions>
    </reviewItem>
    <reviewItem>
      <errorID>83dda0a2-b4dd-4caa-8df6-2ee83878d46d</errorID>
      <errorWord>。</errorWord>
      <group>L1_Punc</group>
      <groupName>标点问题</groupName>
      <ability>L2_Punc</ability>
      <abilityName>标点符号检查</abilityName>
      <candidateList>
        <item>：</item>
      </candidateList>
      <explain/>
      <paraID>77830A17</paraID>
      <start>7</start>
      <end>8</end>
      <status>unmodified</status>
      <modifiedWord/>
      <trackRevisions>false</trackRevisions>
    </reviewItem>
    <reviewItem>
      <errorID>866dda99-ec9e-4995-8b94-d7318b38d967</errorID>
      <errorWord>。</errorWord>
      <group>L1_Punc</group>
      <groupName>标点问题</groupName>
      <ability>L2_Punc</ability>
      <abilityName>标点符号检查</abilityName>
      <candidateList>
        <item>：</item>
      </candidateList>
      <explain/>
      <paraID>707C8471</paraID>
      <start>8</start>
      <end>9</end>
      <status>unmodified</status>
      <modifiedWord/>
      <trackRevisions>false</trackRevisions>
    </reviewItem>
    <reviewItem>
      <errorID>a1905c39-c391-494d-b195-dc2976b315fb</errorID>
      <errorWord>领域</errorWord>
      <group>L1_Punc</group>
      <groupName>标点问题</groupName>
      <ability>L2_Punc</ability>
      <abilityName>标点符号检查</abilityName>
      <candidateList>
        <item>领域。</item>
      </candidateList>
      <explain/>
      <paraID>6761C05D</paraID>
      <start>14</start>
      <end>16</end>
      <status>unmodified</status>
      <modifiedWord/>
      <trackRevisions>false</trackRevisions>
    </reviewItem>
    <reviewItem>
      <errorID>4208d487-e826-4183-b81c-77c5f74299ec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77CB740E</paraID>
      <start>0</start>
      <end>2</end>
      <status>unmodified</status>
      <modifiedWord/>
      <trackRevisions>false</trackRevisions>
    </reviewItem>
    <reviewItem>
      <errorID>b22e45e1-de37-42ee-a47d-39b37dba2366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DC6D8B7</paraID>
      <start>0</start>
      <end>2</end>
      <status>unmodified</status>
      <modifiedWord/>
      <trackRevisions>false</trackRevisions>
    </reviewItem>
    <reviewItem>
      <errorID>a94b275f-c071-4d58-a643-7424dda4691b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55C89E4</paraID>
      <start>0</start>
      <end>2</end>
      <status>unmodified</status>
      <modifiedWord/>
      <trackRevisions>false</trackRevisions>
    </reviewItem>
    <reviewItem>
      <errorID>f51b5e0f-55ba-4060-b0e5-a5cf81cb54c3</errorID>
      <errorWord>领域。</errorWord>
      <group>L1_Grammar</group>
      <groupName>语法问题</groupName>
      <ability>L2_Grammar</ability>
      <abilityName>语法错误</abilityName>
      <candidateList>
        <item>等领域的相关产业。</item>
      </candidateList>
      <explain/>
      <paraID> 55C89E4</paraID>
      <start>192</start>
      <end>195</end>
      <status>unmodified</status>
      <modifiedWord/>
      <trackRevisions>false</trackRevisions>
    </reviewItem>
    <reviewItem>
      <errorID>2e0e4fd0-5dc7-4541-82f5-984c0f8a6a86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29CF05C4</paraID>
      <start>0</start>
      <end>2</end>
      <status>unmodified</status>
      <modifiedWord/>
      <trackRevisions>false</trackRevisions>
    </reviewItem>
    <reviewItem>
      <errorID>5e472c26-749f-450f-874f-38ff0b9f8aa8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14202C57</paraID>
      <start>0</start>
      <end>2</end>
      <status>unmodified</status>
      <modifiedWord/>
      <trackRevisions>false</trackRevisions>
    </reviewItem>
    <reviewItem>
      <errorID>66c3ff8b-dadc-410b-b28f-4d545d02c242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655DC1D7</paraID>
      <start>0</start>
      <end>2</end>
      <status>unmodified</status>
      <modifiedWord/>
      <trackRevisions>false</trackRevisions>
    </reviewItem>
    <reviewItem>
      <errorID>9665eb7b-0ba8-433f-ad3e-6dd466286e58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24645CFE</paraID>
      <start>0</start>
      <end>2</end>
      <status>unmodified</status>
      <modifiedWord/>
      <trackRevisions>false</trackRevisions>
    </reviewItem>
    <reviewItem>
      <errorID>48f4b4a5-6f52-4c89-9a98-7646b01e3e24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2CE5AB9B</paraID>
      <start>0</start>
      <end>2</end>
      <status>unmodified</status>
      <modifiedWord/>
      <trackRevisions>false</trackRevisions>
    </reviewItem>
    <reviewItem>
      <errorID>6d18803d-f589-47d3-aa1d-c88510cec818</errorID>
      <errorWord>，</errorWord>
      <group>L1_Punc</group>
      <groupName>标点问题</groupName>
      <ability>L2_Punc</ability>
      <abilityName>标点符号检查</abilityName>
      <candidateList>
        <item>：</item>
      </candidateList>
      <explain/>
      <paraID>1A9AB285</paraID>
      <start>494</start>
      <end>495</end>
      <status>unmodified</status>
      <modifiedWord/>
      <trackRevisions>false</trackRevisions>
    </reviewItem>
    <reviewItem>
      <errorID>3e157946-ca1a-4a78-8399-2c7099919d33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5E122B6D</paraID>
      <start>0</start>
      <end>2</end>
      <status>unmodified</status>
      <modifiedWord/>
      <trackRevisions>false</trackRevisions>
    </reviewItem>
    <reviewItem>
      <errorID>dabd154c-e68a-41f4-8a03-8d6352be6cd4</errorID>
      <errorWord>临床</errorWord>
      <group>L1_Word</group>
      <groupName>字词问题</groupName>
      <ability>L2_Typo</ability>
      <abilityName>字词错误</abilityName>
      <candidateList>
        <item>的临床</item>
      </candidateList>
      <explain/>
      <paraID>5E122B6D</paraID>
      <start>152</start>
      <end>154</end>
      <status>unmodified</status>
      <modifiedWord/>
      <trackRevisions>false</trackRevisions>
    </reviewItem>
    <reviewItem>
      <errorID>841ee451-9994-43a7-a1f5-bf6651a185e9</errorID>
      <errorWord>和临床研究</errorWord>
      <group>L1_Grammar</group>
      <groupName>语法问题</groupName>
      <ability>L2_Grammar</ability>
      <abilityName>语法错误</abilityName>
      <candidateList>
        <item>和</item>
      </candidateList>
      <explain/>
      <paraID>5E122B6D</paraID>
      <start>156</start>
      <end>161</end>
      <status>unmodified</status>
      <modifiedWord/>
      <trackRevisions>false</trackRevisions>
    </reviewItem>
    <reviewItem>
      <errorID>2b47f309-7429-411b-8377-bba121ee597f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46FE3378</paraID>
      <start>0</start>
      <end>2</end>
      <status>unmodified</status>
      <modifiedWord/>
      <trackRevisions>false</trackRevisions>
    </reviewItem>
    <reviewItem>
      <errorID>bff98920-7bd8-4aec-b003-a2919b08d5ca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658D19B3</paraID>
      <start>0</start>
      <end>2</end>
      <status>unmodified</status>
      <modifiedWord/>
      <trackRevisions>false</trackRevisions>
    </reviewItem>
    <reviewItem>
      <errorID>8c2ea34f-5f76-4ae7-9d5b-a77ea7bd4e05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7DC8F655</paraID>
      <start>0</start>
      <end>2</end>
      <status>unmodified</status>
      <modifiedWord/>
      <trackRevisions>false</trackRevisions>
    </reviewItem>
    <reviewItem>
      <errorID>5af004ba-1510-4892-b046-a72df9b10a8c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45C510B8</paraID>
      <start>0</start>
      <end>2</end>
      <status>unmodified</status>
      <modifiedWord/>
      <trackRevisions>false</trackRevisions>
    </reviewItem>
    <reviewItem>
      <errorID>f5b8d9ac-1dae-48c5-8f18-b28140d9df21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148944BF</paraID>
      <start>0</start>
      <end>2</end>
      <status>unmodified</status>
      <modifiedWord/>
      <trackRevisions>false</trackRevisions>
    </reviewItem>
    <reviewItem>
      <errorID>1cdc1e85-b2f7-47f2-9bfb-1f0f1ff8f433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702EE3FE</paraID>
      <start>0</start>
      <end>2</end>
      <status>unmodified</status>
      <modifiedWord/>
      <trackRevisions>false</trackRevisions>
    </reviewItem>
    <reviewItem>
      <errorID>994ffe4a-b794-4c3e-a9f8-dce8f656faf9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44E17730</paraID>
      <start>0</start>
      <end>2</end>
      <status>unmodified</status>
      <modifiedWord/>
      <trackRevisions>false</trackRevisions>
    </reviewItem>
    <reviewItem>
      <errorID>4c68d1fb-cdad-49f6-8583-50e1aa89896f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2C34855</paraID>
      <start>0</start>
      <end>2</end>
      <status>unmodified</status>
      <modifiedWord/>
      <trackRevisions>false</trackRevisions>
    </reviewItem>
    <reviewItem>
      <errorID>3b553cfd-06d4-4a57-8a40-d2db3501ca3a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546190DD</paraID>
      <start>0</start>
      <end>2</end>
      <status>unmodified</status>
      <modifiedWord/>
      <trackRevisions>false</trackRevisions>
    </reviewItem>
    <reviewItem>
      <errorID>7c4ee6cb-80ff-4b5c-aad6-79884b2c15d8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348B2654</paraID>
      <start>0</start>
      <end>2</end>
      <status>unmodified</status>
      <modifiedWord/>
      <trackRevisions>false</trackRevisions>
    </reviewItem>
    <reviewItem>
      <errorID>490a77a2-f54e-4e09-9d39-2820f00905c6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62AC42C2</paraID>
      <start>0</start>
      <end>2</end>
      <status>unmodified</status>
      <modifiedWord/>
      <trackRevisions>false</trackRevisions>
    </reviewItem>
    <reviewItem>
      <errorID>1420cb3d-d25f-4e56-a4c1-e39c5f932472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5E483AE4</paraID>
      <start>0</start>
      <end>2</end>
      <status>unmodified</status>
      <modifiedWord/>
      <trackRevisions>false</trackRevisions>
    </reviewItem>
    <reviewItem>
      <errorID>83830502-9871-4353-9a14-012f2176f943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22319798</paraID>
      <start>0</start>
      <end>2</end>
      <status>unmodified</status>
      <modifiedWord/>
      <trackRevisions>false</trackRevisions>
    </reviewItem>
    <reviewItem>
      <errorID>ab2e872d-f5f7-471f-bb89-2237d0a83042</errorID>
      <errorWord>智融惠畅工程</errorWord>
      <group>L1_Political</group>
      <groupName>政治性问题</groupName>
      <ability>L2_Keyword</ability>
      <abilityName>固定表述</abilityName>
      <candidateList>
        <item>“智融惠畅”工程</item>
      </candidateList>
      <explain>注意检查当前固定表述标点是否使用规范。</explain>
      <paraID>759A3A0A</paraID>
      <start>4</start>
      <end>10</end>
      <status>unmodified</status>
      <modifiedWord/>
      <trackRevisions>false</trackRevisions>
    </reviewItem>
    <reviewItem>
      <errorID>d4a50693-7719-4154-af2a-d988ba1471a8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75F2B008</paraID>
      <start>0</start>
      <end>2</end>
      <status>unmodified</status>
      <modifiedWord/>
      <trackRevisions>false</trackRevisions>
    </reviewItem>
    <reviewItem>
      <errorID>6af3bec5-533c-47cc-b339-e93498b0486e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57B56C07</paraID>
      <start>0</start>
      <end>2</end>
      <status>unmodified</status>
      <modifiedWord/>
      <trackRevisions>false</trackRevisions>
    </reviewItem>
    <reviewItem>
      <errorID>cbbb8bea-9f77-4822-b55f-9010a56ee3f4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68A76916</paraID>
      <start>0</start>
      <end>2</end>
      <status>unmodified</status>
      <modifiedWord/>
      <trackRevisions>false</trackRevisions>
    </reviewItem>
    <reviewItem>
      <errorID>8544967e-ed75-4bb9-a2e3-def9abb21cbd</errorID>
      <errorWord>三农</errorWord>
      <group>L1_Political</group>
      <groupName>政治性问题</groupName>
      <ability>L2_Keyword</ability>
      <abilityName>固定表述</abilityName>
      <candidateList>
        <item>“三农”</item>
      </candidateList>
      <explain>注意检查当前固定表述标点是否使用规范。</explain>
      <paraID>68A76916</paraID>
      <start>46</start>
      <end>48</end>
      <status>unmodified</status>
      <modifiedWord/>
      <trackRevisions>false</trackRevisions>
    </reviewItem>
    <reviewItem>
      <errorID>b9e55b47-4685-412e-9668-5bfd6bfd1bde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120E3F21</paraID>
      <start>0</start>
      <end>2</end>
      <status>unmodified</status>
      <modifiedWord/>
      <trackRevisions>false</trackRevisions>
    </reviewItem>
    <reviewItem>
      <errorID>39add850-d236-41f1-8dfa-8788194a0def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35AA8E64</paraID>
      <start>0</start>
      <end>2</end>
      <status>unmodified</status>
      <modifiedWord/>
      <trackRevisions>false</trackRevisions>
    </reviewItem>
    <reviewItem>
      <errorID>db0e10bd-c2cb-4299-ad2c-adae876a7065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493A8CB0</paraID>
      <start>0</start>
      <end>2</end>
      <status>unmodified</status>
      <modifiedWord/>
      <trackRevisions>false</trackRevisions>
    </reviewItem>
    <reviewItem>
      <errorID>03bbdbb5-3578-4f47-b3f5-dd907b7adc06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654DBC1</paraID>
      <start>0</start>
      <end>2</end>
      <status>unmodified</status>
      <modifiedWord/>
      <trackRevisions>false</trackRevisions>
    </reviewItem>
    <reviewItem>
      <errorID>254716df-d5d2-41fb-bf20-3f599caad349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7E0A0A22</paraID>
      <start>0</start>
      <end>2</end>
      <status>unmodified</status>
      <modifiedWord/>
      <trackRevisions>false</trackRevisions>
    </reviewItem>
    <reviewItem>
      <errorID>da0e34de-0a83-438a-92ab-12b2afba3772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67A5D029</paraID>
      <start>0</start>
      <end>2</end>
      <status>unmodified</status>
      <modifiedWord/>
      <trackRevisions>false</trackRevisions>
    </reviewItem>
    <reviewItem>
      <errorID>a2070740-1128-4900-b37e-821960e8a67a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2CE4064</paraID>
      <start>0</start>
      <end>2</end>
      <status>unmodified</status>
      <modifiedWord/>
      <trackRevisions>false</trackRevisions>
    </reviewItem>
    <reviewItem>
      <errorID>cbe8d1b3-64ba-4a0c-b507-7e16a22ae395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6F0A6440</paraID>
      <start>0</start>
      <end>2</end>
      <status>unmodified</status>
      <modifiedWord/>
      <trackRevisions>false</trackRevisions>
    </reviewItem>
    <reviewItem>
      <errorID>ba9f16ca-ff8d-4da4-a1e0-dded7be1fa22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4B91D34E</paraID>
      <start>0</start>
      <end>2</end>
      <status>unmodified</status>
      <modifiedWord/>
      <trackRevisions>false</trackRevisions>
    </reviewItem>
    <reviewItem>
      <errorID>d90ffc02-0487-4c36-9402-979fb06ff39e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15EBCC6A</paraID>
      <start>0</start>
      <end>2</end>
      <status>unmodified</status>
      <modifiedWord/>
      <trackRevisions>false</trackRevisions>
    </reviewItem>
    <reviewItem>
      <errorID>9b5e87f0-5734-42a9-98f8-7555cc762391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682F0B7A</paraID>
      <start>0</start>
      <end>2</end>
      <status>unmodified</status>
      <modifiedWord/>
      <trackRevisions>false</trackRevisions>
    </reviewItem>
    <reviewItem>
      <errorID>6340705c-80bf-447d-ba81-951a22b608b1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7F7E4C9C</paraID>
      <start>0</start>
      <end>2</end>
      <status>unmodified</status>
      <modifiedWord/>
      <trackRevisions>false</trackRevisions>
    </reviewItem>
    <reviewItem>
      <errorID>60b9282a-a57b-450f-b3bb-a5a90e3226e4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4AD42D12</paraID>
      <start>0</start>
      <end>2</end>
      <status>unmodified</status>
      <modifiedWord/>
      <trackRevisions>false</trackRevisions>
    </reviewItem>
    <reviewItem>
      <errorID>1210fd34-2c5c-4434-ac21-0cc1652baef7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230895F1</paraID>
      <start>0</start>
      <end>2</end>
      <status>unmodified</status>
      <modifiedWord/>
      <trackRevisions>false</trackRevisions>
    </reviewItem>
    <reviewItem>
      <errorID>d3259476-4d3c-4f94-9a2a-38307f8dfdee</errorID>
      <errorWord>坚持人民城市人民建，人民城市为人民</errorWord>
      <group>L1_Political</group>
      <groupName>政治性问题</groupName>
      <ability>L2_Keyword</ability>
      <abilityName>固定表述</abilityName>
      <candidateList>
        <item>坚持人民城市人民建、人民城市为人民</item>
      </candidateList>
      <explain>注意检查当前固定表述标点是否使用规范。</explain>
      <paraID>53851608</paraID>
      <start>0</start>
      <end>17</end>
      <status>unmodified</status>
      <modifiedWord/>
      <trackRevisions>false</trackRevisions>
    </reviewItem>
    <reviewItem>
      <errorID>0dfc521b-b8b8-47ac-aa59-6972f52793d0</errorID>
      <errorWord>创新、宜居、美丽、韧性、文明、智慧现代化人民城市</errorWord>
      <group>L1_Political</group>
      <groupName>政治性问题</groupName>
      <ability>L2_Keyword</ability>
      <abilityName>固定表述</abilityName>
      <candidateList>
        <item>创新、宜居、美丽、韧性、文明、智慧的现代化人民城市</item>
      </candidateList>
      <explain>词汇“创新、宜居、美丽、韧性、文明、智慧的现代化人民城市”在特定场景下为固定表述形式，请确认此处的“创新、宜居、美丽、韧性、文明、智慧现代化人民城市”是否存在不当。</explain>
      <paraID>53851608</paraID>
      <start>22</start>
      <end>46</end>
      <status>unmodified</status>
      <modifiedWord/>
      <trackRevisions>false</trackRevisions>
    </reviewItem>
    <reviewItem>
      <errorID>1bdf5f22-e266-4dfd-a3cc-f4ff9a746f87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5D2F1F37</paraID>
      <start>0</start>
      <end>2</end>
      <status>unmodified</status>
      <modifiedWord/>
      <trackRevisions>false</trackRevisions>
    </reviewItem>
    <reviewItem>
      <errorID>ca640ce0-354f-4756-b1c7-ed6a8d920523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85D91D5</paraID>
      <start>0</start>
      <end>2</end>
      <status>unmodified</status>
      <modifiedWord/>
      <trackRevisions>false</trackRevisions>
    </reviewItem>
    <reviewItem>
      <errorID>53e2ec24-be8e-47f0-a93e-6431eec0b268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338A2CBE</paraID>
      <start>0</start>
      <end>2</end>
      <status>unmodified</status>
      <modifiedWord/>
      <trackRevisions>false</trackRevisions>
    </reviewItem>
    <reviewItem>
      <errorID>1f832669-bc5d-4cf1-b223-9f6cb7ede0b1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255CC35D</paraID>
      <start>0</start>
      <end>2</end>
      <status>unmodified</status>
      <modifiedWord/>
      <trackRevisions>false</trackRevisions>
    </reviewItem>
    <reviewItem>
      <errorID>fb28635b-71dd-48ed-aa96-d9652d37cee6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3EEA0705</paraID>
      <start>0</start>
      <end>2</end>
      <status>unmodified</status>
      <modifiedWord/>
      <trackRevisions>false</trackRevisions>
    </reviewItem>
    <reviewItem>
      <errorID>ef15a6a9-feab-4fb0-b32a-2a07a29fa46b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23C157C5</paraID>
      <start>0</start>
      <end>2</end>
      <status>unmodified</status>
      <modifiedWord/>
      <trackRevisions>false</trackRevisions>
    </reviewItem>
    <reviewItem>
      <errorID>7c019c18-26b2-401f-98e7-a9f85bbb4884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1B5B2AEB</paraID>
      <start>0</start>
      <end>2</end>
      <status>unmodified</status>
      <modifiedWord/>
      <trackRevisions>false</trackRevisions>
    </reviewItem>
    <reviewItem>
      <errorID>2783da36-377f-4085-b0a9-07c11ba6181e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201A9D22</paraID>
      <start>0</start>
      <end>2</end>
      <status>unmodified</status>
      <modifiedWord/>
      <trackRevisions>false</trackRevisions>
    </reviewItem>
    <reviewItem>
      <errorID>b033dd75-30e8-4071-aa52-0fa0050d95a8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7A599498</paraID>
      <start>0</start>
      <end>2</end>
      <status>unmodified</status>
      <modifiedWord/>
      <trackRevisions>false</trackRevisions>
    </reviewItem>
    <reviewItem>
      <errorID>d1db60c8-448c-463a-83d0-ac3dfa0bfe68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73B683D6</paraID>
      <start>0</start>
      <end>2</end>
      <status>unmodified</status>
      <modifiedWord/>
      <trackRevisions>false</trackRevisions>
    </reviewItem>
    <reviewItem>
      <errorID>60ff13b3-4f05-4bce-8f3e-80e9402ef0f0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6A965180</paraID>
      <start>0</start>
      <end>2</end>
      <status>unmodified</status>
      <modifiedWord/>
      <trackRevisions>false</trackRevisions>
    </reviewItem>
    <reviewItem>
      <errorID>9d21def9-e254-42e7-9817-747c6b229ac8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7127ECC7</paraID>
      <start>0</start>
      <end>2</end>
      <status>unmodified</status>
      <modifiedWord/>
      <trackRevisions>false</trackRevisions>
    </reviewItem>
    <reviewItem>
      <errorID>4741ff1a-884d-4436-9ca5-f49c54c91131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1DE0EBBF</paraID>
      <start>0</start>
      <end>2</end>
      <status>unmodified</status>
      <modifiedWord/>
      <trackRevisions>false</trackRevisions>
    </reviewItem>
    <reviewItem>
      <errorID>251a4030-0985-4422-a58f-1e111159f664</errorID>
      <errorWord>，</errorWord>
      <group>L1_Word</group>
      <groupName>字词问题</groupName>
      <ability>L2_Typo</ability>
      <abilityName>字词错误</abilityName>
      <candidateList>
        <item>，在</item>
      </candidateList>
      <explain/>
      <paraID>1DE0EBBF</paraID>
      <start>69</start>
      <end>70</end>
      <status>unmodified</status>
      <modifiedWord/>
      <trackRevisions>false</trackRevisions>
    </reviewItem>
    <reviewItem>
      <errorID>510df132-03f9-4b84-a669-f1bff7068448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52E95298</paraID>
      <start>0</start>
      <end>2</end>
      <status>unmodified</status>
      <modifiedWord/>
      <trackRevisions>false</trackRevisions>
    </reviewItem>
    <reviewItem>
      <errorID>f34f216a-4dcf-438d-ab6e-eea01019df10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56392992</paraID>
      <start>0</start>
      <end>2</end>
      <status>unmodified</status>
      <modifiedWord/>
      <trackRevisions>false</trackRevisions>
    </reviewItem>
    <reviewItem>
      <errorID>e4b9ff49-c52f-421a-9086-6f0688edbf8a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22A95B</paraID>
      <start>0</start>
      <end>2</end>
      <status>unmodified</status>
      <modifiedWord/>
      <trackRevisions>false</trackRevisions>
    </reviewItem>
    <reviewItem>
      <errorID>dd933169-de90-4ed1-bfd3-4a2efd0f941a</errorID>
      <errorWord>加强</errorWord>
      <group>L1_Grammar</group>
      <groupName>语法问题</groupName>
      <ability>L2_Grammar</ability>
      <abilityName>语法错误</abilityName>
      <candidateList>
        <item>加大</item>
      </candidateList>
      <explain>“加强～力度”搭配不当，建议修改为“加大～力度”。</explain>
      <paraID>  22A95B</paraID>
      <start>52</start>
      <end>54</end>
      <status>unmodified</status>
      <modifiedWord/>
      <trackRevisions>false</trackRevisions>
    </reviewItem>
    <reviewItem>
      <errorID>1b65fbdc-8394-416a-a209-a74c3c69a7ca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1D335793</paraID>
      <start>0</start>
      <end>2</end>
      <status>unmodified</status>
      <modifiedWord/>
      <trackRevisions>false</trackRevisions>
    </reviewItem>
    <reviewItem>
      <errorID>d69a276f-5da5-4cf7-abcd-f138e2ed4cc0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9783D3D</paraID>
      <start>0</start>
      <end>2</end>
      <status>unmodified</status>
      <modifiedWord/>
      <trackRevisions>false</trackRevisions>
    </reviewItem>
    <reviewItem>
      <errorID>788ed99c-545c-4a30-be85-af11d045feff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13075CED</paraID>
      <start>0</start>
      <end>2</end>
      <status>unmodified</status>
      <modifiedWord/>
      <trackRevisions>false</trackRevisions>
    </reviewItem>
    <reviewItem>
      <errorID>40239d0a-4c8f-4f1e-969f-d5e90c4375ae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217A5DA5</paraID>
      <start>0</start>
      <end>2</end>
      <status>unmodified</status>
      <modifiedWord/>
      <trackRevisions>false</trackRevisions>
    </reviewItem>
    <reviewItem>
      <errorID>21ad9fb3-57ea-44de-a5a0-e558b8a48611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ED10B31</paraID>
      <start>0</start>
      <end>2</end>
      <status>unmodified</status>
      <modifiedWord/>
      <trackRevisions>false</trackRevisions>
    </reviewItem>
    <reviewItem>
      <errorID>0512091e-1255-4300-b30e-8a3f8efcb7d0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2BDBED4E</paraID>
      <start>0</start>
      <end>2</end>
      <status>unmodified</status>
      <modifiedWord/>
      <trackRevisions>false</trackRevisions>
    </reviewItem>
    <reviewItem>
      <errorID>b6b99455-23ec-41fc-b1b4-2a65f277dfcc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DB4BEA1</paraID>
      <start>0</start>
      <end>2</end>
      <status>unmodified</status>
      <modifiedWord/>
      <trackRevisions>false</trackRevisions>
    </reviewItem>
    <reviewItem>
      <errorID>8d3cd68b-cf48-45ec-9cfb-3dfe0adac373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1E6F951D</paraID>
      <start>0</start>
      <end>2</end>
      <status>unmodified</status>
      <modifiedWord/>
      <trackRevisions>false</trackRevisions>
    </reviewItem>
    <reviewItem>
      <errorID>a0df8a5f-d96d-41a9-9e43-2d62d5e63012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540E3438</paraID>
      <start>0</start>
      <end>2</end>
      <status>unmodified</status>
      <modifiedWord/>
      <trackRevisions>false</trackRevisions>
    </reviewItem>
    <reviewItem>
      <errorID>a05b11d0-548a-4150-a8f4-f00fecba0240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9AF9FB3</paraID>
      <start>0</start>
      <end>2</end>
      <status>unmodified</status>
      <modifiedWord/>
      <trackRevisions>false</trackRevisions>
    </reviewItem>
    <reviewItem>
      <errorID>027bdf9c-01c5-4b4e-9076-b7415649c344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2AA3F112</paraID>
      <start>0</start>
      <end>2</end>
      <status>unmodified</status>
      <modifiedWord/>
      <trackRevisions>false</trackRevisions>
    </reviewItem>
    <reviewItem>
      <errorID>83e6ca09-f139-42bd-a6c8-3478e346d04b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215F9F68</paraID>
      <start>0</start>
      <end>2</end>
      <status>unmodified</status>
      <modifiedWord/>
      <trackRevisions>false</trackRevisions>
    </reviewItem>
    <reviewItem>
      <errorID>39d853bb-9b11-4dbf-bd1b-8156936dd468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3C7BD60C</paraID>
      <start>0</start>
      <end>2</end>
      <status>unmodified</status>
      <modifiedWord/>
      <trackRevisions>false</trackRevisions>
    </reviewItem>
    <reviewItem>
      <errorID>d143db2a-0580-48c2-8eaf-3cbae38071d2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51D2AE98</paraID>
      <start>0</start>
      <end>2</end>
      <status>unmodified</status>
      <modifiedWord/>
      <trackRevisions>false</trackRevisions>
    </reviewItem>
    <reviewItem>
      <errorID>4d65f593-508a-44d4-90f2-f8ba4143ac8c</errorID>
      <errorWord>妇女健康服务体系</errorWord>
      <group>L1_Political</group>
      <groupName>政治性问题</groupName>
      <ability>L2_Keyword</ability>
      <abilityName>固定表述</abilityName>
      <candidateList>
        <item>妇幼健康服务体系</item>
      </candidateList>
      <explain>词汇“妇幼健康服务体系”在特定场景下为固定表述形式，请确认此处的“妇女健康服务体系”是否存在不当。</explain>
      <paraID>7BB87111</paraID>
      <start>43</start>
      <end>51</end>
      <status>unmodified</status>
      <modifiedWord/>
      <trackRevisions>false</trackRevisions>
    </reviewItem>
    <reviewItem>
      <errorID>8074c7ea-7ba7-44b0-8642-f69273ddc807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6A87D2EE</paraID>
      <start>0</start>
      <end>2</end>
      <status>unmodified</status>
      <modifiedWord/>
      <trackRevisions>false</trackRevisions>
    </reviewItem>
    <reviewItem>
      <errorID>babb118a-5eb5-415b-80cf-4f991c6cb2d1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33C2E650</paraID>
      <start>0</start>
      <end>2</end>
      <status>unmodified</status>
      <modifiedWord/>
      <trackRevisions>false</trackRevisions>
    </reviewItem>
    <reviewItem>
      <errorID>ac40ceb9-b57d-456d-888d-57dfe27e0d7d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69DE2998</paraID>
      <start>0</start>
      <end>2</end>
      <status>unmodified</status>
      <modifiedWord/>
      <trackRevisions>false</trackRevisions>
    </reviewItem>
    <reviewItem>
      <errorID>2841130b-6f61-472e-9749-0e4d6638509b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6DFA531F</paraID>
      <start>0</start>
      <end>2</end>
      <status>unmodified</status>
      <modifiedWord/>
      <trackRevisions>false</trackRevisions>
    </reviewItem>
    <reviewItem>
      <errorID>a4237d9a-22d6-44c6-8b42-1963cb39f52e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3DA1B1DC</paraID>
      <start>0</start>
      <end>2</end>
      <status>unmodified</status>
      <modifiedWord/>
      <trackRevisions>false</trackRevisions>
    </reviewItem>
    <reviewItem>
      <errorID>d95aa75c-7764-4ab8-a7ff-6bad6ff2365e</errorID>
      <errorWord>，</errorWord>
      <group>L1_Word</group>
      <groupName>字词问题</groupName>
      <ability>L2_Typo</ability>
      <abilityName>字词错误</abilityName>
      <candidateList>
        <item>，以</item>
      </candidateList>
      <explain/>
      <paraID> DEE0F71</paraID>
      <start>189</start>
      <end>190</end>
      <status>unmodified</status>
      <modifiedWord/>
      <trackRevisions>false</trackRevisions>
    </reviewItem>
    <reviewItem>
      <errorID>e0ea17e3-3ba2-4163-9c41-16fa342bae99</errorID>
      <errorWord>谷子经济</errorWord>
      <group>L1_Political</group>
      <groupName>政治性问题</groupName>
      <ability>L2_Keyword</ability>
      <abilityName>固定表述</abilityName>
      <candidateList>
        <item>“谷子经济”</item>
      </candidateList>
      <explain>注意检查当前固定表述标点是否使用规范。</explain>
      <paraID> 4F67AF8</paraID>
      <start>45</start>
      <end>49</end>
      <status>unmodified</status>
      <modifiedWord/>
      <trackRevisions>false</trackRevisions>
    </reviewItem>
    <reviewItem>
      <errorID>9c4e1e0a-a773-43dd-8394-5568e121c1f3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1A5B372</paraID>
      <start>0</start>
      <end>2</end>
      <status>unmodified</status>
      <modifiedWord/>
      <trackRevisions>false</trackRevisions>
    </reviewItem>
    <reviewItem>
      <errorID>90ebd1ca-6d35-483a-8bd5-8ac3eeb42ea5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6B3874B9</paraID>
      <start>0</start>
      <end>2</end>
      <status>unmodified</status>
      <modifiedWord/>
      <trackRevisions>false</trackRevisions>
    </reviewItem>
    <reviewItem>
      <errorID>d84633d8-80f8-42d2-9357-4f283ac83bef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5728B8EB</paraID>
      <start>0</start>
      <end>2</end>
      <status>unmodified</status>
      <modifiedWord/>
      <trackRevisions>false</trackRevisions>
    </reviewItem>
    <reviewItem>
      <errorID>4a9375a1-0b24-4db2-a315-eb109ff0b531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738C1155</paraID>
      <start>0</start>
      <end>2</end>
      <status>unmodified</status>
      <modifiedWord/>
      <trackRevisions>false</trackRevisions>
    </reviewItem>
    <reviewItem>
      <errorID>87ad2a66-4a85-4d85-9e84-1bba5a8bad9a</errorID>
      <errorWord>补链延链强链</errorWord>
      <group>L1_Word</group>
      <groupName>字词问题</groupName>
      <ability>L2_Typo</ability>
      <abilityName>字词错误</abilityName>
      <candidateList>
        <item>延链补链强链</item>
      </candidateList>
      <explain/>
      <paraID>10E0C52C</paraID>
      <start>150</start>
      <end>156</end>
      <status>unmodified</status>
      <modifiedWord/>
      <trackRevisions>false</trackRevisions>
    </reviewItem>
    <reviewItem>
      <errorID>045da7db-a937-4b62-a6b7-1f264cb93b32</errorID>
      <errorWord>经营等</errorWord>
      <group>L1_Word</group>
      <groupName>字词问题</groupName>
      <ability>L2_Typo</ability>
      <abilityName>字词错误</abilityName>
      <candidateList>
        <item>经营</item>
      </candidateList>
      <explain>〈动〉❶筹划并管理（企业等）：～商业｜～畜牧业｜苦心～。❷泛指计划和组织：这个展览会是煞费～的。</explain>
      <paraID>39CDED31</paraID>
      <start>244</start>
      <end>247</end>
      <status>unmodified</status>
      <modifiedWord/>
      <trackRevisions>false</trackRevisions>
    </reviewItem>
    <reviewItem>
      <errorID>c1d7e371-78a3-433b-95bb-e5abd428214f</errorID>
      <errorWord>着力完善高质量发展</errorWord>
      <group>L1_Political</group>
      <groupName>政治性问题</groupName>
      <ability>L2_Keyword</ability>
      <abilityName>固定表述</abilityName>
      <candidateList>
        <item>着力推动高质量发展</item>
      </candidateList>
      <explain>词汇“着力推动高质量发展”在特定场景下为固定表述形式，请确认此处的“着力完善高质量发展”是否存在不当。</explain>
      <paraID>7DFB081A</paraID>
      <start>87</start>
      <end>96</end>
      <status>unmodified</status>
      <modifiedWord/>
      <trackRevisions>false</trackRevisions>
    </reviewItem>
    <reviewItem>
      <errorID>e12d27f4-822f-4cc6-9a34-110a08b4ea10</errorID>
      <errorWord>综合性科学中心</errorWord>
      <group>L1_Political</group>
      <groupName>政治性问题</groupName>
      <ability>L2_Keyword</ability>
      <abilityName>固定表述</abilityName>
      <candidateList>
        <item>综合性国家科学中心</item>
      </candidateList>
      <explain>词汇“综合性国家科学中心”在特定场景下为固定表述形式，请确认此处的“综合性科学中心”是否存在不当。</explain>
      <paraID>3E4C325A</paraID>
      <start>26</start>
      <end>33</end>
      <status>unmodified</status>
      <modifiedWord/>
      <trackRevisions>false</trackRevisions>
    </reviewItem>
    <reviewItem>
      <errorID>9c82855b-79ea-456e-a86f-e5c44e705c64</errorID>
      <errorWord>大综合一体化</errorWord>
      <group>L1_Political</group>
      <groupName>政治性问题</groupName>
      <ability>L2_Keyword</ability>
      <abilityName>固定表述</abilityName>
      <candidateList>
        <item>“大综合一体化”</item>
      </candidateList>
      <explain>注意检查当前固定表述标点是否使用规范。</explain>
      <paraID>2951058A</paraID>
      <start>7</start>
      <end>13</end>
      <status>unmodified</status>
      <modifiedWord/>
      <trackRevisions>false</trackRevisions>
    </reviewItem>
    <reviewItem>
      <errorID>4a1a8560-aa51-45cd-80c2-d9ec4ae8570f</errorID>
      <errorWord>免申即享</errorWord>
      <group>L1_Political</group>
      <groupName>政治性问题</groupName>
      <ability>L2_Keyword</ability>
      <abilityName>固定表述</abilityName>
      <candidateList>
        <item>“免申即享”</item>
      </candidateList>
      <explain>注意检查当前固定表述标点是否使用规范。</explain>
      <paraID>7FF5D414</paraID>
      <start>238</start>
      <end>242</end>
      <status>unmodified</status>
      <modifiedWord/>
      <trackRevisions>false</trackRevisions>
    </reviewItem>
    <reviewItem>
      <errorID>1fd687e7-12ca-4fa9-9255-012e0b2da122</errorID>
      <errorWord>拨改投</errorWord>
      <group>L1_Political</group>
      <groupName>政治性问题</groupName>
      <ability>L2_Keyword</ability>
      <abilityName>固定表述</abilityName>
      <candidateList>
        <item>“拨改投”</item>
      </candidateList>
      <explain>注意检查当前固定表述标点是否使用规范。</explain>
      <paraID>33201969</paraID>
      <start>127</start>
      <end>130</end>
      <status>unmodified</status>
      <modifiedWord/>
      <trackRevisions>false</trackRevisions>
    </reviewItem>
    <reviewItem>
      <errorID>87924359-78fb-406b-af86-7c3279fb4b1d</errorID>
      <errorWord>高质量发展与高水平安全</errorWord>
      <group>L1_Word</group>
      <groupName>字词问题</groupName>
      <ability>L2_Typo</ability>
      <abilityName>字词错误</abilityName>
      <candidateList>
        <item>高质量发展和高水平安全</item>
      </candidateList>
      <explain/>
      <paraID>27BE4AB7</paraID>
      <start>85</start>
      <end>96</end>
      <status>unmodified</status>
      <modifiedWord/>
      <trackRevisions>false</trackRevisions>
    </reviewItem>
    <reviewItem>
      <errorID>e9077421-0ea4-44fe-b991-4ddf944aa408</errorID>
      <errorWord>风险全维预警体系</errorWord>
      <group>L1_Political</group>
      <groupName>政治性问题</groupName>
      <ability>L2_Keyword</ability>
      <abilityName>固定表述</abilityName>
      <candidateList>
        <item>风险监测预警体系</item>
      </candidateList>
      <explain>词汇“风险监测预警体系”在特定场景下为固定表述形式，请确认此处的“风险全维预警体系”是否存在不当。</explain>
      <paraID>1DEFE58F</paraID>
      <start>149</start>
      <end>157</end>
      <status>unmodified</status>
      <modifiedWord/>
      <trackRevisions>false</trackRevisions>
    </reviewItem>
    <reviewItem>
      <errorID>a0aed324-2361-4a3f-82b8-0fcb6fc6d396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31E6252B</paraID>
      <start>0</start>
      <end>2</end>
      <status>unmodified</status>
      <modifiedWord/>
      <trackRevisions>false</trackRevisions>
    </reviewItem>
    <reviewItem>
      <errorID>c8fdac1e-ee20-49c5-81f3-548cddfb4b1b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2FFF374B</paraID>
      <start>0</start>
      <end>2</end>
      <status>unmodified</status>
      <modifiedWord/>
      <trackRevisions>false</trackRevisions>
    </reviewItem>
    <reviewItem>
      <errorID>5f7fc28c-9436-43d6-b0f3-dacd15f21a04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5A6030AF</paraID>
      <start>0</start>
      <end>2</end>
      <status>unmodified</status>
      <modifiedWord/>
      <trackRevisions>false</trackRevisions>
    </reviewItem>
    <reviewItem>
      <errorID>514b91dd-d1e2-4db1-98cc-4f6fa4f9919e</errorID>
      <errorWord>行业协会商会等改革发展</errorWord>
      <group>L1_Political</group>
      <groupName>政治性问题</groupName>
      <ability>L2_Keyword</ability>
      <abilityName>固定表述</abilityName>
      <candidateList>
        <item>行业协会商会改革发展</item>
      </candidateList>
      <explain>词汇“行业协会商会改革发展”在特定场景下为固定表述形式，请确认此处的“行业协会商会等改革发展”是否存在不当。</explain>
      <paraID>6D0C3A44</paraID>
      <start>156</start>
      <end>167</end>
      <status>unmodified</status>
      <modifiedWord/>
      <trackRevisions>false</trackRevisions>
    </reviewItem>
    <reviewItem>
      <errorID>bab75782-fe9b-4858-9d65-f487e448e2a1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41584DC4</paraID>
      <start>154</start>
      <end>157</end>
      <status>unmodified</status>
      <modifiedWord/>
      <trackRevisions>false</trackRevisions>
    </reviewItem>
    <reviewItem>
      <errorID>563d5522-90cd-4612-a2e6-48bf5c9946c8</errorID>
      <errorWord>培育和和</errorWord>
      <group>L1_Word</group>
      <groupName>字词问题</groupName>
      <ability>L2_Typo</ability>
      <abilityName>字词错误</abilityName>
      <candidateList>
        <item>培育和</item>
      </candidateList>
      <explain/>
      <paraID>5C88788D</paraID>
      <start>156</start>
      <end>160</end>
      <status>unmodified</status>
      <modifiedWord/>
      <trackRevisions>false</trackRevisions>
    </reviewItem>
    <reviewItem>
      <errorID>b7b801bb-ef96-4181-a183-00c196a8553f</errorID>
      <errorWord>美乡村建设</errorWord>
      <group>L1_Political</group>
      <groupName>政治性问题</groupName>
      <ability>L2_Keyword</ability>
      <abilityName>固定表述</abilityName>
      <candidateList>
        <item>美丽乡村建设</item>
      </candidateList>
      <explain>词汇“美丽乡村建设”在特定场景下为固定表述形式，请确认此处的“美乡村建设”是否存在不当。</explain>
      <paraID>5C88788D</paraID>
      <start>160</start>
      <end>165</end>
      <status>unmodified</status>
      <modifiedWord/>
      <trackRevisions>false</trackRevisions>
    </reviewItem>
    <reviewItem>
      <errorID>f911bba2-1224-46e6-9cbf-7652962b4432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40C633C6</paraID>
      <start>0</start>
      <end>2</end>
      <status>unmodified</status>
      <modifiedWord/>
      <trackRevisions>false</trackRevisions>
    </reviewItem>
    <reviewItem>
      <errorID>86da39de-12de-4c37-8e8f-a2476d29fa67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6CD612DB</paraID>
      <start>0</start>
      <end>2</end>
      <status>unmodified</status>
      <modifiedWord/>
      <trackRevisions>false</trackRevisions>
    </reviewItem>
    <reviewItem>
      <errorID>b5b5d845-da5f-46f5-a1d6-1232959f7f77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67B4037C</paraID>
      <start>0</start>
      <end>2</end>
      <status>unmodified</status>
      <modifiedWord/>
      <trackRevisions>false</trackRevisions>
    </reviewItem>
    <reviewItem>
      <errorID>bcd12d7b-e50c-4836-b1de-93db8c50fa3d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1A476AE3</paraID>
      <start>0</start>
      <end>2</end>
      <status>unmodified</status>
      <modifiedWord/>
      <trackRevisions>false</trackRevisions>
    </reviewItem>
    <reviewItem>
      <errorID>e708c252-2eb5-4563-aef1-3084c46fa73b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38606658</paraID>
      <start>0</start>
      <end>2</end>
      <status>unmodified</status>
      <modifiedWord/>
      <trackRevisions>false</trackRevisions>
    </reviewItem>
    <reviewItem>
      <errorID>01aefe0d-ff7c-4d84-ac27-d4c75a86f49b</errorID>
      <errorWord>战略性新兴企业</errorWord>
      <group>L1_Political</group>
      <groupName>政治性问题</groupName>
      <ability>L2_Keyword</ability>
      <abilityName>固定表述</abilityName>
      <candidateList>
        <item>战略性新兴产业</item>
      </candidateList>
      <explain>词汇“战略性新兴产业”在特定场景下为固定表述形式，请确认此处的“战略性新兴企业”是否存在不当。</explain>
      <paraID>7FE7E8DB</paraID>
      <start>37</start>
      <end>44</end>
      <status>unmodified</status>
      <modifiedWord/>
      <trackRevisions>false</trackRevisions>
    </reviewItem>
    <reviewItem>
      <errorID>02d697da-e31b-4d31-b0d6-c55c4597beb4</errorID>
      <errorWord>III类</errorWord>
      <group>L1_Knowledge</group>
      <groupName>知识性问题</groupName>
      <ability>L2_Knowledge</ability>
      <abilityName>其他知识</abilityName>
      <candidateList>
        <item>Ⅲ类</item>
      </candidateList>
      <explain/>
      <paraID>298FC1AB</paraID>
      <start>19</start>
      <end>23</end>
      <status>unmodified</status>
      <modifiedWord/>
      <trackRevisions>false</trackRevisions>
    </reviewItem>
    <reviewItem>
      <errorID>bc900533-9293-4ae4-a7ec-af4d39473c05</errorID>
      <errorWord>求</errorWord>
      <group>L1_Word</group>
      <groupName>字词问题</groupName>
      <ability>L2_Typo</ability>
      <abilityName>字词错误</abilityName>
      <candidateList>
        <item>求和</item>
      </candidateList>
      <explain/>
      <paraID>78841551</paraID>
      <start>161</start>
      <end>162</end>
      <status>unmodified</status>
      <modifiedWord/>
      <trackRevisions>false</trackRevisions>
    </reviewItem>
    <reviewItem>
      <errorID>30e9d904-e8c0-49fb-9e5f-04dee13f7f59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2DE78C99</paraID>
      <start>0</start>
      <end>2</end>
      <status>unmodified</status>
      <modifiedWord/>
      <trackRevisions>false</trackRevisions>
    </reviewItem>
    <reviewItem>
      <errorID>efa26c06-58b8-4506-9abb-e557d1c74978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BD36398</paraID>
      <start>0</start>
      <end>2</end>
      <status>unmodified</status>
      <modifiedWord/>
      <trackRevisions>false</trackRevisions>
    </reviewItem>
    <reviewItem>
      <errorID>d4b30d89-cdde-454c-a541-159af10fd69e</errorID>
      <errorWord>低干</errorWord>
      <group>L1_Word</group>
      <groupName>字词问题</groupName>
      <ability>L2_Typo</ability>
      <abilityName>字词错误</abilityName>
      <candidateList>
        <item>低于</item>
      </candidateList>
      <explain/>
      <paraID>  F1EBEC</paraID>
      <start>10</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29ede4-a016-43fd-b82e-2c37f0196bdb}">
  <ds:schemaRefs/>
</ds:datastoreItem>
</file>

<file path=docProps/app.xml><?xml version="1.0" encoding="utf-8"?>
<Properties xmlns="http://schemas.openxmlformats.org/officeDocument/2006/extended-properties" xmlns:vt="http://schemas.openxmlformats.org/officeDocument/2006/docPropsVTypes">
  <Pages>64</Pages>
  <Words>10525</Words>
  <Characters>11070</Characters>
  <Lines>1422</Lines>
  <Paragraphs>505</Paragraphs>
  <TotalTime>33</TotalTime>
  <ScaleCrop>false</ScaleCrop>
  <LinksUpToDate>false</LinksUpToDate>
  <CharactersWithSpaces>11607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2026-03-23T11:53:00Z</dcterms:created>
  <dc:creator>swufe</dc:creator>
  <cp:lastModifiedBy>silence</cp:lastModifiedBy>
  <cp:lastPrinted>2026-07-16T03:42:00Z</cp:lastPrinted>
  <dcterms:modified xsi:type="dcterms:W3CDTF">2026-07-28T12:24:42Z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38A7F56209BE4C678DFD97EFA5A16D33_13</vt:lpwstr>
  </property>
  <property fmtid="{D5CDD505-2E9C-101B-9397-08002B2CF9AE}" pid="4" name="KSOTemplateDocerSaveRecord">
    <vt:lpwstr>eyJoZGlkIjoiYzA2NTBjNDk4NTlkZWJmZDA0ZWFkMjk1N2RiY2U0OGEiLCJ1c2VySWQiOiIzMjkzNTQ0MTMifQ==</vt:lpwstr>
  </property>
</Properties>
</file>