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4FC3A9">
      <w:pPr>
        <w:keepNext w:val="0"/>
        <w:keepLines w:val="0"/>
        <w:pageBreakBefore w:val="0"/>
        <w:widowControl w:val="0"/>
        <w:kinsoku/>
        <w:topLinePunct w:val="0"/>
        <w:autoSpaceDE/>
        <w:autoSpaceDN/>
        <w:bidi w:val="0"/>
        <w:adjustRightInd w:val="0"/>
        <w:snapToGrid w:val="0"/>
        <w:spacing w:line="600" w:lineRule="exact"/>
        <w:ind w:firstLine="0" w:firstLineChars="0"/>
        <w:jc w:val="both"/>
        <w:textAlignment w:val="auto"/>
        <w:rPr>
          <w:rFonts w:ascii="方正小标宋_GBK" w:hAnsi="方正小标宋_GBK" w:eastAsia="方正小标宋_GBK" w:cs="方正小标宋_GBK"/>
          <w:i w:val="0"/>
          <w:iCs w:val="0"/>
          <w:caps w:val="0"/>
          <w:color w:val="333333"/>
          <w:spacing w:val="0"/>
          <w:sz w:val="44"/>
          <w:szCs w:val="44"/>
          <w:shd w:val="clear" w:fill="FFFFFF"/>
        </w:rPr>
      </w:pPr>
      <w:bookmarkStart w:id="0" w:name="_Toc18563"/>
      <w:bookmarkStart w:id="1" w:name="_Toc9661"/>
      <w:bookmarkStart w:id="2" w:name="_Toc22884"/>
      <w:bookmarkStart w:id="3" w:name="_Toc21566"/>
      <w:bookmarkStart w:id="4" w:name="_Toc19153"/>
      <w:bookmarkStart w:id="5" w:name="_Toc8286"/>
      <w:bookmarkStart w:id="6" w:name="_Toc7606"/>
      <w:bookmarkStart w:id="7" w:name="_Toc9686"/>
      <w:bookmarkStart w:id="8" w:name="_Toc17490"/>
      <w:bookmarkStart w:id="9" w:name="_Toc8937"/>
      <w:bookmarkStart w:id="10" w:name="_Toc7274"/>
      <w:bookmarkStart w:id="11" w:name="_Toc20769"/>
      <w:bookmarkStart w:id="12" w:name="_Toc25634"/>
    </w:p>
    <w:p w14:paraId="0DB917B5">
      <w:pPr>
        <w:keepNext w:val="0"/>
        <w:keepLines w:val="0"/>
        <w:pageBreakBefore w:val="0"/>
        <w:widowControl w:val="0"/>
        <w:kinsoku/>
        <w:topLinePunct w:val="0"/>
        <w:autoSpaceDE/>
        <w:autoSpaceDN/>
        <w:bidi w:val="0"/>
        <w:adjustRightInd w:val="0"/>
        <w:snapToGrid w:val="0"/>
        <w:spacing w:line="600" w:lineRule="exact"/>
        <w:ind w:firstLine="0" w:firstLineChars="0"/>
        <w:jc w:val="both"/>
        <w:textAlignment w:val="auto"/>
        <w:rPr>
          <w:rFonts w:ascii="方正小标宋_GBK" w:hAnsi="方正小标宋_GBK" w:eastAsia="方正小标宋_GBK" w:cs="方正小标宋_GBK"/>
          <w:i w:val="0"/>
          <w:iCs w:val="0"/>
          <w:caps w:val="0"/>
          <w:color w:val="333333"/>
          <w:spacing w:val="0"/>
          <w:sz w:val="44"/>
          <w:szCs w:val="44"/>
          <w:shd w:val="clear" w:fill="FFFFFF"/>
        </w:rPr>
      </w:pPr>
    </w:p>
    <w:p w14:paraId="76A1F88C">
      <w:pPr>
        <w:keepNext w:val="0"/>
        <w:keepLines w:val="0"/>
        <w:pageBreakBefore w:val="0"/>
        <w:widowControl w:val="0"/>
        <w:kinsoku/>
        <w:topLinePunct w:val="0"/>
        <w:autoSpaceDE/>
        <w:autoSpaceDN/>
        <w:bidi w:val="0"/>
        <w:adjustRightInd w:val="0"/>
        <w:snapToGrid w:val="0"/>
        <w:spacing w:line="600" w:lineRule="exact"/>
        <w:ind w:firstLine="0" w:firstLineChars="0"/>
        <w:jc w:val="both"/>
        <w:textAlignment w:val="auto"/>
        <w:rPr>
          <w:rFonts w:ascii="方正小标宋_GBK" w:hAnsi="方正小标宋_GBK" w:eastAsia="方正小标宋_GBK" w:cs="方正小标宋_GBK"/>
          <w:i w:val="0"/>
          <w:iCs w:val="0"/>
          <w:caps w:val="0"/>
          <w:color w:val="333333"/>
          <w:spacing w:val="0"/>
          <w:sz w:val="44"/>
          <w:szCs w:val="44"/>
          <w:shd w:val="clear" w:fill="FFFFFF"/>
        </w:rPr>
      </w:pPr>
    </w:p>
    <w:p w14:paraId="6DB78605">
      <w:pPr>
        <w:keepNext w:val="0"/>
        <w:keepLines w:val="0"/>
        <w:pageBreakBefore w:val="0"/>
        <w:widowControl w:val="0"/>
        <w:kinsoku/>
        <w:topLinePunct w:val="0"/>
        <w:autoSpaceDE/>
        <w:autoSpaceDN/>
        <w:bidi w:val="0"/>
        <w:adjustRightInd w:val="0"/>
        <w:snapToGrid w:val="0"/>
        <w:spacing w:line="600" w:lineRule="exact"/>
        <w:ind w:firstLine="0" w:firstLineChars="0"/>
        <w:jc w:val="both"/>
        <w:textAlignment w:val="auto"/>
        <w:rPr>
          <w:rFonts w:ascii="方正小标宋_GBK" w:hAnsi="方正小标宋_GBK" w:eastAsia="方正小标宋_GBK" w:cs="方正小标宋_GBK"/>
          <w:i w:val="0"/>
          <w:iCs w:val="0"/>
          <w:caps w:val="0"/>
          <w:color w:val="333333"/>
          <w:spacing w:val="0"/>
          <w:sz w:val="44"/>
          <w:szCs w:val="44"/>
          <w:shd w:val="clear" w:fill="FFFFFF"/>
        </w:rPr>
      </w:pPr>
    </w:p>
    <w:p w14:paraId="6959617A">
      <w:pPr>
        <w:keepNext w:val="0"/>
        <w:keepLines w:val="0"/>
        <w:pageBreakBefore w:val="0"/>
        <w:widowControl w:val="0"/>
        <w:kinsoku/>
        <w:topLinePunct w:val="0"/>
        <w:autoSpaceDE/>
        <w:autoSpaceDN/>
        <w:bidi w:val="0"/>
        <w:adjustRightInd w:val="0"/>
        <w:snapToGrid w:val="0"/>
        <w:spacing w:line="600" w:lineRule="exact"/>
        <w:ind w:firstLine="0" w:firstLineChars="0"/>
        <w:jc w:val="both"/>
        <w:textAlignment w:val="auto"/>
        <w:rPr>
          <w:rFonts w:ascii="方正小标宋_GBK" w:hAnsi="方正小标宋_GBK" w:eastAsia="方正小标宋_GBK" w:cs="方正小标宋_GBK"/>
          <w:i w:val="0"/>
          <w:iCs w:val="0"/>
          <w:caps w:val="0"/>
          <w:color w:val="333333"/>
          <w:spacing w:val="0"/>
          <w:sz w:val="44"/>
          <w:szCs w:val="44"/>
          <w:shd w:val="clear" w:fill="FFFFFF"/>
        </w:rPr>
      </w:pPr>
    </w:p>
    <w:p w14:paraId="60D26513">
      <w:pPr>
        <w:keepNext w:val="0"/>
        <w:keepLines w:val="0"/>
        <w:pageBreakBefore w:val="0"/>
        <w:widowControl w:val="0"/>
        <w:kinsoku/>
        <w:topLinePunct w:val="0"/>
        <w:autoSpaceDE/>
        <w:autoSpaceDN/>
        <w:bidi w:val="0"/>
        <w:adjustRightInd w:val="0"/>
        <w:snapToGrid w:val="0"/>
        <w:spacing w:line="600" w:lineRule="exact"/>
        <w:ind w:firstLine="0" w:firstLineChars="0"/>
        <w:jc w:val="both"/>
        <w:textAlignment w:val="auto"/>
        <w:rPr>
          <w:rFonts w:ascii="方正小标宋_GBK" w:hAnsi="方正小标宋_GBK" w:eastAsia="方正小标宋_GBK" w:cs="方正小标宋_GBK"/>
          <w:i w:val="0"/>
          <w:iCs w:val="0"/>
          <w:caps w:val="0"/>
          <w:color w:val="333333"/>
          <w:spacing w:val="0"/>
          <w:sz w:val="44"/>
          <w:szCs w:val="44"/>
          <w:shd w:val="clear" w:fill="FFFFFF"/>
        </w:rPr>
      </w:pPr>
    </w:p>
    <w:p w14:paraId="6466A5E2">
      <w:pPr>
        <w:keepNext w:val="0"/>
        <w:keepLines w:val="0"/>
        <w:pageBreakBefore w:val="0"/>
        <w:widowControl w:val="0"/>
        <w:kinsoku/>
        <w:topLinePunct w:val="0"/>
        <w:autoSpaceDE/>
        <w:autoSpaceDN/>
        <w:bidi w:val="0"/>
        <w:adjustRightInd w:val="0"/>
        <w:snapToGrid w:val="0"/>
        <w:spacing w:line="600" w:lineRule="exact"/>
        <w:ind w:firstLine="0" w:firstLineChars="0"/>
        <w:jc w:val="both"/>
        <w:textAlignment w:val="auto"/>
        <w:rPr>
          <w:rFonts w:ascii="方正小标宋_GBK" w:hAnsi="方正小标宋_GBK" w:eastAsia="方正小标宋_GBK" w:cs="方正小标宋_GBK"/>
          <w:i w:val="0"/>
          <w:iCs w:val="0"/>
          <w:caps w:val="0"/>
          <w:color w:val="333333"/>
          <w:spacing w:val="0"/>
          <w:sz w:val="44"/>
          <w:szCs w:val="44"/>
          <w:shd w:val="clear" w:fill="FFFFFF"/>
        </w:rPr>
      </w:pPr>
    </w:p>
    <w:p w14:paraId="7F7271FC">
      <w:pPr>
        <w:keepNext w:val="0"/>
        <w:keepLines w:val="0"/>
        <w:pageBreakBefore w:val="0"/>
        <w:widowControl w:val="0"/>
        <w:kinsoku/>
        <w:topLinePunct w:val="0"/>
        <w:autoSpaceDE/>
        <w:autoSpaceDN/>
        <w:bidi w:val="0"/>
        <w:adjustRightInd w:val="0"/>
        <w:snapToGrid w:val="0"/>
        <w:spacing w:line="600" w:lineRule="exact"/>
        <w:ind w:firstLine="0" w:firstLineChars="0"/>
        <w:jc w:val="center"/>
        <w:textAlignment w:val="auto"/>
        <w:rPr>
          <w:rFonts w:ascii="方正小标宋_GBK" w:hAnsi="方正小标宋_GBK" w:eastAsia="方正小标宋_GBK" w:cs="方正小标宋_GBK"/>
          <w:i w:val="0"/>
          <w:iCs w:val="0"/>
          <w:caps w:val="0"/>
          <w:color w:val="333333"/>
          <w:spacing w:val="0"/>
          <w:sz w:val="44"/>
          <w:szCs w:val="44"/>
          <w:shd w:val="clear" w:fill="FFFFFF"/>
        </w:rPr>
      </w:pPr>
      <w:r>
        <w:rPr>
          <w:rFonts w:hint="eastAsia" w:ascii="Times New Roman" w:hAnsi="Times New Roman" w:eastAsia="方正仿宋_GBK" w:cs="黑体"/>
          <w:bCs/>
          <w:color w:val="000000"/>
          <w:kern w:val="32"/>
          <w:sz w:val="32"/>
          <w:szCs w:val="32"/>
        </w:rPr>
        <w:t>渝高新发</w:t>
      </w:r>
      <w:r>
        <w:rPr>
          <w:rFonts w:hint="eastAsia" w:ascii="Times New Roman" w:hAnsi="Times New Roman" w:eastAsia="方正仿宋_GBK" w:cs="Times New Roman"/>
          <w:bCs/>
          <w:color w:val="000000"/>
          <w:kern w:val="32"/>
          <w:sz w:val="32"/>
          <w:szCs w:val="32"/>
        </w:rPr>
        <w:t>〔</w:t>
      </w:r>
      <w:r>
        <w:rPr>
          <w:rFonts w:ascii="Times New Roman" w:hAnsi="Times New Roman" w:eastAsia="方正仿宋_GBK" w:cs="Times New Roman"/>
          <w:bCs/>
          <w:color w:val="000000"/>
          <w:kern w:val="32"/>
          <w:sz w:val="32"/>
          <w:szCs w:val="32"/>
        </w:rPr>
        <w:t>202</w:t>
      </w:r>
      <w:r>
        <w:rPr>
          <w:rFonts w:hint="eastAsia" w:ascii="Times New Roman" w:hAnsi="Times New Roman" w:eastAsia="方正仿宋_GBK" w:cs="Times New Roman"/>
          <w:bCs/>
          <w:color w:val="000000"/>
          <w:kern w:val="32"/>
          <w:sz w:val="32"/>
          <w:szCs w:val="32"/>
          <w:lang w:val="en-US" w:eastAsia="zh-CN"/>
        </w:rPr>
        <w:t>6</w:t>
      </w:r>
      <w:r>
        <w:rPr>
          <w:rFonts w:hint="eastAsia" w:ascii="Times New Roman" w:hAnsi="Times New Roman" w:eastAsia="方正仿宋_GBK" w:cs="Times New Roman"/>
          <w:bCs/>
          <w:color w:val="000000"/>
          <w:kern w:val="32"/>
          <w:sz w:val="32"/>
          <w:szCs w:val="32"/>
        </w:rPr>
        <w:t>〕</w:t>
      </w:r>
      <w:r>
        <w:rPr>
          <w:rFonts w:hint="eastAsia" w:ascii="Times New Roman" w:hAnsi="Times New Roman" w:eastAsia="方正仿宋_GBK" w:cs="Times New Roman"/>
          <w:bCs/>
          <w:color w:val="000000"/>
          <w:kern w:val="32"/>
          <w:sz w:val="32"/>
          <w:szCs w:val="32"/>
          <w:lang w:val="en-US" w:eastAsia="zh-CN"/>
        </w:rPr>
        <w:t>11</w:t>
      </w:r>
      <w:r>
        <w:rPr>
          <w:rFonts w:hint="eastAsia" w:ascii="Times New Roman" w:hAnsi="Times New Roman" w:eastAsia="方正仿宋_GBK" w:cs="黑体"/>
          <w:bCs/>
          <w:color w:val="000000"/>
          <w:kern w:val="32"/>
          <w:sz w:val="32"/>
          <w:szCs w:val="32"/>
        </w:rPr>
        <w:t>号</w:t>
      </w:r>
    </w:p>
    <w:p w14:paraId="018F7023">
      <w:pPr>
        <w:keepNext w:val="0"/>
        <w:keepLines w:val="0"/>
        <w:pageBreakBefore w:val="0"/>
        <w:widowControl w:val="0"/>
        <w:kinsoku/>
        <w:topLinePunct w:val="0"/>
        <w:autoSpaceDE/>
        <w:autoSpaceDN/>
        <w:bidi w:val="0"/>
        <w:adjustRightInd w:val="0"/>
        <w:snapToGrid w:val="0"/>
        <w:spacing w:line="600" w:lineRule="exact"/>
        <w:ind w:firstLine="0" w:firstLineChars="0"/>
        <w:jc w:val="both"/>
        <w:textAlignment w:val="auto"/>
        <w:rPr>
          <w:rFonts w:ascii="方正小标宋_GBK" w:hAnsi="方正小标宋_GBK" w:eastAsia="方正小标宋_GBK" w:cs="方正小标宋_GBK"/>
          <w:i w:val="0"/>
          <w:iCs w:val="0"/>
          <w:caps w:val="0"/>
          <w:color w:val="333333"/>
          <w:spacing w:val="0"/>
          <w:sz w:val="44"/>
          <w:szCs w:val="44"/>
          <w:shd w:val="clear" w:fill="FFFFFF"/>
        </w:rPr>
      </w:pPr>
    </w:p>
    <w:p w14:paraId="59A79C83">
      <w:pPr>
        <w:keepNext w:val="0"/>
        <w:keepLines w:val="0"/>
        <w:pageBreakBefore w:val="0"/>
        <w:widowControl w:val="0"/>
        <w:kinsoku/>
        <w:topLinePunct w:val="0"/>
        <w:autoSpaceDE/>
        <w:autoSpaceDN/>
        <w:bidi w:val="0"/>
        <w:adjustRightInd w:val="0"/>
        <w:snapToGrid w:val="0"/>
        <w:spacing w:line="600" w:lineRule="exact"/>
        <w:ind w:firstLine="0" w:firstLineChars="0"/>
        <w:jc w:val="both"/>
        <w:textAlignment w:val="auto"/>
        <w:rPr>
          <w:rFonts w:ascii="方正小标宋_GBK" w:hAnsi="方正小标宋_GBK" w:eastAsia="方正小标宋_GBK" w:cs="方正小标宋_GBK"/>
          <w:i w:val="0"/>
          <w:iCs w:val="0"/>
          <w:caps w:val="0"/>
          <w:color w:val="333333"/>
          <w:spacing w:val="0"/>
          <w:sz w:val="44"/>
          <w:szCs w:val="44"/>
          <w:shd w:val="clear" w:fill="FFFFFF"/>
        </w:rPr>
      </w:pPr>
    </w:p>
    <w:p w14:paraId="45893070">
      <w:pPr>
        <w:keepNext w:val="0"/>
        <w:keepLines w:val="0"/>
        <w:pageBreakBefore w:val="0"/>
        <w:widowControl w:val="0"/>
        <w:kinsoku/>
        <w:topLinePunct w:val="0"/>
        <w:autoSpaceDE/>
        <w:autoSpaceDN/>
        <w:bidi w:val="0"/>
        <w:adjustRightInd w:val="0"/>
        <w:snapToGrid w:val="0"/>
        <w:spacing w:line="600" w:lineRule="exact"/>
        <w:ind w:firstLine="0" w:firstLineChars="0"/>
        <w:jc w:val="center"/>
        <w:textAlignment w:val="auto"/>
        <w:rPr>
          <w:rFonts w:ascii="方正小标宋_GBK" w:hAnsi="方正小标宋_GBK" w:eastAsia="方正小标宋_GBK" w:cs="方正小标宋_GBK"/>
          <w:sz w:val="44"/>
          <w:szCs w:val="44"/>
        </w:rPr>
      </w:pPr>
      <w:r>
        <w:rPr>
          <w:rFonts w:ascii="方正小标宋_GBK" w:hAnsi="方正小标宋_GBK" w:eastAsia="方正小标宋_GBK" w:cs="方正小标宋_GBK"/>
          <w:i w:val="0"/>
          <w:iCs w:val="0"/>
          <w:caps w:val="0"/>
          <w:color w:val="333333"/>
          <w:spacing w:val="0"/>
          <w:sz w:val="44"/>
          <w:szCs w:val="44"/>
          <w:shd w:val="clear" w:fill="FFFFFF"/>
        </w:rPr>
        <w:t>重庆高新区管委会</w:t>
      </w:r>
    </w:p>
    <w:p w14:paraId="471B21B6">
      <w:pPr>
        <w:keepNext w:val="0"/>
        <w:keepLines w:val="0"/>
        <w:pageBreakBefore w:val="0"/>
        <w:widowControl w:val="0"/>
        <w:numPr>
          <w:ilvl w:val="0"/>
          <w:numId w:val="0"/>
        </w:numPr>
        <w:kinsoku/>
        <w:wordWrap/>
        <w:overflowPunct w:val="0"/>
        <w:topLinePunct w:val="0"/>
        <w:autoSpaceDE/>
        <w:autoSpaceDN/>
        <w:bidi w:val="0"/>
        <w:adjustRightInd w:val="0"/>
        <w:snapToGrid w:val="0"/>
        <w:spacing w:line="600" w:lineRule="exact"/>
        <w:ind w:right="0" w:rightChars="0" w:firstLine="0" w:firstLineChars="0"/>
        <w:jc w:val="center"/>
        <w:textAlignment w:val="auto"/>
        <w:outlineLvl w:val="9"/>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rPr>
        <w:t>关于</w:t>
      </w:r>
      <w:r>
        <w:rPr>
          <w:rFonts w:hint="eastAsia" w:ascii="方正小标宋_GBK" w:hAnsi="方正小标宋_GBK" w:eastAsia="方正小标宋_GBK" w:cs="方正小标宋_GBK"/>
          <w:sz w:val="44"/>
          <w:szCs w:val="44"/>
          <w:lang w:eastAsia="zh-CN"/>
        </w:rPr>
        <w:t>印发《重庆高新区国民经济和社会发展</w:t>
      </w:r>
    </w:p>
    <w:p w14:paraId="40416F86">
      <w:pPr>
        <w:keepNext w:val="0"/>
        <w:keepLines w:val="0"/>
        <w:pageBreakBefore w:val="0"/>
        <w:widowControl w:val="0"/>
        <w:numPr>
          <w:ilvl w:val="0"/>
          <w:numId w:val="0"/>
        </w:numPr>
        <w:kinsoku/>
        <w:wordWrap/>
        <w:overflowPunct w:val="0"/>
        <w:topLinePunct w:val="0"/>
        <w:autoSpaceDE/>
        <w:autoSpaceDN/>
        <w:bidi w:val="0"/>
        <w:adjustRightInd w:val="0"/>
        <w:snapToGrid w:val="0"/>
        <w:spacing w:line="600" w:lineRule="exact"/>
        <w:ind w:right="0" w:rightChars="0" w:firstLine="0" w:firstLineChars="0"/>
        <w:jc w:val="center"/>
        <w:textAlignment w:val="auto"/>
        <w:outlineLvl w:val="9"/>
        <w:rPr>
          <w:rFonts w:hint="eastAsia" w:ascii="Times New Roman" w:hAnsi="Times New Roman" w:eastAsia="方正小标宋_GBK" w:cs="Times New Roman"/>
          <w:color w:val="auto"/>
          <w:w w:val="100"/>
          <w:kern w:val="0"/>
          <w:sz w:val="44"/>
          <w:szCs w:val="44"/>
          <w:highlight w:val="none"/>
          <w:u w:val="none"/>
          <w:lang w:val="en-US" w:eastAsia="zh-CN"/>
        </w:rPr>
      </w:pPr>
      <w:r>
        <w:rPr>
          <w:rFonts w:hint="eastAsia" w:ascii="方正小标宋_GBK" w:hAnsi="方正小标宋_GBK" w:eastAsia="方正小标宋_GBK" w:cs="方正小标宋_GBK"/>
          <w:sz w:val="44"/>
          <w:szCs w:val="44"/>
          <w:lang w:eastAsia="zh-CN"/>
        </w:rPr>
        <w:t>第十五个五年规划纲要》</w:t>
      </w:r>
      <w:r>
        <w:rPr>
          <w:rFonts w:hint="eastAsia" w:ascii="方正小标宋_GBK" w:hAnsi="方正小标宋_GBK" w:eastAsia="方正小标宋_GBK" w:cs="方正小标宋_GBK"/>
          <w:sz w:val="44"/>
          <w:szCs w:val="44"/>
        </w:rPr>
        <w:t>的通知</w:t>
      </w:r>
    </w:p>
    <w:p w14:paraId="353C1712">
      <w:pPr>
        <w:keepNext w:val="0"/>
        <w:keepLines w:val="0"/>
        <w:pageBreakBefore w:val="0"/>
        <w:widowControl w:val="0"/>
        <w:kinsoku/>
        <w:topLinePunct w:val="0"/>
        <w:autoSpaceDE/>
        <w:autoSpaceDN/>
        <w:bidi w:val="0"/>
        <w:adjustRightInd w:val="0"/>
        <w:snapToGrid w:val="0"/>
        <w:spacing w:line="600" w:lineRule="exact"/>
        <w:ind w:firstLine="0" w:firstLineChars="0"/>
        <w:textAlignment w:val="auto"/>
        <w:outlineLvl w:val="0"/>
        <w:rPr>
          <w:rFonts w:hint="eastAsia" w:ascii="Times New Roman" w:hAnsi="Times New Roman" w:eastAsia="方正仿宋_GBK" w:cs="Times New Roman"/>
          <w:sz w:val="32"/>
          <w:szCs w:val="32"/>
          <w:lang w:eastAsia="zh-CN"/>
        </w:rPr>
      </w:pPr>
      <w:bookmarkStart w:id="13" w:name="zs"/>
      <w:bookmarkEnd w:id="13"/>
    </w:p>
    <w:p w14:paraId="74B2D572">
      <w:pPr>
        <w:keepNext w:val="0"/>
        <w:keepLines w:val="0"/>
        <w:pageBreakBefore w:val="0"/>
        <w:widowControl w:val="0"/>
        <w:kinsoku/>
        <w:topLinePunct w:val="0"/>
        <w:autoSpaceDE/>
        <w:autoSpaceDN/>
        <w:bidi w:val="0"/>
        <w:adjustRightInd w:val="0"/>
        <w:snapToGrid w:val="0"/>
        <w:spacing w:line="600" w:lineRule="exact"/>
        <w:ind w:firstLine="0" w:firstLineChars="0"/>
        <w:textAlignment w:val="auto"/>
        <w:outlineLvl w:val="0"/>
        <w:rPr>
          <w:rFonts w:hint="eastAsia" w:ascii="方正小标宋_GBK" w:hAnsi="微软雅黑" w:eastAsia="方正小标宋_GBK" w:cs="Times New Roman"/>
          <w:color w:val="auto"/>
          <w:sz w:val="44"/>
          <w:szCs w:val="44"/>
        </w:rPr>
      </w:pPr>
      <w:r>
        <w:rPr>
          <w:rFonts w:ascii="方正仿宋_GBK" w:hAnsi="方正仿宋_GBK" w:eastAsia="方正仿宋_GBK" w:cs="方正仿宋_GBK"/>
          <w:i w:val="0"/>
          <w:iCs w:val="0"/>
          <w:caps w:val="0"/>
          <w:color w:val="auto"/>
          <w:spacing w:val="0"/>
          <w:sz w:val="32"/>
          <w:szCs w:val="32"/>
          <w:shd w:val="clear" w:fill="FFFFFF"/>
        </w:rPr>
        <w:t>各镇人民政府、各街道办事处，管委会各部门、各直属企事业单位，市驻高新区部门，有关单位</w:t>
      </w:r>
      <w:r>
        <w:rPr>
          <w:rFonts w:hint="eastAsia" w:ascii="Times New Roman" w:hAnsi="Times New Roman" w:eastAsia="方正仿宋_GBK" w:cs="Times New Roman"/>
          <w:color w:val="auto"/>
          <w:sz w:val="32"/>
          <w:szCs w:val="32"/>
        </w:rPr>
        <w:t>：</w:t>
      </w:r>
    </w:p>
    <w:p w14:paraId="3BC7CFDC">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jc w:val="both"/>
        <w:textAlignment w:val="auto"/>
        <w:rPr>
          <w:rFonts w:hint="eastAsia" w:ascii="方正仿宋_GBK" w:hAnsi="方正仿宋_GBK" w:eastAsia="方正仿宋_GBK" w:cs="方正仿宋_GBK"/>
          <w:i w:val="0"/>
          <w:iCs w:val="0"/>
          <w:caps w:val="0"/>
          <w:color w:val="171A1D"/>
          <w:spacing w:val="0"/>
          <w:sz w:val="32"/>
          <w:szCs w:val="32"/>
          <w:shd w:val="clear" w:fill="FFFFFF"/>
          <w:lang w:eastAsia="zh-CN"/>
        </w:rPr>
      </w:pPr>
      <w:r>
        <w:rPr>
          <w:rFonts w:hint="eastAsia" w:ascii="方正仿宋_GBK" w:hAnsi="方正仿宋_GBK" w:eastAsia="方正仿宋_GBK" w:cs="方正仿宋_GBK"/>
          <w:color w:val="auto"/>
          <w:sz w:val="32"/>
          <w:szCs w:val="32"/>
          <w:highlight w:val="none"/>
        </w:rPr>
        <w:t>《重庆高新区国民经济和社会发展第十五个五年规划纲要》</w:t>
      </w:r>
      <w:r>
        <w:rPr>
          <w:rFonts w:hint="eastAsia" w:ascii="方正仿宋_GBK" w:hAnsi="方正仿宋_GBK" w:eastAsia="方正仿宋_GBK" w:cs="方正仿宋_GBK"/>
          <w:color w:val="auto"/>
          <w:sz w:val="32"/>
          <w:szCs w:val="32"/>
          <w:highlight w:val="none"/>
          <w:lang w:eastAsia="zh-CN"/>
        </w:rPr>
        <w:t>已</w:t>
      </w:r>
      <w:r>
        <w:rPr>
          <w:rFonts w:hint="eastAsia" w:ascii="方正仿宋_GBK" w:hAnsi="方正仿宋_GBK" w:eastAsia="方正仿宋_GBK" w:cs="方正仿宋_GBK"/>
          <w:color w:val="auto"/>
          <w:sz w:val="32"/>
          <w:szCs w:val="32"/>
          <w:highlight w:val="none"/>
          <w:lang w:val="en-US" w:eastAsia="zh-CN"/>
        </w:rPr>
        <w:t>经重庆高新区</w:t>
      </w:r>
      <w:r>
        <w:rPr>
          <w:rFonts w:hint="default" w:ascii="Times New Roman" w:hAnsi="Times New Roman" w:eastAsia="方正仿宋_GBK" w:cs="Times New Roman"/>
          <w:color w:val="auto"/>
          <w:sz w:val="32"/>
          <w:szCs w:val="32"/>
          <w:highlight w:val="none"/>
          <w:lang w:val="en-US" w:eastAsia="zh-CN"/>
        </w:rPr>
        <w:t>2026年第7次党工委会议、2026年第7次</w:t>
      </w:r>
      <w:r>
        <w:rPr>
          <w:rFonts w:hint="eastAsia" w:ascii="方正仿宋_GBK" w:hAnsi="方正仿宋_GBK" w:eastAsia="方正仿宋_GBK" w:cs="方正仿宋_GBK"/>
          <w:color w:val="auto"/>
          <w:sz w:val="32"/>
          <w:szCs w:val="32"/>
          <w:highlight w:val="none"/>
          <w:lang w:val="en-US" w:eastAsia="zh-CN"/>
        </w:rPr>
        <w:t>管委会常务会议审议同意，</w:t>
      </w:r>
      <w:r>
        <w:rPr>
          <w:rFonts w:ascii="方正仿宋_GBK" w:hAnsi="方正仿宋_GBK" w:eastAsia="方正仿宋_GBK" w:cs="方正仿宋_GBK"/>
          <w:i w:val="0"/>
          <w:iCs w:val="0"/>
          <w:caps w:val="0"/>
          <w:color w:val="000000"/>
          <w:spacing w:val="0"/>
          <w:sz w:val="31"/>
          <w:szCs w:val="31"/>
          <w:shd w:val="clear" w:fill="FFFFFF"/>
        </w:rPr>
        <w:t>现印发给你们，请认真贯彻执行。</w:t>
      </w:r>
    </w:p>
    <w:p w14:paraId="09197FF3">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0"/>
        <w:jc w:val="both"/>
        <w:textAlignment w:val="auto"/>
        <w:outlineLvl w:val="9"/>
        <w:rPr>
          <w:rFonts w:ascii="方正仿宋_GBK" w:hAnsi="方正仿宋_GBK" w:eastAsia="方正仿宋_GBK" w:cs="方正仿宋_GBK"/>
          <w:i w:val="0"/>
          <w:iCs w:val="0"/>
          <w:caps w:val="0"/>
          <w:color w:val="333333"/>
          <w:spacing w:val="0"/>
          <w:sz w:val="32"/>
          <w:szCs w:val="32"/>
          <w:shd w:val="clear" w:fill="FFFFFF"/>
        </w:rPr>
      </w:pPr>
    </w:p>
    <w:p w14:paraId="4322B608">
      <w:pPr>
        <w:keepNext w:val="0"/>
        <w:keepLines w:val="0"/>
        <w:pageBreakBefore w:val="0"/>
        <w:widowControl w:val="0"/>
        <w:kinsoku/>
        <w:wordWrap w:val="0"/>
        <w:overflowPunct/>
        <w:topLinePunct w:val="0"/>
        <w:autoSpaceDE/>
        <w:autoSpaceDN/>
        <w:bidi w:val="0"/>
        <w:adjustRightInd w:val="0"/>
        <w:snapToGrid w:val="0"/>
        <w:spacing w:line="600" w:lineRule="exact"/>
        <w:ind w:left="1050" w:leftChars="500" w:firstLine="0" w:firstLineChars="0"/>
        <w:jc w:val="both"/>
        <w:textAlignment w:val="auto"/>
        <w:outlineLvl w:val="9"/>
        <w:rPr>
          <w:rFonts w:hint="eastAsia" w:ascii="Times New Roman" w:hAnsi="Times New Roman" w:eastAsia="方正仿宋_GBK" w:cs="方正仿宋_GBK"/>
          <w:color w:val="000000"/>
          <w:kern w:val="2"/>
          <w:sz w:val="32"/>
          <w:szCs w:val="32"/>
          <w:lang w:val="en-US" w:eastAsia="zh-CN" w:bidi="ar-SA"/>
        </w:rPr>
      </w:pPr>
    </w:p>
    <w:p w14:paraId="10804521">
      <w:pPr>
        <w:widowControl w:val="0"/>
        <w:adjustRightInd w:val="0"/>
        <w:snapToGrid w:val="0"/>
        <w:spacing w:after="0" w:line="600" w:lineRule="exact"/>
        <w:ind w:left="0" w:leftChars="0" w:right="0" w:rightChars="0" w:firstLine="640" w:firstLineChars="200"/>
        <w:jc w:val="left"/>
        <w:rPr>
          <w:rFonts w:hint="eastAsia" w:ascii="Times New Roman" w:hAnsi="Times New Roman" w:eastAsia="方正仿宋_GBK" w:cs="方正仿宋_GBK"/>
          <w:color w:val="000000"/>
          <w:kern w:val="2"/>
          <w:sz w:val="32"/>
          <w:szCs w:val="32"/>
          <w:lang w:val="en-US" w:eastAsia="zh-CN" w:bidi="ar-SA"/>
        </w:rPr>
      </w:pPr>
      <w:r>
        <w:rPr>
          <w:rFonts w:hint="eastAsia" w:eastAsia="方正仿宋_GBK" w:asciiTheme="minorAscii" w:hAnsiTheme="minorAscii" w:cstheme="minorBidi"/>
          <w:color w:val="000000"/>
          <w:kern w:val="2"/>
          <w:sz w:val="32"/>
          <w:szCs w:val="22"/>
          <w:lang w:val="en-US" w:eastAsia="zh-CN" w:bidi="ar-SA"/>
        </w:rPr>
        <w:t>（此页无正文）</w:t>
      </w:r>
    </w:p>
    <w:p w14:paraId="7CEFA185">
      <w:pPr>
        <w:widowControl w:val="0"/>
        <w:spacing w:line="600" w:lineRule="exact"/>
        <w:ind w:firstLine="0" w:firstLineChars="0"/>
        <w:jc w:val="both"/>
        <w:rPr>
          <w:rFonts w:hint="eastAsia" w:ascii="仿宋" w:hAnsi="仿宋" w:eastAsia="仿宋" w:cs="仿宋"/>
          <w:kern w:val="2"/>
          <w:sz w:val="34"/>
          <w:szCs w:val="34"/>
          <w:lang w:val="en-US" w:eastAsia="zh-CN" w:bidi="ar-SA"/>
        </w:rPr>
      </w:pPr>
    </w:p>
    <w:p w14:paraId="2004A6A6">
      <w:pPr>
        <w:keepNext w:val="0"/>
        <w:keepLines w:val="0"/>
        <w:pageBreakBefore w:val="0"/>
        <w:widowControl w:val="0"/>
        <w:kinsoku/>
        <w:wordWrap w:val="0"/>
        <w:overflowPunct/>
        <w:topLinePunct w:val="0"/>
        <w:autoSpaceDE/>
        <w:autoSpaceDN/>
        <w:bidi w:val="0"/>
        <w:adjustRightInd w:val="0"/>
        <w:snapToGrid w:val="0"/>
        <w:spacing w:line="600" w:lineRule="exact"/>
        <w:ind w:firstLine="6080" w:firstLineChars="1900"/>
        <w:jc w:val="both"/>
        <w:textAlignment w:val="auto"/>
        <w:outlineLvl w:val="9"/>
        <w:rPr>
          <w:rFonts w:hint="eastAsia" w:ascii="Times New Roman" w:hAnsi="Times New Roman" w:eastAsia="方正仿宋_GBK" w:cs="方正仿宋_GBK"/>
          <w:color w:val="000000"/>
          <w:sz w:val="32"/>
          <w:szCs w:val="32"/>
          <w:lang w:val="en-US" w:eastAsia="zh-CN"/>
        </w:rPr>
      </w:pPr>
    </w:p>
    <w:p w14:paraId="65EBF556">
      <w:pPr>
        <w:keepNext w:val="0"/>
        <w:keepLines w:val="0"/>
        <w:pageBreakBefore w:val="0"/>
        <w:widowControl w:val="0"/>
        <w:kinsoku/>
        <w:wordWrap w:val="0"/>
        <w:overflowPunct/>
        <w:topLinePunct w:val="0"/>
        <w:autoSpaceDE/>
        <w:autoSpaceDN/>
        <w:bidi w:val="0"/>
        <w:adjustRightInd w:val="0"/>
        <w:snapToGrid w:val="0"/>
        <w:spacing w:line="600" w:lineRule="exact"/>
        <w:ind w:firstLine="6080" w:firstLineChars="1900"/>
        <w:jc w:val="both"/>
        <w:textAlignment w:val="auto"/>
        <w:outlineLvl w:val="9"/>
        <w:rPr>
          <w:rFonts w:hint="eastAsia" w:ascii="Times New Roman" w:hAnsi="Times New Roman" w:eastAsia="方正仿宋_GBK" w:cs="方正仿宋_GBK"/>
          <w:color w:val="000000"/>
          <w:sz w:val="32"/>
          <w:szCs w:val="32"/>
          <w:lang w:val="en-US" w:eastAsia="zh-CN"/>
        </w:rPr>
      </w:pPr>
    </w:p>
    <w:p w14:paraId="7543E0DD">
      <w:pPr>
        <w:keepNext w:val="0"/>
        <w:keepLines w:val="0"/>
        <w:pageBreakBefore w:val="0"/>
        <w:widowControl w:val="0"/>
        <w:kinsoku/>
        <w:wordWrap w:val="0"/>
        <w:overflowPunct/>
        <w:topLinePunct w:val="0"/>
        <w:autoSpaceDE/>
        <w:autoSpaceDN/>
        <w:bidi w:val="0"/>
        <w:adjustRightInd w:val="0"/>
        <w:snapToGrid w:val="0"/>
        <w:spacing w:line="600" w:lineRule="exact"/>
        <w:ind w:firstLine="6080" w:firstLineChars="1900"/>
        <w:jc w:val="both"/>
        <w:textAlignment w:val="auto"/>
        <w:outlineLvl w:val="9"/>
        <w:rPr>
          <w:rFonts w:hint="default" w:ascii="Times New Roman" w:hAnsi="Times New Roman" w:eastAsia="方正仿宋_GBK" w:cs="方正仿宋_GBK"/>
          <w:color w:val="000000"/>
          <w:sz w:val="32"/>
          <w:szCs w:val="32"/>
          <w:lang w:val="en-US"/>
        </w:rPr>
      </w:pPr>
      <w:r>
        <w:rPr>
          <w:rFonts w:hint="eastAsia" w:ascii="Times New Roman" w:hAnsi="Times New Roman" w:eastAsia="方正仿宋_GBK" w:cs="方正仿宋_GBK"/>
          <w:color w:val="000000"/>
          <w:sz w:val="32"/>
          <w:szCs w:val="32"/>
          <w:lang w:val="en-US" w:eastAsia="zh-CN"/>
        </w:rPr>
        <w:t>重庆高新区管委会</w:t>
      </w:r>
    </w:p>
    <w:p w14:paraId="2C60236B">
      <w:pPr>
        <w:widowControl w:val="0"/>
        <w:spacing w:line="560" w:lineRule="exact"/>
        <w:ind w:firstLine="6080" w:firstLineChars="1900"/>
        <w:jc w:val="both"/>
        <w:rPr>
          <w:rFonts w:hint="eastAsia" w:ascii="Times New Roman" w:hAnsi="Times New Roman" w:eastAsia="方正仿宋_GBK" w:cs="方正仿宋_GBK"/>
          <w:color w:val="000000"/>
          <w:sz w:val="32"/>
          <w:szCs w:val="32"/>
        </w:rPr>
      </w:pPr>
      <w:r>
        <w:rPr>
          <w:rFonts w:hint="eastAsia" w:ascii="Times New Roman" w:hAnsi="Times New Roman" w:eastAsia="方正仿宋_GBK" w:cs="方正仿宋_GBK"/>
          <w:color w:val="000000"/>
          <w:sz w:val="32"/>
          <w:szCs w:val="32"/>
        </w:rPr>
        <w:t>20</w:t>
      </w:r>
      <w:r>
        <w:rPr>
          <w:rFonts w:hint="eastAsia" w:ascii="Times New Roman" w:hAnsi="Times New Roman" w:eastAsia="方正仿宋_GBK" w:cs="方正仿宋_GBK"/>
          <w:color w:val="000000"/>
          <w:sz w:val="32"/>
          <w:szCs w:val="32"/>
          <w:lang w:val="en-US" w:eastAsia="zh-CN"/>
        </w:rPr>
        <w:t>26</w:t>
      </w:r>
      <w:r>
        <w:rPr>
          <w:rFonts w:hint="eastAsia" w:ascii="Times New Roman" w:hAnsi="Times New Roman" w:eastAsia="方正仿宋_GBK" w:cs="方正仿宋_GBK"/>
          <w:color w:val="000000"/>
          <w:sz w:val="32"/>
          <w:szCs w:val="32"/>
        </w:rPr>
        <w:t>年</w:t>
      </w:r>
      <w:r>
        <w:rPr>
          <w:rFonts w:hint="eastAsia" w:ascii="Times New Roman" w:hAnsi="Times New Roman" w:eastAsia="方正仿宋_GBK" w:cs="方正仿宋_GBK"/>
          <w:color w:val="000000"/>
          <w:sz w:val="32"/>
          <w:szCs w:val="32"/>
          <w:lang w:val="en-US" w:eastAsia="zh-CN"/>
        </w:rPr>
        <w:t>7</w:t>
      </w:r>
      <w:r>
        <w:rPr>
          <w:rFonts w:hint="eastAsia" w:ascii="Times New Roman" w:hAnsi="Times New Roman" w:eastAsia="方正仿宋_GBK" w:cs="方正仿宋_GBK"/>
          <w:color w:val="000000"/>
          <w:sz w:val="32"/>
          <w:szCs w:val="32"/>
        </w:rPr>
        <w:t>月</w:t>
      </w:r>
      <w:r>
        <w:rPr>
          <w:rFonts w:hint="eastAsia" w:ascii="Times New Roman" w:hAnsi="Times New Roman" w:eastAsia="方正仿宋_GBK" w:cs="方正仿宋_GBK"/>
          <w:color w:val="000000"/>
          <w:sz w:val="32"/>
          <w:szCs w:val="32"/>
          <w:lang w:val="en-US" w:eastAsia="zh-CN"/>
        </w:rPr>
        <w:t>14</w:t>
      </w:r>
      <w:r>
        <w:rPr>
          <w:rFonts w:hint="eastAsia" w:ascii="Times New Roman" w:hAnsi="Times New Roman" w:eastAsia="方正仿宋_GBK" w:cs="方正仿宋_GBK"/>
          <w:color w:val="000000"/>
          <w:sz w:val="32"/>
          <w:szCs w:val="32"/>
        </w:rPr>
        <w:t>日</w:t>
      </w:r>
    </w:p>
    <w:p w14:paraId="51165456">
      <w:pPr>
        <w:widowControl w:val="0"/>
        <w:adjustRightInd w:val="0"/>
        <w:snapToGrid w:val="0"/>
        <w:spacing w:line="600" w:lineRule="exact"/>
        <w:ind w:firstLine="640" w:firstLineChars="200"/>
        <w:jc w:val="left"/>
        <w:rPr>
          <w:rFonts w:hint="eastAsia" w:eastAsia="方正仿宋_GBK" w:asciiTheme="minorAscii" w:hAnsiTheme="minorAscii" w:cstheme="minorBidi"/>
          <w:color w:val="000000"/>
          <w:kern w:val="2"/>
          <w:sz w:val="32"/>
          <w:szCs w:val="22"/>
          <w:lang w:val="en-US" w:eastAsia="zh-CN" w:bidi="ar-SA"/>
        </w:rPr>
      </w:pPr>
      <w:r>
        <w:rPr>
          <w:rFonts w:hint="eastAsia" w:eastAsia="方正仿宋_GBK" w:asciiTheme="minorAscii" w:hAnsiTheme="minorAscii" w:cstheme="minorBidi"/>
          <w:color w:val="000000"/>
          <w:kern w:val="2"/>
          <w:sz w:val="32"/>
          <w:szCs w:val="22"/>
          <w:lang w:val="en-US" w:eastAsia="zh-CN" w:bidi="ar-SA"/>
        </w:rPr>
        <w:t>（</w:t>
      </w:r>
      <w:r>
        <w:rPr>
          <w:rFonts w:hint="eastAsia" w:eastAsia="方正仿宋_GBK" w:cstheme="minorBidi"/>
          <w:color w:val="000000"/>
          <w:kern w:val="2"/>
          <w:sz w:val="32"/>
          <w:szCs w:val="22"/>
          <w:lang w:val="en-US" w:eastAsia="zh-CN" w:bidi="ar-SA"/>
        </w:rPr>
        <w:t>本文有删减</w:t>
      </w:r>
      <w:r>
        <w:rPr>
          <w:rFonts w:hint="eastAsia" w:eastAsia="方正仿宋_GBK" w:asciiTheme="minorAscii" w:hAnsiTheme="minorAscii" w:cstheme="minorBidi"/>
          <w:color w:val="000000"/>
          <w:kern w:val="2"/>
          <w:sz w:val="32"/>
          <w:szCs w:val="22"/>
          <w:lang w:val="en-US" w:eastAsia="zh-CN" w:bidi="ar-SA"/>
        </w:rPr>
        <w:t>）</w:t>
      </w:r>
    </w:p>
    <w:p w14:paraId="5520CEC0">
      <w:pPr>
        <w:widowControl w:val="0"/>
        <w:spacing w:line="360" w:lineRule="auto"/>
        <w:ind w:firstLine="480" w:firstLineChars="200"/>
        <w:jc w:val="both"/>
        <w:rPr>
          <w:rFonts w:hint="eastAsia" w:ascii="Times New Roman" w:eastAsia="方正仿宋_GBK" w:hAnsiTheme="minorAscii" w:cstheme="minorBidi"/>
          <w:kern w:val="2"/>
          <w:sz w:val="24"/>
          <w:szCs w:val="24"/>
          <w:lang w:val="en-US" w:eastAsia="zh-CN" w:bidi="ar-SA"/>
        </w:rPr>
      </w:pPr>
    </w:p>
    <w:p w14:paraId="7D6EEFD4">
      <w:pPr>
        <w:widowControl w:val="0"/>
        <w:spacing w:line="600" w:lineRule="exact"/>
        <w:ind w:firstLine="0" w:firstLineChars="0"/>
        <w:jc w:val="both"/>
        <w:rPr>
          <w:rFonts w:hint="eastAsia" w:ascii="仿宋" w:hAnsi="仿宋" w:eastAsia="仿宋" w:cs="仿宋"/>
          <w:kern w:val="2"/>
          <w:sz w:val="34"/>
          <w:szCs w:val="34"/>
          <w:highlight w:val="cyan"/>
          <w:lang w:val="en-US" w:eastAsia="zh-CN" w:bidi="ar-SA"/>
        </w:rPr>
      </w:pPr>
    </w:p>
    <w:p w14:paraId="05EF9664">
      <w:pPr>
        <w:widowControl w:val="0"/>
        <w:spacing w:line="360" w:lineRule="auto"/>
        <w:ind w:firstLine="480" w:firstLineChars="200"/>
        <w:jc w:val="both"/>
        <w:rPr>
          <w:rFonts w:hint="eastAsia" w:ascii="Times New Roman" w:eastAsia="方正仿宋_GBK" w:hAnsiTheme="minorAscii" w:cstheme="minorBidi"/>
          <w:kern w:val="2"/>
          <w:sz w:val="24"/>
          <w:szCs w:val="24"/>
          <w:lang w:val="en-US" w:eastAsia="zh-CN" w:bidi="ar-SA"/>
        </w:rPr>
      </w:pPr>
      <w:bookmarkStart w:id="931" w:name="_GoBack"/>
      <w:bookmarkEnd w:id="931"/>
    </w:p>
    <w:p w14:paraId="6A2B6E28">
      <w:pPr>
        <w:widowControl w:val="0"/>
        <w:spacing w:line="600" w:lineRule="exact"/>
        <w:ind w:firstLine="0" w:firstLineChars="0"/>
        <w:jc w:val="both"/>
        <w:rPr>
          <w:rFonts w:hint="eastAsia" w:ascii="仿宋" w:hAnsi="仿宋" w:eastAsia="仿宋" w:cs="仿宋"/>
          <w:kern w:val="2"/>
          <w:sz w:val="34"/>
          <w:szCs w:val="34"/>
          <w:lang w:val="en-US" w:eastAsia="zh-CN" w:bidi="ar-SA"/>
        </w:rPr>
      </w:pPr>
    </w:p>
    <w:p w14:paraId="3ECC3EB5">
      <w:pPr>
        <w:widowControl w:val="0"/>
        <w:spacing w:line="360" w:lineRule="auto"/>
        <w:ind w:firstLine="480" w:firstLineChars="200"/>
        <w:jc w:val="both"/>
        <w:rPr>
          <w:rFonts w:hint="eastAsia" w:ascii="Times New Roman" w:eastAsia="方正仿宋_GBK" w:hAnsiTheme="minorAscii" w:cstheme="minorBidi"/>
          <w:kern w:val="2"/>
          <w:sz w:val="24"/>
          <w:szCs w:val="24"/>
          <w:lang w:val="en-US" w:eastAsia="zh-CN" w:bidi="ar-SA"/>
        </w:rPr>
      </w:pPr>
    </w:p>
    <w:p w14:paraId="3C3686B3">
      <w:pPr>
        <w:widowControl w:val="0"/>
        <w:spacing w:line="600" w:lineRule="exact"/>
        <w:ind w:firstLine="0" w:firstLineChars="0"/>
        <w:jc w:val="both"/>
        <w:rPr>
          <w:rFonts w:hint="eastAsia" w:ascii="仿宋" w:hAnsi="仿宋" w:eastAsia="仿宋" w:cs="仿宋"/>
          <w:kern w:val="2"/>
          <w:sz w:val="34"/>
          <w:szCs w:val="34"/>
          <w:lang w:val="en-US" w:eastAsia="zh-CN" w:bidi="ar-SA"/>
        </w:rPr>
      </w:pPr>
    </w:p>
    <w:p w14:paraId="7F53D1A9">
      <w:pPr>
        <w:widowControl w:val="0"/>
        <w:spacing w:line="360" w:lineRule="auto"/>
        <w:ind w:firstLine="480" w:firstLineChars="200"/>
        <w:jc w:val="both"/>
        <w:rPr>
          <w:rFonts w:hint="eastAsia" w:ascii="Times New Roman" w:eastAsia="方正仿宋_GBK" w:hAnsiTheme="minorAscii" w:cstheme="minorBidi"/>
          <w:kern w:val="2"/>
          <w:sz w:val="24"/>
          <w:szCs w:val="24"/>
          <w:lang w:val="en-US" w:eastAsia="zh-CN" w:bidi="ar-SA"/>
        </w:rPr>
      </w:pPr>
    </w:p>
    <w:p w14:paraId="1DF0D25A">
      <w:pPr>
        <w:widowControl w:val="0"/>
        <w:spacing w:line="600" w:lineRule="exact"/>
        <w:ind w:firstLine="0" w:firstLineChars="0"/>
        <w:jc w:val="both"/>
        <w:rPr>
          <w:rFonts w:hint="eastAsia" w:ascii="仿宋" w:hAnsi="仿宋" w:eastAsia="仿宋" w:cs="仿宋"/>
          <w:kern w:val="2"/>
          <w:sz w:val="34"/>
          <w:szCs w:val="34"/>
          <w:lang w:val="en-US" w:eastAsia="zh-CN" w:bidi="ar-SA"/>
        </w:rPr>
      </w:pPr>
    </w:p>
    <w:p w14:paraId="00FA6BF1">
      <w:pPr>
        <w:widowControl w:val="0"/>
        <w:spacing w:line="360" w:lineRule="auto"/>
        <w:ind w:firstLine="480" w:firstLineChars="200"/>
        <w:jc w:val="both"/>
        <w:rPr>
          <w:rFonts w:hint="eastAsia" w:ascii="Times New Roman" w:eastAsia="方正仿宋_GBK" w:hAnsiTheme="minorAscii" w:cstheme="minorBidi"/>
          <w:kern w:val="2"/>
          <w:sz w:val="24"/>
          <w:szCs w:val="24"/>
          <w:lang w:val="en-US" w:eastAsia="zh-CN" w:bidi="ar-SA"/>
        </w:rPr>
      </w:pPr>
    </w:p>
    <w:p w14:paraId="1E738E30">
      <w:pPr>
        <w:widowControl w:val="0"/>
        <w:spacing w:line="600" w:lineRule="exact"/>
        <w:ind w:firstLine="0" w:firstLineChars="0"/>
        <w:jc w:val="both"/>
        <w:rPr>
          <w:rFonts w:hint="eastAsia" w:ascii="仿宋" w:hAnsi="仿宋" w:eastAsia="仿宋" w:cs="仿宋"/>
          <w:kern w:val="2"/>
          <w:sz w:val="34"/>
          <w:szCs w:val="34"/>
          <w:lang w:val="en-US" w:eastAsia="zh-CN" w:bidi="ar-SA"/>
        </w:rPr>
      </w:pPr>
    </w:p>
    <w:p w14:paraId="24CD9C22">
      <w:pPr>
        <w:widowControl w:val="0"/>
        <w:spacing w:line="360" w:lineRule="auto"/>
        <w:ind w:firstLine="480" w:firstLineChars="200"/>
        <w:jc w:val="both"/>
        <w:rPr>
          <w:rFonts w:hint="eastAsia" w:ascii="Times New Roman" w:eastAsia="方正仿宋_GBK" w:hAnsiTheme="minorAscii" w:cstheme="minorBidi"/>
          <w:kern w:val="2"/>
          <w:sz w:val="24"/>
          <w:szCs w:val="24"/>
          <w:lang w:val="en-US" w:eastAsia="zh-CN" w:bidi="ar-SA"/>
        </w:rPr>
      </w:pPr>
    </w:p>
    <w:p w14:paraId="099118B1">
      <w:pPr>
        <w:widowControl w:val="0"/>
        <w:spacing w:line="600" w:lineRule="exact"/>
        <w:ind w:firstLine="0" w:firstLineChars="0"/>
        <w:jc w:val="both"/>
        <w:rPr>
          <w:rFonts w:hint="eastAsia" w:ascii="仿宋" w:hAnsi="仿宋" w:eastAsia="仿宋" w:cs="仿宋"/>
          <w:kern w:val="2"/>
          <w:sz w:val="34"/>
          <w:szCs w:val="34"/>
          <w:lang w:val="en-US" w:eastAsia="zh-CN" w:bidi="ar-SA"/>
        </w:rPr>
      </w:pPr>
    </w:p>
    <w:p w14:paraId="2F074856">
      <w:pPr>
        <w:widowControl w:val="0"/>
        <w:spacing w:line="360" w:lineRule="auto"/>
        <w:ind w:firstLine="480" w:firstLineChars="200"/>
        <w:jc w:val="both"/>
        <w:rPr>
          <w:rFonts w:hint="eastAsia" w:ascii="Times New Roman" w:eastAsia="方正仿宋_GBK" w:hAnsiTheme="minorAscii" w:cstheme="minorBidi"/>
          <w:kern w:val="2"/>
          <w:sz w:val="24"/>
          <w:szCs w:val="24"/>
          <w:lang w:val="en-US" w:eastAsia="zh-CN" w:bidi="ar-SA"/>
        </w:rPr>
      </w:pPr>
    </w:p>
    <w:p w14:paraId="7C1B548D">
      <w:pPr>
        <w:spacing w:line="560" w:lineRule="exact"/>
        <w:rPr>
          <w:rFonts w:ascii="Times New Roman" w:hAnsi="Times New Roman" w:eastAsia="方正黑体_GBK"/>
          <w:color w:val="000000" w:themeColor="text1"/>
          <w:kern w:val="0"/>
          <w:sz w:val="32"/>
          <w:szCs w:val="32"/>
          <w14:textFill>
            <w14:solidFill>
              <w14:schemeClr w14:val="tx1"/>
            </w14:solidFill>
          </w14:textFill>
        </w:rPr>
        <w:sectPr>
          <w:headerReference r:id="rId3" w:type="default"/>
          <w:footerReference r:id="rId4" w:type="default"/>
          <w:pgSz w:w="11906" w:h="16838"/>
          <w:pgMar w:top="2098" w:right="1417" w:bottom="1984"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0D62CF03">
      <w:pPr>
        <w:spacing w:line="560" w:lineRule="exact"/>
        <w:rPr>
          <w:rFonts w:ascii="Times New Roman" w:hAnsi="Times New Roman" w:eastAsia="方正黑体_GBK"/>
          <w:color w:val="000000" w:themeColor="text1"/>
          <w:kern w:val="0"/>
          <w:sz w:val="32"/>
          <w:szCs w:val="32"/>
          <w14:textFill>
            <w14:solidFill>
              <w14:schemeClr w14:val="tx1"/>
            </w14:solidFill>
          </w14:textFill>
        </w:rPr>
      </w:pPr>
    </w:p>
    <w:p w14:paraId="1272E55A">
      <w:pPr>
        <w:pStyle w:val="19"/>
        <w:overflowPunct w:val="0"/>
        <w:spacing w:beforeAutospacing="0" w:afterAutospacing="0" w:line="1000" w:lineRule="exact"/>
        <w:jc w:val="both"/>
        <w:rPr>
          <w:rFonts w:hint="eastAsia" w:ascii="方正黑体_GBK" w:hAnsi="方正黑体_GBK" w:eastAsia="方正黑体_GBK" w:cs="方正黑体_GBK"/>
          <w:color w:val="auto"/>
          <w:sz w:val="32"/>
          <w:szCs w:val="32"/>
          <w:highlight w:val="none"/>
          <w:lang w:val="en-US" w:eastAsia="zh-CN"/>
        </w:rPr>
      </w:pPr>
    </w:p>
    <w:p w14:paraId="395D272C">
      <w:pPr>
        <w:pStyle w:val="19"/>
        <w:overflowPunct w:val="0"/>
        <w:adjustRightInd w:val="0"/>
        <w:snapToGrid w:val="0"/>
        <w:spacing w:beforeAutospacing="0" w:afterAutospacing="0"/>
        <w:jc w:val="center"/>
        <w:rPr>
          <w:rFonts w:ascii="Times New Roman" w:hAnsi="Times New Roman" w:eastAsia="方正小标宋_GBK" w:cs="方正小标宋_GBK"/>
          <w:color w:val="auto"/>
          <w:sz w:val="52"/>
          <w:szCs w:val="52"/>
          <w:highlight w:val="none"/>
        </w:rPr>
      </w:pPr>
      <w:r>
        <w:rPr>
          <w:rFonts w:hint="eastAsia" w:ascii="Times New Roman" w:hAnsi="Times New Roman" w:eastAsia="方正小标宋_GBK" w:cs="方正小标宋_GBK"/>
          <w:color w:val="auto"/>
          <w:sz w:val="52"/>
          <w:szCs w:val="52"/>
          <w:highlight w:val="none"/>
        </w:rPr>
        <w:t>重庆高新区国民经济和社会发展</w:t>
      </w:r>
    </w:p>
    <w:p w14:paraId="1A5A2696">
      <w:pPr>
        <w:pStyle w:val="19"/>
        <w:overflowPunct w:val="0"/>
        <w:adjustRightInd w:val="0"/>
        <w:snapToGrid w:val="0"/>
        <w:spacing w:beforeAutospacing="0" w:afterAutospacing="0"/>
        <w:jc w:val="center"/>
        <w:rPr>
          <w:rFonts w:ascii="Times New Roman" w:hAnsi="Times New Roman" w:eastAsia="方正小标宋_GBK" w:cs="方正小标宋_GBK"/>
          <w:color w:val="auto"/>
          <w:sz w:val="52"/>
          <w:szCs w:val="52"/>
          <w:highlight w:val="none"/>
        </w:rPr>
      </w:pPr>
      <w:r>
        <w:rPr>
          <w:rFonts w:hint="eastAsia" w:ascii="Times New Roman" w:hAnsi="Times New Roman" w:eastAsia="方正小标宋_GBK" w:cs="方正小标宋_GBK"/>
          <w:color w:val="auto"/>
          <w:sz w:val="52"/>
          <w:szCs w:val="52"/>
          <w:highlight w:val="none"/>
        </w:rPr>
        <w:t>第十五个五年规划纲要</w:t>
      </w:r>
    </w:p>
    <w:p w14:paraId="67D4EF0B">
      <w:pPr>
        <w:pStyle w:val="19"/>
        <w:overflowPunct w:val="0"/>
        <w:adjustRightInd w:val="0"/>
        <w:snapToGrid w:val="0"/>
        <w:spacing w:beforeAutospacing="0" w:afterAutospacing="0"/>
        <w:jc w:val="center"/>
        <w:rPr>
          <w:rFonts w:hint="eastAsia" w:ascii="方正楷体_GBK" w:hAnsi="方正楷体_GBK" w:eastAsia="方正楷体_GBK" w:cs="方正楷体_GBK"/>
          <w:color w:val="auto"/>
          <w:sz w:val="36"/>
          <w:szCs w:val="36"/>
          <w:highlight w:val="none"/>
        </w:rPr>
      </w:pPr>
    </w:p>
    <w:p w14:paraId="3DA77966">
      <w:pPr>
        <w:pStyle w:val="19"/>
        <w:overflowPunct w:val="0"/>
        <w:spacing w:beforeAutospacing="0" w:afterAutospacing="0"/>
        <w:jc w:val="both"/>
        <w:rPr>
          <w:rFonts w:ascii="Times New Roman" w:hAnsi="Times New Roman" w:eastAsia="方正仿宋_GBK" w:cs="方正仿宋_GBK"/>
          <w:color w:val="auto"/>
          <w:sz w:val="32"/>
          <w:szCs w:val="32"/>
          <w:highlight w:val="none"/>
        </w:rPr>
      </w:pPr>
    </w:p>
    <w:p w14:paraId="6D2DA0D4">
      <w:pPr>
        <w:pStyle w:val="19"/>
        <w:overflowPunct w:val="0"/>
        <w:spacing w:beforeAutospacing="0" w:afterAutospacing="0"/>
        <w:jc w:val="both"/>
        <w:rPr>
          <w:rFonts w:ascii="Times New Roman" w:hAnsi="Times New Roman" w:eastAsia="方正仿宋_GBK" w:cs="方正仿宋_GBK"/>
          <w:color w:val="auto"/>
          <w:sz w:val="32"/>
          <w:szCs w:val="32"/>
          <w:highlight w:val="none"/>
        </w:rPr>
      </w:pPr>
    </w:p>
    <w:p w14:paraId="6120CBA0">
      <w:pPr>
        <w:pStyle w:val="19"/>
        <w:overflowPunct w:val="0"/>
        <w:spacing w:beforeAutospacing="0" w:afterAutospacing="0"/>
        <w:jc w:val="both"/>
        <w:rPr>
          <w:rFonts w:ascii="Times New Roman" w:hAnsi="Times New Roman" w:eastAsia="方正仿宋_GBK" w:cs="方正仿宋_GBK"/>
          <w:color w:val="auto"/>
          <w:sz w:val="32"/>
          <w:szCs w:val="32"/>
          <w:highlight w:val="none"/>
        </w:rPr>
      </w:pPr>
    </w:p>
    <w:p w14:paraId="4F2A47C6">
      <w:pPr>
        <w:pStyle w:val="19"/>
        <w:overflowPunct w:val="0"/>
        <w:spacing w:beforeAutospacing="0" w:afterAutospacing="0"/>
        <w:jc w:val="both"/>
        <w:rPr>
          <w:rFonts w:ascii="Times New Roman" w:hAnsi="Times New Roman" w:eastAsia="方正仿宋_GBK" w:cs="方正仿宋_GBK"/>
          <w:color w:val="auto"/>
          <w:sz w:val="32"/>
          <w:szCs w:val="32"/>
          <w:highlight w:val="none"/>
        </w:rPr>
      </w:pPr>
    </w:p>
    <w:p w14:paraId="653B488F">
      <w:pPr>
        <w:pStyle w:val="19"/>
        <w:overflowPunct w:val="0"/>
        <w:spacing w:beforeAutospacing="0" w:afterAutospacing="0"/>
        <w:jc w:val="both"/>
        <w:rPr>
          <w:rFonts w:ascii="Times New Roman" w:hAnsi="Times New Roman" w:eastAsia="方正仿宋_GBK" w:cs="方正仿宋_GBK"/>
          <w:color w:val="auto"/>
          <w:sz w:val="32"/>
          <w:szCs w:val="32"/>
          <w:highlight w:val="none"/>
        </w:rPr>
      </w:pPr>
    </w:p>
    <w:p w14:paraId="5B6DB238">
      <w:pPr>
        <w:pStyle w:val="19"/>
        <w:overflowPunct w:val="0"/>
        <w:spacing w:beforeAutospacing="0" w:afterAutospacing="0"/>
        <w:jc w:val="both"/>
        <w:rPr>
          <w:rFonts w:ascii="Times New Roman" w:hAnsi="Times New Roman" w:eastAsia="方正仿宋_GBK" w:cs="方正仿宋_GBK"/>
          <w:color w:val="auto"/>
          <w:sz w:val="32"/>
          <w:szCs w:val="32"/>
          <w:highlight w:val="none"/>
        </w:rPr>
      </w:pPr>
    </w:p>
    <w:p w14:paraId="4E8214AF">
      <w:pPr>
        <w:pStyle w:val="19"/>
        <w:overflowPunct w:val="0"/>
        <w:spacing w:beforeAutospacing="0" w:afterAutospacing="0"/>
        <w:jc w:val="both"/>
        <w:rPr>
          <w:rFonts w:ascii="Times New Roman" w:hAnsi="Times New Roman" w:eastAsia="方正仿宋_GBK" w:cs="方正仿宋_GBK"/>
          <w:color w:val="auto"/>
          <w:sz w:val="32"/>
          <w:szCs w:val="32"/>
          <w:highlight w:val="none"/>
        </w:rPr>
      </w:pPr>
    </w:p>
    <w:p w14:paraId="2B227D14">
      <w:pPr>
        <w:pStyle w:val="19"/>
        <w:tabs>
          <w:tab w:val="left" w:pos="6568"/>
        </w:tabs>
        <w:overflowPunct w:val="0"/>
        <w:spacing w:beforeAutospacing="0" w:afterAutospacing="0"/>
        <w:jc w:val="both"/>
        <w:rPr>
          <w:rFonts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color w:val="auto"/>
          <w:sz w:val="32"/>
          <w:szCs w:val="32"/>
          <w:highlight w:val="none"/>
        </w:rPr>
        <w:tab/>
      </w:r>
    </w:p>
    <w:p w14:paraId="3AECA951">
      <w:pPr>
        <w:pStyle w:val="19"/>
        <w:tabs>
          <w:tab w:val="left" w:pos="6568"/>
        </w:tabs>
        <w:overflowPunct w:val="0"/>
        <w:spacing w:beforeAutospacing="0" w:afterAutospacing="0"/>
        <w:ind w:firstLine="3520" w:firstLineChars="1100"/>
        <w:jc w:val="both"/>
        <w:rPr>
          <w:rFonts w:hint="eastAsia" w:ascii="Times New Roman" w:hAnsi="Times New Roman" w:eastAsia="方正仿宋_GBK" w:cs="方正仿宋_GBK"/>
          <w:color w:val="auto"/>
          <w:sz w:val="32"/>
          <w:szCs w:val="32"/>
          <w:highlight w:val="none"/>
          <w:lang w:eastAsia="zh-CN"/>
        </w:rPr>
      </w:pPr>
    </w:p>
    <w:p w14:paraId="2E8EA949">
      <w:pPr>
        <w:pStyle w:val="19"/>
        <w:tabs>
          <w:tab w:val="left" w:pos="6568"/>
        </w:tabs>
        <w:overflowPunct w:val="0"/>
        <w:spacing w:beforeAutospacing="0" w:afterAutospacing="0"/>
        <w:ind w:firstLine="3520" w:firstLineChars="1100"/>
        <w:jc w:val="both"/>
        <w:rPr>
          <w:rFonts w:hint="eastAsia" w:ascii="Times New Roman" w:hAnsi="Times New Roman" w:eastAsia="方正仿宋_GBK" w:cs="方正仿宋_GBK"/>
          <w:color w:val="auto"/>
          <w:sz w:val="32"/>
          <w:szCs w:val="32"/>
          <w:highlight w:val="none"/>
          <w:lang w:eastAsia="zh-CN"/>
        </w:rPr>
      </w:pPr>
    </w:p>
    <w:p w14:paraId="76A9D22D">
      <w:pPr>
        <w:pStyle w:val="19"/>
        <w:tabs>
          <w:tab w:val="left" w:pos="6568"/>
        </w:tabs>
        <w:overflowPunct w:val="0"/>
        <w:spacing w:beforeAutospacing="0" w:afterAutospacing="0"/>
        <w:ind w:firstLine="3520" w:firstLineChars="1100"/>
        <w:jc w:val="both"/>
        <w:rPr>
          <w:rFonts w:hint="eastAsia" w:ascii="Times New Roman" w:hAnsi="Times New Roman" w:eastAsia="方正仿宋_GBK" w:cs="方正仿宋_GBK"/>
          <w:color w:val="auto"/>
          <w:sz w:val="32"/>
          <w:szCs w:val="32"/>
          <w:highlight w:val="none"/>
          <w:lang w:eastAsia="zh-CN"/>
        </w:rPr>
      </w:pPr>
    </w:p>
    <w:p w14:paraId="2D47C39E">
      <w:pPr>
        <w:pStyle w:val="19"/>
        <w:tabs>
          <w:tab w:val="left" w:pos="6568"/>
        </w:tabs>
        <w:overflowPunct w:val="0"/>
        <w:spacing w:beforeAutospacing="0" w:afterAutospacing="0"/>
        <w:ind w:firstLine="0" w:firstLineChars="0"/>
        <w:jc w:val="center"/>
        <w:rPr>
          <w:rFonts w:hint="eastAsia" w:ascii="方正楷体_GBK" w:hAnsi="方正楷体_GBK" w:eastAsia="方正楷体_GBK" w:cs="方正楷体_GBK"/>
          <w:color w:val="auto"/>
          <w:sz w:val="32"/>
          <w:szCs w:val="32"/>
          <w:highlight w:val="none"/>
          <w:lang w:eastAsia="zh-CN"/>
        </w:rPr>
      </w:pPr>
      <w:r>
        <w:rPr>
          <w:rFonts w:hint="eastAsia" w:ascii="方正楷体_GBK" w:hAnsi="方正楷体_GBK" w:eastAsia="方正楷体_GBK" w:cs="方正楷体_GBK"/>
          <w:color w:val="auto"/>
          <w:sz w:val="32"/>
          <w:szCs w:val="32"/>
          <w:highlight w:val="none"/>
          <w:lang w:eastAsia="zh-CN"/>
        </w:rPr>
        <w:t>重庆高新区管委会</w:t>
      </w:r>
    </w:p>
    <w:p w14:paraId="39428FAE">
      <w:pPr>
        <w:pStyle w:val="19"/>
        <w:tabs>
          <w:tab w:val="left" w:pos="6568"/>
        </w:tabs>
        <w:overflowPunct w:val="0"/>
        <w:spacing w:beforeAutospacing="0" w:afterAutospacing="0"/>
        <w:ind w:firstLine="0" w:firstLineChars="0"/>
        <w:jc w:val="center"/>
        <w:rPr>
          <w:rFonts w:hint="eastAsia" w:ascii="方正楷体_GBK" w:hAnsi="方正楷体_GBK" w:eastAsia="方正楷体_GBK" w:cs="方正楷体_GBK"/>
          <w:color w:val="auto"/>
          <w:sz w:val="32"/>
          <w:szCs w:val="32"/>
          <w:highlight w:val="none"/>
          <w:lang w:val="en-US" w:eastAsia="zh-CN"/>
        </w:rPr>
      </w:pPr>
      <w:r>
        <w:rPr>
          <w:rFonts w:hint="eastAsia" w:ascii="方正楷体_GBK" w:hAnsi="方正楷体_GBK" w:eastAsia="方正楷体_GBK" w:cs="方正楷体_GBK"/>
          <w:color w:val="auto"/>
          <w:sz w:val="32"/>
          <w:szCs w:val="32"/>
          <w:highlight w:val="none"/>
          <w:lang w:val="en-US" w:eastAsia="zh-CN"/>
        </w:rPr>
        <w:t>2026年7月</w:t>
      </w:r>
    </w:p>
    <w:p w14:paraId="1EE95B96">
      <w:pPr>
        <w:pStyle w:val="11"/>
        <w:overflowPunct w:val="0"/>
        <w:adjustRightInd w:val="0"/>
        <w:snapToGrid w:val="0"/>
        <w:spacing w:line="600" w:lineRule="exact"/>
        <w:ind w:firstLine="0"/>
        <w:jc w:val="center"/>
        <w:rPr>
          <w:rFonts w:ascii="Times New Roman" w:hAnsi="Times New Roman" w:eastAsia="方正楷体_GBK"/>
          <w:color w:val="auto"/>
          <w:kern w:val="0"/>
          <w:sz w:val="36"/>
          <w:szCs w:val="36"/>
          <w:highlight w:val="none"/>
        </w:rPr>
      </w:pPr>
    </w:p>
    <w:p w14:paraId="55810C56">
      <w:pPr>
        <w:jc w:val="center"/>
        <w:rPr>
          <w:rFonts w:ascii="Times New Roman" w:hAnsi="Times New Roman" w:eastAsia="方正小标宋_GBK"/>
          <w:color w:val="auto"/>
          <w:sz w:val="44"/>
          <w:szCs w:val="44"/>
          <w:highlight w:val="none"/>
        </w:rPr>
        <w:sectPr>
          <w:headerReference r:id="rId5" w:type="default"/>
          <w:footerReference r:id="rId6" w:type="default"/>
          <w:pgSz w:w="11906" w:h="16838"/>
          <w:pgMar w:top="2098" w:right="1417" w:bottom="1984"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sdt>
      <w:sdtPr>
        <w:rPr>
          <w:rFonts w:ascii="宋体" w:hAnsi="宋体" w:eastAsia="宋体" w:cs="Times New Roman"/>
          <w:color w:val="auto"/>
          <w:kern w:val="0"/>
          <w:sz w:val="24"/>
          <w:highlight w:val="none"/>
        </w:rPr>
        <w:id w:val="147473776"/>
        <w15:color w:val="DBDBDB"/>
        <w:docPartObj>
          <w:docPartGallery w:val="Table of Contents"/>
          <w:docPartUnique/>
        </w:docPartObj>
      </w:sdtPr>
      <w:sdtEndPr>
        <w:rPr>
          <w:rFonts w:hint="eastAsia" w:ascii="Times New Roman" w:hAnsi="Times New Roman" w:eastAsia="方正小标宋_GBK" w:cs="方正小标宋_GBK"/>
          <w:color w:val="auto"/>
          <w:kern w:val="0"/>
          <w:sz w:val="24"/>
          <w:szCs w:val="44"/>
          <w:highlight w:val="none"/>
          <w:lang w:bidi="ar"/>
        </w:rPr>
      </w:sdtEndPr>
      <w:sdtContent>
        <w:p w14:paraId="722E9183">
          <w:pPr>
            <w:jc w:val="center"/>
            <w:rPr>
              <w:rFonts w:hint="eastAsia" w:ascii="方正小标宋_GBK" w:hAnsi="方正小标宋_GBK" w:eastAsia="方正小标宋_GBK" w:cs="方正小标宋_GBK"/>
              <w:color w:val="auto"/>
              <w:sz w:val="44"/>
              <w:szCs w:val="44"/>
              <w:highlight w:val="none"/>
            </w:rPr>
          </w:pPr>
          <w:r>
            <w:rPr>
              <w:rFonts w:hint="eastAsia" w:ascii="方正小标宋_GBK" w:hAnsi="方正小标宋_GBK" w:eastAsia="方正小标宋_GBK" w:cs="方正小标宋_GBK"/>
              <w:color w:val="auto"/>
              <w:sz w:val="44"/>
              <w:szCs w:val="44"/>
              <w:highlight w:val="none"/>
            </w:rPr>
            <w:t xml:space="preserve">目 </w:t>
          </w:r>
          <w:r>
            <w:rPr>
              <w:rFonts w:hint="eastAsia" w:ascii="方正小标宋_GBK" w:hAnsi="方正小标宋_GBK" w:eastAsia="方正小标宋_GBK" w:cs="方正小标宋_GBK"/>
              <w:color w:val="auto"/>
              <w:sz w:val="44"/>
              <w:szCs w:val="44"/>
              <w:highlight w:val="none"/>
              <w:lang w:val="en-US" w:eastAsia="zh-CN"/>
            </w:rPr>
            <w:t xml:space="preserve"> </w:t>
          </w:r>
          <w:r>
            <w:rPr>
              <w:rFonts w:hint="eastAsia" w:ascii="方正小标宋_GBK" w:hAnsi="方正小标宋_GBK" w:eastAsia="方正小标宋_GBK" w:cs="方正小标宋_GBK"/>
              <w:color w:val="auto"/>
              <w:sz w:val="44"/>
              <w:szCs w:val="44"/>
              <w:highlight w:val="none"/>
            </w:rPr>
            <w:t>录</w:t>
          </w:r>
        </w:p>
        <w:p w14:paraId="4163F388">
          <w:pPr>
            <w:pStyle w:val="15"/>
            <w:tabs>
              <w:tab w:val="right" w:leader="middleDot" w:pos="9072"/>
            </w:tabs>
            <w:rPr>
              <w:rFonts w:hint="eastAsia" w:ascii="Times New Roman" w:hAnsi="Times New Roman" w:eastAsia="方正小标宋_GBK"/>
              <w:sz w:val="32"/>
              <w:szCs w:val="32"/>
              <w:lang w:eastAsia="zh-CN"/>
            </w:rPr>
          </w:pPr>
          <w:r>
            <w:rPr>
              <w:rFonts w:hint="eastAsia" w:ascii="Times New Roman" w:hAnsi="Times New Roman" w:eastAsia="方正小标宋_GBK" w:cs="方正小标宋_GBK"/>
              <w:color w:val="auto"/>
              <w:sz w:val="32"/>
              <w:szCs w:val="32"/>
              <w:highlight w:val="none"/>
            </w:rPr>
            <w:fldChar w:fldCharType="begin"/>
          </w:r>
          <w:r>
            <w:rPr>
              <w:rFonts w:hint="eastAsia" w:ascii="Times New Roman" w:hAnsi="Times New Roman" w:eastAsia="方正小标宋_GBK" w:cs="方正小标宋_GBK"/>
              <w:color w:val="auto"/>
              <w:sz w:val="32"/>
              <w:szCs w:val="32"/>
              <w:highlight w:val="none"/>
            </w:rPr>
            <w:instrText xml:space="preserve">TOC \o "1-3" \h \u </w:instrText>
          </w:r>
          <w:r>
            <w:rPr>
              <w:rFonts w:hint="eastAsia" w:ascii="Times New Roman" w:hAnsi="Times New Roman" w:eastAsia="方正小标宋_GBK" w:cs="方正小标宋_GBK"/>
              <w:color w:val="auto"/>
              <w:sz w:val="32"/>
              <w:szCs w:val="32"/>
              <w:highlight w:val="none"/>
            </w:rPr>
            <w:fldChar w:fldCharType="separate"/>
          </w:r>
          <w:r>
            <w:rPr>
              <w:rFonts w:hint="eastAsia" w:ascii="Times New Roman" w:hAnsi="Times New Roman" w:eastAsia="方正小标宋_GBK" w:cs="方正小标宋_GBK"/>
              <w:color w:val="auto"/>
              <w:sz w:val="32"/>
              <w:szCs w:val="32"/>
              <w:highlight w:val="none"/>
            </w:rPr>
            <w:fldChar w:fldCharType="begin"/>
          </w:r>
          <w:r>
            <w:rPr>
              <w:rFonts w:hint="eastAsia" w:ascii="Times New Roman" w:hAnsi="Times New Roman" w:eastAsia="方正小标宋_GBK" w:cs="方正小标宋_GBK"/>
              <w:sz w:val="32"/>
              <w:szCs w:val="32"/>
              <w:highlight w:val="none"/>
            </w:rPr>
            <w:instrText xml:space="preserve"> HYPERLINK \l _Toc22913 </w:instrText>
          </w:r>
          <w:r>
            <w:rPr>
              <w:rFonts w:hint="eastAsia" w:ascii="Times New Roman" w:hAnsi="Times New Roman" w:eastAsia="方正小标宋_GBK" w:cs="方正小标宋_GBK"/>
              <w:sz w:val="32"/>
              <w:szCs w:val="32"/>
              <w:highlight w:val="none"/>
            </w:rPr>
            <w:fldChar w:fldCharType="separate"/>
          </w:r>
          <w:r>
            <w:rPr>
              <w:rFonts w:hint="eastAsia" w:ascii="Times New Roman" w:hAnsi="Times New Roman" w:eastAsia="方正黑体_GBK" w:cs="方正黑体_GBK"/>
              <w:sz w:val="32"/>
              <w:szCs w:val="32"/>
              <w:highlight w:val="none"/>
            </w:rPr>
            <w:t>第一篇 新时代新阶段新起点</w:t>
          </w:r>
          <w:r>
            <w:rPr>
              <w:rFonts w:hint="eastAsia" w:ascii="Times New Roman" w:hAnsi="Times New Roman" w:eastAsia="方正小标宋_GBK" w:cs="方正小标宋_GBK"/>
              <w:color w:val="auto"/>
              <w:sz w:val="32"/>
              <w:szCs w:val="32"/>
              <w:highlight w:val="none"/>
            </w:rPr>
            <w:fldChar w:fldCharType="end"/>
          </w:r>
          <w:r>
            <w:rPr>
              <w:rFonts w:hint="eastAsia" w:ascii="Times New Roman" w:hAnsi="Times New Roman" w:eastAsia="方正小标宋_GBK" w:cs="方正小标宋_GBK"/>
              <w:color w:val="auto"/>
              <w:sz w:val="32"/>
              <w:szCs w:val="32"/>
              <w:highlight w:val="none"/>
              <w:lang w:val="en-US" w:eastAsia="zh-CN"/>
            </w:rPr>
            <w:t xml:space="preserve"> </w:t>
          </w:r>
          <w:r>
            <w:rPr>
              <w:rFonts w:hint="eastAsia" w:ascii="Times New Roman" w:hAnsi="Times New Roman" w:eastAsia="方正小标宋_GBK" w:cs="方正小标宋_GBK"/>
              <w:color w:val="auto"/>
              <w:sz w:val="32"/>
              <w:szCs w:val="32"/>
              <w:highlight w:val="none"/>
            </w:rPr>
            <w:fldChar w:fldCharType="begin"/>
          </w:r>
          <w:r>
            <w:rPr>
              <w:rFonts w:hint="eastAsia" w:ascii="Times New Roman" w:hAnsi="Times New Roman" w:eastAsia="方正小标宋_GBK" w:cs="方正小标宋_GBK"/>
              <w:sz w:val="32"/>
              <w:szCs w:val="32"/>
              <w:highlight w:val="none"/>
            </w:rPr>
            <w:instrText xml:space="preserve"> HYPERLINK \l _Toc17348 </w:instrText>
          </w:r>
          <w:r>
            <w:rPr>
              <w:rFonts w:hint="eastAsia" w:ascii="Times New Roman" w:hAnsi="Times New Roman" w:eastAsia="方正小标宋_GBK" w:cs="方正小标宋_GBK"/>
              <w:sz w:val="32"/>
              <w:szCs w:val="32"/>
              <w:highlight w:val="none"/>
            </w:rPr>
            <w:fldChar w:fldCharType="separate"/>
          </w:r>
          <w:r>
            <w:rPr>
              <w:rFonts w:hint="eastAsia" w:ascii="Times New Roman" w:hAnsi="Times New Roman" w:eastAsia="方正黑体_GBK" w:cs="方正黑体_GBK"/>
              <w:sz w:val="32"/>
              <w:szCs w:val="32"/>
              <w:highlight w:val="none"/>
            </w:rPr>
            <w:t>全面提升服务全市发展大局的能力和贡献度</w:t>
          </w:r>
          <w:r>
            <w:rPr>
              <w:rFonts w:ascii="Times New Roman" w:hAnsi="Times New Roman"/>
              <w:sz w:val="32"/>
              <w:szCs w:val="32"/>
            </w:rPr>
            <w:tab/>
          </w:r>
          <w:r>
            <w:rPr>
              <w:rFonts w:hint="eastAsia" w:ascii="Times New Roman" w:hAnsi="Times New Roman" w:eastAsia="方正楷体_GBK"/>
              <w:sz w:val="32"/>
              <w:szCs w:val="32"/>
              <w:lang w:eastAsia="zh-CN"/>
            </w:rPr>
            <w:t>（</w:t>
          </w:r>
          <w:r>
            <w:rPr>
              <w:rFonts w:ascii="Times New Roman" w:hAnsi="Times New Roman"/>
              <w:sz w:val="32"/>
              <w:szCs w:val="32"/>
            </w:rPr>
            <w:fldChar w:fldCharType="begin"/>
          </w:r>
          <w:r>
            <w:rPr>
              <w:rFonts w:ascii="Times New Roman" w:hAnsi="Times New Roman"/>
              <w:sz w:val="32"/>
              <w:szCs w:val="32"/>
            </w:rPr>
            <w:instrText xml:space="preserve"> PAGEREF _Toc17348 \h </w:instrText>
          </w:r>
          <w:r>
            <w:rPr>
              <w:rFonts w:ascii="Times New Roman" w:hAnsi="Times New Roman"/>
              <w:sz w:val="32"/>
              <w:szCs w:val="32"/>
            </w:rPr>
            <w:fldChar w:fldCharType="separate"/>
          </w:r>
          <w:r>
            <w:rPr>
              <w:rFonts w:ascii="Times New Roman" w:hAnsi="Times New Roman"/>
              <w:sz w:val="32"/>
              <w:szCs w:val="32"/>
            </w:rPr>
            <w:t>1</w:t>
          </w:r>
          <w:r>
            <w:rPr>
              <w:rFonts w:ascii="Times New Roman" w:hAnsi="Times New Roman"/>
              <w:sz w:val="32"/>
              <w:szCs w:val="32"/>
            </w:rPr>
            <w:fldChar w:fldCharType="end"/>
          </w:r>
          <w:r>
            <w:rPr>
              <w:rFonts w:hint="eastAsia" w:ascii="Times New Roman" w:hAnsi="Times New Roman" w:eastAsia="方正小标宋_GBK" w:cs="方正小标宋_GBK"/>
              <w:color w:val="auto"/>
              <w:sz w:val="32"/>
              <w:szCs w:val="32"/>
              <w:highlight w:val="none"/>
            </w:rPr>
            <w:fldChar w:fldCharType="end"/>
          </w:r>
          <w:r>
            <w:rPr>
              <w:rFonts w:hint="eastAsia" w:ascii="Times New Roman" w:hAnsi="Times New Roman" w:eastAsia="方正楷体_GBK"/>
              <w:sz w:val="32"/>
              <w:szCs w:val="32"/>
              <w:lang w:eastAsia="zh-CN"/>
            </w:rPr>
            <w:t>）</w:t>
          </w:r>
        </w:p>
        <w:p w14:paraId="402E7A86">
          <w:pPr>
            <w:pStyle w:val="18"/>
            <w:tabs>
              <w:tab w:val="right" w:leader="middleDot" w:pos="9072"/>
            </w:tabs>
            <w:rPr>
              <w:rFonts w:ascii="Times New Roman" w:hAnsi="Times New Roman" w:eastAsia="方正楷体_GBK"/>
              <w:sz w:val="32"/>
              <w:szCs w:val="32"/>
            </w:rPr>
          </w:pP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HYPERLINK \l _Toc19324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lang w:val="en-US" w:eastAsia="zh-CN"/>
            </w:rPr>
            <w:t xml:space="preserve">第一章 </w:t>
          </w:r>
          <w:r>
            <w:rPr>
              <w:rFonts w:hint="eastAsia" w:ascii="Times New Roman" w:hAnsi="Times New Roman" w:eastAsia="方正楷体_GBK"/>
              <w:sz w:val="32"/>
              <w:szCs w:val="32"/>
            </w:rPr>
            <w:t>“十四五”发展成效</w:t>
          </w:r>
          <w:r>
            <w:rPr>
              <w:rFonts w:ascii="Times New Roman" w:hAnsi="Times New Roman" w:eastAsia="方正楷体_GBK"/>
              <w:sz w:val="32"/>
              <w:szCs w:val="32"/>
            </w:rPr>
            <w:tab/>
          </w:r>
          <w:r>
            <w:rPr>
              <w:rFonts w:hint="eastAsia" w:ascii="Times New Roman" w:hAnsi="Times New Roman" w:eastAsia="方正楷体_GBK"/>
              <w:sz w:val="32"/>
              <w:szCs w:val="32"/>
              <w:lang w:eastAsia="zh-CN"/>
            </w:rPr>
            <w:t>（</w:t>
          </w:r>
          <w:r>
            <w:rPr>
              <w:rFonts w:ascii="Times New Roman" w:hAnsi="Times New Roman" w:eastAsia="方正楷体_GBK"/>
              <w:sz w:val="32"/>
              <w:szCs w:val="32"/>
            </w:rPr>
            <w:fldChar w:fldCharType="begin"/>
          </w:r>
          <w:r>
            <w:rPr>
              <w:rFonts w:ascii="Times New Roman" w:hAnsi="Times New Roman" w:eastAsia="方正楷体_GBK"/>
              <w:sz w:val="32"/>
              <w:szCs w:val="32"/>
            </w:rPr>
            <w:instrText xml:space="preserve"> PAGEREF _Toc19324 \h </w:instrText>
          </w:r>
          <w:r>
            <w:rPr>
              <w:rFonts w:ascii="Times New Roman" w:hAnsi="Times New Roman" w:eastAsia="方正楷体_GBK"/>
              <w:sz w:val="32"/>
              <w:szCs w:val="32"/>
            </w:rPr>
            <w:fldChar w:fldCharType="separate"/>
          </w:r>
          <w:r>
            <w:rPr>
              <w:rFonts w:ascii="Times New Roman" w:hAnsi="Times New Roman" w:eastAsia="方正楷体_GBK"/>
              <w:sz w:val="32"/>
              <w:szCs w:val="32"/>
            </w:rPr>
            <w:t>2</w:t>
          </w:r>
          <w:r>
            <w:rPr>
              <w:rFonts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lang w:eastAsia="zh-CN"/>
            </w:rPr>
            <w:t>）</w:t>
          </w:r>
        </w:p>
        <w:p w14:paraId="32982C73">
          <w:pPr>
            <w:pStyle w:val="18"/>
            <w:tabs>
              <w:tab w:val="right" w:leader="middleDot" w:pos="9072"/>
            </w:tabs>
            <w:rPr>
              <w:rFonts w:ascii="Times New Roman" w:hAnsi="Times New Roman" w:eastAsia="方正楷体_GBK"/>
              <w:sz w:val="32"/>
              <w:szCs w:val="32"/>
            </w:rPr>
          </w:pP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HYPERLINK \l _Toc26814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lang w:val="en-US" w:eastAsia="zh-CN"/>
            </w:rPr>
            <w:t xml:space="preserve">第二章 </w:t>
          </w:r>
          <w:r>
            <w:rPr>
              <w:rFonts w:hint="eastAsia" w:ascii="Times New Roman" w:hAnsi="Times New Roman" w:eastAsia="方正楷体_GBK"/>
              <w:sz w:val="32"/>
              <w:szCs w:val="32"/>
            </w:rPr>
            <w:t>“十五五”发展形势</w:t>
          </w:r>
          <w:r>
            <w:rPr>
              <w:rFonts w:ascii="Times New Roman" w:hAnsi="Times New Roman" w:eastAsia="方正楷体_GBK"/>
              <w:sz w:val="32"/>
              <w:szCs w:val="32"/>
            </w:rPr>
            <w:tab/>
          </w:r>
          <w:r>
            <w:rPr>
              <w:rFonts w:hint="eastAsia" w:ascii="Times New Roman" w:hAnsi="Times New Roman" w:eastAsia="方正楷体_GBK"/>
              <w:sz w:val="32"/>
              <w:szCs w:val="32"/>
              <w:lang w:eastAsia="zh-CN"/>
            </w:rPr>
            <w:t>（</w:t>
          </w:r>
          <w:r>
            <w:rPr>
              <w:rFonts w:ascii="Times New Roman" w:hAnsi="Times New Roman" w:eastAsia="方正楷体_GBK"/>
              <w:sz w:val="32"/>
              <w:szCs w:val="32"/>
            </w:rPr>
            <w:fldChar w:fldCharType="begin"/>
          </w:r>
          <w:r>
            <w:rPr>
              <w:rFonts w:ascii="Times New Roman" w:hAnsi="Times New Roman" w:eastAsia="方正楷体_GBK"/>
              <w:sz w:val="32"/>
              <w:szCs w:val="32"/>
            </w:rPr>
            <w:instrText xml:space="preserve"> PAGEREF _Toc26814 \h </w:instrText>
          </w:r>
          <w:r>
            <w:rPr>
              <w:rFonts w:ascii="Times New Roman" w:hAnsi="Times New Roman" w:eastAsia="方正楷体_GBK"/>
              <w:sz w:val="32"/>
              <w:szCs w:val="32"/>
            </w:rPr>
            <w:fldChar w:fldCharType="separate"/>
          </w:r>
          <w:r>
            <w:rPr>
              <w:rFonts w:ascii="Times New Roman" w:hAnsi="Times New Roman" w:eastAsia="方正楷体_GBK"/>
              <w:sz w:val="32"/>
              <w:szCs w:val="32"/>
            </w:rPr>
            <w:t>5</w:t>
          </w:r>
          <w:r>
            <w:rPr>
              <w:rFonts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lang w:eastAsia="zh-CN"/>
            </w:rPr>
            <w:t>）</w:t>
          </w:r>
        </w:p>
        <w:p w14:paraId="56635588">
          <w:pPr>
            <w:pStyle w:val="18"/>
            <w:tabs>
              <w:tab w:val="right" w:leader="middleDot" w:pos="9072"/>
            </w:tabs>
            <w:rPr>
              <w:rFonts w:ascii="Times New Roman" w:hAnsi="Times New Roman" w:eastAsia="方正楷体_GBK"/>
              <w:sz w:val="32"/>
              <w:szCs w:val="32"/>
            </w:rPr>
          </w:pP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HYPERLINK \l _Toc7139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rPr>
            <w:t>第三章 总体要求</w:t>
          </w:r>
          <w:r>
            <w:rPr>
              <w:rFonts w:ascii="Times New Roman" w:hAnsi="Times New Roman" w:eastAsia="方正楷体_GBK"/>
              <w:sz w:val="32"/>
              <w:szCs w:val="32"/>
            </w:rPr>
            <w:tab/>
          </w:r>
          <w:r>
            <w:rPr>
              <w:rFonts w:hint="eastAsia" w:ascii="Times New Roman" w:hAnsi="Times New Roman" w:eastAsia="方正楷体_GBK"/>
              <w:sz w:val="32"/>
              <w:szCs w:val="32"/>
              <w:lang w:eastAsia="zh-CN"/>
            </w:rPr>
            <w:t>（</w:t>
          </w:r>
          <w:r>
            <w:rPr>
              <w:rFonts w:ascii="Times New Roman" w:hAnsi="Times New Roman" w:eastAsia="方正楷体_GBK"/>
              <w:sz w:val="32"/>
              <w:szCs w:val="32"/>
            </w:rPr>
            <w:fldChar w:fldCharType="begin"/>
          </w:r>
          <w:r>
            <w:rPr>
              <w:rFonts w:ascii="Times New Roman" w:hAnsi="Times New Roman" w:eastAsia="方正楷体_GBK"/>
              <w:sz w:val="32"/>
              <w:szCs w:val="32"/>
            </w:rPr>
            <w:instrText xml:space="preserve"> PAGEREF _Toc7139 \h </w:instrText>
          </w:r>
          <w:r>
            <w:rPr>
              <w:rFonts w:ascii="Times New Roman" w:hAnsi="Times New Roman" w:eastAsia="方正楷体_GBK"/>
              <w:sz w:val="32"/>
              <w:szCs w:val="32"/>
            </w:rPr>
            <w:fldChar w:fldCharType="separate"/>
          </w:r>
          <w:r>
            <w:rPr>
              <w:rFonts w:ascii="Times New Roman" w:hAnsi="Times New Roman" w:eastAsia="方正楷体_GBK"/>
              <w:sz w:val="32"/>
              <w:szCs w:val="32"/>
            </w:rPr>
            <w:t>7</w:t>
          </w:r>
          <w:r>
            <w:rPr>
              <w:rFonts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lang w:eastAsia="zh-CN"/>
            </w:rPr>
            <w:t>）</w:t>
          </w:r>
        </w:p>
        <w:p w14:paraId="3EB2F27B">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_Toc10532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第一节 指导思想</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_Toc10532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7</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46A95AC2">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_Toc30469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第二节 主要原则</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_Toc30469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8</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632F0FF2">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_Toc12132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第三节 发展目标</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_Toc12132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9</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58993623">
          <w:pPr>
            <w:pStyle w:val="15"/>
            <w:tabs>
              <w:tab w:val="right" w:leader="middleDot" w:pos="9072"/>
            </w:tabs>
            <w:rPr>
              <w:rFonts w:ascii="Times New Roman" w:hAnsi="Times New Roman"/>
              <w:sz w:val="32"/>
              <w:szCs w:val="32"/>
            </w:rPr>
          </w:pPr>
          <w:r>
            <w:rPr>
              <w:rFonts w:hint="eastAsia" w:ascii="Times New Roman" w:hAnsi="Times New Roman" w:eastAsia="方正小标宋_GBK" w:cs="方正小标宋_GBK"/>
              <w:color w:val="auto"/>
              <w:sz w:val="32"/>
              <w:szCs w:val="32"/>
              <w:highlight w:val="none"/>
            </w:rPr>
            <w:fldChar w:fldCharType="begin"/>
          </w:r>
          <w:r>
            <w:rPr>
              <w:rFonts w:hint="eastAsia" w:ascii="Times New Roman" w:hAnsi="Times New Roman" w:eastAsia="方正小标宋_GBK" w:cs="方正小标宋_GBK"/>
              <w:sz w:val="32"/>
              <w:szCs w:val="32"/>
              <w:highlight w:val="none"/>
            </w:rPr>
            <w:instrText xml:space="preserve"> HYPERLINK \l _Toc22380 </w:instrText>
          </w:r>
          <w:r>
            <w:rPr>
              <w:rFonts w:hint="eastAsia" w:ascii="Times New Roman" w:hAnsi="Times New Roman" w:eastAsia="方正小标宋_GBK" w:cs="方正小标宋_GBK"/>
              <w:sz w:val="32"/>
              <w:szCs w:val="32"/>
              <w:highlight w:val="none"/>
            </w:rPr>
            <w:fldChar w:fldCharType="separate"/>
          </w:r>
          <w:r>
            <w:rPr>
              <w:rFonts w:hint="eastAsia" w:ascii="Times New Roman" w:hAnsi="Times New Roman" w:eastAsia="方正黑体_GBK" w:cs="方正黑体_GBK"/>
              <w:sz w:val="32"/>
              <w:szCs w:val="32"/>
              <w:highlight w:val="none"/>
            </w:rPr>
            <w:t>第</w:t>
          </w:r>
          <w:r>
            <w:rPr>
              <w:rFonts w:hint="eastAsia" w:ascii="Times New Roman" w:hAnsi="Times New Roman" w:eastAsia="方正黑体_GBK" w:cs="方正黑体_GBK"/>
              <w:sz w:val="32"/>
              <w:szCs w:val="32"/>
              <w:highlight w:val="none"/>
              <w:lang w:val="en-US" w:eastAsia="zh-CN"/>
            </w:rPr>
            <w:t>二</w:t>
          </w:r>
          <w:r>
            <w:rPr>
              <w:rFonts w:hint="eastAsia" w:ascii="Times New Roman" w:hAnsi="Times New Roman" w:eastAsia="方正黑体_GBK" w:cs="方正黑体_GBK"/>
              <w:sz w:val="32"/>
              <w:szCs w:val="32"/>
              <w:highlight w:val="none"/>
            </w:rPr>
            <w:t>篇 建设引领全市、支撑成渝的高能级创新极核</w:t>
          </w:r>
          <w:r>
            <w:rPr>
              <w:rFonts w:ascii="Times New Roman" w:hAnsi="Times New Roman"/>
              <w:sz w:val="32"/>
              <w:szCs w:val="32"/>
            </w:rPr>
            <w:tab/>
          </w:r>
          <w:r>
            <w:rPr>
              <w:rFonts w:hint="eastAsia" w:ascii="Times New Roman" w:hAnsi="Times New Roman" w:eastAsia="方正楷体_GBK"/>
              <w:sz w:val="32"/>
              <w:szCs w:val="32"/>
              <w:lang w:eastAsia="zh-CN"/>
            </w:rPr>
            <w:t>（</w:t>
          </w:r>
          <w:r>
            <w:rPr>
              <w:rFonts w:ascii="Times New Roman" w:hAnsi="Times New Roman"/>
              <w:sz w:val="32"/>
              <w:szCs w:val="32"/>
            </w:rPr>
            <w:fldChar w:fldCharType="begin"/>
          </w:r>
          <w:r>
            <w:rPr>
              <w:rFonts w:ascii="Times New Roman" w:hAnsi="Times New Roman"/>
              <w:sz w:val="32"/>
              <w:szCs w:val="32"/>
            </w:rPr>
            <w:instrText xml:space="preserve"> PAGEREF _Toc22380 \h </w:instrText>
          </w:r>
          <w:r>
            <w:rPr>
              <w:rFonts w:ascii="Times New Roman" w:hAnsi="Times New Roman"/>
              <w:sz w:val="32"/>
              <w:szCs w:val="32"/>
            </w:rPr>
            <w:fldChar w:fldCharType="separate"/>
          </w:r>
          <w:r>
            <w:rPr>
              <w:rFonts w:ascii="Times New Roman" w:hAnsi="Times New Roman"/>
              <w:sz w:val="32"/>
              <w:szCs w:val="32"/>
            </w:rPr>
            <w:t>14</w:t>
          </w:r>
          <w:r>
            <w:rPr>
              <w:rFonts w:ascii="Times New Roman" w:hAnsi="Times New Roman"/>
              <w:sz w:val="32"/>
              <w:szCs w:val="32"/>
            </w:rPr>
            <w:fldChar w:fldCharType="end"/>
          </w:r>
          <w:r>
            <w:rPr>
              <w:rFonts w:hint="eastAsia" w:ascii="Times New Roman" w:hAnsi="Times New Roman" w:eastAsia="方正小标宋_GBK" w:cs="方正小标宋_GBK"/>
              <w:color w:val="auto"/>
              <w:sz w:val="32"/>
              <w:szCs w:val="32"/>
              <w:highlight w:val="none"/>
            </w:rPr>
            <w:fldChar w:fldCharType="end"/>
          </w:r>
          <w:r>
            <w:rPr>
              <w:rFonts w:hint="eastAsia" w:ascii="Times New Roman" w:hAnsi="Times New Roman" w:eastAsia="方正楷体_GBK"/>
              <w:sz w:val="32"/>
              <w:szCs w:val="32"/>
              <w:lang w:eastAsia="zh-CN"/>
            </w:rPr>
            <w:t>）</w:t>
          </w:r>
        </w:p>
        <w:p w14:paraId="05787876">
          <w:pPr>
            <w:pStyle w:val="18"/>
            <w:tabs>
              <w:tab w:val="right" w:leader="middleDot" w:pos="9072"/>
            </w:tabs>
            <w:rPr>
              <w:rFonts w:ascii="Times New Roman" w:hAnsi="Times New Roman" w:eastAsia="方正楷体_GBK"/>
              <w:sz w:val="32"/>
              <w:szCs w:val="32"/>
            </w:rPr>
          </w:pP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HYPERLINK \l _Toc1626 </w:instrText>
          </w:r>
          <w:r>
            <w:rPr>
              <w:rFonts w:hint="eastAsia" w:ascii="Times New Roman" w:hAnsi="Times New Roman" w:eastAsia="方正楷体_GBK"/>
              <w:sz w:val="32"/>
              <w:szCs w:val="32"/>
            </w:rPr>
            <w:fldChar w:fldCharType="separate"/>
          </w:r>
          <w:r>
            <w:rPr>
              <w:rFonts w:ascii="Times New Roman" w:hAnsi="Times New Roman" w:eastAsia="方正楷体_GBK"/>
              <w:sz w:val="32"/>
              <w:szCs w:val="32"/>
            </w:rPr>
            <w:t>第</w:t>
          </w:r>
          <w:r>
            <w:rPr>
              <w:rFonts w:hint="eastAsia" w:ascii="Times New Roman" w:hAnsi="Times New Roman" w:eastAsia="方正楷体_GBK"/>
              <w:sz w:val="32"/>
              <w:szCs w:val="32"/>
            </w:rPr>
            <w:t>一章</w:t>
          </w:r>
          <w:r>
            <w:rPr>
              <w:rFonts w:ascii="Times New Roman" w:hAnsi="Times New Roman" w:eastAsia="方正楷体_GBK"/>
              <w:sz w:val="32"/>
              <w:szCs w:val="32"/>
            </w:rPr>
            <w:t xml:space="preserve"> </w:t>
          </w:r>
          <w:r>
            <w:rPr>
              <w:rFonts w:hint="eastAsia" w:ascii="Times New Roman" w:hAnsi="Times New Roman" w:eastAsia="方正楷体_GBK"/>
              <w:sz w:val="32"/>
              <w:szCs w:val="32"/>
            </w:rPr>
            <w:t>建设成渝（金凤）综合性科学中心为引领的区域科技创新体系</w:t>
          </w:r>
          <w:r>
            <w:rPr>
              <w:rFonts w:ascii="Times New Roman" w:hAnsi="Times New Roman" w:eastAsia="方正楷体_GBK"/>
              <w:sz w:val="32"/>
              <w:szCs w:val="32"/>
            </w:rPr>
            <w:tab/>
          </w:r>
          <w:r>
            <w:rPr>
              <w:rFonts w:hint="eastAsia" w:ascii="Times New Roman" w:hAnsi="Times New Roman" w:eastAsia="方正楷体_GBK"/>
              <w:sz w:val="32"/>
              <w:szCs w:val="32"/>
              <w:lang w:eastAsia="zh-CN"/>
            </w:rPr>
            <w:t>（</w:t>
          </w:r>
          <w:r>
            <w:rPr>
              <w:rFonts w:ascii="Times New Roman" w:hAnsi="Times New Roman" w:eastAsia="方正楷体_GBK"/>
              <w:sz w:val="32"/>
              <w:szCs w:val="32"/>
            </w:rPr>
            <w:fldChar w:fldCharType="begin"/>
          </w:r>
          <w:r>
            <w:rPr>
              <w:rFonts w:ascii="Times New Roman" w:hAnsi="Times New Roman" w:eastAsia="方正楷体_GBK"/>
              <w:sz w:val="32"/>
              <w:szCs w:val="32"/>
            </w:rPr>
            <w:instrText xml:space="preserve"> PAGEREF _Toc1626 \h </w:instrText>
          </w:r>
          <w:r>
            <w:rPr>
              <w:rFonts w:ascii="Times New Roman" w:hAnsi="Times New Roman" w:eastAsia="方正楷体_GBK"/>
              <w:sz w:val="32"/>
              <w:szCs w:val="32"/>
            </w:rPr>
            <w:fldChar w:fldCharType="separate"/>
          </w:r>
          <w:r>
            <w:rPr>
              <w:rFonts w:ascii="Times New Roman" w:hAnsi="Times New Roman" w:eastAsia="方正楷体_GBK"/>
              <w:sz w:val="32"/>
              <w:szCs w:val="32"/>
            </w:rPr>
            <w:t>14</w:t>
          </w:r>
          <w:r>
            <w:rPr>
              <w:rFonts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lang w:eastAsia="zh-CN"/>
            </w:rPr>
            <w:t>）</w:t>
          </w:r>
        </w:p>
        <w:p w14:paraId="39ED880B">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_Toc30001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第一节 建强两大重庆实验室</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_Toc30001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14</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6BE2E320">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_Toc9141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第二节 建设重大科技基础设施</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_Toc9141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16</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14955ED8">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_Toc7490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第三节 培育科技创新平台基地</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_Toc7490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16</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10A6DC15">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_Toc32449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第四节 打造N个标志性新型研发机构</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_Toc32449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18</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51A8F803">
          <w:pPr>
            <w:pStyle w:val="18"/>
            <w:tabs>
              <w:tab w:val="right" w:leader="middleDot" w:pos="9072"/>
            </w:tabs>
            <w:rPr>
              <w:rFonts w:ascii="Times New Roman" w:hAnsi="Times New Roman" w:eastAsia="方正楷体_GBK"/>
              <w:sz w:val="32"/>
              <w:szCs w:val="32"/>
            </w:rPr>
          </w:pP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HYPERLINK \l _Toc6018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rPr>
            <w:t>第二章 强化企业科技创新主体地位</w:t>
          </w:r>
          <w:r>
            <w:rPr>
              <w:rFonts w:ascii="Times New Roman" w:hAnsi="Times New Roman" w:eastAsia="方正楷体_GBK"/>
              <w:sz w:val="32"/>
              <w:szCs w:val="32"/>
            </w:rPr>
            <w:tab/>
          </w:r>
          <w:r>
            <w:rPr>
              <w:rFonts w:hint="eastAsia" w:ascii="Times New Roman" w:hAnsi="Times New Roman" w:eastAsia="方正楷体_GBK"/>
              <w:sz w:val="32"/>
              <w:szCs w:val="32"/>
              <w:lang w:eastAsia="zh-CN"/>
            </w:rPr>
            <w:t>（</w:t>
          </w:r>
          <w:r>
            <w:rPr>
              <w:rFonts w:ascii="Times New Roman" w:hAnsi="Times New Roman" w:eastAsia="方正楷体_GBK"/>
              <w:sz w:val="32"/>
              <w:szCs w:val="32"/>
            </w:rPr>
            <w:fldChar w:fldCharType="begin"/>
          </w:r>
          <w:r>
            <w:rPr>
              <w:rFonts w:ascii="Times New Roman" w:hAnsi="Times New Roman" w:eastAsia="方正楷体_GBK"/>
              <w:sz w:val="32"/>
              <w:szCs w:val="32"/>
            </w:rPr>
            <w:instrText xml:space="preserve"> PAGEREF _Toc6018 \h </w:instrText>
          </w:r>
          <w:r>
            <w:rPr>
              <w:rFonts w:ascii="Times New Roman" w:hAnsi="Times New Roman" w:eastAsia="方正楷体_GBK"/>
              <w:sz w:val="32"/>
              <w:szCs w:val="32"/>
            </w:rPr>
            <w:fldChar w:fldCharType="separate"/>
          </w:r>
          <w:r>
            <w:rPr>
              <w:rFonts w:ascii="Times New Roman" w:hAnsi="Times New Roman" w:eastAsia="方正楷体_GBK"/>
              <w:sz w:val="32"/>
              <w:szCs w:val="32"/>
            </w:rPr>
            <w:t>18</w:t>
          </w:r>
          <w:r>
            <w:rPr>
              <w:rFonts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lang w:eastAsia="zh-CN"/>
            </w:rPr>
            <w:t>）</w:t>
          </w:r>
        </w:p>
        <w:p w14:paraId="6D1B7BCB">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_Toc24182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第一节 培育创新型企业发展</w:t>
          </w:r>
          <w:r>
            <w:rPr>
              <w:rFonts w:hint="eastAsia" w:ascii="Times New Roman" w:hAnsi="Times New Roman" w:eastAsia="方正仿宋_GBK"/>
              <w:sz w:val="32"/>
              <w:szCs w:val="32"/>
              <w:lang w:val="en-US" w:eastAsia="zh-CN"/>
            </w:rPr>
            <w:t>群体</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_Toc24182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18</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4C26AD05">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_Toc15138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第二节 建强</w:t>
          </w:r>
          <w:r>
            <w:rPr>
              <w:rFonts w:hint="eastAsia" w:ascii="Times New Roman" w:hAnsi="Times New Roman" w:eastAsia="方正仿宋_GBK"/>
              <w:sz w:val="32"/>
              <w:szCs w:val="32"/>
              <w:lang w:val="en-US" w:eastAsia="zh-CN"/>
            </w:rPr>
            <w:t>以</w:t>
          </w:r>
          <w:r>
            <w:rPr>
              <w:rFonts w:hint="eastAsia" w:ascii="Times New Roman" w:hAnsi="Times New Roman" w:eastAsia="方正仿宋_GBK"/>
              <w:sz w:val="32"/>
              <w:szCs w:val="32"/>
            </w:rPr>
            <w:t>企业为主导的产业创新综合体</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_Toc15138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19</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41B96807">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_Toc8436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第三节 推动大中小企业协同创新融通发展</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_Toc8436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20</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245BBFDA">
          <w:pPr>
            <w:pStyle w:val="18"/>
            <w:tabs>
              <w:tab w:val="right" w:leader="middleDot" w:pos="9072"/>
            </w:tabs>
            <w:rPr>
              <w:rFonts w:ascii="Times New Roman" w:hAnsi="Times New Roman" w:eastAsia="方正楷体_GBK"/>
              <w:sz w:val="32"/>
              <w:szCs w:val="32"/>
            </w:rPr>
          </w:pP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HYPERLINK \l _Toc2737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rPr>
            <w:t>第三章 构建高水平成果转化为导向的科技攻关体系</w:t>
          </w:r>
          <w:r>
            <w:rPr>
              <w:rFonts w:ascii="Times New Roman" w:hAnsi="Times New Roman" w:eastAsia="方正楷体_GBK"/>
              <w:sz w:val="32"/>
              <w:szCs w:val="32"/>
            </w:rPr>
            <w:tab/>
          </w:r>
          <w:r>
            <w:rPr>
              <w:rFonts w:hint="eastAsia" w:ascii="Times New Roman" w:hAnsi="Times New Roman" w:eastAsia="方正楷体_GBK"/>
              <w:sz w:val="32"/>
              <w:szCs w:val="32"/>
              <w:lang w:eastAsia="zh-CN"/>
            </w:rPr>
            <w:t>（</w:t>
          </w:r>
          <w:r>
            <w:rPr>
              <w:rFonts w:ascii="Times New Roman" w:hAnsi="Times New Roman" w:eastAsia="方正楷体_GBK"/>
              <w:sz w:val="32"/>
              <w:szCs w:val="32"/>
            </w:rPr>
            <w:fldChar w:fldCharType="begin"/>
          </w:r>
          <w:r>
            <w:rPr>
              <w:rFonts w:ascii="Times New Roman" w:hAnsi="Times New Roman" w:eastAsia="方正楷体_GBK"/>
              <w:sz w:val="32"/>
              <w:szCs w:val="32"/>
            </w:rPr>
            <w:instrText xml:space="preserve"> PAGEREF _Toc2737 \h </w:instrText>
          </w:r>
          <w:r>
            <w:rPr>
              <w:rFonts w:ascii="Times New Roman" w:hAnsi="Times New Roman" w:eastAsia="方正楷体_GBK"/>
              <w:sz w:val="32"/>
              <w:szCs w:val="32"/>
            </w:rPr>
            <w:fldChar w:fldCharType="separate"/>
          </w:r>
          <w:r>
            <w:rPr>
              <w:rFonts w:ascii="Times New Roman" w:hAnsi="Times New Roman" w:eastAsia="方正楷体_GBK"/>
              <w:sz w:val="32"/>
              <w:szCs w:val="32"/>
            </w:rPr>
            <w:t>21</w:t>
          </w:r>
          <w:r>
            <w:rPr>
              <w:rFonts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lang w:eastAsia="zh-CN"/>
            </w:rPr>
            <w:t>）</w:t>
          </w:r>
        </w:p>
        <w:p w14:paraId="61DB9284">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_Toc4045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第一节 健全“产业出题、科技答题”攻关体系</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_Toc4045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21</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460B3AE9">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_Toc15791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第二节 培育概念验证及小试中试平台</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_Toc15791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23</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38426965">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_Toc12248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第三节 完善科技金融服务体系</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_Toc12248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23</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7382B267">
          <w:pPr>
            <w:pStyle w:val="18"/>
            <w:tabs>
              <w:tab w:val="right" w:leader="middleDot" w:pos="9072"/>
            </w:tabs>
            <w:rPr>
              <w:rFonts w:ascii="Times New Roman" w:hAnsi="Times New Roman" w:eastAsia="方正楷体_GBK"/>
              <w:sz w:val="32"/>
              <w:szCs w:val="32"/>
            </w:rPr>
          </w:pP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HYPERLINK \l _Toc2979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lang w:val="en-US" w:eastAsia="zh-CN"/>
            </w:rPr>
            <w:t xml:space="preserve">第四章 </w:t>
          </w:r>
          <w:r>
            <w:rPr>
              <w:rFonts w:hint="eastAsia" w:ascii="Times New Roman" w:hAnsi="Times New Roman" w:eastAsia="方正楷体_GBK"/>
              <w:sz w:val="32"/>
              <w:szCs w:val="32"/>
            </w:rPr>
            <w:t>探索大学城科学城融合为特色的教育科技人才一体化改革示范</w:t>
          </w:r>
          <w:r>
            <w:rPr>
              <w:rFonts w:ascii="Times New Roman" w:hAnsi="Times New Roman" w:eastAsia="方正楷体_GBK"/>
              <w:sz w:val="32"/>
              <w:szCs w:val="32"/>
            </w:rPr>
            <w:tab/>
          </w:r>
          <w:r>
            <w:rPr>
              <w:rFonts w:hint="eastAsia" w:ascii="Times New Roman" w:hAnsi="Times New Roman" w:eastAsia="方正楷体_GBK"/>
              <w:sz w:val="32"/>
              <w:szCs w:val="32"/>
              <w:lang w:eastAsia="zh-CN"/>
            </w:rPr>
            <w:t>（</w:t>
          </w:r>
          <w:r>
            <w:rPr>
              <w:rFonts w:ascii="Times New Roman" w:hAnsi="Times New Roman" w:eastAsia="方正楷体_GBK"/>
              <w:sz w:val="32"/>
              <w:szCs w:val="32"/>
            </w:rPr>
            <w:fldChar w:fldCharType="begin"/>
          </w:r>
          <w:r>
            <w:rPr>
              <w:rFonts w:ascii="Times New Roman" w:hAnsi="Times New Roman" w:eastAsia="方正楷体_GBK"/>
              <w:sz w:val="32"/>
              <w:szCs w:val="32"/>
            </w:rPr>
            <w:instrText xml:space="preserve"> PAGEREF _Toc2979 \h </w:instrText>
          </w:r>
          <w:r>
            <w:rPr>
              <w:rFonts w:ascii="Times New Roman" w:hAnsi="Times New Roman" w:eastAsia="方正楷体_GBK"/>
              <w:sz w:val="32"/>
              <w:szCs w:val="32"/>
            </w:rPr>
            <w:fldChar w:fldCharType="separate"/>
          </w:r>
          <w:r>
            <w:rPr>
              <w:rFonts w:ascii="Times New Roman" w:hAnsi="Times New Roman" w:eastAsia="方正楷体_GBK"/>
              <w:sz w:val="32"/>
              <w:szCs w:val="32"/>
            </w:rPr>
            <w:t>24</w:t>
          </w:r>
          <w:r>
            <w:rPr>
              <w:rFonts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lang w:eastAsia="zh-CN"/>
            </w:rPr>
            <w:t>）</w:t>
          </w:r>
        </w:p>
        <w:p w14:paraId="0FE930DB">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_Toc12383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第一节 支持高校深化产教融合</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_Toc12383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24</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29424D68">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_Toc27913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第二节 支撑西部人才中心建设</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_Toc27913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25</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12786D76">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_Toc31965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第三节 深化</w:t>
          </w:r>
          <w:r>
            <w:rPr>
              <w:rFonts w:ascii="Times New Roman" w:hAnsi="Times New Roman" w:eastAsia="方正仿宋_GBK"/>
              <w:sz w:val="32"/>
              <w:szCs w:val="32"/>
            </w:rPr>
            <w:t>科技体制机制改革</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_Toc31965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26</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27F01B31">
          <w:pPr>
            <w:pStyle w:val="18"/>
            <w:tabs>
              <w:tab w:val="right" w:leader="middleDot" w:pos="9072"/>
            </w:tabs>
            <w:rPr>
              <w:rFonts w:ascii="Times New Roman" w:hAnsi="Times New Roman" w:eastAsia="方正楷体_GBK"/>
              <w:sz w:val="32"/>
              <w:szCs w:val="32"/>
            </w:rPr>
          </w:pP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HYPERLINK \l _Toc26776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rPr>
            <w:t>第五章 升级打造五大科创空间</w:t>
          </w:r>
          <w:r>
            <w:rPr>
              <w:rFonts w:ascii="Times New Roman" w:hAnsi="Times New Roman" w:eastAsia="方正楷体_GBK"/>
              <w:sz w:val="32"/>
              <w:szCs w:val="32"/>
            </w:rPr>
            <w:tab/>
          </w:r>
          <w:r>
            <w:rPr>
              <w:rFonts w:hint="eastAsia" w:ascii="Times New Roman" w:hAnsi="Times New Roman" w:eastAsia="方正楷体_GBK"/>
              <w:sz w:val="32"/>
              <w:szCs w:val="32"/>
              <w:lang w:eastAsia="zh-CN"/>
            </w:rPr>
            <w:t>（</w:t>
          </w:r>
          <w:r>
            <w:rPr>
              <w:rFonts w:ascii="Times New Roman" w:hAnsi="Times New Roman" w:eastAsia="方正楷体_GBK"/>
              <w:sz w:val="32"/>
              <w:szCs w:val="32"/>
            </w:rPr>
            <w:fldChar w:fldCharType="begin"/>
          </w:r>
          <w:r>
            <w:rPr>
              <w:rFonts w:ascii="Times New Roman" w:hAnsi="Times New Roman" w:eastAsia="方正楷体_GBK"/>
              <w:sz w:val="32"/>
              <w:szCs w:val="32"/>
            </w:rPr>
            <w:instrText xml:space="preserve"> PAGEREF _Toc26776 \h </w:instrText>
          </w:r>
          <w:r>
            <w:rPr>
              <w:rFonts w:ascii="Times New Roman" w:hAnsi="Times New Roman" w:eastAsia="方正楷体_GBK"/>
              <w:sz w:val="32"/>
              <w:szCs w:val="32"/>
            </w:rPr>
            <w:fldChar w:fldCharType="separate"/>
          </w:r>
          <w:r>
            <w:rPr>
              <w:rFonts w:ascii="Times New Roman" w:hAnsi="Times New Roman" w:eastAsia="方正楷体_GBK"/>
              <w:sz w:val="32"/>
              <w:szCs w:val="32"/>
            </w:rPr>
            <w:t>27</w:t>
          </w:r>
          <w:r>
            <w:rPr>
              <w:rFonts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lang w:eastAsia="zh-CN"/>
            </w:rPr>
            <w:t>）</w:t>
          </w:r>
        </w:p>
        <w:p w14:paraId="3EFAB1DB">
          <w:pPr>
            <w:pStyle w:val="15"/>
            <w:tabs>
              <w:tab w:val="right" w:leader="middleDot" w:pos="9072"/>
            </w:tabs>
            <w:rPr>
              <w:rFonts w:ascii="Times New Roman" w:hAnsi="Times New Roman"/>
              <w:sz w:val="32"/>
              <w:szCs w:val="32"/>
            </w:rPr>
          </w:pPr>
          <w:r>
            <w:rPr>
              <w:rFonts w:hint="eastAsia" w:ascii="Times New Roman" w:hAnsi="Times New Roman" w:eastAsia="方正小标宋_GBK" w:cs="方正小标宋_GBK"/>
              <w:color w:val="auto"/>
              <w:sz w:val="32"/>
              <w:szCs w:val="32"/>
              <w:highlight w:val="none"/>
            </w:rPr>
            <w:fldChar w:fldCharType="begin"/>
          </w:r>
          <w:r>
            <w:rPr>
              <w:rFonts w:hint="eastAsia" w:ascii="Times New Roman" w:hAnsi="Times New Roman" w:eastAsia="方正小标宋_GBK" w:cs="方正小标宋_GBK"/>
              <w:sz w:val="32"/>
              <w:szCs w:val="32"/>
              <w:highlight w:val="none"/>
            </w:rPr>
            <w:instrText xml:space="preserve"> HYPERLINK \l _Toc19893 </w:instrText>
          </w:r>
          <w:r>
            <w:rPr>
              <w:rFonts w:hint="eastAsia" w:ascii="Times New Roman" w:hAnsi="Times New Roman" w:eastAsia="方正小标宋_GBK" w:cs="方正小标宋_GBK"/>
              <w:sz w:val="32"/>
              <w:szCs w:val="32"/>
              <w:highlight w:val="none"/>
            </w:rPr>
            <w:fldChar w:fldCharType="separate"/>
          </w:r>
          <w:r>
            <w:rPr>
              <w:rFonts w:hint="eastAsia" w:ascii="Times New Roman" w:hAnsi="Times New Roman" w:eastAsia="方正黑体_GBK" w:cs="方正黑体_GBK"/>
              <w:sz w:val="32"/>
              <w:szCs w:val="32"/>
              <w:highlight w:val="none"/>
            </w:rPr>
            <w:t>第</w:t>
          </w:r>
          <w:r>
            <w:rPr>
              <w:rFonts w:hint="eastAsia" w:ascii="Times New Roman" w:hAnsi="Times New Roman" w:eastAsia="方正黑体_GBK" w:cs="方正黑体_GBK"/>
              <w:sz w:val="32"/>
              <w:szCs w:val="32"/>
              <w:highlight w:val="none"/>
              <w:lang w:val="en-US" w:eastAsia="zh-CN"/>
            </w:rPr>
            <w:t>三</w:t>
          </w:r>
          <w:r>
            <w:rPr>
              <w:rFonts w:hint="eastAsia" w:ascii="Times New Roman" w:hAnsi="Times New Roman" w:eastAsia="方正黑体_GBK" w:cs="方正黑体_GBK"/>
              <w:sz w:val="32"/>
              <w:szCs w:val="32"/>
              <w:highlight w:val="none"/>
            </w:rPr>
            <w:t>篇 建设全国领先、西部一流的高新技术产业园区</w:t>
          </w:r>
          <w:r>
            <w:rPr>
              <w:rFonts w:ascii="Times New Roman" w:hAnsi="Times New Roman"/>
              <w:sz w:val="32"/>
              <w:szCs w:val="32"/>
            </w:rPr>
            <w:tab/>
          </w:r>
          <w:r>
            <w:rPr>
              <w:rFonts w:hint="eastAsia" w:ascii="Times New Roman" w:hAnsi="Times New Roman" w:eastAsia="方正楷体_GBK"/>
              <w:sz w:val="32"/>
              <w:szCs w:val="32"/>
              <w:lang w:eastAsia="zh-CN"/>
            </w:rPr>
            <w:t>（</w:t>
          </w:r>
          <w:r>
            <w:rPr>
              <w:rFonts w:ascii="Times New Roman" w:hAnsi="Times New Roman"/>
              <w:sz w:val="32"/>
              <w:szCs w:val="32"/>
            </w:rPr>
            <w:fldChar w:fldCharType="begin"/>
          </w:r>
          <w:r>
            <w:rPr>
              <w:rFonts w:ascii="Times New Roman" w:hAnsi="Times New Roman"/>
              <w:sz w:val="32"/>
              <w:szCs w:val="32"/>
            </w:rPr>
            <w:instrText xml:space="preserve"> PAGEREF _Toc19893 \h </w:instrText>
          </w:r>
          <w:r>
            <w:rPr>
              <w:rFonts w:ascii="Times New Roman" w:hAnsi="Times New Roman"/>
              <w:sz w:val="32"/>
              <w:szCs w:val="32"/>
            </w:rPr>
            <w:fldChar w:fldCharType="separate"/>
          </w:r>
          <w:r>
            <w:rPr>
              <w:rFonts w:ascii="Times New Roman" w:hAnsi="Times New Roman"/>
              <w:sz w:val="32"/>
              <w:szCs w:val="32"/>
            </w:rPr>
            <w:t>30</w:t>
          </w:r>
          <w:r>
            <w:rPr>
              <w:rFonts w:ascii="Times New Roman" w:hAnsi="Times New Roman"/>
              <w:sz w:val="32"/>
              <w:szCs w:val="32"/>
            </w:rPr>
            <w:fldChar w:fldCharType="end"/>
          </w:r>
          <w:r>
            <w:rPr>
              <w:rFonts w:hint="eastAsia" w:ascii="Times New Roman" w:hAnsi="Times New Roman" w:eastAsia="方正小标宋_GBK" w:cs="方正小标宋_GBK"/>
              <w:color w:val="auto"/>
              <w:sz w:val="32"/>
              <w:szCs w:val="32"/>
              <w:highlight w:val="none"/>
            </w:rPr>
            <w:fldChar w:fldCharType="end"/>
          </w:r>
          <w:r>
            <w:rPr>
              <w:rFonts w:hint="eastAsia" w:ascii="Times New Roman" w:hAnsi="Times New Roman" w:eastAsia="方正楷体_GBK"/>
              <w:sz w:val="32"/>
              <w:szCs w:val="32"/>
              <w:lang w:eastAsia="zh-CN"/>
            </w:rPr>
            <w:t>）</w:t>
          </w:r>
        </w:p>
        <w:p w14:paraId="0C36501B">
          <w:pPr>
            <w:pStyle w:val="18"/>
            <w:tabs>
              <w:tab w:val="right" w:leader="middleDot" w:pos="9072"/>
            </w:tabs>
            <w:rPr>
              <w:rFonts w:ascii="Times New Roman" w:hAnsi="Times New Roman" w:eastAsia="方正楷体_GBK"/>
              <w:sz w:val="32"/>
              <w:szCs w:val="32"/>
            </w:rPr>
          </w:pP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HYPERLINK \l _Toc30626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rPr>
            <w:t>第一章 巩固提升</w:t>
          </w:r>
          <w:r>
            <w:rPr>
              <w:rFonts w:hint="eastAsia" w:ascii="Times New Roman" w:hAnsi="Times New Roman" w:eastAsia="方正楷体_GBK"/>
              <w:sz w:val="32"/>
              <w:szCs w:val="32"/>
              <w:lang w:val="en-US" w:eastAsia="zh-CN"/>
            </w:rPr>
            <w:t>现代</w:t>
          </w:r>
          <w:r>
            <w:rPr>
              <w:rFonts w:hint="eastAsia" w:ascii="Times New Roman" w:hAnsi="Times New Roman" w:eastAsia="方正楷体_GBK"/>
              <w:sz w:val="32"/>
              <w:szCs w:val="32"/>
            </w:rPr>
            <w:t>制造业集群优势</w:t>
          </w:r>
          <w:r>
            <w:rPr>
              <w:rFonts w:ascii="Times New Roman" w:hAnsi="Times New Roman" w:eastAsia="方正楷体_GBK"/>
              <w:sz w:val="32"/>
              <w:szCs w:val="32"/>
            </w:rPr>
            <w:tab/>
          </w:r>
          <w:r>
            <w:rPr>
              <w:rFonts w:hint="eastAsia" w:ascii="Times New Roman" w:hAnsi="Times New Roman" w:eastAsia="方正楷体_GBK"/>
              <w:sz w:val="32"/>
              <w:szCs w:val="32"/>
              <w:lang w:eastAsia="zh-CN"/>
            </w:rPr>
            <w:t>（</w:t>
          </w:r>
          <w:r>
            <w:rPr>
              <w:rFonts w:ascii="Times New Roman" w:hAnsi="Times New Roman" w:eastAsia="方正楷体_GBK"/>
              <w:sz w:val="32"/>
              <w:szCs w:val="32"/>
            </w:rPr>
            <w:fldChar w:fldCharType="begin"/>
          </w:r>
          <w:r>
            <w:rPr>
              <w:rFonts w:ascii="Times New Roman" w:hAnsi="Times New Roman" w:eastAsia="方正楷体_GBK"/>
              <w:sz w:val="32"/>
              <w:szCs w:val="32"/>
            </w:rPr>
            <w:instrText xml:space="preserve"> PAGEREF _Toc30626 \h </w:instrText>
          </w:r>
          <w:r>
            <w:rPr>
              <w:rFonts w:ascii="Times New Roman" w:hAnsi="Times New Roman" w:eastAsia="方正楷体_GBK"/>
              <w:sz w:val="32"/>
              <w:szCs w:val="32"/>
            </w:rPr>
            <w:fldChar w:fldCharType="separate"/>
          </w:r>
          <w:r>
            <w:rPr>
              <w:rFonts w:ascii="Times New Roman" w:hAnsi="Times New Roman" w:eastAsia="方正楷体_GBK"/>
              <w:sz w:val="32"/>
              <w:szCs w:val="32"/>
            </w:rPr>
            <w:t>30</w:t>
          </w:r>
          <w:r>
            <w:rPr>
              <w:rFonts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lang w:eastAsia="zh-CN"/>
            </w:rPr>
            <w:t>）</w:t>
          </w:r>
        </w:p>
        <w:p w14:paraId="440BBB60">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_Toc14208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lang w:val="en-US" w:eastAsia="zh-CN"/>
            </w:rPr>
            <w:t xml:space="preserve">第一节 </w:t>
          </w:r>
          <w:r>
            <w:rPr>
              <w:rFonts w:hint="eastAsia" w:ascii="Times New Roman" w:hAnsi="Times New Roman" w:eastAsia="方正仿宋_GBK"/>
              <w:sz w:val="32"/>
              <w:szCs w:val="32"/>
            </w:rPr>
            <w:t>全力打造全市集成电路产业主要集聚地</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_Toc14208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30</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0EBA5F41">
          <w:pPr>
            <w:pStyle w:val="10"/>
            <w:tabs>
              <w:tab w:val="right" w:leader="middleDot" w:pos="9072"/>
            </w:tabs>
            <w:rPr>
              <w:rFonts w:ascii="Times New Roman" w:hAnsi="Times New Roman" w:eastAsia="方正仿宋_GBK"/>
              <w:spacing w:val="0"/>
              <w:sz w:val="32"/>
              <w:szCs w:val="32"/>
            </w:rPr>
          </w:pPr>
          <w:r>
            <w:rPr>
              <w:rFonts w:hint="eastAsia" w:ascii="Times New Roman" w:hAnsi="Times New Roman" w:eastAsia="方正仿宋_GBK"/>
              <w:spacing w:val="0"/>
              <w:sz w:val="32"/>
              <w:szCs w:val="32"/>
            </w:rPr>
            <w:fldChar w:fldCharType="begin"/>
          </w:r>
          <w:r>
            <w:rPr>
              <w:rFonts w:hint="eastAsia" w:ascii="Times New Roman" w:hAnsi="Times New Roman" w:eastAsia="方正仿宋_GBK"/>
              <w:spacing w:val="0"/>
              <w:sz w:val="32"/>
              <w:szCs w:val="32"/>
            </w:rPr>
            <w:instrText xml:space="preserve"> HYPERLINK \l _Toc30180 </w:instrText>
          </w:r>
          <w:r>
            <w:rPr>
              <w:rFonts w:hint="eastAsia" w:ascii="Times New Roman" w:hAnsi="Times New Roman" w:eastAsia="方正仿宋_GBK"/>
              <w:spacing w:val="0"/>
              <w:sz w:val="32"/>
              <w:szCs w:val="32"/>
            </w:rPr>
            <w:fldChar w:fldCharType="separate"/>
          </w:r>
          <w:r>
            <w:rPr>
              <w:rFonts w:hint="eastAsia" w:ascii="Times New Roman" w:hAnsi="Times New Roman" w:eastAsia="方正仿宋_GBK"/>
              <w:spacing w:val="0"/>
              <w:sz w:val="32"/>
              <w:szCs w:val="32"/>
            </w:rPr>
            <w:t>第二节 支撑建设</w:t>
          </w:r>
          <w:r>
            <w:rPr>
              <w:rFonts w:ascii="Times New Roman" w:hAnsi="Times New Roman" w:eastAsia="方正仿宋_GBK"/>
              <w:spacing w:val="0"/>
              <w:sz w:val="32"/>
              <w:szCs w:val="32"/>
            </w:rPr>
            <w:t>智能网联新能源汽车及世界级摩托车产业之都</w:t>
          </w:r>
          <w:r>
            <w:rPr>
              <w:rFonts w:ascii="Times New Roman" w:hAnsi="Times New Roman" w:eastAsia="方正仿宋_GBK"/>
              <w:spacing w:val="0"/>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pacing w:val="0"/>
              <w:sz w:val="32"/>
              <w:szCs w:val="32"/>
            </w:rPr>
            <w:fldChar w:fldCharType="begin"/>
          </w:r>
          <w:r>
            <w:rPr>
              <w:rFonts w:ascii="Times New Roman" w:hAnsi="Times New Roman" w:eastAsia="方正仿宋_GBK"/>
              <w:spacing w:val="0"/>
              <w:sz w:val="32"/>
              <w:szCs w:val="32"/>
            </w:rPr>
            <w:instrText xml:space="preserve"> PAGEREF _Toc30180 \h </w:instrText>
          </w:r>
          <w:r>
            <w:rPr>
              <w:rFonts w:ascii="Times New Roman" w:hAnsi="Times New Roman" w:eastAsia="方正仿宋_GBK"/>
              <w:spacing w:val="0"/>
              <w:sz w:val="32"/>
              <w:szCs w:val="32"/>
            </w:rPr>
            <w:fldChar w:fldCharType="separate"/>
          </w:r>
          <w:r>
            <w:rPr>
              <w:rFonts w:ascii="Times New Roman" w:hAnsi="Times New Roman" w:eastAsia="方正仿宋_GBK"/>
              <w:spacing w:val="0"/>
              <w:sz w:val="32"/>
              <w:szCs w:val="32"/>
            </w:rPr>
            <w:t>32</w:t>
          </w:r>
          <w:r>
            <w:rPr>
              <w:rFonts w:ascii="Times New Roman" w:hAnsi="Times New Roman" w:eastAsia="方正仿宋_GBK"/>
              <w:spacing w:val="0"/>
              <w:sz w:val="32"/>
              <w:szCs w:val="32"/>
            </w:rPr>
            <w:fldChar w:fldCharType="end"/>
          </w:r>
          <w:r>
            <w:rPr>
              <w:rFonts w:hint="eastAsia" w:ascii="Times New Roman" w:hAnsi="Times New Roman" w:eastAsia="方正仿宋_GBK"/>
              <w:spacing w:val="0"/>
              <w:sz w:val="32"/>
              <w:szCs w:val="32"/>
            </w:rPr>
            <w:fldChar w:fldCharType="end"/>
          </w:r>
          <w:r>
            <w:rPr>
              <w:rFonts w:hint="eastAsia" w:ascii="Times New Roman" w:hAnsi="Times New Roman" w:eastAsia="方正楷体_GBK"/>
              <w:sz w:val="32"/>
              <w:szCs w:val="32"/>
              <w:lang w:eastAsia="zh-CN"/>
            </w:rPr>
            <w:t>）</w:t>
          </w:r>
        </w:p>
        <w:p w14:paraId="13933D7B">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_Toc16205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第三节 推动新型智能终端产业稳量提质</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_Toc16205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35</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0B1D3A5A">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_Toc22037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 xml:space="preserve">第四节 </w:t>
          </w:r>
          <w:r>
            <w:rPr>
              <w:rFonts w:hint="eastAsia" w:ascii="Times New Roman" w:hAnsi="Times New Roman" w:eastAsia="方正仿宋_GBK"/>
              <w:sz w:val="32"/>
              <w:szCs w:val="32"/>
              <w:lang w:eastAsia="zh-CN"/>
            </w:rPr>
            <w:t>打造西部药械创新转化加速区</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_Toc22037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35</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7C25B15D">
          <w:pPr>
            <w:pStyle w:val="18"/>
            <w:tabs>
              <w:tab w:val="right" w:leader="middleDot" w:pos="9072"/>
            </w:tabs>
            <w:rPr>
              <w:rFonts w:ascii="Times New Roman" w:hAnsi="Times New Roman" w:eastAsia="方正楷体_GBK"/>
              <w:sz w:val="32"/>
              <w:szCs w:val="32"/>
            </w:rPr>
          </w:pP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HYPERLINK \l _Toc17254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rPr>
            <w:t>第二章 前瞻布局未来产业</w:t>
          </w:r>
          <w:r>
            <w:rPr>
              <w:rFonts w:ascii="Times New Roman" w:hAnsi="Times New Roman" w:eastAsia="方正楷体_GBK"/>
              <w:sz w:val="32"/>
              <w:szCs w:val="32"/>
            </w:rPr>
            <w:tab/>
          </w:r>
          <w:r>
            <w:rPr>
              <w:rFonts w:hint="eastAsia" w:ascii="Times New Roman" w:hAnsi="Times New Roman" w:eastAsia="方正楷体_GBK"/>
              <w:sz w:val="32"/>
              <w:szCs w:val="32"/>
              <w:lang w:eastAsia="zh-CN"/>
            </w:rPr>
            <w:t>（</w:t>
          </w:r>
          <w:r>
            <w:rPr>
              <w:rFonts w:ascii="Times New Roman" w:hAnsi="Times New Roman" w:eastAsia="方正楷体_GBK"/>
              <w:sz w:val="32"/>
              <w:szCs w:val="32"/>
            </w:rPr>
            <w:fldChar w:fldCharType="begin"/>
          </w:r>
          <w:r>
            <w:rPr>
              <w:rFonts w:ascii="Times New Roman" w:hAnsi="Times New Roman" w:eastAsia="方正楷体_GBK"/>
              <w:sz w:val="32"/>
              <w:szCs w:val="32"/>
            </w:rPr>
            <w:instrText xml:space="preserve"> PAGEREF _Toc17254 \h </w:instrText>
          </w:r>
          <w:r>
            <w:rPr>
              <w:rFonts w:ascii="Times New Roman" w:hAnsi="Times New Roman" w:eastAsia="方正楷体_GBK"/>
              <w:sz w:val="32"/>
              <w:szCs w:val="32"/>
            </w:rPr>
            <w:fldChar w:fldCharType="separate"/>
          </w:r>
          <w:r>
            <w:rPr>
              <w:rFonts w:ascii="Times New Roman" w:hAnsi="Times New Roman" w:eastAsia="方正楷体_GBK"/>
              <w:sz w:val="32"/>
              <w:szCs w:val="32"/>
            </w:rPr>
            <w:t>37</w:t>
          </w:r>
          <w:r>
            <w:rPr>
              <w:rFonts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lang w:eastAsia="zh-CN"/>
            </w:rPr>
            <w:t>）</w:t>
          </w:r>
        </w:p>
        <w:p w14:paraId="56C6C917">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_Toc1645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第一节 大力发展空天信息及低空经济产业</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_Toc1645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37</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581225A2">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_Toc31896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 xml:space="preserve">第二节 </w:t>
          </w:r>
          <w:r>
            <w:rPr>
              <w:rFonts w:hint="eastAsia" w:ascii="Times New Roman" w:hAnsi="Times New Roman" w:eastAsia="方正仿宋_GBK"/>
              <w:sz w:val="32"/>
              <w:szCs w:val="32"/>
              <w:lang w:val="en-US" w:eastAsia="zh-CN"/>
            </w:rPr>
            <w:t>创新</w:t>
          </w:r>
          <w:r>
            <w:rPr>
              <w:rFonts w:hint="eastAsia" w:ascii="Times New Roman" w:hAnsi="Times New Roman" w:eastAsia="方正仿宋_GBK"/>
              <w:sz w:val="32"/>
              <w:szCs w:val="32"/>
            </w:rPr>
            <w:t>发展</w:t>
          </w:r>
          <w:r>
            <w:rPr>
              <w:rFonts w:hint="eastAsia" w:ascii="Times New Roman" w:hAnsi="Times New Roman" w:eastAsia="方正仿宋_GBK"/>
              <w:sz w:val="32"/>
              <w:szCs w:val="32"/>
              <w:lang w:val="en-US" w:eastAsia="zh-CN"/>
            </w:rPr>
            <w:t>人工</w:t>
          </w:r>
          <w:r>
            <w:rPr>
              <w:rFonts w:hint="eastAsia" w:ascii="Times New Roman" w:hAnsi="Times New Roman" w:eastAsia="方正仿宋_GBK"/>
              <w:sz w:val="32"/>
              <w:szCs w:val="32"/>
            </w:rPr>
            <w:t>智能产业</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_Toc31896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38</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1D592C98">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_Toc31683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第三节 培育发展新材料产业</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_Toc31683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39</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50A0AD9F">
          <w:pPr>
            <w:pStyle w:val="18"/>
            <w:tabs>
              <w:tab w:val="right" w:leader="middleDot" w:pos="9072"/>
            </w:tabs>
            <w:rPr>
              <w:rFonts w:ascii="Times New Roman" w:hAnsi="Times New Roman" w:eastAsia="方正楷体_GBK"/>
              <w:sz w:val="32"/>
              <w:szCs w:val="32"/>
            </w:rPr>
          </w:pP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HYPERLINK \l _Toc15085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rPr>
            <w:t>第三章 提质发展现代服务业</w:t>
          </w:r>
          <w:r>
            <w:rPr>
              <w:rFonts w:ascii="Times New Roman" w:hAnsi="Times New Roman" w:eastAsia="方正楷体_GBK"/>
              <w:sz w:val="32"/>
              <w:szCs w:val="32"/>
            </w:rPr>
            <w:tab/>
          </w:r>
          <w:r>
            <w:rPr>
              <w:rFonts w:hint="eastAsia" w:ascii="Times New Roman" w:hAnsi="Times New Roman" w:eastAsia="方正楷体_GBK"/>
              <w:sz w:val="32"/>
              <w:szCs w:val="32"/>
              <w:lang w:eastAsia="zh-CN"/>
            </w:rPr>
            <w:t>（</w:t>
          </w:r>
          <w:r>
            <w:rPr>
              <w:rFonts w:ascii="Times New Roman" w:hAnsi="Times New Roman" w:eastAsia="方正楷体_GBK"/>
              <w:sz w:val="32"/>
              <w:szCs w:val="32"/>
            </w:rPr>
            <w:fldChar w:fldCharType="begin"/>
          </w:r>
          <w:r>
            <w:rPr>
              <w:rFonts w:ascii="Times New Roman" w:hAnsi="Times New Roman" w:eastAsia="方正楷体_GBK"/>
              <w:sz w:val="32"/>
              <w:szCs w:val="32"/>
            </w:rPr>
            <w:instrText xml:space="preserve"> PAGEREF _Toc15085 \h </w:instrText>
          </w:r>
          <w:r>
            <w:rPr>
              <w:rFonts w:ascii="Times New Roman" w:hAnsi="Times New Roman" w:eastAsia="方正楷体_GBK"/>
              <w:sz w:val="32"/>
              <w:szCs w:val="32"/>
            </w:rPr>
            <w:fldChar w:fldCharType="separate"/>
          </w:r>
          <w:r>
            <w:rPr>
              <w:rFonts w:ascii="Times New Roman" w:hAnsi="Times New Roman" w:eastAsia="方正楷体_GBK"/>
              <w:sz w:val="32"/>
              <w:szCs w:val="32"/>
            </w:rPr>
            <w:t>40</w:t>
          </w:r>
          <w:r>
            <w:rPr>
              <w:rFonts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lang w:eastAsia="zh-CN"/>
            </w:rPr>
            <w:t>）</w:t>
          </w:r>
        </w:p>
        <w:p w14:paraId="13F71188">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_Toc25186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第一节 集聚</w:t>
          </w:r>
          <w:r>
            <w:rPr>
              <w:rFonts w:ascii="Times New Roman" w:hAnsi="Times New Roman" w:eastAsia="方正仿宋_GBK"/>
              <w:sz w:val="32"/>
              <w:szCs w:val="32"/>
            </w:rPr>
            <w:t>发展软件和信息服务产业</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_Toc25186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40</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3EFCAD7F">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_Toc11356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 xml:space="preserve">第二节 </w:t>
          </w:r>
          <w:r>
            <w:rPr>
              <w:rFonts w:hint="eastAsia" w:ascii="Times New Roman" w:hAnsi="Times New Roman" w:eastAsia="方正仿宋_GBK"/>
              <w:sz w:val="32"/>
              <w:szCs w:val="32"/>
              <w:lang w:eastAsia="zh-CN"/>
            </w:rPr>
            <w:t>聚力</w:t>
          </w:r>
          <w:r>
            <w:rPr>
              <w:rFonts w:hint="eastAsia" w:ascii="Times New Roman" w:hAnsi="Times New Roman" w:eastAsia="方正仿宋_GBK"/>
              <w:sz w:val="32"/>
              <w:szCs w:val="32"/>
            </w:rPr>
            <w:t>发展科技服务产业</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_Toc11356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41</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5F80720D">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_Toc32720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第三节 全力发展金融服务产业</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_Toc32720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42</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088555D6">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_Toc23037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第四节 提质发展商贸服务产业</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_Toc23037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43</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042022F2">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_Toc21450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第五节 提速发展跨境电商产业</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_Toc21450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44</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14ADA7FA">
          <w:pPr>
            <w:pStyle w:val="18"/>
            <w:tabs>
              <w:tab w:val="right" w:leader="middleDot" w:pos="9072"/>
            </w:tabs>
            <w:rPr>
              <w:rFonts w:ascii="Times New Roman" w:hAnsi="Times New Roman" w:eastAsia="方正楷体_GBK"/>
              <w:sz w:val="32"/>
              <w:szCs w:val="32"/>
            </w:rPr>
          </w:pP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HYPERLINK \l _Toc31634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rPr>
            <w:t>第四章 全力打造三大产业片区</w:t>
          </w:r>
          <w:r>
            <w:rPr>
              <w:rFonts w:ascii="Times New Roman" w:hAnsi="Times New Roman" w:eastAsia="方正楷体_GBK"/>
              <w:sz w:val="32"/>
              <w:szCs w:val="32"/>
            </w:rPr>
            <w:tab/>
          </w:r>
          <w:r>
            <w:rPr>
              <w:rFonts w:hint="eastAsia" w:ascii="Times New Roman" w:hAnsi="Times New Roman" w:eastAsia="方正楷体_GBK"/>
              <w:sz w:val="32"/>
              <w:szCs w:val="32"/>
              <w:lang w:eastAsia="zh-CN"/>
            </w:rPr>
            <w:t>（</w:t>
          </w:r>
          <w:r>
            <w:rPr>
              <w:rFonts w:ascii="Times New Roman" w:hAnsi="Times New Roman" w:eastAsia="方正楷体_GBK"/>
              <w:sz w:val="32"/>
              <w:szCs w:val="32"/>
            </w:rPr>
            <w:fldChar w:fldCharType="begin"/>
          </w:r>
          <w:r>
            <w:rPr>
              <w:rFonts w:ascii="Times New Roman" w:hAnsi="Times New Roman" w:eastAsia="方正楷体_GBK"/>
              <w:sz w:val="32"/>
              <w:szCs w:val="32"/>
            </w:rPr>
            <w:instrText xml:space="preserve"> PAGEREF _Toc31634 \h </w:instrText>
          </w:r>
          <w:r>
            <w:rPr>
              <w:rFonts w:ascii="Times New Roman" w:hAnsi="Times New Roman" w:eastAsia="方正楷体_GBK"/>
              <w:sz w:val="32"/>
              <w:szCs w:val="32"/>
            </w:rPr>
            <w:fldChar w:fldCharType="separate"/>
          </w:r>
          <w:r>
            <w:rPr>
              <w:rFonts w:ascii="Times New Roman" w:hAnsi="Times New Roman" w:eastAsia="方正楷体_GBK"/>
              <w:sz w:val="32"/>
              <w:szCs w:val="32"/>
            </w:rPr>
            <w:t>46</w:t>
          </w:r>
          <w:r>
            <w:rPr>
              <w:rFonts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lang w:eastAsia="zh-CN"/>
            </w:rPr>
            <w:t>）</w:t>
          </w:r>
        </w:p>
        <w:p w14:paraId="08736FB0">
          <w:pPr>
            <w:pStyle w:val="15"/>
            <w:tabs>
              <w:tab w:val="right" w:leader="middleDot" w:pos="9072"/>
            </w:tabs>
            <w:rPr>
              <w:rFonts w:ascii="Times New Roman" w:hAnsi="Times New Roman"/>
              <w:sz w:val="32"/>
              <w:szCs w:val="32"/>
            </w:rPr>
          </w:pPr>
          <w:r>
            <w:rPr>
              <w:rFonts w:hint="eastAsia" w:ascii="Times New Roman" w:hAnsi="Times New Roman" w:eastAsia="方正小标宋_GBK" w:cs="方正小标宋_GBK"/>
              <w:color w:val="auto"/>
              <w:sz w:val="32"/>
              <w:szCs w:val="32"/>
              <w:highlight w:val="none"/>
            </w:rPr>
            <w:fldChar w:fldCharType="begin"/>
          </w:r>
          <w:r>
            <w:rPr>
              <w:rFonts w:hint="eastAsia" w:ascii="Times New Roman" w:hAnsi="Times New Roman" w:eastAsia="方正小标宋_GBK" w:cs="方正小标宋_GBK"/>
              <w:sz w:val="32"/>
              <w:szCs w:val="32"/>
              <w:highlight w:val="none"/>
            </w:rPr>
            <w:instrText xml:space="preserve"> HYPERLINK \l _Toc31262 </w:instrText>
          </w:r>
          <w:r>
            <w:rPr>
              <w:rFonts w:hint="eastAsia" w:ascii="Times New Roman" w:hAnsi="Times New Roman" w:eastAsia="方正小标宋_GBK" w:cs="方正小标宋_GBK"/>
              <w:sz w:val="32"/>
              <w:szCs w:val="32"/>
              <w:highlight w:val="none"/>
            </w:rPr>
            <w:fldChar w:fldCharType="separate"/>
          </w:r>
          <w:r>
            <w:rPr>
              <w:rFonts w:hint="eastAsia" w:ascii="Times New Roman" w:hAnsi="Times New Roman" w:eastAsia="方正黑体_GBK" w:cs="方正黑体_GBK"/>
              <w:sz w:val="32"/>
              <w:szCs w:val="32"/>
              <w:highlight w:val="none"/>
            </w:rPr>
            <w:t>第</w:t>
          </w:r>
          <w:r>
            <w:rPr>
              <w:rFonts w:hint="eastAsia" w:ascii="Times New Roman" w:hAnsi="Times New Roman" w:eastAsia="方正黑体_GBK"/>
              <w:bCs/>
              <w:sz w:val="32"/>
              <w:szCs w:val="32"/>
              <w:highlight w:val="none"/>
            </w:rPr>
            <w:t>四</w:t>
          </w:r>
          <w:r>
            <w:rPr>
              <w:rFonts w:hint="eastAsia" w:ascii="Times New Roman" w:hAnsi="Times New Roman" w:eastAsia="方正黑体_GBK" w:cs="方正黑体_GBK"/>
              <w:sz w:val="32"/>
              <w:szCs w:val="32"/>
              <w:highlight w:val="none"/>
            </w:rPr>
            <w:t xml:space="preserve">篇 </w:t>
          </w:r>
          <w:r>
            <w:rPr>
              <w:rFonts w:hint="eastAsia" w:ascii="Times New Roman" w:hAnsi="Times New Roman" w:eastAsia="方正黑体_GBK"/>
              <w:bCs/>
              <w:sz w:val="32"/>
              <w:szCs w:val="32"/>
              <w:highlight w:val="none"/>
            </w:rPr>
            <w:t>建设宜学宜研、宜居宜业的现代化人民城市</w:t>
          </w:r>
          <w:r>
            <w:rPr>
              <w:rFonts w:ascii="Times New Roman" w:hAnsi="Times New Roman"/>
              <w:sz w:val="32"/>
              <w:szCs w:val="32"/>
            </w:rPr>
            <w:tab/>
          </w:r>
          <w:r>
            <w:rPr>
              <w:rFonts w:hint="eastAsia" w:ascii="Times New Roman" w:hAnsi="Times New Roman" w:eastAsia="方正楷体_GBK"/>
              <w:sz w:val="32"/>
              <w:szCs w:val="32"/>
              <w:lang w:eastAsia="zh-CN"/>
            </w:rPr>
            <w:t>（</w:t>
          </w:r>
          <w:r>
            <w:rPr>
              <w:rFonts w:ascii="Times New Roman" w:hAnsi="Times New Roman"/>
              <w:sz w:val="32"/>
              <w:szCs w:val="32"/>
            </w:rPr>
            <w:fldChar w:fldCharType="begin"/>
          </w:r>
          <w:r>
            <w:rPr>
              <w:rFonts w:ascii="Times New Roman" w:hAnsi="Times New Roman"/>
              <w:sz w:val="32"/>
              <w:szCs w:val="32"/>
            </w:rPr>
            <w:instrText xml:space="preserve"> PAGEREF _Toc31262 \h </w:instrText>
          </w:r>
          <w:r>
            <w:rPr>
              <w:rFonts w:ascii="Times New Roman" w:hAnsi="Times New Roman"/>
              <w:sz w:val="32"/>
              <w:szCs w:val="32"/>
            </w:rPr>
            <w:fldChar w:fldCharType="separate"/>
          </w:r>
          <w:r>
            <w:rPr>
              <w:rFonts w:ascii="Times New Roman" w:hAnsi="Times New Roman"/>
              <w:sz w:val="32"/>
              <w:szCs w:val="32"/>
            </w:rPr>
            <w:t>48</w:t>
          </w:r>
          <w:r>
            <w:rPr>
              <w:rFonts w:ascii="Times New Roman" w:hAnsi="Times New Roman"/>
              <w:sz w:val="32"/>
              <w:szCs w:val="32"/>
            </w:rPr>
            <w:fldChar w:fldCharType="end"/>
          </w:r>
          <w:r>
            <w:rPr>
              <w:rFonts w:hint="eastAsia" w:ascii="Times New Roman" w:hAnsi="Times New Roman" w:eastAsia="方正小标宋_GBK" w:cs="方正小标宋_GBK"/>
              <w:color w:val="auto"/>
              <w:sz w:val="32"/>
              <w:szCs w:val="32"/>
              <w:highlight w:val="none"/>
            </w:rPr>
            <w:fldChar w:fldCharType="end"/>
          </w:r>
          <w:r>
            <w:rPr>
              <w:rFonts w:hint="eastAsia" w:ascii="Times New Roman" w:hAnsi="Times New Roman" w:eastAsia="方正楷体_GBK"/>
              <w:sz w:val="32"/>
              <w:szCs w:val="32"/>
              <w:lang w:eastAsia="zh-CN"/>
            </w:rPr>
            <w:t>）</w:t>
          </w:r>
        </w:p>
        <w:p w14:paraId="715BD711">
          <w:pPr>
            <w:pStyle w:val="18"/>
            <w:tabs>
              <w:tab w:val="right" w:leader="middleDot" w:pos="9072"/>
            </w:tabs>
            <w:rPr>
              <w:rFonts w:ascii="Times New Roman" w:hAnsi="Times New Roman" w:eastAsia="方正楷体_GBK"/>
              <w:sz w:val="32"/>
              <w:szCs w:val="32"/>
            </w:rPr>
          </w:pP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HYPERLINK \l _Toc15485 </w:instrText>
          </w:r>
          <w:r>
            <w:rPr>
              <w:rFonts w:hint="eastAsia" w:ascii="Times New Roman" w:hAnsi="Times New Roman" w:eastAsia="方正楷体_GBK"/>
              <w:sz w:val="32"/>
              <w:szCs w:val="32"/>
            </w:rPr>
            <w:fldChar w:fldCharType="separate"/>
          </w:r>
          <w:r>
            <w:rPr>
              <w:rFonts w:ascii="Times New Roman" w:hAnsi="Times New Roman" w:eastAsia="方正楷体_GBK"/>
              <w:sz w:val="32"/>
              <w:szCs w:val="32"/>
            </w:rPr>
            <w:t xml:space="preserve">第一章 </w:t>
          </w:r>
          <w:r>
            <w:rPr>
              <w:rFonts w:hint="eastAsia" w:ascii="Times New Roman" w:hAnsi="Times New Roman" w:eastAsia="方正楷体_GBK"/>
              <w:sz w:val="32"/>
              <w:szCs w:val="32"/>
            </w:rPr>
            <w:t>建设科产城融合发展示范区</w:t>
          </w:r>
          <w:r>
            <w:rPr>
              <w:rFonts w:ascii="Times New Roman" w:hAnsi="Times New Roman" w:eastAsia="方正楷体_GBK"/>
              <w:sz w:val="32"/>
              <w:szCs w:val="32"/>
            </w:rPr>
            <w:tab/>
          </w:r>
          <w:r>
            <w:rPr>
              <w:rFonts w:hint="eastAsia" w:ascii="Times New Roman" w:hAnsi="Times New Roman" w:eastAsia="方正楷体_GBK"/>
              <w:sz w:val="32"/>
              <w:szCs w:val="32"/>
              <w:lang w:eastAsia="zh-CN"/>
            </w:rPr>
            <w:t>（</w:t>
          </w:r>
          <w:r>
            <w:rPr>
              <w:rFonts w:ascii="Times New Roman" w:hAnsi="Times New Roman" w:eastAsia="方正楷体_GBK"/>
              <w:sz w:val="32"/>
              <w:szCs w:val="32"/>
            </w:rPr>
            <w:fldChar w:fldCharType="begin"/>
          </w:r>
          <w:r>
            <w:rPr>
              <w:rFonts w:ascii="Times New Roman" w:hAnsi="Times New Roman" w:eastAsia="方正楷体_GBK"/>
              <w:sz w:val="32"/>
              <w:szCs w:val="32"/>
            </w:rPr>
            <w:instrText xml:space="preserve"> PAGEREF _Toc15485 \h </w:instrText>
          </w:r>
          <w:r>
            <w:rPr>
              <w:rFonts w:ascii="Times New Roman" w:hAnsi="Times New Roman" w:eastAsia="方正楷体_GBK"/>
              <w:sz w:val="32"/>
              <w:szCs w:val="32"/>
            </w:rPr>
            <w:fldChar w:fldCharType="separate"/>
          </w:r>
          <w:r>
            <w:rPr>
              <w:rFonts w:ascii="Times New Roman" w:hAnsi="Times New Roman" w:eastAsia="方正楷体_GBK"/>
              <w:sz w:val="32"/>
              <w:szCs w:val="32"/>
            </w:rPr>
            <w:t>49</w:t>
          </w:r>
          <w:r>
            <w:rPr>
              <w:rFonts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lang w:eastAsia="zh-CN"/>
            </w:rPr>
            <w:t>）</w:t>
          </w:r>
        </w:p>
        <w:p w14:paraId="6A6656C9">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_Toc7239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第一节 优化构建“1236”</w:t>
          </w:r>
          <w:r>
            <w:rPr>
              <w:rFonts w:hint="eastAsia" w:ascii="Times New Roman" w:hAnsi="Times New Roman" w:eastAsia="方正仿宋_GBK"/>
              <w:sz w:val="32"/>
              <w:szCs w:val="32"/>
              <w:lang w:val="en-US" w:eastAsia="zh-CN"/>
            </w:rPr>
            <w:t>城市</w:t>
          </w:r>
          <w:r>
            <w:rPr>
              <w:rFonts w:hint="eastAsia" w:ascii="Times New Roman" w:hAnsi="Times New Roman" w:eastAsia="方正仿宋_GBK"/>
              <w:sz w:val="32"/>
              <w:szCs w:val="32"/>
            </w:rPr>
            <w:t>总体功能布局</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_Toc7239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49</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2B7E5AEF">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_Toc9576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第二节 高水平建设金凤城市中心</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_Toc9576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52</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77FF387A">
          <w:pPr>
            <w:pStyle w:val="18"/>
            <w:tabs>
              <w:tab w:val="right" w:leader="middleDot" w:pos="9072"/>
            </w:tabs>
            <w:rPr>
              <w:rFonts w:ascii="Times New Roman" w:hAnsi="Times New Roman" w:eastAsia="方正楷体_GBK"/>
              <w:sz w:val="32"/>
              <w:szCs w:val="32"/>
            </w:rPr>
          </w:pP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HYPERLINK \l _Toc30966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lang w:val="en-US" w:eastAsia="zh-CN"/>
            </w:rPr>
            <w:t xml:space="preserve">第二章 </w:t>
          </w:r>
          <w:r>
            <w:rPr>
              <w:rFonts w:hint="default" w:ascii="Times New Roman" w:hAnsi="Times New Roman" w:eastAsia="方正楷体_GBK"/>
              <w:sz w:val="32"/>
              <w:szCs w:val="32"/>
            </w:rPr>
            <w:t>建设富有活力的创新城市</w:t>
          </w:r>
          <w:r>
            <w:rPr>
              <w:rFonts w:ascii="Times New Roman" w:hAnsi="Times New Roman" w:eastAsia="方正楷体_GBK"/>
              <w:sz w:val="32"/>
              <w:szCs w:val="32"/>
            </w:rPr>
            <w:tab/>
          </w:r>
          <w:r>
            <w:rPr>
              <w:rFonts w:hint="eastAsia" w:ascii="Times New Roman" w:hAnsi="Times New Roman" w:eastAsia="方正楷体_GBK"/>
              <w:sz w:val="32"/>
              <w:szCs w:val="32"/>
              <w:lang w:eastAsia="zh-CN"/>
            </w:rPr>
            <w:t>（</w:t>
          </w:r>
          <w:r>
            <w:rPr>
              <w:rFonts w:ascii="Times New Roman" w:hAnsi="Times New Roman" w:eastAsia="方正楷体_GBK"/>
              <w:sz w:val="32"/>
              <w:szCs w:val="32"/>
            </w:rPr>
            <w:fldChar w:fldCharType="begin"/>
          </w:r>
          <w:r>
            <w:rPr>
              <w:rFonts w:ascii="Times New Roman" w:hAnsi="Times New Roman" w:eastAsia="方正楷体_GBK"/>
              <w:sz w:val="32"/>
              <w:szCs w:val="32"/>
            </w:rPr>
            <w:instrText xml:space="preserve"> PAGEREF _Toc30966 \h </w:instrText>
          </w:r>
          <w:r>
            <w:rPr>
              <w:rFonts w:ascii="Times New Roman" w:hAnsi="Times New Roman" w:eastAsia="方正楷体_GBK"/>
              <w:sz w:val="32"/>
              <w:szCs w:val="32"/>
            </w:rPr>
            <w:fldChar w:fldCharType="separate"/>
          </w:r>
          <w:r>
            <w:rPr>
              <w:rFonts w:ascii="Times New Roman" w:hAnsi="Times New Roman" w:eastAsia="方正楷体_GBK"/>
              <w:sz w:val="32"/>
              <w:szCs w:val="32"/>
            </w:rPr>
            <w:t>54</w:t>
          </w:r>
          <w:r>
            <w:rPr>
              <w:rFonts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lang w:eastAsia="zh-CN"/>
            </w:rPr>
            <w:t>）</w:t>
          </w:r>
        </w:p>
        <w:p w14:paraId="72FD9DC9">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_Toc14375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第一节 推动存量空间提质增效</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_Toc14375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54</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1DA63031">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_Toc30613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第二节 实施全域城市更新</w:t>
          </w:r>
          <w:r>
            <w:rPr>
              <w:rFonts w:hint="eastAsia" w:ascii="Times New Roman" w:hAnsi="Times New Roman" w:eastAsia="方正仿宋_GBK"/>
              <w:sz w:val="32"/>
              <w:szCs w:val="32"/>
              <w:lang w:val="en-US" w:eastAsia="zh-CN"/>
            </w:rPr>
            <w:t>行动</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_Toc30613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55</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5EDE9BCF">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_Toc17413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w:t>
          </w:r>
          <w:r>
            <w:rPr>
              <w:rFonts w:hint="eastAsia" w:ascii="Times New Roman" w:hAnsi="Times New Roman" w:eastAsia="方正仿宋_GBK"/>
              <w:sz w:val="32"/>
              <w:szCs w:val="32"/>
              <w:lang w:val="en-US" w:eastAsia="zh-CN"/>
            </w:rPr>
            <w:t>三</w:t>
          </w:r>
          <w:r>
            <w:rPr>
              <w:rFonts w:hint="eastAsia" w:ascii="Times New Roman" w:hAnsi="Times New Roman" w:eastAsia="方正仿宋_GBK"/>
              <w:sz w:val="32"/>
              <w:szCs w:val="32"/>
            </w:rPr>
            <w:t>节 建设青年</w:t>
          </w:r>
          <w:r>
            <w:rPr>
              <w:rFonts w:hint="eastAsia" w:ascii="Times New Roman" w:hAnsi="Times New Roman" w:eastAsia="方正仿宋_GBK"/>
              <w:sz w:val="32"/>
              <w:szCs w:val="32"/>
              <w:lang w:val="en-US" w:eastAsia="zh-CN"/>
            </w:rPr>
            <w:t>创新创业</w:t>
          </w:r>
          <w:r>
            <w:rPr>
              <w:rFonts w:hint="eastAsia" w:ascii="Times New Roman" w:hAnsi="Times New Roman" w:eastAsia="方正仿宋_GBK"/>
              <w:sz w:val="32"/>
              <w:szCs w:val="32"/>
            </w:rPr>
            <w:t>友好型城市</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_Toc17413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57</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01F48846">
          <w:pPr>
            <w:pStyle w:val="18"/>
            <w:tabs>
              <w:tab w:val="right" w:leader="middleDot" w:pos="9072"/>
            </w:tabs>
            <w:rPr>
              <w:rFonts w:ascii="Times New Roman" w:hAnsi="Times New Roman" w:eastAsia="方正楷体_GBK"/>
              <w:sz w:val="32"/>
              <w:szCs w:val="32"/>
            </w:rPr>
          </w:pP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HYPERLINK \l _Toc9089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lang w:val="en-US" w:eastAsia="zh-CN"/>
            </w:rPr>
            <w:t xml:space="preserve">第三章 </w:t>
          </w:r>
          <w:r>
            <w:rPr>
              <w:rFonts w:hint="default" w:ascii="Times New Roman" w:hAnsi="Times New Roman" w:eastAsia="方正楷体_GBK"/>
              <w:sz w:val="32"/>
              <w:szCs w:val="32"/>
            </w:rPr>
            <w:t>建设舒适便利的宜居</w:t>
          </w:r>
          <w:r>
            <w:rPr>
              <w:rFonts w:ascii="Times New Roman" w:hAnsi="Times New Roman" w:eastAsia="方正楷体_GBK"/>
              <w:sz w:val="32"/>
              <w:szCs w:val="32"/>
            </w:rPr>
            <w:t>城市</w:t>
          </w:r>
          <w:r>
            <w:rPr>
              <w:rFonts w:ascii="Times New Roman" w:hAnsi="Times New Roman" w:eastAsia="方正楷体_GBK"/>
              <w:sz w:val="32"/>
              <w:szCs w:val="32"/>
            </w:rPr>
            <w:tab/>
          </w:r>
          <w:r>
            <w:rPr>
              <w:rFonts w:hint="eastAsia" w:ascii="Times New Roman" w:hAnsi="Times New Roman" w:eastAsia="方正楷体_GBK"/>
              <w:sz w:val="32"/>
              <w:szCs w:val="32"/>
              <w:lang w:eastAsia="zh-CN"/>
            </w:rPr>
            <w:t>（</w:t>
          </w:r>
          <w:r>
            <w:rPr>
              <w:rFonts w:ascii="Times New Roman" w:hAnsi="Times New Roman" w:eastAsia="方正楷体_GBK"/>
              <w:sz w:val="32"/>
              <w:szCs w:val="32"/>
            </w:rPr>
            <w:fldChar w:fldCharType="begin"/>
          </w:r>
          <w:r>
            <w:rPr>
              <w:rFonts w:ascii="Times New Roman" w:hAnsi="Times New Roman" w:eastAsia="方正楷体_GBK"/>
              <w:sz w:val="32"/>
              <w:szCs w:val="32"/>
            </w:rPr>
            <w:instrText xml:space="preserve"> PAGEREF _Toc9089 \h </w:instrText>
          </w:r>
          <w:r>
            <w:rPr>
              <w:rFonts w:ascii="Times New Roman" w:hAnsi="Times New Roman" w:eastAsia="方正楷体_GBK"/>
              <w:sz w:val="32"/>
              <w:szCs w:val="32"/>
            </w:rPr>
            <w:fldChar w:fldCharType="separate"/>
          </w:r>
          <w:r>
            <w:rPr>
              <w:rFonts w:ascii="Times New Roman" w:hAnsi="Times New Roman" w:eastAsia="方正楷体_GBK"/>
              <w:sz w:val="32"/>
              <w:szCs w:val="32"/>
            </w:rPr>
            <w:t>58</w:t>
          </w:r>
          <w:r>
            <w:rPr>
              <w:rFonts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lang w:eastAsia="zh-CN"/>
            </w:rPr>
            <w:t>）</w:t>
          </w:r>
        </w:p>
        <w:p w14:paraId="6DA79CF3">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_Toc7575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第一节 构建现代化综合交通体系</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_Toc7575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58</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3180474D">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_Toc28905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第二节 建立多元优质公共服务体系</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_Toc28905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59</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586634C1">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_Toc20644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w:t>
          </w:r>
          <w:r>
            <w:rPr>
              <w:rFonts w:hint="eastAsia" w:ascii="Times New Roman" w:hAnsi="Times New Roman" w:eastAsia="方正仿宋_GBK"/>
              <w:sz w:val="32"/>
              <w:szCs w:val="32"/>
              <w:lang w:val="en-US" w:eastAsia="zh-CN"/>
            </w:rPr>
            <w:t>三</w:t>
          </w:r>
          <w:r>
            <w:rPr>
              <w:rFonts w:hint="eastAsia" w:ascii="Times New Roman" w:hAnsi="Times New Roman" w:eastAsia="方正仿宋_GBK"/>
              <w:sz w:val="32"/>
              <w:szCs w:val="32"/>
            </w:rPr>
            <w:t xml:space="preserve">节 </w:t>
          </w:r>
          <w:r>
            <w:rPr>
              <w:rFonts w:ascii="Times New Roman" w:hAnsi="Times New Roman" w:eastAsia="方正仿宋_GBK"/>
              <w:sz w:val="32"/>
              <w:szCs w:val="32"/>
            </w:rPr>
            <w:t>打造</w:t>
          </w:r>
          <w:r>
            <w:rPr>
              <w:rFonts w:hint="eastAsia" w:ascii="Times New Roman" w:hAnsi="Times New Roman" w:eastAsia="方正仿宋_GBK"/>
              <w:sz w:val="32"/>
              <w:szCs w:val="32"/>
            </w:rPr>
            <w:t>“3+N”</w:t>
          </w:r>
          <w:r>
            <w:rPr>
              <w:rFonts w:ascii="Times New Roman" w:hAnsi="Times New Roman" w:eastAsia="方正仿宋_GBK"/>
              <w:sz w:val="32"/>
              <w:szCs w:val="32"/>
            </w:rPr>
            <w:t>15分钟</w:t>
          </w:r>
          <w:r>
            <w:rPr>
              <w:rFonts w:hint="eastAsia" w:ascii="Times New Roman" w:hAnsi="Times New Roman" w:eastAsia="方正仿宋_GBK"/>
              <w:sz w:val="32"/>
              <w:szCs w:val="32"/>
            </w:rPr>
            <w:t>高品质</w:t>
          </w:r>
          <w:r>
            <w:rPr>
              <w:rFonts w:ascii="Times New Roman" w:hAnsi="Times New Roman" w:eastAsia="方正仿宋_GBK"/>
              <w:sz w:val="32"/>
              <w:szCs w:val="32"/>
            </w:rPr>
            <w:t>生活服务圈</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_Toc20644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60</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02AFB5BF">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_Toc2318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w:t>
          </w:r>
          <w:r>
            <w:rPr>
              <w:rFonts w:hint="eastAsia" w:ascii="Times New Roman" w:hAnsi="Times New Roman" w:eastAsia="方正仿宋_GBK"/>
              <w:sz w:val="32"/>
              <w:szCs w:val="32"/>
              <w:lang w:val="en-US" w:eastAsia="zh-CN"/>
            </w:rPr>
            <w:t>四</w:t>
          </w:r>
          <w:r>
            <w:rPr>
              <w:rFonts w:hint="eastAsia" w:ascii="Times New Roman" w:hAnsi="Times New Roman" w:eastAsia="方正仿宋_GBK"/>
              <w:sz w:val="32"/>
              <w:szCs w:val="32"/>
            </w:rPr>
            <w:t xml:space="preserve">节 </w:t>
          </w:r>
          <w:r>
            <w:rPr>
              <w:rFonts w:ascii="Times New Roman" w:hAnsi="Times New Roman" w:eastAsia="方正仿宋_GBK"/>
              <w:sz w:val="32"/>
              <w:szCs w:val="32"/>
            </w:rPr>
            <w:t>健全</w:t>
          </w:r>
          <w:r>
            <w:rPr>
              <w:rFonts w:hint="eastAsia" w:ascii="Times New Roman" w:hAnsi="Times New Roman" w:eastAsia="方正仿宋_GBK"/>
              <w:sz w:val="32"/>
              <w:szCs w:val="32"/>
            </w:rPr>
            <w:t>多层次</w:t>
          </w:r>
          <w:r>
            <w:rPr>
              <w:rFonts w:ascii="Times New Roman" w:hAnsi="Times New Roman" w:eastAsia="方正仿宋_GBK"/>
              <w:sz w:val="32"/>
              <w:szCs w:val="32"/>
            </w:rPr>
            <w:t>社会保障体系</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_Toc2318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61</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709258C4">
          <w:pPr>
            <w:pStyle w:val="18"/>
            <w:tabs>
              <w:tab w:val="right" w:leader="middleDot" w:pos="9072"/>
            </w:tabs>
            <w:rPr>
              <w:rFonts w:ascii="Times New Roman" w:hAnsi="Times New Roman" w:eastAsia="方正楷体_GBK"/>
              <w:sz w:val="32"/>
              <w:szCs w:val="32"/>
            </w:rPr>
          </w:pP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HYPERLINK \l _Toc27374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lang w:val="en-US" w:eastAsia="zh-CN"/>
            </w:rPr>
            <w:t xml:space="preserve">第四章 </w:t>
          </w:r>
          <w:r>
            <w:rPr>
              <w:rFonts w:hint="default" w:ascii="Times New Roman" w:hAnsi="Times New Roman" w:eastAsia="方正楷体_GBK"/>
              <w:sz w:val="32"/>
              <w:szCs w:val="32"/>
            </w:rPr>
            <w:t>建设绿色低碳的美丽城市</w:t>
          </w:r>
          <w:r>
            <w:rPr>
              <w:rFonts w:ascii="Times New Roman" w:hAnsi="Times New Roman" w:eastAsia="方正楷体_GBK"/>
              <w:sz w:val="32"/>
              <w:szCs w:val="32"/>
            </w:rPr>
            <w:tab/>
          </w:r>
          <w:r>
            <w:rPr>
              <w:rFonts w:hint="eastAsia" w:ascii="Times New Roman" w:hAnsi="Times New Roman" w:eastAsia="方正楷体_GBK"/>
              <w:sz w:val="32"/>
              <w:szCs w:val="32"/>
              <w:lang w:eastAsia="zh-CN"/>
            </w:rPr>
            <w:t>（</w:t>
          </w:r>
          <w:r>
            <w:rPr>
              <w:rFonts w:ascii="Times New Roman" w:hAnsi="Times New Roman" w:eastAsia="方正楷体_GBK"/>
              <w:sz w:val="32"/>
              <w:szCs w:val="32"/>
            </w:rPr>
            <w:fldChar w:fldCharType="begin"/>
          </w:r>
          <w:r>
            <w:rPr>
              <w:rFonts w:ascii="Times New Roman" w:hAnsi="Times New Roman" w:eastAsia="方正楷体_GBK"/>
              <w:sz w:val="32"/>
              <w:szCs w:val="32"/>
            </w:rPr>
            <w:instrText xml:space="preserve"> PAGEREF _Toc27374 \h </w:instrText>
          </w:r>
          <w:r>
            <w:rPr>
              <w:rFonts w:ascii="Times New Roman" w:hAnsi="Times New Roman" w:eastAsia="方正楷体_GBK"/>
              <w:sz w:val="32"/>
              <w:szCs w:val="32"/>
            </w:rPr>
            <w:fldChar w:fldCharType="separate"/>
          </w:r>
          <w:r>
            <w:rPr>
              <w:rFonts w:ascii="Times New Roman" w:hAnsi="Times New Roman" w:eastAsia="方正楷体_GBK"/>
              <w:sz w:val="32"/>
              <w:szCs w:val="32"/>
            </w:rPr>
            <w:t>64</w:t>
          </w:r>
          <w:r>
            <w:rPr>
              <w:rFonts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lang w:eastAsia="zh-CN"/>
            </w:rPr>
            <w:t>）</w:t>
          </w:r>
        </w:p>
        <w:p w14:paraId="26864BB5">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_Toc11816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第一节 持续</w:t>
          </w:r>
          <w:r>
            <w:rPr>
              <w:rFonts w:ascii="Times New Roman" w:hAnsi="Times New Roman" w:eastAsia="方正仿宋_GBK"/>
              <w:sz w:val="32"/>
              <w:szCs w:val="32"/>
            </w:rPr>
            <w:t>改善生态环境质量</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_Toc11816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64</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1159F646">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_Toc19293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 xml:space="preserve">第二节 </w:t>
          </w:r>
          <w:r>
            <w:rPr>
              <w:rFonts w:ascii="Times New Roman" w:hAnsi="Times New Roman" w:eastAsia="方正仿宋_GBK"/>
              <w:sz w:val="32"/>
              <w:szCs w:val="32"/>
            </w:rPr>
            <w:t>提升生态系统稳定性</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_Toc19293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65</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72F7E156">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_Toc6853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第三节 全面推行绿色生产生活方式</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_Toc6853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66</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43668E9D">
          <w:pPr>
            <w:pStyle w:val="18"/>
            <w:tabs>
              <w:tab w:val="right" w:leader="middleDot" w:pos="9072"/>
            </w:tabs>
            <w:rPr>
              <w:rFonts w:ascii="Times New Roman" w:hAnsi="Times New Roman"/>
              <w:sz w:val="32"/>
              <w:szCs w:val="32"/>
            </w:rPr>
          </w:pP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HYPERLINK \l _Toc25704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lang w:val="en-US" w:eastAsia="zh-CN"/>
            </w:rPr>
            <w:t xml:space="preserve">第五章 </w:t>
          </w:r>
          <w:r>
            <w:rPr>
              <w:rFonts w:hint="default" w:ascii="Times New Roman" w:hAnsi="Times New Roman" w:eastAsia="方正楷体_GBK"/>
              <w:sz w:val="32"/>
              <w:szCs w:val="32"/>
            </w:rPr>
            <w:t>建设安全可靠的韧性城市</w:t>
          </w:r>
          <w:r>
            <w:rPr>
              <w:rFonts w:ascii="Times New Roman" w:hAnsi="Times New Roman" w:eastAsia="方正楷体_GBK"/>
              <w:sz w:val="32"/>
              <w:szCs w:val="32"/>
            </w:rPr>
            <w:tab/>
          </w:r>
          <w:r>
            <w:rPr>
              <w:rFonts w:hint="eastAsia" w:ascii="Times New Roman" w:hAnsi="Times New Roman" w:eastAsia="方正楷体_GBK"/>
              <w:sz w:val="32"/>
              <w:szCs w:val="32"/>
              <w:lang w:eastAsia="zh-CN"/>
            </w:rPr>
            <w:t>（</w:t>
          </w:r>
          <w:r>
            <w:rPr>
              <w:rFonts w:ascii="Times New Roman" w:hAnsi="Times New Roman" w:eastAsia="方正楷体_GBK"/>
              <w:sz w:val="32"/>
              <w:szCs w:val="32"/>
            </w:rPr>
            <w:fldChar w:fldCharType="begin"/>
          </w:r>
          <w:r>
            <w:rPr>
              <w:rFonts w:ascii="Times New Roman" w:hAnsi="Times New Roman" w:eastAsia="方正楷体_GBK"/>
              <w:sz w:val="32"/>
              <w:szCs w:val="32"/>
            </w:rPr>
            <w:instrText xml:space="preserve"> PAGEREF _Toc25704 \h </w:instrText>
          </w:r>
          <w:r>
            <w:rPr>
              <w:rFonts w:ascii="Times New Roman" w:hAnsi="Times New Roman" w:eastAsia="方正楷体_GBK"/>
              <w:sz w:val="32"/>
              <w:szCs w:val="32"/>
            </w:rPr>
            <w:fldChar w:fldCharType="separate"/>
          </w:r>
          <w:r>
            <w:rPr>
              <w:rFonts w:ascii="Times New Roman" w:hAnsi="Times New Roman" w:eastAsia="方正楷体_GBK"/>
              <w:sz w:val="32"/>
              <w:szCs w:val="32"/>
            </w:rPr>
            <w:t>67</w:t>
          </w:r>
          <w:r>
            <w:rPr>
              <w:rFonts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lang w:eastAsia="zh-CN"/>
            </w:rPr>
            <w:t>）</w:t>
          </w:r>
        </w:p>
        <w:p w14:paraId="568A09FE">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_Toc6424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第一节 完善新型能源基础设施</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_Toc6424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67</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0E90516D">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_Toc23210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第二节 加强</w:t>
          </w:r>
          <w:r>
            <w:rPr>
              <w:rFonts w:ascii="Times New Roman" w:hAnsi="Times New Roman" w:eastAsia="方正仿宋_GBK"/>
              <w:sz w:val="32"/>
              <w:szCs w:val="32"/>
            </w:rPr>
            <w:t>自然灾害防治</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_Toc23210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68</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41A89C85">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_Toc31170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第三节 强化城市防洪和内涝治理</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_Toc31170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69</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42D4C70F">
          <w:pPr>
            <w:pStyle w:val="18"/>
            <w:tabs>
              <w:tab w:val="right" w:leader="middleDot" w:pos="9072"/>
            </w:tabs>
            <w:rPr>
              <w:rFonts w:ascii="Times New Roman" w:hAnsi="Times New Roman" w:eastAsia="方正楷体_GBK"/>
              <w:sz w:val="32"/>
              <w:szCs w:val="32"/>
            </w:rPr>
          </w:pP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HYPERLINK \l _Toc10498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lang w:val="en-US" w:eastAsia="zh-CN"/>
            </w:rPr>
            <w:t xml:space="preserve">第六章 </w:t>
          </w:r>
          <w:r>
            <w:rPr>
              <w:rFonts w:hint="default" w:ascii="Times New Roman" w:hAnsi="Times New Roman" w:eastAsia="方正楷体_GBK"/>
              <w:sz w:val="32"/>
              <w:szCs w:val="32"/>
            </w:rPr>
            <w:t>建设崇德向善的文明城市</w:t>
          </w:r>
          <w:r>
            <w:rPr>
              <w:rFonts w:ascii="Times New Roman" w:hAnsi="Times New Roman" w:eastAsia="方正楷体_GBK"/>
              <w:sz w:val="32"/>
              <w:szCs w:val="32"/>
            </w:rPr>
            <w:tab/>
          </w:r>
          <w:r>
            <w:rPr>
              <w:rFonts w:hint="eastAsia" w:ascii="Times New Roman" w:hAnsi="Times New Roman" w:eastAsia="方正楷体_GBK"/>
              <w:sz w:val="32"/>
              <w:szCs w:val="32"/>
              <w:lang w:eastAsia="zh-CN"/>
            </w:rPr>
            <w:t>（</w:t>
          </w:r>
          <w:r>
            <w:rPr>
              <w:rFonts w:ascii="Times New Roman" w:hAnsi="Times New Roman" w:eastAsia="方正楷体_GBK"/>
              <w:sz w:val="32"/>
              <w:szCs w:val="32"/>
            </w:rPr>
            <w:fldChar w:fldCharType="begin"/>
          </w:r>
          <w:r>
            <w:rPr>
              <w:rFonts w:ascii="Times New Roman" w:hAnsi="Times New Roman" w:eastAsia="方正楷体_GBK"/>
              <w:sz w:val="32"/>
              <w:szCs w:val="32"/>
            </w:rPr>
            <w:instrText xml:space="preserve"> PAGEREF _Toc10498 \h </w:instrText>
          </w:r>
          <w:r>
            <w:rPr>
              <w:rFonts w:ascii="Times New Roman" w:hAnsi="Times New Roman" w:eastAsia="方正楷体_GBK"/>
              <w:sz w:val="32"/>
              <w:szCs w:val="32"/>
            </w:rPr>
            <w:fldChar w:fldCharType="separate"/>
          </w:r>
          <w:r>
            <w:rPr>
              <w:rFonts w:ascii="Times New Roman" w:hAnsi="Times New Roman" w:eastAsia="方正楷体_GBK"/>
              <w:sz w:val="32"/>
              <w:szCs w:val="32"/>
            </w:rPr>
            <w:t>70</w:t>
          </w:r>
          <w:r>
            <w:rPr>
              <w:rFonts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lang w:eastAsia="zh-CN"/>
            </w:rPr>
            <w:t>）</w:t>
          </w:r>
        </w:p>
        <w:p w14:paraId="5D9417E8">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_Toc3545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第一节 塑造大美山水</w:t>
          </w:r>
          <w:r>
            <w:rPr>
              <w:rFonts w:hint="eastAsia" w:ascii="Times New Roman" w:hAnsi="Times New Roman" w:eastAsia="方正仿宋_GBK"/>
              <w:sz w:val="32"/>
              <w:szCs w:val="32"/>
              <w:lang w:val="en-US" w:eastAsia="zh-CN"/>
            </w:rPr>
            <w:t>城市</w:t>
          </w:r>
          <w:r>
            <w:rPr>
              <w:rFonts w:hint="eastAsia" w:ascii="Times New Roman" w:hAnsi="Times New Roman" w:eastAsia="方正仿宋_GBK"/>
              <w:sz w:val="32"/>
              <w:szCs w:val="32"/>
            </w:rPr>
            <w:t>风貌</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_Toc3545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70</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049AD804">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_Toc32511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第二节 加强历史文化保护传承</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_Toc32511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71</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0A8FCFFD">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_Toc9788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第三节 推动</w:t>
          </w:r>
          <w:r>
            <w:rPr>
              <w:rFonts w:hint="eastAsia" w:ascii="Times New Roman" w:hAnsi="Times New Roman" w:eastAsia="方正仿宋_GBK"/>
              <w:sz w:val="32"/>
              <w:szCs w:val="32"/>
              <w:lang w:val="en-US" w:eastAsia="zh-CN"/>
            </w:rPr>
            <w:t>文化</w:t>
          </w:r>
          <w:r>
            <w:rPr>
              <w:rFonts w:hint="eastAsia" w:ascii="Times New Roman" w:hAnsi="Times New Roman" w:eastAsia="方正仿宋_GBK"/>
              <w:sz w:val="32"/>
              <w:szCs w:val="32"/>
            </w:rPr>
            <w:t>体育事业</w:t>
          </w:r>
          <w:r>
            <w:rPr>
              <w:rFonts w:hint="eastAsia" w:ascii="Times New Roman" w:hAnsi="Times New Roman" w:eastAsia="方正仿宋_GBK"/>
              <w:sz w:val="32"/>
              <w:szCs w:val="32"/>
              <w:lang w:val="en-US" w:eastAsia="zh-CN"/>
            </w:rPr>
            <w:t>高质量</w:t>
          </w:r>
          <w:r>
            <w:rPr>
              <w:rFonts w:hint="eastAsia" w:ascii="Times New Roman" w:hAnsi="Times New Roman" w:eastAsia="方正仿宋_GBK"/>
              <w:sz w:val="32"/>
              <w:szCs w:val="32"/>
            </w:rPr>
            <w:t>发展</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_Toc9788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72</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280229E4">
          <w:pPr>
            <w:pStyle w:val="18"/>
            <w:tabs>
              <w:tab w:val="right" w:leader="middleDot" w:pos="9072"/>
            </w:tabs>
            <w:rPr>
              <w:rFonts w:ascii="Times New Roman" w:hAnsi="Times New Roman" w:eastAsia="方正楷体_GBK"/>
              <w:sz w:val="32"/>
              <w:szCs w:val="32"/>
            </w:rPr>
          </w:pP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HYPERLINK \l _Toc29543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lang w:val="en-US" w:eastAsia="zh-CN"/>
            </w:rPr>
            <w:t xml:space="preserve">第七章 </w:t>
          </w:r>
          <w:r>
            <w:rPr>
              <w:rFonts w:hint="default" w:ascii="Times New Roman" w:hAnsi="Times New Roman" w:eastAsia="方正楷体_GBK"/>
              <w:sz w:val="32"/>
              <w:szCs w:val="32"/>
            </w:rPr>
            <w:t>建设便捷高效的智慧城市</w:t>
          </w:r>
          <w:r>
            <w:rPr>
              <w:rFonts w:ascii="Times New Roman" w:hAnsi="Times New Roman" w:eastAsia="方正楷体_GBK"/>
              <w:sz w:val="32"/>
              <w:szCs w:val="32"/>
            </w:rPr>
            <w:tab/>
          </w:r>
          <w:r>
            <w:rPr>
              <w:rFonts w:hint="eastAsia" w:ascii="Times New Roman" w:hAnsi="Times New Roman" w:eastAsia="方正楷体_GBK"/>
              <w:sz w:val="32"/>
              <w:szCs w:val="32"/>
              <w:lang w:eastAsia="zh-CN"/>
            </w:rPr>
            <w:t>（</w:t>
          </w:r>
          <w:r>
            <w:rPr>
              <w:rFonts w:ascii="Times New Roman" w:hAnsi="Times New Roman" w:eastAsia="方正楷体_GBK"/>
              <w:sz w:val="32"/>
              <w:szCs w:val="32"/>
            </w:rPr>
            <w:fldChar w:fldCharType="begin"/>
          </w:r>
          <w:r>
            <w:rPr>
              <w:rFonts w:ascii="Times New Roman" w:hAnsi="Times New Roman" w:eastAsia="方正楷体_GBK"/>
              <w:sz w:val="32"/>
              <w:szCs w:val="32"/>
            </w:rPr>
            <w:instrText xml:space="preserve"> PAGEREF _Toc29543 \h </w:instrText>
          </w:r>
          <w:r>
            <w:rPr>
              <w:rFonts w:ascii="Times New Roman" w:hAnsi="Times New Roman" w:eastAsia="方正楷体_GBK"/>
              <w:sz w:val="32"/>
              <w:szCs w:val="32"/>
            </w:rPr>
            <w:fldChar w:fldCharType="separate"/>
          </w:r>
          <w:r>
            <w:rPr>
              <w:rFonts w:ascii="Times New Roman" w:hAnsi="Times New Roman" w:eastAsia="方正楷体_GBK"/>
              <w:sz w:val="32"/>
              <w:szCs w:val="32"/>
            </w:rPr>
            <w:t>73</w:t>
          </w:r>
          <w:r>
            <w:rPr>
              <w:rFonts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lang w:eastAsia="zh-CN"/>
            </w:rPr>
            <w:t>）</w:t>
          </w:r>
        </w:p>
        <w:p w14:paraId="476BB276">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_Toc27253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第一节 强化新型数字基础设施建设</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_Toc27253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73</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224AF2B7">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_Toc13323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第二节 提升“大综合一体化”治理能力</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_Toc13323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73</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2D1EF564">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_Toc11191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第三节 迭代升级“AI+城市治理”模式</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_Toc11191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74</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307D6CD9">
          <w:pPr>
            <w:pStyle w:val="15"/>
            <w:tabs>
              <w:tab w:val="right" w:leader="middleDot" w:pos="9072"/>
            </w:tabs>
            <w:rPr>
              <w:rFonts w:ascii="Times New Roman" w:hAnsi="Times New Roman"/>
              <w:sz w:val="32"/>
              <w:szCs w:val="32"/>
            </w:rPr>
          </w:pPr>
          <w:r>
            <w:rPr>
              <w:rFonts w:hint="eastAsia" w:ascii="Times New Roman" w:hAnsi="Times New Roman" w:eastAsia="方正小标宋_GBK" w:cs="方正小标宋_GBK"/>
              <w:color w:val="auto"/>
              <w:sz w:val="32"/>
              <w:szCs w:val="32"/>
              <w:highlight w:val="none"/>
            </w:rPr>
            <w:fldChar w:fldCharType="begin"/>
          </w:r>
          <w:r>
            <w:rPr>
              <w:rFonts w:hint="eastAsia" w:ascii="Times New Roman" w:hAnsi="Times New Roman" w:eastAsia="方正小标宋_GBK" w:cs="方正小标宋_GBK"/>
              <w:sz w:val="32"/>
              <w:szCs w:val="32"/>
              <w:highlight w:val="none"/>
            </w:rPr>
            <w:instrText xml:space="preserve"> HYPERLINK \l _Toc25944 </w:instrText>
          </w:r>
          <w:r>
            <w:rPr>
              <w:rFonts w:hint="eastAsia" w:ascii="Times New Roman" w:hAnsi="Times New Roman" w:eastAsia="方正小标宋_GBK" w:cs="方正小标宋_GBK"/>
              <w:sz w:val="32"/>
              <w:szCs w:val="32"/>
              <w:highlight w:val="none"/>
            </w:rPr>
            <w:fldChar w:fldCharType="separate"/>
          </w:r>
          <w:r>
            <w:rPr>
              <w:rFonts w:hint="eastAsia" w:ascii="Times New Roman" w:hAnsi="Times New Roman" w:eastAsia="方正黑体_GBK" w:cs="方正黑体_GBK"/>
              <w:sz w:val="32"/>
              <w:szCs w:val="32"/>
              <w:highlight w:val="none"/>
            </w:rPr>
            <w:t>第</w:t>
          </w:r>
          <w:r>
            <w:rPr>
              <w:rFonts w:hint="eastAsia" w:ascii="Times New Roman" w:hAnsi="Times New Roman" w:eastAsia="方正黑体_GBK" w:cs="方正黑体_GBK"/>
              <w:sz w:val="32"/>
              <w:szCs w:val="32"/>
              <w:highlight w:val="none"/>
              <w:lang w:val="en-US" w:eastAsia="zh-CN"/>
            </w:rPr>
            <w:t>五</w:t>
          </w:r>
          <w:r>
            <w:rPr>
              <w:rFonts w:hint="eastAsia" w:ascii="Times New Roman" w:hAnsi="Times New Roman" w:eastAsia="方正黑体_GBK" w:cs="方正黑体_GBK"/>
              <w:sz w:val="32"/>
              <w:szCs w:val="32"/>
              <w:highlight w:val="none"/>
            </w:rPr>
            <w:t>篇 落实扩大内需战略 大力提振消费扩大有效投资</w:t>
          </w:r>
          <w:r>
            <w:rPr>
              <w:rFonts w:ascii="Times New Roman" w:hAnsi="Times New Roman"/>
              <w:sz w:val="32"/>
              <w:szCs w:val="32"/>
            </w:rPr>
            <w:tab/>
          </w:r>
          <w:r>
            <w:rPr>
              <w:rFonts w:hint="eastAsia" w:ascii="Times New Roman" w:hAnsi="Times New Roman" w:eastAsia="方正楷体_GBK"/>
              <w:sz w:val="32"/>
              <w:szCs w:val="32"/>
              <w:lang w:eastAsia="zh-CN"/>
            </w:rPr>
            <w:t>（</w:t>
          </w:r>
          <w:r>
            <w:rPr>
              <w:rFonts w:ascii="Times New Roman" w:hAnsi="Times New Roman"/>
              <w:sz w:val="32"/>
              <w:szCs w:val="32"/>
            </w:rPr>
            <w:fldChar w:fldCharType="begin"/>
          </w:r>
          <w:r>
            <w:rPr>
              <w:rFonts w:ascii="Times New Roman" w:hAnsi="Times New Roman"/>
              <w:sz w:val="32"/>
              <w:szCs w:val="32"/>
            </w:rPr>
            <w:instrText xml:space="preserve"> PAGEREF _Toc25944 \h </w:instrText>
          </w:r>
          <w:r>
            <w:rPr>
              <w:rFonts w:ascii="Times New Roman" w:hAnsi="Times New Roman"/>
              <w:sz w:val="32"/>
              <w:szCs w:val="32"/>
            </w:rPr>
            <w:fldChar w:fldCharType="separate"/>
          </w:r>
          <w:r>
            <w:rPr>
              <w:rFonts w:ascii="Times New Roman" w:hAnsi="Times New Roman"/>
              <w:sz w:val="32"/>
              <w:szCs w:val="32"/>
            </w:rPr>
            <w:t>75</w:t>
          </w:r>
          <w:r>
            <w:rPr>
              <w:rFonts w:ascii="Times New Roman" w:hAnsi="Times New Roman"/>
              <w:sz w:val="32"/>
              <w:szCs w:val="32"/>
            </w:rPr>
            <w:fldChar w:fldCharType="end"/>
          </w:r>
          <w:r>
            <w:rPr>
              <w:rFonts w:hint="eastAsia" w:ascii="Times New Roman" w:hAnsi="Times New Roman" w:eastAsia="方正小标宋_GBK" w:cs="方正小标宋_GBK"/>
              <w:color w:val="auto"/>
              <w:sz w:val="32"/>
              <w:szCs w:val="32"/>
              <w:highlight w:val="none"/>
            </w:rPr>
            <w:fldChar w:fldCharType="end"/>
          </w:r>
          <w:r>
            <w:rPr>
              <w:rFonts w:hint="eastAsia" w:ascii="Times New Roman" w:hAnsi="Times New Roman" w:eastAsia="方正楷体_GBK"/>
              <w:sz w:val="32"/>
              <w:szCs w:val="32"/>
              <w:lang w:eastAsia="zh-CN"/>
            </w:rPr>
            <w:t>）</w:t>
          </w:r>
        </w:p>
        <w:p w14:paraId="4DBAC387">
          <w:pPr>
            <w:pStyle w:val="18"/>
            <w:tabs>
              <w:tab w:val="right" w:leader="middleDot" w:pos="9072"/>
            </w:tabs>
            <w:rPr>
              <w:rFonts w:ascii="Times New Roman" w:hAnsi="Times New Roman" w:eastAsia="方正楷体_GBK"/>
              <w:sz w:val="32"/>
              <w:szCs w:val="32"/>
            </w:rPr>
          </w:pP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HYPERLINK \l _Toc15544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lang w:val="en-US" w:eastAsia="zh-CN"/>
            </w:rPr>
            <w:t>第一章 支撑打造</w:t>
          </w:r>
          <w:r>
            <w:rPr>
              <w:rFonts w:hint="eastAsia" w:ascii="Times New Roman" w:hAnsi="Times New Roman" w:eastAsia="方正楷体_GBK"/>
              <w:sz w:val="32"/>
              <w:szCs w:val="32"/>
            </w:rPr>
            <w:t>国际消费中心城市</w:t>
          </w:r>
          <w:r>
            <w:rPr>
              <w:rFonts w:ascii="Times New Roman" w:hAnsi="Times New Roman" w:eastAsia="方正楷体_GBK"/>
              <w:sz w:val="32"/>
              <w:szCs w:val="32"/>
            </w:rPr>
            <w:tab/>
          </w:r>
          <w:r>
            <w:rPr>
              <w:rFonts w:hint="eastAsia" w:ascii="Times New Roman" w:hAnsi="Times New Roman" w:eastAsia="方正楷体_GBK"/>
              <w:sz w:val="32"/>
              <w:szCs w:val="32"/>
              <w:lang w:eastAsia="zh-CN"/>
            </w:rPr>
            <w:t>（</w:t>
          </w:r>
          <w:r>
            <w:rPr>
              <w:rFonts w:ascii="Times New Roman" w:hAnsi="Times New Roman" w:eastAsia="方正楷体_GBK"/>
              <w:sz w:val="32"/>
              <w:szCs w:val="32"/>
            </w:rPr>
            <w:fldChar w:fldCharType="begin"/>
          </w:r>
          <w:r>
            <w:rPr>
              <w:rFonts w:ascii="Times New Roman" w:hAnsi="Times New Roman" w:eastAsia="方正楷体_GBK"/>
              <w:sz w:val="32"/>
              <w:szCs w:val="32"/>
            </w:rPr>
            <w:instrText xml:space="preserve"> PAGEREF _Toc15544 \h </w:instrText>
          </w:r>
          <w:r>
            <w:rPr>
              <w:rFonts w:ascii="Times New Roman" w:hAnsi="Times New Roman" w:eastAsia="方正楷体_GBK"/>
              <w:sz w:val="32"/>
              <w:szCs w:val="32"/>
            </w:rPr>
            <w:fldChar w:fldCharType="separate"/>
          </w:r>
          <w:r>
            <w:rPr>
              <w:rFonts w:ascii="Times New Roman" w:hAnsi="Times New Roman" w:eastAsia="方正楷体_GBK"/>
              <w:sz w:val="32"/>
              <w:szCs w:val="32"/>
            </w:rPr>
            <w:t>75</w:t>
          </w:r>
          <w:r>
            <w:rPr>
              <w:rFonts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lang w:eastAsia="zh-CN"/>
            </w:rPr>
            <w:t>）</w:t>
          </w:r>
        </w:p>
        <w:p w14:paraId="2C49FCD0">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_Toc14140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lang w:val="en-US" w:eastAsia="zh-CN"/>
            </w:rPr>
            <w:t xml:space="preserve">第一节 </w:t>
          </w:r>
          <w:r>
            <w:rPr>
              <w:rFonts w:hint="eastAsia" w:ascii="Times New Roman" w:hAnsi="Times New Roman" w:eastAsia="方正仿宋_GBK"/>
              <w:sz w:val="32"/>
              <w:szCs w:val="32"/>
            </w:rPr>
            <w:t>打造“1+2+N”消费集聚区</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_Toc14140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75</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519FF86B">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_Toc23930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lang w:val="en-US" w:eastAsia="zh-CN"/>
            </w:rPr>
            <w:t>第二节 建设一批标志性城市打卡目的地</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_Toc23930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76</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13FCE61B">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_Toc8785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lang w:val="en-US" w:eastAsia="zh-CN"/>
            </w:rPr>
            <w:t xml:space="preserve">第三节 </w:t>
          </w:r>
          <w:r>
            <w:rPr>
              <w:rFonts w:hint="eastAsia" w:ascii="Times New Roman" w:hAnsi="Times New Roman" w:eastAsia="方正仿宋_GBK"/>
              <w:sz w:val="32"/>
              <w:szCs w:val="32"/>
            </w:rPr>
            <w:t>全面营造活力特色消费新场景</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_Toc8785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77</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727EB5DC">
          <w:pPr>
            <w:pStyle w:val="18"/>
            <w:tabs>
              <w:tab w:val="right" w:leader="middleDot" w:pos="9072"/>
            </w:tabs>
            <w:rPr>
              <w:rFonts w:ascii="Times New Roman" w:hAnsi="Times New Roman" w:eastAsia="方正楷体_GBK"/>
              <w:sz w:val="32"/>
              <w:szCs w:val="32"/>
            </w:rPr>
          </w:pP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HYPERLINK \l _Toc578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lang w:val="en-US" w:eastAsia="zh-CN"/>
            </w:rPr>
            <w:t xml:space="preserve">第二章 </w:t>
          </w:r>
          <w:r>
            <w:rPr>
              <w:rFonts w:hint="eastAsia" w:ascii="Times New Roman" w:hAnsi="Times New Roman" w:eastAsia="方正楷体_GBK"/>
              <w:sz w:val="32"/>
              <w:szCs w:val="32"/>
            </w:rPr>
            <w:t>扩大有效投资</w:t>
          </w:r>
          <w:r>
            <w:rPr>
              <w:rFonts w:ascii="Times New Roman" w:hAnsi="Times New Roman" w:eastAsia="方正楷体_GBK"/>
              <w:sz w:val="32"/>
              <w:szCs w:val="32"/>
            </w:rPr>
            <w:tab/>
          </w:r>
          <w:r>
            <w:rPr>
              <w:rFonts w:hint="eastAsia" w:ascii="Times New Roman" w:hAnsi="Times New Roman" w:eastAsia="方正楷体_GBK"/>
              <w:sz w:val="32"/>
              <w:szCs w:val="32"/>
              <w:lang w:eastAsia="zh-CN"/>
            </w:rPr>
            <w:t>（</w:t>
          </w:r>
          <w:r>
            <w:rPr>
              <w:rFonts w:ascii="Times New Roman" w:hAnsi="Times New Roman" w:eastAsia="方正楷体_GBK"/>
              <w:sz w:val="32"/>
              <w:szCs w:val="32"/>
            </w:rPr>
            <w:fldChar w:fldCharType="begin"/>
          </w:r>
          <w:r>
            <w:rPr>
              <w:rFonts w:ascii="Times New Roman" w:hAnsi="Times New Roman" w:eastAsia="方正楷体_GBK"/>
              <w:sz w:val="32"/>
              <w:szCs w:val="32"/>
            </w:rPr>
            <w:instrText xml:space="preserve"> PAGEREF _Toc578 \h </w:instrText>
          </w:r>
          <w:r>
            <w:rPr>
              <w:rFonts w:ascii="Times New Roman" w:hAnsi="Times New Roman" w:eastAsia="方正楷体_GBK"/>
              <w:sz w:val="32"/>
              <w:szCs w:val="32"/>
            </w:rPr>
            <w:fldChar w:fldCharType="separate"/>
          </w:r>
          <w:r>
            <w:rPr>
              <w:rFonts w:ascii="Times New Roman" w:hAnsi="Times New Roman" w:eastAsia="方正楷体_GBK"/>
              <w:sz w:val="32"/>
              <w:szCs w:val="32"/>
            </w:rPr>
            <w:t>78</w:t>
          </w:r>
          <w:r>
            <w:rPr>
              <w:rFonts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lang w:eastAsia="zh-CN"/>
            </w:rPr>
            <w:t>）</w:t>
          </w:r>
        </w:p>
        <w:p w14:paraId="0805C9A8">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_Toc6017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第一节 加强科产城重点领域投资</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_Toc6017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78</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58C069E9">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_Toc14148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第二节 优化政府主导型投资模式</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_Toc14148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78</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0CA80DF5">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_Toc32106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w:t>
          </w:r>
          <w:r>
            <w:rPr>
              <w:rFonts w:hint="eastAsia" w:ascii="Times New Roman" w:hAnsi="Times New Roman" w:eastAsia="方正仿宋_GBK"/>
              <w:sz w:val="32"/>
              <w:szCs w:val="32"/>
              <w:lang w:val="en-US" w:eastAsia="zh-CN"/>
            </w:rPr>
            <w:t>三</w:t>
          </w:r>
          <w:r>
            <w:rPr>
              <w:rFonts w:hint="eastAsia" w:ascii="Times New Roman" w:hAnsi="Times New Roman" w:eastAsia="方正仿宋_GBK"/>
              <w:sz w:val="32"/>
              <w:szCs w:val="32"/>
            </w:rPr>
            <w:t>节 创新市场主导的有效投资内生增长机制</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_Toc32106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79</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668DE64A">
          <w:pPr>
            <w:pStyle w:val="18"/>
            <w:tabs>
              <w:tab w:val="right" w:leader="middleDot" w:pos="9072"/>
            </w:tabs>
            <w:rPr>
              <w:rFonts w:ascii="Times New Roman" w:hAnsi="Times New Roman" w:eastAsia="方正楷体_GBK"/>
              <w:sz w:val="32"/>
              <w:szCs w:val="32"/>
            </w:rPr>
          </w:pP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HYPERLINK \l _Toc11994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lang w:val="en-US" w:eastAsia="zh-CN"/>
            </w:rPr>
            <w:t>第三章 深度融入全国统一大市场建设</w:t>
          </w:r>
          <w:r>
            <w:rPr>
              <w:rFonts w:ascii="Times New Roman" w:hAnsi="Times New Roman" w:eastAsia="方正楷体_GBK"/>
              <w:sz w:val="32"/>
              <w:szCs w:val="32"/>
            </w:rPr>
            <w:tab/>
          </w:r>
          <w:r>
            <w:rPr>
              <w:rFonts w:hint="eastAsia" w:ascii="Times New Roman" w:hAnsi="Times New Roman" w:eastAsia="方正楷体_GBK"/>
              <w:sz w:val="32"/>
              <w:szCs w:val="32"/>
              <w:lang w:eastAsia="zh-CN"/>
            </w:rPr>
            <w:t>（</w:t>
          </w:r>
          <w:r>
            <w:rPr>
              <w:rFonts w:ascii="Times New Roman" w:hAnsi="Times New Roman" w:eastAsia="方正楷体_GBK"/>
              <w:sz w:val="32"/>
              <w:szCs w:val="32"/>
            </w:rPr>
            <w:fldChar w:fldCharType="begin"/>
          </w:r>
          <w:r>
            <w:rPr>
              <w:rFonts w:ascii="Times New Roman" w:hAnsi="Times New Roman" w:eastAsia="方正楷体_GBK"/>
              <w:sz w:val="32"/>
              <w:szCs w:val="32"/>
            </w:rPr>
            <w:instrText xml:space="preserve"> PAGEREF _Toc11994 \h </w:instrText>
          </w:r>
          <w:r>
            <w:rPr>
              <w:rFonts w:ascii="Times New Roman" w:hAnsi="Times New Roman" w:eastAsia="方正楷体_GBK"/>
              <w:sz w:val="32"/>
              <w:szCs w:val="32"/>
            </w:rPr>
            <w:fldChar w:fldCharType="separate"/>
          </w:r>
          <w:r>
            <w:rPr>
              <w:rFonts w:ascii="Times New Roman" w:hAnsi="Times New Roman" w:eastAsia="方正楷体_GBK"/>
              <w:sz w:val="32"/>
              <w:szCs w:val="32"/>
            </w:rPr>
            <w:t>80</w:t>
          </w:r>
          <w:r>
            <w:rPr>
              <w:rFonts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lang w:eastAsia="zh-CN"/>
            </w:rPr>
            <w:t>）</w:t>
          </w:r>
        </w:p>
        <w:p w14:paraId="18C6F941">
          <w:pPr>
            <w:pStyle w:val="15"/>
            <w:tabs>
              <w:tab w:val="right" w:leader="middleDot" w:pos="9072"/>
            </w:tabs>
            <w:rPr>
              <w:rFonts w:ascii="Times New Roman" w:hAnsi="Times New Roman"/>
              <w:sz w:val="32"/>
              <w:szCs w:val="32"/>
            </w:rPr>
          </w:pPr>
          <w:r>
            <w:rPr>
              <w:rFonts w:hint="eastAsia" w:ascii="Times New Roman" w:hAnsi="Times New Roman" w:eastAsia="方正小标宋_GBK" w:cs="方正小标宋_GBK"/>
              <w:color w:val="auto"/>
              <w:sz w:val="32"/>
              <w:szCs w:val="32"/>
              <w:highlight w:val="none"/>
            </w:rPr>
            <w:fldChar w:fldCharType="begin"/>
          </w:r>
          <w:r>
            <w:rPr>
              <w:rFonts w:hint="eastAsia" w:ascii="Times New Roman" w:hAnsi="Times New Roman" w:eastAsia="方正小标宋_GBK" w:cs="方正小标宋_GBK"/>
              <w:sz w:val="32"/>
              <w:szCs w:val="32"/>
              <w:highlight w:val="none"/>
            </w:rPr>
            <w:instrText xml:space="preserve"> HYPERLINK \l _Toc29267 </w:instrText>
          </w:r>
          <w:r>
            <w:rPr>
              <w:rFonts w:hint="eastAsia" w:ascii="Times New Roman" w:hAnsi="Times New Roman" w:eastAsia="方正小标宋_GBK" w:cs="方正小标宋_GBK"/>
              <w:sz w:val="32"/>
              <w:szCs w:val="32"/>
              <w:highlight w:val="none"/>
            </w:rPr>
            <w:fldChar w:fldCharType="separate"/>
          </w:r>
          <w:r>
            <w:rPr>
              <w:rFonts w:hint="eastAsia" w:ascii="Times New Roman" w:hAnsi="Times New Roman" w:eastAsia="方正黑体_GBK" w:cs="方正黑体_GBK"/>
              <w:sz w:val="32"/>
              <w:szCs w:val="32"/>
              <w:highlight w:val="none"/>
            </w:rPr>
            <w:t>第</w:t>
          </w:r>
          <w:r>
            <w:rPr>
              <w:rFonts w:hint="eastAsia" w:ascii="Times New Roman" w:hAnsi="Times New Roman" w:eastAsia="方正黑体_GBK" w:cs="方正黑体_GBK"/>
              <w:sz w:val="32"/>
              <w:szCs w:val="32"/>
              <w:highlight w:val="none"/>
              <w:lang w:val="en-US" w:eastAsia="zh-CN"/>
            </w:rPr>
            <w:t>六</w:t>
          </w:r>
          <w:r>
            <w:rPr>
              <w:rFonts w:hint="eastAsia" w:ascii="Times New Roman" w:hAnsi="Times New Roman" w:eastAsia="方正黑体_GBK" w:cs="方正黑体_GBK"/>
              <w:sz w:val="32"/>
              <w:szCs w:val="32"/>
              <w:highlight w:val="none"/>
            </w:rPr>
            <w:t>篇 建设全面深化改革扩大开放的先行示范</w:t>
          </w:r>
          <w:r>
            <w:rPr>
              <w:rFonts w:ascii="Times New Roman" w:hAnsi="Times New Roman"/>
              <w:sz w:val="32"/>
              <w:szCs w:val="32"/>
            </w:rPr>
            <w:tab/>
          </w:r>
          <w:r>
            <w:rPr>
              <w:rFonts w:hint="eastAsia" w:ascii="Times New Roman" w:hAnsi="Times New Roman" w:eastAsia="方正楷体_GBK"/>
              <w:sz w:val="32"/>
              <w:szCs w:val="32"/>
              <w:lang w:eastAsia="zh-CN"/>
            </w:rPr>
            <w:t>（</w:t>
          </w:r>
          <w:r>
            <w:rPr>
              <w:rFonts w:ascii="Times New Roman" w:hAnsi="Times New Roman"/>
              <w:sz w:val="32"/>
              <w:szCs w:val="32"/>
            </w:rPr>
            <w:fldChar w:fldCharType="begin"/>
          </w:r>
          <w:r>
            <w:rPr>
              <w:rFonts w:ascii="Times New Roman" w:hAnsi="Times New Roman"/>
              <w:sz w:val="32"/>
              <w:szCs w:val="32"/>
            </w:rPr>
            <w:instrText xml:space="preserve"> PAGEREF _Toc29267 \h </w:instrText>
          </w:r>
          <w:r>
            <w:rPr>
              <w:rFonts w:ascii="Times New Roman" w:hAnsi="Times New Roman"/>
              <w:sz w:val="32"/>
              <w:szCs w:val="32"/>
            </w:rPr>
            <w:fldChar w:fldCharType="separate"/>
          </w:r>
          <w:r>
            <w:rPr>
              <w:rFonts w:ascii="Times New Roman" w:hAnsi="Times New Roman"/>
              <w:sz w:val="32"/>
              <w:szCs w:val="32"/>
            </w:rPr>
            <w:t>81</w:t>
          </w:r>
          <w:r>
            <w:rPr>
              <w:rFonts w:ascii="Times New Roman" w:hAnsi="Times New Roman"/>
              <w:sz w:val="32"/>
              <w:szCs w:val="32"/>
            </w:rPr>
            <w:fldChar w:fldCharType="end"/>
          </w:r>
          <w:r>
            <w:rPr>
              <w:rFonts w:hint="eastAsia" w:ascii="Times New Roman" w:hAnsi="Times New Roman" w:eastAsia="方正小标宋_GBK" w:cs="方正小标宋_GBK"/>
              <w:color w:val="auto"/>
              <w:sz w:val="32"/>
              <w:szCs w:val="32"/>
              <w:highlight w:val="none"/>
            </w:rPr>
            <w:fldChar w:fldCharType="end"/>
          </w:r>
          <w:r>
            <w:rPr>
              <w:rFonts w:hint="eastAsia" w:ascii="Times New Roman" w:hAnsi="Times New Roman" w:eastAsia="方正楷体_GBK"/>
              <w:sz w:val="32"/>
              <w:szCs w:val="32"/>
              <w:lang w:eastAsia="zh-CN"/>
            </w:rPr>
            <w:t>）</w:t>
          </w:r>
        </w:p>
        <w:p w14:paraId="69B663E3">
          <w:pPr>
            <w:pStyle w:val="18"/>
            <w:tabs>
              <w:tab w:val="right" w:leader="middleDot" w:pos="9072"/>
            </w:tabs>
            <w:rPr>
              <w:rFonts w:ascii="Times New Roman" w:hAnsi="Times New Roman" w:eastAsia="方正楷体_GBK"/>
              <w:sz w:val="32"/>
              <w:szCs w:val="32"/>
            </w:rPr>
          </w:pP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HYPERLINK \l _Toc13883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rPr>
            <w:t>第一章 以“一城多园”共建西部科学城</w:t>
          </w:r>
          <w:r>
            <w:rPr>
              <w:rFonts w:ascii="Times New Roman" w:hAnsi="Times New Roman" w:eastAsia="方正楷体_GBK"/>
              <w:sz w:val="32"/>
              <w:szCs w:val="32"/>
            </w:rPr>
            <w:tab/>
          </w:r>
          <w:r>
            <w:rPr>
              <w:rFonts w:hint="eastAsia" w:ascii="Times New Roman" w:hAnsi="Times New Roman" w:eastAsia="方正楷体_GBK"/>
              <w:sz w:val="32"/>
              <w:szCs w:val="32"/>
              <w:lang w:eastAsia="zh-CN"/>
            </w:rPr>
            <w:t>（</w:t>
          </w:r>
          <w:r>
            <w:rPr>
              <w:rFonts w:ascii="Times New Roman" w:hAnsi="Times New Roman" w:eastAsia="方正楷体_GBK"/>
              <w:sz w:val="32"/>
              <w:szCs w:val="32"/>
            </w:rPr>
            <w:fldChar w:fldCharType="begin"/>
          </w:r>
          <w:r>
            <w:rPr>
              <w:rFonts w:ascii="Times New Roman" w:hAnsi="Times New Roman" w:eastAsia="方正楷体_GBK"/>
              <w:sz w:val="32"/>
              <w:szCs w:val="32"/>
            </w:rPr>
            <w:instrText xml:space="preserve"> PAGEREF _Toc13883 \h </w:instrText>
          </w:r>
          <w:r>
            <w:rPr>
              <w:rFonts w:ascii="Times New Roman" w:hAnsi="Times New Roman" w:eastAsia="方正楷体_GBK"/>
              <w:sz w:val="32"/>
              <w:szCs w:val="32"/>
            </w:rPr>
            <w:fldChar w:fldCharType="separate"/>
          </w:r>
          <w:r>
            <w:rPr>
              <w:rFonts w:ascii="Times New Roman" w:hAnsi="Times New Roman" w:eastAsia="方正楷体_GBK"/>
              <w:sz w:val="32"/>
              <w:szCs w:val="32"/>
            </w:rPr>
            <w:t>81</w:t>
          </w:r>
          <w:r>
            <w:rPr>
              <w:rFonts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lang w:eastAsia="zh-CN"/>
            </w:rPr>
            <w:t>）</w:t>
          </w:r>
        </w:p>
        <w:p w14:paraId="22D84761">
          <w:pPr>
            <w:pStyle w:val="10"/>
            <w:tabs>
              <w:tab w:val="right" w:leader="middleDot" w:pos="9072"/>
            </w:tabs>
            <w:rPr>
              <w:rFonts w:ascii="Times New Roman" w:hAnsi="Times New Roman" w:eastAsia="方正仿宋_GBK"/>
              <w:spacing w:val="-11"/>
              <w:sz w:val="32"/>
              <w:szCs w:val="32"/>
            </w:rPr>
          </w:pPr>
          <w:r>
            <w:rPr>
              <w:rFonts w:hint="eastAsia" w:ascii="Times New Roman" w:hAnsi="Times New Roman" w:eastAsia="方正仿宋_GBK"/>
              <w:spacing w:val="-11"/>
              <w:sz w:val="32"/>
              <w:szCs w:val="32"/>
            </w:rPr>
            <w:fldChar w:fldCharType="begin"/>
          </w:r>
          <w:r>
            <w:rPr>
              <w:rFonts w:hint="eastAsia" w:ascii="Times New Roman" w:hAnsi="Times New Roman" w:eastAsia="方正仿宋_GBK"/>
              <w:spacing w:val="-11"/>
              <w:sz w:val="32"/>
              <w:szCs w:val="32"/>
            </w:rPr>
            <w:instrText xml:space="preserve"> HYPERLINK \l _Toc15995 </w:instrText>
          </w:r>
          <w:r>
            <w:rPr>
              <w:rFonts w:hint="eastAsia" w:ascii="Times New Roman" w:hAnsi="Times New Roman" w:eastAsia="方正仿宋_GBK"/>
              <w:spacing w:val="-11"/>
              <w:sz w:val="32"/>
              <w:szCs w:val="32"/>
            </w:rPr>
            <w:fldChar w:fldCharType="separate"/>
          </w:r>
          <w:r>
            <w:rPr>
              <w:rFonts w:hint="eastAsia" w:ascii="Times New Roman" w:hAnsi="Times New Roman" w:eastAsia="方正仿宋_GBK"/>
              <w:spacing w:val="-11"/>
              <w:sz w:val="32"/>
              <w:szCs w:val="32"/>
            </w:rPr>
            <w:t>第一节 推动与西部（成都）科学城、成都高新区联建</w:t>
          </w:r>
          <w:r>
            <w:rPr>
              <w:rFonts w:ascii="Times New Roman" w:hAnsi="Times New Roman" w:eastAsia="方正仿宋_GBK"/>
              <w:spacing w:val="-11"/>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pacing w:val="-11"/>
              <w:sz w:val="32"/>
              <w:szCs w:val="32"/>
            </w:rPr>
            <w:fldChar w:fldCharType="begin"/>
          </w:r>
          <w:r>
            <w:rPr>
              <w:rFonts w:ascii="Times New Roman" w:hAnsi="Times New Roman" w:eastAsia="方正仿宋_GBK"/>
              <w:spacing w:val="-11"/>
              <w:sz w:val="32"/>
              <w:szCs w:val="32"/>
            </w:rPr>
            <w:instrText xml:space="preserve"> PAGEREF _Toc15995 \h </w:instrText>
          </w:r>
          <w:r>
            <w:rPr>
              <w:rFonts w:ascii="Times New Roman" w:hAnsi="Times New Roman" w:eastAsia="方正仿宋_GBK"/>
              <w:spacing w:val="-11"/>
              <w:sz w:val="32"/>
              <w:szCs w:val="32"/>
            </w:rPr>
            <w:fldChar w:fldCharType="separate"/>
          </w:r>
          <w:r>
            <w:rPr>
              <w:rFonts w:ascii="Times New Roman" w:hAnsi="Times New Roman" w:eastAsia="方正仿宋_GBK"/>
              <w:spacing w:val="-11"/>
              <w:sz w:val="32"/>
              <w:szCs w:val="32"/>
            </w:rPr>
            <w:t>81</w:t>
          </w:r>
          <w:r>
            <w:rPr>
              <w:rFonts w:ascii="Times New Roman" w:hAnsi="Times New Roman" w:eastAsia="方正仿宋_GBK"/>
              <w:spacing w:val="-11"/>
              <w:sz w:val="32"/>
              <w:szCs w:val="32"/>
            </w:rPr>
            <w:fldChar w:fldCharType="end"/>
          </w:r>
          <w:r>
            <w:rPr>
              <w:rFonts w:hint="eastAsia" w:ascii="Times New Roman" w:hAnsi="Times New Roman" w:eastAsia="方正仿宋_GBK"/>
              <w:spacing w:val="-11"/>
              <w:sz w:val="32"/>
              <w:szCs w:val="32"/>
            </w:rPr>
            <w:fldChar w:fldCharType="end"/>
          </w:r>
          <w:r>
            <w:rPr>
              <w:rFonts w:hint="eastAsia" w:ascii="Times New Roman" w:hAnsi="Times New Roman" w:eastAsia="方正楷体_GBK"/>
              <w:sz w:val="32"/>
              <w:szCs w:val="32"/>
              <w:lang w:eastAsia="zh-CN"/>
            </w:rPr>
            <w:t>）</w:t>
          </w:r>
        </w:p>
        <w:p w14:paraId="791C5FDF">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_Toc27909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第二节 推动与绵阳科技城联动</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_Toc27909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82</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639D380D">
          <w:pPr>
            <w:pStyle w:val="18"/>
            <w:tabs>
              <w:tab w:val="right" w:leader="middleDot" w:pos="9072"/>
            </w:tabs>
            <w:rPr>
              <w:rFonts w:ascii="Times New Roman" w:hAnsi="Times New Roman" w:eastAsia="方正楷体_GBK"/>
              <w:sz w:val="32"/>
              <w:szCs w:val="32"/>
            </w:rPr>
          </w:pP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HYPERLINK \l _Toc502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rPr>
            <w:t>第二章 融入市域高质量发展新格局</w:t>
          </w:r>
          <w:r>
            <w:rPr>
              <w:rFonts w:ascii="Times New Roman" w:hAnsi="Times New Roman" w:eastAsia="方正楷体_GBK"/>
              <w:sz w:val="32"/>
              <w:szCs w:val="32"/>
            </w:rPr>
            <w:tab/>
          </w:r>
          <w:r>
            <w:rPr>
              <w:rFonts w:hint="eastAsia" w:ascii="Times New Roman" w:hAnsi="Times New Roman" w:eastAsia="方正楷体_GBK"/>
              <w:sz w:val="32"/>
              <w:szCs w:val="32"/>
              <w:lang w:eastAsia="zh-CN"/>
            </w:rPr>
            <w:t>（</w:t>
          </w:r>
          <w:r>
            <w:rPr>
              <w:rFonts w:ascii="Times New Roman" w:hAnsi="Times New Roman" w:eastAsia="方正楷体_GBK"/>
              <w:sz w:val="32"/>
              <w:szCs w:val="32"/>
            </w:rPr>
            <w:fldChar w:fldCharType="begin"/>
          </w:r>
          <w:r>
            <w:rPr>
              <w:rFonts w:ascii="Times New Roman" w:hAnsi="Times New Roman" w:eastAsia="方正楷体_GBK"/>
              <w:sz w:val="32"/>
              <w:szCs w:val="32"/>
            </w:rPr>
            <w:instrText xml:space="preserve"> PAGEREF _Toc502 \h </w:instrText>
          </w:r>
          <w:r>
            <w:rPr>
              <w:rFonts w:ascii="Times New Roman" w:hAnsi="Times New Roman" w:eastAsia="方正楷体_GBK"/>
              <w:sz w:val="32"/>
              <w:szCs w:val="32"/>
            </w:rPr>
            <w:fldChar w:fldCharType="separate"/>
          </w:r>
          <w:r>
            <w:rPr>
              <w:rFonts w:ascii="Times New Roman" w:hAnsi="Times New Roman" w:eastAsia="方正楷体_GBK"/>
              <w:sz w:val="32"/>
              <w:szCs w:val="32"/>
            </w:rPr>
            <w:t>83</w:t>
          </w:r>
          <w:r>
            <w:rPr>
              <w:rFonts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lang w:eastAsia="zh-CN"/>
            </w:rPr>
            <w:t>）</w:t>
          </w:r>
        </w:p>
        <w:p w14:paraId="4DE17F40">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_Toc15909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第一节 融入市域科创走廊建设</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_Toc15909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83</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1AB153D6">
          <w:pPr>
            <w:pStyle w:val="10"/>
            <w:tabs>
              <w:tab w:val="right" w:leader="middleDot" w:pos="9072"/>
            </w:tabs>
            <w:rPr>
              <w:rFonts w:ascii="Times New Roman" w:hAnsi="Times New Roman" w:eastAsia="方正仿宋_GBK"/>
              <w:spacing w:val="-17"/>
              <w:sz w:val="32"/>
              <w:szCs w:val="32"/>
            </w:rPr>
          </w:pPr>
          <w:r>
            <w:rPr>
              <w:rFonts w:hint="eastAsia" w:ascii="Times New Roman" w:hAnsi="Times New Roman" w:eastAsia="方正仿宋_GBK"/>
              <w:spacing w:val="-17"/>
              <w:sz w:val="32"/>
              <w:szCs w:val="32"/>
            </w:rPr>
            <w:fldChar w:fldCharType="begin"/>
          </w:r>
          <w:r>
            <w:rPr>
              <w:rFonts w:hint="eastAsia" w:ascii="Times New Roman" w:hAnsi="Times New Roman" w:eastAsia="方正仿宋_GBK"/>
              <w:spacing w:val="-17"/>
              <w:sz w:val="32"/>
              <w:szCs w:val="32"/>
            </w:rPr>
            <w:instrText xml:space="preserve"> HYPERLINK \l _Toc17027 </w:instrText>
          </w:r>
          <w:r>
            <w:rPr>
              <w:rFonts w:hint="eastAsia" w:ascii="Times New Roman" w:hAnsi="Times New Roman" w:eastAsia="方正仿宋_GBK"/>
              <w:spacing w:val="-17"/>
              <w:sz w:val="32"/>
              <w:szCs w:val="32"/>
            </w:rPr>
            <w:fldChar w:fldCharType="separate"/>
          </w:r>
          <w:r>
            <w:rPr>
              <w:rFonts w:hint="eastAsia" w:ascii="Times New Roman" w:hAnsi="Times New Roman" w:eastAsia="方正仿宋_GBK"/>
              <w:spacing w:val="-17"/>
              <w:sz w:val="32"/>
              <w:szCs w:val="32"/>
            </w:rPr>
            <w:t>第二节 推动西部（重庆）科学城“一核五区”一体化发展</w:t>
          </w:r>
          <w:r>
            <w:rPr>
              <w:rFonts w:ascii="Times New Roman" w:hAnsi="Times New Roman" w:eastAsia="方正仿宋_GBK"/>
              <w:spacing w:val="-17"/>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pacing w:val="-17"/>
              <w:sz w:val="32"/>
              <w:szCs w:val="32"/>
            </w:rPr>
            <w:fldChar w:fldCharType="begin"/>
          </w:r>
          <w:r>
            <w:rPr>
              <w:rFonts w:ascii="Times New Roman" w:hAnsi="Times New Roman" w:eastAsia="方正仿宋_GBK"/>
              <w:spacing w:val="-17"/>
              <w:sz w:val="32"/>
              <w:szCs w:val="32"/>
            </w:rPr>
            <w:instrText xml:space="preserve"> PAGEREF _Toc17027 \h </w:instrText>
          </w:r>
          <w:r>
            <w:rPr>
              <w:rFonts w:ascii="Times New Roman" w:hAnsi="Times New Roman" w:eastAsia="方正仿宋_GBK"/>
              <w:spacing w:val="-17"/>
              <w:sz w:val="32"/>
              <w:szCs w:val="32"/>
            </w:rPr>
            <w:fldChar w:fldCharType="separate"/>
          </w:r>
          <w:r>
            <w:rPr>
              <w:rFonts w:ascii="Times New Roman" w:hAnsi="Times New Roman" w:eastAsia="方正仿宋_GBK"/>
              <w:spacing w:val="-17"/>
              <w:sz w:val="32"/>
              <w:szCs w:val="32"/>
            </w:rPr>
            <w:t>84</w:t>
          </w:r>
          <w:r>
            <w:rPr>
              <w:rFonts w:ascii="Times New Roman" w:hAnsi="Times New Roman" w:eastAsia="方正仿宋_GBK"/>
              <w:spacing w:val="-17"/>
              <w:sz w:val="32"/>
              <w:szCs w:val="32"/>
            </w:rPr>
            <w:fldChar w:fldCharType="end"/>
          </w:r>
          <w:r>
            <w:rPr>
              <w:rFonts w:hint="eastAsia" w:ascii="Times New Roman" w:hAnsi="Times New Roman" w:eastAsia="方正仿宋_GBK"/>
              <w:spacing w:val="-17"/>
              <w:sz w:val="32"/>
              <w:szCs w:val="32"/>
            </w:rPr>
            <w:fldChar w:fldCharType="end"/>
          </w:r>
          <w:r>
            <w:rPr>
              <w:rFonts w:hint="eastAsia" w:ascii="Times New Roman" w:hAnsi="Times New Roman" w:eastAsia="方正楷体_GBK"/>
              <w:sz w:val="32"/>
              <w:szCs w:val="32"/>
              <w:lang w:eastAsia="zh-CN"/>
            </w:rPr>
            <w:t>）</w:t>
          </w:r>
        </w:p>
        <w:p w14:paraId="2A587302">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_Toc19671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第三节 深化区域对口协同发展</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_Toc19671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85</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1088FFFF">
          <w:pPr>
            <w:pStyle w:val="18"/>
            <w:tabs>
              <w:tab w:val="right" w:leader="middleDot" w:pos="9072"/>
            </w:tabs>
            <w:rPr>
              <w:rFonts w:ascii="Times New Roman" w:hAnsi="Times New Roman" w:eastAsia="方正楷体_GBK"/>
              <w:sz w:val="32"/>
              <w:szCs w:val="32"/>
            </w:rPr>
          </w:pP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HYPERLINK \l _Toc24828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lang w:val="en-US" w:eastAsia="zh-CN"/>
            </w:rPr>
            <w:t xml:space="preserve">第三章 </w:t>
          </w:r>
          <w:r>
            <w:rPr>
              <w:rFonts w:hint="eastAsia" w:ascii="Times New Roman" w:hAnsi="Times New Roman" w:eastAsia="方正楷体_GBK"/>
              <w:sz w:val="32"/>
              <w:szCs w:val="32"/>
            </w:rPr>
            <w:t>全力建设重庆市物流枢纽经济区高新区功能区</w:t>
          </w:r>
          <w:r>
            <w:rPr>
              <w:rFonts w:ascii="Times New Roman" w:hAnsi="Times New Roman" w:eastAsia="方正楷体_GBK"/>
              <w:sz w:val="32"/>
              <w:szCs w:val="32"/>
            </w:rPr>
            <w:tab/>
          </w:r>
          <w:r>
            <w:rPr>
              <w:rFonts w:hint="eastAsia" w:ascii="Times New Roman" w:hAnsi="Times New Roman" w:eastAsia="方正楷体_GBK"/>
              <w:sz w:val="32"/>
              <w:szCs w:val="32"/>
              <w:lang w:eastAsia="zh-CN"/>
            </w:rPr>
            <w:t>（</w:t>
          </w:r>
          <w:r>
            <w:rPr>
              <w:rFonts w:ascii="Times New Roman" w:hAnsi="Times New Roman" w:eastAsia="方正楷体_GBK"/>
              <w:sz w:val="32"/>
              <w:szCs w:val="32"/>
            </w:rPr>
            <w:fldChar w:fldCharType="begin"/>
          </w:r>
          <w:r>
            <w:rPr>
              <w:rFonts w:ascii="Times New Roman" w:hAnsi="Times New Roman" w:eastAsia="方正楷体_GBK"/>
              <w:sz w:val="32"/>
              <w:szCs w:val="32"/>
            </w:rPr>
            <w:instrText xml:space="preserve"> PAGEREF _Toc24828 \h </w:instrText>
          </w:r>
          <w:r>
            <w:rPr>
              <w:rFonts w:ascii="Times New Roman" w:hAnsi="Times New Roman" w:eastAsia="方正楷体_GBK"/>
              <w:sz w:val="32"/>
              <w:szCs w:val="32"/>
            </w:rPr>
            <w:fldChar w:fldCharType="separate"/>
          </w:r>
          <w:r>
            <w:rPr>
              <w:rFonts w:ascii="Times New Roman" w:hAnsi="Times New Roman" w:eastAsia="方正楷体_GBK"/>
              <w:sz w:val="32"/>
              <w:szCs w:val="32"/>
            </w:rPr>
            <w:t>86</w:t>
          </w:r>
          <w:r>
            <w:rPr>
              <w:rFonts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lang w:eastAsia="zh-CN"/>
            </w:rPr>
            <w:t>）</w:t>
          </w:r>
        </w:p>
        <w:p w14:paraId="4C7547FF">
          <w:pPr>
            <w:pStyle w:val="18"/>
            <w:tabs>
              <w:tab w:val="right" w:leader="middleDot" w:pos="9072"/>
            </w:tabs>
            <w:rPr>
              <w:rFonts w:ascii="Times New Roman" w:hAnsi="Times New Roman" w:eastAsia="方正楷体_GBK"/>
              <w:sz w:val="32"/>
              <w:szCs w:val="32"/>
            </w:rPr>
          </w:pP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HYPERLINK \l _Toc24282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rPr>
            <w:t>第四章 提档建设西永综保区和自贸区西永片区</w:t>
          </w:r>
          <w:r>
            <w:rPr>
              <w:rFonts w:ascii="Times New Roman" w:hAnsi="Times New Roman" w:eastAsia="方正楷体_GBK"/>
              <w:sz w:val="32"/>
              <w:szCs w:val="32"/>
            </w:rPr>
            <w:tab/>
          </w:r>
          <w:r>
            <w:rPr>
              <w:rFonts w:hint="eastAsia" w:ascii="Times New Roman" w:hAnsi="Times New Roman" w:eastAsia="方正楷体_GBK"/>
              <w:sz w:val="32"/>
              <w:szCs w:val="32"/>
              <w:lang w:eastAsia="zh-CN"/>
            </w:rPr>
            <w:t>（</w:t>
          </w:r>
          <w:r>
            <w:rPr>
              <w:rFonts w:ascii="Times New Roman" w:hAnsi="Times New Roman" w:eastAsia="方正楷体_GBK"/>
              <w:sz w:val="32"/>
              <w:szCs w:val="32"/>
            </w:rPr>
            <w:fldChar w:fldCharType="begin"/>
          </w:r>
          <w:r>
            <w:rPr>
              <w:rFonts w:ascii="Times New Roman" w:hAnsi="Times New Roman" w:eastAsia="方正楷体_GBK"/>
              <w:sz w:val="32"/>
              <w:szCs w:val="32"/>
            </w:rPr>
            <w:instrText xml:space="preserve"> PAGEREF _Toc24282 \h </w:instrText>
          </w:r>
          <w:r>
            <w:rPr>
              <w:rFonts w:ascii="Times New Roman" w:hAnsi="Times New Roman" w:eastAsia="方正楷体_GBK"/>
              <w:sz w:val="32"/>
              <w:szCs w:val="32"/>
            </w:rPr>
            <w:fldChar w:fldCharType="separate"/>
          </w:r>
          <w:r>
            <w:rPr>
              <w:rFonts w:ascii="Times New Roman" w:hAnsi="Times New Roman" w:eastAsia="方正楷体_GBK"/>
              <w:sz w:val="32"/>
              <w:szCs w:val="32"/>
            </w:rPr>
            <w:t>87</w:t>
          </w:r>
          <w:r>
            <w:rPr>
              <w:rFonts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lang w:eastAsia="zh-CN"/>
            </w:rPr>
            <w:t>）</w:t>
          </w:r>
        </w:p>
        <w:p w14:paraId="01661038">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_Toc31563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第一节 推动西永综保区优化调整</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_Toc31563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87</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401692B5">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_Toc21770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第二节 提升自贸区西永片区发展能级</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_Toc21770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88</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2E04B63F">
          <w:pPr>
            <w:pStyle w:val="18"/>
            <w:tabs>
              <w:tab w:val="right" w:leader="middleDot" w:pos="9072"/>
            </w:tabs>
            <w:rPr>
              <w:rFonts w:ascii="Times New Roman" w:hAnsi="Times New Roman" w:eastAsia="方正楷体_GBK"/>
              <w:sz w:val="32"/>
              <w:szCs w:val="32"/>
            </w:rPr>
          </w:pP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HYPERLINK \l _Toc9996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rPr>
            <w:t>第五章 持续推动重点领域改革</w:t>
          </w:r>
          <w:r>
            <w:rPr>
              <w:rFonts w:ascii="Times New Roman" w:hAnsi="Times New Roman" w:eastAsia="方正楷体_GBK"/>
              <w:sz w:val="32"/>
              <w:szCs w:val="32"/>
            </w:rPr>
            <w:tab/>
          </w:r>
          <w:r>
            <w:rPr>
              <w:rFonts w:hint="eastAsia" w:ascii="Times New Roman" w:hAnsi="Times New Roman" w:eastAsia="方正楷体_GBK"/>
              <w:sz w:val="32"/>
              <w:szCs w:val="32"/>
              <w:lang w:eastAsia="zh-CN"/>
            </w:rPr>
            <w:t>（</w:t>
          </w:r>
          <w:r>
            <w:rPr>
              <w:rFonts w:ascii="Times New Roman" w:hAnsi="Times New Roman" w:eastAsia="方正楷体_GBK"/>
              <w:sz w:val="32"/>
              <w:szCs w:val="32"/>
            </w:rPr>
            <w:fldChar w:fldCharType="begin"/>
          </w:r>
          <w:r>
            <w:rPr>
              <w:rFonts w:ascii="Times New Roman" w:hAnsi="Times New Roman" w:eastAsia="方正楷体_GBK"/>
              <w:sz w:val="32"/>
              <w:szCs w:val="32"/>
            </w:rPr>
            <w:instrText xml:space="preserve"> PAGEREF _Toc9996 \h </w:instrText>
          </w:r>
          <w:r>
            <w:rPr>
              <w:rFonts w:ascii="Times New Roman" w:hAnsi="Times New Roman" w:eastAsia="方正楷体_GBK"/>
              <w:sz w:val="32"/>
              <w:szCs w:val="32"/>
            </w:rPr>
            <w:fldChar w:fldCharType="separate"/>
          </w:r>
          <w:r>
            <w:rPr>
              <w:rFonts w:ascii="Times New Roman" w:hAnsi="Times New Roman" w:eastAsia="方正楷体_GBK"/>
              <w:sz w:val="32"/>
              <w:szCs w:val="32"/>
            </w:rPr>
            <w:t>89</w:t>
          </w:r>
          <w:r>
            <w:rPr>
              <w:rFonts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lang w:eastAsia="zh-CN"/>
            </w:rPr>
            <w:t>）</w:t>
          </w:r>
        </w:p>
        <w:p w14:paraId="17A00AC6">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_Toc3577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第一节 构建优化协同高效的机构职能体系</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_Toc3577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89</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68303815">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_Toc4678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第二节 全面建成数字重庆体系能力</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_Toc4678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89</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6AFA7575">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_Toc10829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第三节 深入开展国资国企改革</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_Toc10829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90</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0DEED6BE">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_Toc17121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第四节 营造一流营商环境</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_Toc17121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91</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4A7EA77B">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_Toc10459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 xml:space="preserve">第五节 </w:t>
          </w:r>
          <w:r>
            <w:rPr>
              <w:rFonts w:hint="eastAsia" w:ascii="Times New Roman" w:hAnsi="Times New Roman" w:eastAsia="方正仿宋_GBK"/>
              <w:sz w:val="32"/>
              <w:szCs w:val="32"/>
              <w:lang w:val="en-US" w:eastAsia="zh-CN"/>
            </w:rPr>
            <w:t>强化</w:t>
          </w:r>
          <w:r>
            <w:rPr>
              <w:rFonts w:hint="eastAsia" w:ascii="Times New Roman" w:hAnsi="Times New Roman" w:eastAsia="方正仿宋_GBK"/>
              <w:sz w:val="32"/>
              <w:szCs w:val="32"/>
            </w:rPr>
            <w:t>建设发展的财政金融保障</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_Toc10459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92</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5C1E7872">
          <w:pPr>
            <w:pStyle w:val="15"/>
            <w:tabs>
              <w:tab w:val="right" w:leader="middleDot" w:pos="9072"/>
            </w:tabs>
            <w:rPr>
              <w:rFonts w:ascii="Times New Roman" w:hAnsi="Times New Roman"/>
              <w:sz w:val="32"/>
              <w:szCs w:val="32"/>
            </w:rPr>
          </w:pPr>
          <w:r>
            <w:rPr>
              <w:rFonts w:hint="eastAsia" w:ascii="Times New Roman" w:hAnsi="Times New Roman" w:eastAsia="方正小标宋_GBK" w:cs="方正小标宋_GBK"/>
              <w:color w:val="auto"/>
              <w:sz w:val="32"/>
              <w:szCs w:val="32"/>
              <w:highlight w:val="none"/>
            </w:rPr>
            <w:fldChar w:fldCharType="begin"/>
          </w:r>
          <w:r>
            <w:rPr>
              <w:rFonts w:hint="eastAsia" w:ascii="Times New Roman" w:hAnsi="Times New Roman" w:eastAsia="方正小标宋_GBK" w:cs="方正小标宋_GBK"/>
              <w:sz w:val="32"/>
              <w:szCs w:val="32"/>
              <w:highlight w:val="none"/>
            </w:rPr>
            <w:instrText xml:space="preserve"> HYPERLINK \l _Toc12988 </w:instrText>
          </w:r>
          <w:r>
            <w:rPr>
              <w:rFonts w:hint="eastAsia" w:ascii="Times New Roman" w:hAnsi="Times New Roman" w:eastAsia="方正小标宋_GBK" w:cs="方正小标宋_GBK"/>
              <w:sz w:val="32"/>
              <w:szCs w:val="32"/>
              <w:highlight w:val="none"/>
            </w:rPr>
            <w:fldChar w:fldCharType="separate"/>
          </w:r>
          <w:r>
            <w:rPr>
              <w:rFonts w:hint="eastAsia" w:ascii="Times New Roman" w:hAnsi="Times New Roman" w:eastAsia="方正黑体_GBK" w:cs="方正黑体_GBK"/>
              <w:sz w:val="32"/>
              <w:szCs w:val="32"/>
              <w:highlight w:val="none"/>
            </w:rPr>
            <w:t>第</w:t>
          </w:r>
          <w:r>
            <w:rPr>
              <w:rFonts w:hint="eastAsia" w:ascii="Times New Roman" w:hAnsi="Times New Roman" w:eastAsia="方正黑体_GBK" w:cs="方正黑体_GBK"/>
              <w:sz w:val="32"/>
              <w:szCs w:val="32"/>
              <w:highlight w:val="none"/>
              <w:lang w:val="en-US" w:eastAsia="zh-CN"/>
            </w:rPr>
            <w:t>七</w:t>
          </w:r>
          <w:r>
            <w:rPr>
              <w:rFonts w:hint="eastAsia" w:ascii="Times New Roman" w:hAnsi="Times New Roman" w:eastAsia="方正黑体_GBK" w:cs="方正黑体_GBK"/>
              <w:sz w:val="32"/>
              <w:szCs w:val="32"/>
              <w:highlight w:val="none"/>
            </w:rPr>
            <w:t>篇 统筹高质量发展和高水平安全</w:t>
          </w:r>
          <w:r>
            <w:rPr>
              <w:rFonts w:ascii="Times New Roman" w:hAnsi="Times New Roman"/>
              <w:sz w:val="32"/>
              <w:szCs w:val="32"/>
            </w:rPr>
            <w:tab/>
          </w:r>
          <w:r>
            <w:rPr>
              <w:rFonts w:hint="eastAsia" w:ascii="Times New Roman" w:hAnsi="Times New Roman" w:eastAsia="方正楷体_GBK"/>
              <w:sz w:val="32"/>
              <w:szCs w:val="32"/>
              <w:lang w:eastAsia="zh-CN"/>
            </w:rPr>
            <w:t>（</w:t>
          </w:r>
          <w:r>
            <w:rPr>
              <w:rFonts w:ascii="Times New Roman" w:hAnsi="Times New Roman"/>
              <w:sz w:val="32"/>
              <w:szCs w:val="32"/>
            </w:rPr>
            <w:fldChar w:fldCharType="begin"/>
          </w:r>
          <w:r>
            <w:rPr>
              <w:rFonts w:ascii="Times New Roman" w:hAnsi="Times New Roman"/>
              <w:sz w:val="32"/>
              <w:szCs w:val="32"/>
            </w:rPr>
            <w:instrText xml:space="preserve"> PAGEREF _Toc12988 \h </w:instrText>
          </w:r>
          <w:r>
            <w:rPr>
              <w:rFonts w:ascii="Times New Roman" w:hAnsi="Times New Roman"/>
              <w:sz w:val="32"/>
              <w:szCs w:val="32"/>
            </w:rPr>
            <w:fldChar w:fldCharType="separate"/>
          </w:r>
          <w:r>
            <w:rPr>
              <w:rFonts w:ascii="Times New Roman" w:hAnsi="Times New Roman"/>
              <w:sz w:val="32"/>
              <w:szCs w:val="32"/>
            </w:rPr>
            <w:t>94</w:t>
          </w:r>
          <w:r>
            <w:rPr>
              <w:rFonts w:ascii="Times New Roman" w:hAnsi="Times New Roman"/>
              <w:sz w:val="32"/>
              <w:szCs w:val="32"/>
            </w:rPr>
            <w:fldChar w:fldCharType="end"/>
          </w:r>
          <w:r>
            <w:rPr>
              <w:rFonts w:hint="eastAsia" w:ascii="Times New Roman" w:hAnsi="Times New Roman" w:eastAsia="方正小标宋_GBK" w:cs="方正小标宋_GBK"/>
              <w:color w:val="auto"/>
              <w:sz w:val="32"/>
              <w:szCs w:val="32"/>
              <w:highlight w:val="none"/>
            </w:rPr>
            <w:fldChar w:fldCharType="end"/>
          </w:r>
          <w:r>
            <w:rPr>
              <w:rFonts w:hint="eastAsia" w:ascii="Times New Roman" w:hAnsi="Times New Roman" w:eastAsia="方正楷体_GBK"/>
              <w:sz w:val="32"/>
              <w:szCs w:val="32"/>
              <w:lang w:eastAsia="zh-CN"/>
            </w:rPr>
            <w:t>）</w:t>
          </w:r>
        </w:p>
        <w:p w14:paraId="5C8FA043">
          <w:pPr>
            <w:pStyle w:val="18"/>
            <w:tabs>
              <w:tab w:val="right" w:leader="middleDot" w:pos="9072"/>
            </w:tabs>
            <w:rPr>
              <w:rFonts w:ascii="Times New Roman" w:hAnsi="Times New Roman" w:eastAsia="方正楷体_GBK"/>
              <w:sz w:val="32"/>
              <w:szCs w:val="32"/>
            </w:rPr>
          </w:pP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HYPERLINK \l _Toc16606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rPr>
            <w:t>第一章 加强维护国家安全体系和能力建设</w:t>
          </w:r>
          <w:r>
            <w:rPr>
              <w:rFonts w:ascii="Times New Roman" w:hAnsi="Times New Roman" w:eastAsia="方正楷体_GBK"/>
              <w:sz w:val="32"/>
              <w:szCs w:val="32"/>
            </w:rPr>
            <w:tab/>
          </w:r>
          <w:r>
            <w:rPr>
              <w:rFonts w:hint="eastAsia" w:ascii="Times New Roman" w:hAnsi="Times New Roman" w:eastAsia="方正楷体_GBK"/>
              <w:sz w:val="32"/>
              <w:szCs w:val="32"/>
              <w:lang w:eastAsia="zh-CN"/>
            </w:rPr>
            <w:t>（</w:t>
          </w:r>
          <w:r>
            <w:rPr>
              <w:rFonts w:ascii="Times New Roman" w:hAnsi="Times New Roman" w:eastAsia="方正楷体_GBK"/>
              <w:sz w:val="32"/>
              <w:szCs w:val="32"/>
            </w:rPr>
            <w:fldChar w:fldCharType="begin"/>
          </w:r>
          <w:r>
            <w:rPr>
              <w:rFonts w:ascii="Times New Roman" w:hAnsi="Times New Roman" w:eastAsia="方正楷体_GBK"/>
              <w:sz w:val="32"/>
              <w:szCs w:val="32"/>
            </w:rPr>
            <w:instrText xml:space="preserve"> PAGEREF _Toc16606 \h </w:instrText>
          </w:r>
          <w:r>
            <w:rPr>
              <w:rFonts w:ascii="Times New Roman" w:hAnsi="Times New Roman" w:eastAsia="方正楷体_GBK"/>
              <w:sz w:val="32"/>
              <w:szCs w:val="32"/>
            </w:rPr>
            <w:fldChar w:fldCharType="separate"/>
          </w:r>
          <w:r>
            <w:rPr>
              <w:rFonts w:ascii="Times New Roman" w:hAnsi="Times New Roman" w:eastAsia="方正楷体_GBK"/>
              <w:sz w:val="32"/>
              <w:szCs w:val="32"/>
            </w:rPr>
            <w:t>94</w:t>
          </w:r>
          <w:r>
            <w:rPr>
              <w:rFonts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lang w:eastAsia="zh-CN"/>
            </w:rPr>
            <w:t>）</w:t>
          </w:r>
        </w:p>
        <w:p w14:paraId="4A05CCDA">
          <w:pPr>
            <w:pStyle w:val="18"/>
            <w:tabs>
              <w:tab w:val="right" w:leader="middleDot" w:pos="9072"/>
            </w:tabs>
            <w:rPr>
              <w:rFonts w:ascii="Times New Roman" w:hAnsi="Times New Roman" w:eastAsia="方正楷体_GBK"/>
              <w:sz w:val="32"/>
              <w:szCs w:val="32"/>
            </w:rPr>
          </w:pP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HYPERLINK \l _Toc13717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rPr>
            <w:t>第二章 突出抓好经济安全</w:t>
          </w:r>
          <w:r>
            <w:rPr>
              <w:rFonts w:ascii="Times New Roman" w:hAnsi="Times New Roman" w:eastAsia="方正楷体_GBK"/>
              <w:sz w:val="32"/>
              <w:szCs w:val="32"/>
            </w:rPr>
            <w:tab/>
          </w:r>
          <w:r>
            <w:rPr>
              <w:rFonts w:hint="eastAsia" w:ascii="Times New Roman" w:hAnsi="Times New Roman" w:eastAsia="方正楷体_GBK"/>
              <w:sz w:val="32"/>
              <w:szCs w:val="32"/>
              <w:lang w:eastAsia="zh-CN"/>
            </w:rPr>
            <w:t>（</w:t>
          </w:r>
          <w:r>
            <w:rPr>
              <w:rFonts w:ascii="Times New Roman" w:hAnsi="Times New Roman" w:eastAsia="方正楷体_GBK"/>
              <w:sz w:val="32"/>
              <w:szCs w:val="32"/>
            </w:rPr>
            <w:fldChar w:fldCharType="begin"/>
          </w:r>
          <w:r>
            <w:rPr>
              <w:rFonts w:ascii="Times New Roman" w:hAnsi="Times New Roman" w:eastAsia="方正楷体_GBK"/>
              <w:sz w:val="32"/>
              <w:szCs w:val="32"/>
            </w:rPr>
            <w:instrText xml:space="preserve"> PAGEREF _Toc13717 \h </w:instrText>
          </w:r>
          <w:r>
            <w:rPr>
              <w:rFonts w:ascii="Times New Roman" w:hAnsi="Times New Roman" w:eastAsia="方正楷体_GBK"/>
              <w:sz w:val="32"/>
              <w:szCs w:val="32"/>
            </w:rPr>
            <w:fldChar w:fldCharType="separate"/>
          </w:r>
          <w:r>
            <w:rPr>
              <w:rFonts w:ascii="Times New Roman" w:hAnsi="Times New Roman" w:eastAsia="方正楷体_GBK"/>
              <w:sz w:val="32"/>
              <w:szCs w:val="32"/>
            </w:rPr>
            <w:t>95</w:t>
          </w:r>
          <w:r>
            <w:rPr>
              <w:rFonts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lang w:eastAsia="zh-CN"/>
            </w:rPr>
            <w:t>）</w:t>
          </w:r>
        </w:p>
        <w:p w14:paraId="549E9DF3">
          <w:pPr>
            <w:pStyle w:val="18"/>
            <w:tabs>
              <w:tab w:val="right" w:leader="middleDot" w:pos="9072"/>
            </w:tabs>
            <w:rPr>
              <w:rFonts w:ascii="Times New Roman" w:hAnsi="Times New Roman" w:eastAsia="方正楷体_GBK"/>
              <w:sz w:val="32"/>
              <w:szCs w:val="32"/>
            </w:rPr>
          </w:pP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HYPERLINK \l _Toc21189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rPr>
            <w:t>第三章 建设平安高新</w:t>
          </w:r>
          <w:r>
            <w:rPr>
              <w:rFonts w:ascii="Times New Roman" w:hAnsi="Times New Roman" w:eastAsia="方正楷体_GBK"/>
              <w:sz w:val="32"/>
              <w:szCs w:val="32"/>
            </w:rPr>
            <w:tab/>
          </w:r>
          <w:r>
            <w:rPr>
              <w:rFonts w:hint="eastAsia" w:ascii="Times New Roman" w:hAnsi="Times New Roman" w:eastAsia="方正楷体_GBK"/>
              <w:sz w:val="32"/>
              <w:szCs w:val="32"/>
              <w:lang w:eastAsia="zh-CN"/>
            </w:rPr>
            <w:t>（</w:t>
          </w:r>
          <w:r>
            <w:rPr>
              <w:rFonts w:ascii="Times New Roman" w:hAnsi="Times New Roman" w:eastAsia="方正楷体_GBK"/>
              <w:sz w:val="32"/>
              <w:szCs w:val="32"/>
            </w:rPr>
            <w:fldChar w:fldCharType="begin"/>
          </w:r>
          <w:r>
            <w:rPr>
              <w:rFonts w:ascii="Times New Roman" w:hAnsi="Times New Roman" w:eastAsia="方正楷体_GBK"/>
              <w:sz w:val="32"/>
              <w:szCs w:val="32"/>
            </w:rPr>
            <w:instrText xml:space="preserve"> PAGEREF _Toc21189 \h </w:instrText>
          </w:r>
          <w:r>
            <w:rPr>
              <w:rFonts w:ascii="Times New Roman" w:hAnsi="Times New Roman" w:eastAsia="方正楷体_GBK"/>
              <w:sz w:val="32"/>
              <w:szCs w:val="32"/>
            </w:rPr>
            <w:fldChar w:fldCharType="separate"/>
          </w:r>
          <w:r>
            <w:rPr>
              <w:rFonts w:ascii="Times New Roman" w:hAnsi="Times New Roman" w:eastAsia="方正楷体_GBK"/>
              <w:sz w:val="32"/>
              <w:szCs w:val="32"/>
            </w:rPr>
            <w:t>96</w:t>
          </w:r>
          <w:r>
            <w:rPr>
              <w:rFonts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lang w:eastAsia="zh-CN"/>
            </w:rPr>
            <w:t>）</w:t>
          </w:r>
        </w:p>
        <w:p w14:paraId="41198832">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_Toc16167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第一节 加强社会治安整体防控体系和能力建设</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_Toc16167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96</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20C429C3">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_Toc19547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第二节 持续打好安全生产保卫战</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_Toc19547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97</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7C96124F">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_Toc4896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第三节 保障食品药品安全</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_Toc4896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98</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24869836">
          <w:pPr>
            <w:pStyle w:val="18"/>
            <w:tabs>
              <w:tab w:val="right" w:leader="middleDot" w:pos="9072"/>
            </w:tabs>
            <w:rPr>
              <w:rFonts w:ascii="Times New Roman" w:hAnsi="Times New Roman" w:eastAsia="方正楷体_GBK"/>
              <w:sz w:val="32"/>
              <w:szCs w:val="32"/>
            </w:rPr>
          </w:pP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HYPERLINK \l _Toc866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rPr>
            <w:t>第四章 建设法治高新</w:t>
          </w:r>
          <w:r>
            <w:rPr>
              <w:rFonts w:ascii="Times New Roman" w:hAnsi="Times New Roman" w:eastAsia="方正楷体_GBK"/>
              <w:sz w:val="32"/>
              <w:szCs w:val="32"/>
            </w:rPr>
            <w:tab/>
          </w:r>
          <w:r>
            <w:rPr>
              <w:rFonts w:hint="eastAsia" w:ascii="Times New Roman" w:hAnsi="Times New Roman" w:eastAsia="方正楷体_GBK"/>
              <w:sz w:val="32"/>
              <w:szCs w:val="32"/>
              <w:lang w:eastAsia="zh-CN"/>
            </w:rPr>
            <w:t>（</w:t>
          </w:r>
          <w:r>
            <w:rPr>
              <w:rFonts w:ascii="Times New Roman" w:hAnsi="Times New Roman" w:eastAsia="方正楷体_GBK"/>
              <w:sz w:val="32"/>
              <w:szCs w:val="32"/>
            </w:rPr>
            <w:fldChar w:fldCharType="begin"/>
          </w:r>
          <w:r>
            <w:rPr>
              <w:rFonts w:ascii="Times New Roman" w:hAnsi="Times New Roman" w:eastAsia="方正楷体_GBK"/>
              <w:sz w:val="32"/>
              <w:szCs w:val="32"/>
            </w:rPr>
            <w:instrText xml:space="preserve"> PAGEREF _Toc866 \h </w:instrText>
          </w:r>
          <w:r>
            <w:rPr>
              <w:rFonts w:ascii="Times New Roman" w:hAnsi="Times New Roman" w:eastAsia="方正楷体_GBK"/>
              <w:sz w:val="32"/>
              <w:szCs w:val="32"/>
            </w:rPr>
            <w:fldChar w:fldCharType="separate"/>
          </w:r>
          <w:r>
            <w:rPr>
              <w:rFonts w:ascii="Times New Roman" w:hAnsi="Times New Roman" w:eastAsia="方正楷体_GBK"/>
              <w:sz w:val="32"/>
              <w:szCs w:val="32"/>
            </w:rPr>
            <w:t>98</w:t>
          </w:r>
          <w:r>
            <w:rPr>
              <w:rFonts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lang w:eastAsia="zh-CN"/>
            </w:rPr>
            <w:t>）</w:t>
          </w:r>
        </w:p>
        <w:p w14:paraId="5F3280D6">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_Toc30174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第一节 深化建设法治政府</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_Toc30174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99</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5006275E">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_Toc25046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第二节 加强公正高效权威司法</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_Toc25046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99</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0F8ADDB1">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_Toc27676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第三节 加强法治社会建设</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_Toc27676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99</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00A0DA8D">
          <w:pPr>
            <w:pStyle w:val="18"/>
            <w:tabs>
              <w:tab w:val="right" w:leader="middleDot" w:pos="9072"/>
            </w:tabs>
            <w:rPr>
              <w:rFonts w:ascii="Times New Roman" w:hAnsi="Times New Roman" w:eastAsia="方正楷体_GBK"/>
              <w:sz w:val="32"/>
              <w:szCs w:val="32"/>
            </w:rPr>
          </w:pP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HYPERLINK \l _Toc22896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rPr>
            <w:t>第五章 推进社会治理现代化</w:t>
          </w:r>
          <w:r>
            <w:rPr>
              <w:rFonts w:ascii="Times New Roman" w:hAnsi="Times New Roman" w:eastAsia="方正楷体_GBK"/>
              <w:sz w:val="32"/>
              <w:szCs w:val="32"/>
            </w:rPr>
            <w:tab/>
          </w:r>
          <w:r>
            <w:rPr>
              <w:rFonts w:hint="eastAsia" w:ascii="Times New Roman" w:hAnsi="Times New Roman" w:eastAsia="方正楷体_GBK"/>
              <w:sz w:val="32"/>
              <w:szCs w:val="32"/>
              <w:lang w:eastAsia="zh-CN"/>
            </w:rPr>
            <w:t>（</w:t>
          </w:r>
          <w:r>
            <w:rPr>
              <w:rFonts w:ascii="Times New Roman" w:hAnsi="Times New Roman" w:eastAsia="方正楷体_GBK"/>
              <w:sz w:val="32"/>
              <w:szCs w:val="32"/>
            </w:rPr>
            <w:fldChar w:fldCharType="begin"/>
          </w:r>
          <w:r>
            <w:rPr>
              <w:rFonts w:ascii="Times New Roman" w:hAnsi="Times New Roman" w:eastAsia="方正楷体_GBK"/>
              <w:sz w:val="32"/>
              <w:szCs w:val="32"/>
            </w:rPr>
            <w:instrText xml:space="preserve"> PAGEREF _Toc22896 \h </w:instrText>
          </w:r>
          <w:r>
            <w:rPr>
              <w:rFonts w:ascii="Times New Roman" w:hAnsi="Times New Roman" w:eastAsia="方正楷体_GBK"/>
              <w:sz w:val="32"/>
              <w:szCs w:val="32"/>
            </w:rPr>
            <w:fldChar w:fldCharType="separate"/>
          </w:r>
          <w:r>
            <w:rPr>
              <w:rFonts w:ascii="Times New Roman" w:hAnsi="Times New Roman" w:eastAsia="方正楷体_GBK"/>
              <w:sz w:val="32"/>
              <w:szCs w:val="32"/>
            </w:rPr>
            <w:t>100</w:t>
          </w:r>
          <w:r>
            <w:rPr>
              <w:rFonts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lang w:eastAsia="zh-CN"/>
            </w:rPr>
            <w:t>）</w:t>
          </w:r>
        </w:p>
        <w:p w14:paraId="15F89062">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_Toc18672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第一节 健全党建引领基层治理体系</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_Toc18672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100</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6FFBB16E">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_Toc39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第二节 提升基层社会治理水平</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_Toc39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101</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652E8B7F">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_Toc1227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第三节 提升社区治理服务效能</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_Toc1227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102</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098CE232">
          <w:pPr>
            <w:pStyle w:val="18"/>
            <w:tabs>
              <w:tab w:val="right" w:leader="middleDot" w:pos="9072"/>
            </w:tabs>
            <w:rPr>
              <w:rFonts w:ascii="Times New Roman" w:hAnsi="Times New Roman" w:eastAsia="方正楷体_GBK"/>
              <w:sz w:val="32"/>
              <w:szCs w:val="32"/>
            </w:rPr>
          </w:pP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HYPERLINK \l _Toc1465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lang w:val="en-US" w:eastAsia="zh-CN"/>
            </w:rPr>
            <w:t>第六章 推动实现高水平城乡融合发展</w:t>
          </w:r>
          <w:r>
            <w:rPr>
              <w:rFonts w:ascii="Times New Roman" w:hAnsi="Times New Roman" w:eastAsia="方正楷体_GBK"/>
              <w:sz w:val="32"/>
              <w:szCs w:val="32"/>
            </w:rPr>
            <w:tab/>
          </w:r>
          <w:r>
            <w:rPr>
              <w:rFonts w:hint="eastAsia" w:ascii="Times New Roman" w:hAnsi="Times New Roman" w:eastAsia="方正楷体_GBK"/>
              <w:sz w:val="32"/>
              <w:szCs w:val="32"/>
              <w:lang w:eastAsia="zh-CN"/>
            </w:rPr>
            <w:t>（</w:t>
          </w:r>
          <w:r>
            <w:rPr>
              <w:rFonts w:ascii="Times New Roman" w:hAnsi="Times New Roman" w:eastAsia="方正楷体_GBK"/>
              <w:sz w:val="32"/>
              <w:szCs w:val="32"/>
            </w:rPr>
            <w:fldChar w:fldCharType="begin"/>
          </w:r>
          <w:r>
            <w:rPr>
              <w:rFonts w:ascii="Times New Roman" w:hAnsi="Times New Roman" w:eastAsia="方正楷体_GBK"/>
              <w:sz w:val="32"/>
              <w:szCs w:val="32"/>
            </w:rPr>
            <w:instrText xml:space="preserve"> PAGEREF _Toc1465 \h </w:instrText>
          </w:r>
          <w:r>
            <w:rPr>
              <w:rFonts w:ascii="Times New Roman" w:hAnsi="Times New Roman" w:eastAsia="方正楷体_GBK"/>
              <w:sz w:val="32"/>
              <w:szCs w:val="32"/>
            </w:rPr>
            <w:fldChar w:fldCharType="separate"/>
          </w:r>
          <w:r>
            <w:rPr>
              <w:rFonts w:ascii="Times New Roman" w:hAnsi="Times New Roman" w:eastAsia="方正楷体_GBK"/>
              <w:sz w:val="32"/>
              <w:szCs w:val="32"/>
            </w:rPr>
            <w:t>102</w:t>
          </w:r>
          <w:r>
            <w:rPr>
              <w:rFonts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lang w:eastAsia="zh-CN"/>
            </w:rPr>
            <w:t>）</w:t>
          </w:r>
        </w:p>
        <w:p w14:paraId="58A039D3">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_Toc27987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第一节 加强国土空间协同治理</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_Toc27987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103</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1D8A14CE">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_Toc29318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第二节 提升农业科技和安全水平</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_Toc29318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104</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3E4C993A">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_Toc32090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第三节 建设示范性和美乡村</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_Toc32090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105</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56322132">
          <w:pPr>
            <w:pStyle w:val="15"/>
            <w:tabs>
              <w:tab w:val="right" w:leader="middleDot" w:pos="9072"/>
            </w:tabs>
            <w:rPr>
              <w:rFonts w:ascii="Times New Roman" w:hAnsi="Times New Roman"/>
              <w:sz w:val="32"/>
              <w:szCs w:val="32"/>
            </w:rPr>
          </w:pPr>
          <w:r>
            <w:rPr>
              <w:rFonts w:hint="eastAsia" w:ascii="Times New Roman" w:hAnsi="Times New Roman" w:eastAsia="方正小标宋_GBK" w:cs="方正小标宋_GBK"/>
              <w:color w:val="auto"/>
              <w:sz w:val="32"/>
              <w:szCs w:val="32"/>
              <w:highlight w:val="none"/>
            </w:rPr>
            <w:fldChar w:fldCharType="begin"/>
          </w:r>
          <w:r>
            <w:rPr>
              <w:rFonts w:hint="eastAsia" w:ascii="Times New Roman" w:hAnsi="Times New Roman" w:eastAsia="方正小标宋_GBK" w:cs="方正小标宋_GBK"/>
              <w:sz w:val="32"/>
              <w:szCs w:val="32"/>
              <w:highlight w:val="none"/>
            </w:rPr>
            <w:instrText xml:space="preserve"> HYPERLINK \l _Toc25918 </w:instrText>
          </w:r>
          <w:r>
            <w:rPr>
              <w:rFonts w:hint="eastAsia" w:ascii="Times New Roman" w:hAnsi="Times New Roman" w:eastAsia="方正小标宋_GBK" w:cs="方正小标宋_GBK"/>
              <w:sz w:val="32"/>
              <w:szCs w:val="32"/>
              <w:highlight w:val="none"/>
            </w:rPr>
            <w:fldChar w:fldCharType="separate"/>
          </w:r>
          <w:r>
            <w:rPr>
              <w:rFonts w:hint="eastAsia" w:ascii="Times New Roman" w:hAnsi="Times New Roman" w:eastAsia="方正黑体_GBK" w:cs="方正黑体_GBK"/>
              <w:sz w:val="32"/>
              <w:szCs w:val="32"/>
              <w:highlight w:val="none"/>
            </w:rPr>
            <w:t>第</w:t>
          </w:r>
          <w:r>
            <w:rPr>
              <w:rFonts w:hint="eastAsia" w:ascii="Times New Roman" w:hAnsi="Times New Roman" w:eastAsia="方正黑体_GBK" w:cs="方正黑体_GBK"/>
              <w:sz w:val="32"/>
              <w:szCs w:val="32"/>
              <w:highlight w:val="none"/>
              <w:lang w:val="en-US" w:eastAsia="zh-CN"/>
            </w:rPr>
            <w:t>八</w:t>
          </w:r>
          <w:r>
            <w:rPr>
              <w:rFonts w:hint="eastAsia" w:ascii="Times New Roman" w:hAnsi="Times New Roman" w:eastAsia="方正黑体_GBK" w:cs="方正黑体_GBK"/>
              <w:sz w:val="32"/>
              <w:szCs w:val="32"/>
              <w:highlight w:val="none"/>
            </w:rPr>
            <w:t>篇 健全规划实施保障机制</w:t>
          </w:r>
          <w:r>
            <w:rPr>
              <w:rFonts w:ascii="Times New Roman" w:hAnsi="Times New Roman"/>
              <w:sz w:val="32"/>
              <w:szCs w:val="32"/>
            </w:rPr>
            <w:tab/>
          </w:r>
          <w:r>
            <w:rPr>
              <w:rFonts w:hint="eastAsia" w:ascii="Times New Roman" w:hAnsi="Times New Roman" w:eastAsia="方正楷体_GBK"/>
              <w:sz w:val="32"/>
              <w:szCs w:val="32"/>
              <w:lang w:eastAsia="zh-CN"/>
            </w:rPr>
            <w:t>（</w:t>
          </w:r>
          <w:r>
            <w:rPr>
              <w:rFonts w:ascii="Times New Roman" w:hAnsi="Times New Roman"/>
              <w:sz w:val="32"/>
              <w:szCs w:val="32"/>
            </w:rPr>
            <w:fldChar w:fldCharType="begin"/>
          </w:r>
          <w:r>
            <w:rPr>
              <w:rFonts w:ascii="Times New Roman" w:hAnsi="Times New Roman"/>
              <w:sz w:val="32"/>
              <w:szCs w:val="32"/>
            </w:rPr>
            <w:instrText xml:space="preserve"> PAGEREF _Toc25918 \h </w:instrText>
          </w:r>
          <w:r>
            <w:rPr>
              <w:rFonts w:ascii="Times New Roman" w:hAnsi="Times New Roman"/>
              <w:sz w:val="32"/>
              <w:szCs w:val="32"/>
            </w:rPr>
            <w:fldChar w:fldCharType="separate"/>
          </w:r>
          <w:r>
            <w:rPr>
              <w:rFonts w:ascii="Times New Roman" w:hAnsi="Times New Roman"/>
              <w:sz w:val="32"/>
              <w:szCs w:val="32"/>
            </w:rPr>
            <w:t>106</w:t>
          </w:r>
          <w:r>
            <w:rPr>
              <w:rFonts w:ascii="Times New Roman" w:hAnsi="Times New Roman"/>
              <w:sz w:val="32"/>
              <w:szCs w:val="32"/>
            </w:rPr>
            <w:fldChar w:fldCharType="end"/>
          </w:r>
          <w:r>
            <w:rPr>
              <w:rFonts w:hint="eastAsia" w:ascii="Times New Roman" w:hAnsi="Times New Roman" w:eastAsia="方正小标宋_GBK" w:cs="方正小标宋_GBK"/>
              <w:color w:val="auto"/>
              <w:sz w:val="32"/>
              <w:szCs w:val="32"/>
              <w:highlight w:val="none"/>
            </w:rPr>
            <w:fldChar w:fldCharType="end"/>
          </w:r>
          <w:r>
            <w:rPr>
              <w:rFonts w:hint="eastAsia" w:ascii="Times New Roman" w:hAnsi="Times New Roman" w:eastAsia="方正楷体_GBK"/>
              <w:sz w:val="32"/>
              <w:szCs w:val="32"/>
              <w:lang w:eastAsia="zh-CN"/>
            </w:rPr>
            <w:t>）</w:t>
          </w:r>
        </w:p>
        <w:p w14:paraId="05BBF90C">
          <w:pPr>
            <w:pStyle w:val="18"/>
            <w:tabs>
              <w:tab w:val="right" w:leader="middleDot" w:pos="9072"/>
            </w:tabs>
            <w:rPr>
              <w:rFonts w:ascii="Times New Roman" w:hAnsi="Times New Roman" w:eastAsia="方正楷体_GBK"/>
              <w:sz w:val="32"/>
              <w:szCs w:val="32"/>
            </w:rPr>
          </w:pP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HYPERLINK \l _Toc16729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rPr>
            <w:t>第一章 坚持党对经济社会发展的全面领导</w:t>
          </w:r>
          <w:r>
            <w:rPr>
              <w:rFonts w:ascii="Times New Roman" w:hAnsi="Times New Roman" w:eastAsia="方正楷体_GBK"/>
              <w:sz w:val="32"/>
              <w:szCs w:val="32"/>
            </w:rPr>
            <w:tab/>
          </w:r>
          <w:r>
            <w:rPr>
              <w:rFonts w:hint="eastAsia" w:ascii="Times New Roman" w:hAnsi="Times New Roman" w:eastAsia="方正楷体_GBK"/>
              <w:sz w:val="32"/>
              <w:szCs w:val="32"/>
              <w:lang w:eastAsia="zh-CN"/>
            </w:rPr>
            <w:t>（</w:t>
          </w:r>
          <w:r>
            <w:rPr>
              <w:rFonts w:ascii="Times New Roman" w:hAnsi="Times New Roman" w:eastAsia="方正楷体_GBK"/>
              <w:sz w:val="32"/>
              <w:szCs w:val="32"/>
            </w:rPr>
            <w:fldChar w:fldCharType="begin"/>
          </w:r>
          <w:r>
            <w:rPr>
              <w:rFonts w:ascii="Times New Roman" w:hAnsi="Times New Roman" w:eastAsia="方正楷体_GBK"/>
              <w:sz w:val="32"/>
              <w:szCs w:val="32"/>
            </w:rPr>
            <w:instrText xml:space="preserve"> PAGEREF _Toc16729 \h </w:instrText>
          </w:r>
          <w:r>
            <w:rPr>
              <w:rFonts w:ascii="Times New Roman" w:hAnsi="Times New Roman" w:eastAsia="方正楷体_GBK"/>
              <w:sz w:val="32"/>
              <w:szCs w:val="32"/>
            </w:rPr>
            <w:fldChar w:fldCharType="separate"/>
          </w:r>
          <w:r>
            <w:rPr>
              <w:rFonts w:ascii="Times New Roman" w:hAnsi="Times New Roman" w:eastAsia="方正楷体_GBK"/>
              <w:sz w:val="32"/>
              <w:szCs w:val="32"/>
            </w:rPr>
            <w:t>106</w:t>
          </w:r>
          <w:r>
            <w:rPr>
              <w:rFonts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lang w:eastAsia="zh-CN"/>
            </w:rPr>
            <w:t>）</w:t>
          </w:r>
        </w:p>
        <w:p w14:paraId="64AD5238">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_Toc20327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第一节 强化党对规划实施的全过程领导</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_Toc20327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106</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72DF8E42">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_Toc2510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第二节 全面提高干部现代化建设能力</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_Toc2510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106</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46691925">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_Toc2515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第三节 完善监督体系</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_Toc2515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107</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147CE353">
          <w:pPr>
            <w:pStyle w:val="18"/>
            <w:tabs>
              <w:tab w:val="right" w:leader="middleDot" w:pos="9072"/>
            </w:tabs>
            <w:rPr>
              <w:rFonts w:ascii="Times New Roman" w:hAnsi="Times New Roman" w:eastAsia="方正楷体_GBK"/>
              <w:sz w:val="32"/>
              <w:szCs w:val="32"/>
            </w:rPr>
          </w:pP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HYPERLINK \l _Toc9546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rPr>
            <w:t>第二章 广泛调动社会力量</w:t>
          </w:r>
          <w:r>
            <w:rPr>
              <w:rFonts w:ascii="Times New Roman" w:hAnsi="Times New Roman" w:eastAsia="方正楷体_GBK"/>
              <w:sz w:val="32"/>
              <w:szCs w:val="32"/>
            </w:rPr>
            <w:tab/>
          </w:r>
          <w:r>
            <w:rPr>
              <w:rFonts w:hint="eastAsia" w:ascii="Times New Roman" w:hAnsi="Times New Roman" w:eastAsia="方正楷体_GBK"/>
              <w:sz w:val="32"/>
              <w:szCs w:val="32"/>
              <w:lang w:eastAsia="zh-CN"/>
            </w:rPr>
            <w:t>（</w:t>
          </w:r>
          <w:r>
            <w:rPr>
              <w:rFonts w:ascii="Times New Roman" w:hAnsi="Times New Roman" w:eastAsia="方正楷体_GBK"/>
              <w:sz w:val="32"/>
              <w:szCs w:val="32"/>
            </w:rPr>
            <w:fldChar w:fldCharType="begin"/>
          </w:r>
          <w:r>
            <w:rPr>
              <w:rFonts w:ascii="Times New Roman" w:hAnsi="Times New Roman" w:eastAsia="方正楷体_GBK"/>
              <w:sz w:val="32"/>
              <w:szCs w:val="32"/>
            </w:rPr>
            <w:instrText xml:space="preserve"> PAGEREF _Toc9546 \h </w:instrText>
          </w:r>
          <w:r>
            <w:rPr>
              <w:rFonts w:ascii="Times New Roman" w:hAnsi="Times New Roman" w:eastAsia="方正楷体_GBK"/>
              <w:sz w:val="32"/>
              <w:szCs w:val="32"/>
            </w:rPr>
            <w:fldChar w:fldCharType="separate"/>
          </w:r>
          <w:r>
            <w:rPr>
              <w:rFonts w:ascii="Times New Roman" w:hAnsi="Times New Roman" w:eastAsia="方正楷体_GBK"/>
              <w:sz w:val="32"/>
              <w:szCs w:val="32"/>
            </w:rPr>
            <w:t>108</w:t>
          </w:r>
          <w:r>
            <w:rPr>
              <w:rFonts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lang w:eastAsia="zh-CN"/>
            </w:rPr>
            <w:t>）</w:t>
          </w:r>
        </w:p>
        <w:p w14:paraId="05BA3CA0">
          <w:pPr>
            <w:pStyle w:val="18"/>
            <w:tabs>
              <w:tab w:val="right" w:leader="middleDot" w:pos="9072"/>
            </w:tabs>
            <w:rPr>
              <w:rFonts w:ascii="Times New Roman" w:hAnsi="Times New Roman" w:eastAsia="方正楷体_GBK"/>
              <w:sz w:val="32"/>
              <w:szCs w:val="32"/>
            </w:rPr>
          </w:pPr>
          <w:r>
            <w:rPr>
              <w:rFonts w:hint="eastAsia" w:ascii="Times New Roman" w:hAnsi="Times New Roman" w:eastAsia="方正楷体_GBK"/>
              <w:sz w:val="32"/>
              <w:szCs w:val="32"/>
            </w:rPr>
            <w:fldChar w:fldCharType="begin"/>
          </w:r>
          <w:r>
            <w:rPr>
              <w:rFonts w:hint="eastAsia" w:ascii="Times New Roman" w:hAnsi="Times New Roman" w:eastAsia="方正楷体_GBK"/>
              <w:sz w:val="32"/>
              <w:szCs w:val="32"/>
            </w:rPr>
            <w:instrText xml:space="preserve"> HYPERLINK \l _Toc17602 </w:instrText>
          </w:r>
          <w:r>
            <w:rPr>
              <w:rFonts w:hint="eastAsia" w:ascii="Times New Roman" w:hAnsi="Times New Roman" w:eastAsia="方正楷体_GBK"/>
              <w:sz w:val="32"/>
              <w:szCs w:val="32"/>
            </w:rPr>
            <w:fldChar w:fldCharType="separate"/>
          </w:r>
          <w:r>
            <w:rPr>
              <w:rFonts w:hint="eastAsia" w:ascii="Times New Roman" w:hAnsi="Times New Roman" w:eastAsia="方正楷体_GBK"/>
              <w:sz w:val="32"/>
              <w:szCs w:val="32"/>
            </w:rPr>
            <w:t>第三章 加强规划组织实施</w:t>
          </w:r>
          <w:r>
            <w:rPr>
              <w:rFonts w:ascii="Times New Roman" w:hAnsi="Times New Roman" w:eastAsia="方正楷体_GBK"/>
              <w:sz w:val="32"/>
              <w:szCs w:val="32"/>
            </w:rPr>
            <w:tab/>
          </w:r>
          <w:r>
            <w:rPr>
              <w:rFonts w:hint="eastAsia" w:ascii="Times New Roman" w:hAnsi="Times New Roman" w:eastAsia="方正楷体_GBK"/>
              <w:sz w:val="32"/>
              <w:szCs w:val="32"/>
              <w:lang w:eastAsia="zh-CN"/>
            </w:rPr>
            <w:t>（</w:t>
          </w:r>
          <w:r>
            <w:rPr>
              <w:rFonts w:ascii="Times New Roman" w:hAnsi="Times New Roman" w:eastAsia="方正楷体_GBK"/>
              <w:sz w:val="32"/>
              <w:szCs w:val="32"/>
            </w:rPr>
            <w:fldChar w:fldCharType="begin"/>
          </w:r>
          <w:r>
            <w:rPr>
              <w:rFonts w:ascii="Times New Roman" w:hAnsi="Times New Roman" w:eastAsia="方正楷体_GBK"/>
              <w:sz w:val="32"/>
              <w:szCs w:val="32"/>
            </w:rPr>
            <w:instrText xml:space="preserve"> PAGEREF _Toc17602 \h </w:instrText>
          </w:r>
          <w:r>
            <w:rPr>
              <w:rFonts w:ascii="Times New Roman" w:hAnsi="Times New Roman" w:eastAsia="方正楷体_GBK"/>
              <w:sz w:val="32"/>
              <w:szCs w:val="32"/>
            </w:rPr>
            <w:fldChar w:fldCharType="separate"/>
          </w:r>
          <w:r>
            <w:rPr>
              <w:rFonts w:ascii="Times New Roman" w:hAnsi="Times New Roman" w:eastAsia="方正楷体_GBK"/>
              <w:sz w:val="32"/>
              <w:szCs w:val="32"/>
            </w:rPr>
            <w:t>108</w:t>
          </w:r>
          <w:r>
            <w:rPr>
              <w:rFonts w:ascii="Times New Roman" w:hAnsi="Times New Roman" w:eastAsia="方正楷体_GBK"/>
              <w:sz w:val="32"/>
              <w:szCs w:val="32"/>
            </w:rPr>
            <w:fldChar w:fldCharType="end"/>
          </w:r>
          <w:r>
            <w:rPr>
              <w:rFonts w:hint="eastAsia" w:ascii="Times New Roman" w:hAnsi="Times New Roman" w:eastAsia="方正楷体_GBK"/>
              <w:sz w:val="32"/>
              <w:szCs w:val="32"/>
            </w:rPr>
            <w:fldChar w:fldCharType="end"/>
          </w:r>
          <w:r>
            <w:rPr>
              <w:rFonts w:hint="eastAsia" w:ascii="Times New Roman" w:hAnsi="Times New Roman" w:eastAsia="方正楷体_GBK"/>
              <w:sz w:val="32"/>
              <w:szCs w:val="32"/>
              <w:lang w:eastAsia="zh-CN"/>
            </w:rPr>
            <w:t>）</w:t>
          </w:r>
        </w:p>
        <w:p w14:paraId="601938D6">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_Toc884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第一节 完善规划管理制度</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_Toc884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109</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68751334">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_Toc22529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第二节 强化“四个重大”支撑</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_Toc22529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109</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6645ADFA">
          <w:pPr>
            <w:pStyle w:val="10"/>
            <w:tabs>
              <w:tab w:val="right" w:leader="middleDot" w:pos="9072"/>
            </w:tabs>
            <w:rPr>
              <w:rFonts w:ascii="Times New Roman" w:hAnsi="Times New Roman" w:eastAsia="方正仿宋_GBK"/>
              <w:sz w:val="32"/>
              <w:szCs w:val="32"/>
            </w:rPr>
          </w:pPr>
          <w:r>
            <w:rPr>
              <w:rFonts w:hint="eastAsia" w:ascii="Times New Roman" w:hAnsi="Times New Roman" w:eastAsia="方正仿宋_GBK"/>
              <w:sz w:val="32"/>
              <w:szCs w:val="32"/>
            </w:rPr>
            <w:fldChar w:fldCharType="begin"/>
          </w:r>
          <w:r>
            <w:rPr>
              <w:rFonts w:hint="eastAsia" w:ascii="Times New Roman" w:hAnsi="Times New Roman" w:eastAsia="方正仿宋_GBK"/>
              <w:sz w:val="32"/>
              <w:szCs w:val="32"/>
            </w:rPr>
            <w:instrText xml:space="preserve"> HYPERLINK \l _Toc12445 </w:instrText>
          </w:r>
          <w:r>
            <w:rPr>
              <w:rFonts w:hint="eastAsia" w:ascii="Times New Roman" w:hAnsi="Times New Roman" w:eastAsia="方正仿宋_GBK"/>
              <w:sz w:val="32"/>
              <w:szCs w:val="32"/>
            </w:rPr>
            <w:fldChar w:fldCharType="separate"/>
          </w:r>
          <w:r>
            <w:rPr>
              <w:rFonts w:hint="eastAsia" w:ascii="Times New Roman" w:hAnsi="Times New Roman" w:eastAsia="方正仿宋_GBK"/>
              <w:sz w:val="32"/>
              <w:szCs w:val="32"/>
            </w:rPr>
            <w:t>第三节 加强规划实施监测评估</w:t>
          </w:r>
          <w:r>
            <w:rPr>
              <w:rFonts w:ascii="Times New Roman" w:hAnsi="Times New Roman" w:eastAsia="方正仿宋_GBK"/>
              <w:sz w:val="32"/>
              <w:szCs w:val="32"/>
            </w:rPr>
            <w:tab/>
          </w:r>
          <w:r>
            <w:rPr>
              <w:rFonts w:hint="eastAsia" w:ascii="Times New Roman" w:hAnsi="Times New Roman" w:eastAsia="方正楷体_GBK"/>
              <w:sz w:val="32"/>
              <w:szCs w:val="32"/>
              <w:lang w:eastAsia="zh-CN"/>
            </w:rPr>
            <w:t>（</w:t>
          </w:r>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 PAGEREF _Toc12445 \h </w:instrText>
          </w:r>
          <w:r>
            <w:rPr>
              <w:rFonts w:ascii="Times New Roman" w:hAnsi="Times New Roman" w:eastAsia="方正仿宋_GBK"/>
              <w:sz w:val="32"/>
              <w:szCs w:val="32"/>
            </w:rPr>
            <w:fldChar w:fldCharType="separate"/>
          </w:r>
          <w:r>
            <w:rPr>
              <w:rFonts w:ascii="Times New Roman" w:hAnsi="Times New Roman" w:eastAsia="方正仿宋_GBK"/>
              <w:sz w:val="32"/>
              <w:szCs w:val="32"/>
            </w:rPr>
            <w:t>110</w:t>
          </w:r>
          <w:r>
            <w:rPr>
              <w:rFonts w:ascii="Times New Roman" w:hAnsi="Times New Roman" w:eastAsia="方正仿宋_GBK"/>
              <w:sz w:val="32"/>
              <w:szCs w:val="32"/>
            </w:rPr>
            <w:fldChar w:fldCharType="end"/>
          </w:r>
          <w:r>
            <w:rPr>
              <w:rFonts w:hint="eastAsia" w:ascii="Times New Roman" w:hAnsi="Times New Roman" w:eastAsia="方正仿宋_GBK"/>
              <w:sz w:val="32"/>
              <w:szCs w:val="32"/>
            </w:rPr>
            <w:fldChar w:fldCharType="end"/>
          </w:r>
          <w:r>
            <w:rPr>
              <w:rFonts w:hint="eastAsia" w:ascii="Times New Roman" w:hAnsi="Times New Roman" w:eastAsia="方正楷体_GBK"/>
              <w:sz w:val="32"/>
              <w:szCs w:val="32"/>
              <w:lang w:eastAsia="zh-CN"/>
            </w:rPr>
            <w:t>）</w:t>
          </w:r>
        </w:p>
        <w:p w14:paraId="14F56B0F">
          <w:pPr>
            <w:pStyle w:val="19"/>
            <w:overflowPunct w:val="0"/>
            <w:adjustRightInd w:val="0"/>
            <w:snapToGrid w:val="0"/>
            <w:spacing w:beforeAutospacing="0" w:afterAutospacing="0" w:line="305" w:lineRule="auto"/>
            <w:jc w:val="both"/>
            <w:rPr>
              <w:rFonts w:ascii="Times New Roman" w:hAnsi="Times New Roman" w:eastAsia="方正小标宋_GBK" w:cs="方正小标宋_GBK"/>
              <w:color w:val="auto"/>
              <w:szCs w:val="44"/>
              <w:highlight w:val="none"/>
              <w:lang w:bidi="ar"/>
            </w:rPr>
            <w:sectPr>
              <w:footerReference r:id="rId7" w:type="default"/>
              <w:pgSz w:w="11906" w:h="16838"/>
              <w:pgMar w:top="2098" w:right="1417" w:bottom="1984"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ascii="Times New Roman" w:hAnsi="Times New Roman" w:eastAsia="方正小标宋_GBK" w:cs="方正小标宋_GBK"/>
              <w:color w:val="auto"/>
              <w:sz w:val="32"/>
              <w:szCs w:val="32"/>
              <w:highlight w:val="none"/>
            </w:rPr>
            <w:fldChar w:fldCharType="end"/>
          </w:r>
        </w:p>
      </w:sdtContent>
    </w:sdt>
    <w:p w14:paraId="0874CDD5">
      <w:pPr>
        <w:pStyle w:val="19"/>
        <w:overflowPunct w:val="0"/>
        <w:adjustRightInd w:val="0"/>
        <w:snapToGrid w:val="0"/>
        <w:spacing w:beforeAutospacing="0" w:afterAutospacing="0" w:line="600" w:lineRule="exact"/>
        <w:jc w:val="center"/>
        <w:rPr>
          <w:rFonts w:ascii="Times New Roman" w:hAnsi="Times New Roman" w:eastAsia="方正小标宋_GBK" w:cs="方正小标宋_GBK"/>
          <w:color w:val="auto"/>
          <w:sz w:val="44"/>
          <w:szCs w:val="44"/>
          <w:highlight w:val="none"/>
        </w:rPr>
      </w:pPr>
      <w:r>
        <w:rPr>
          <w:rFonts w:hint="eastAsia" w:ascii="Times New Roman" w:hAnsi="Times New Roman" w:eastAsia="方正小标宋_GBK" w:cs="方正小标宋_GBK"/>
          <w:color w:val="auto"/>
          <w:sz w:val="44"/>
          <w:szCs w:val="44"/>
          <w:highlight w:val="none"/>
        </w:rPr>
        <w:t>重庆高新区国民经济和社会发展</w:t>
      </w:r>
    </w:p>
    <w:p w14:paraId="202E93C9">
      <w:pPr>
        <w:pStyle w:val="19"/>
        <w:overflowPunct w:val="0"/>
        <w:adjustRightInd w:val="0"/>
        <w:snapToGrid w:val="0"/>
        <w:spacing w:beforeAutospacing="0" w:afterAutospacing="0" w:line="600" w:lineRule="exact"/>
        <w:jc w:val="center"/>
        <w:rPr>
          <w:rFonts w:ascii="Times New Roman" w:hAnsi="Times New Roman" w:eastAsia="方正小标宋_GBK" w:cs="方正小标宋_GBK"/>
          <w:color w:val="auto"/>
          <w:sz w:val="44"/>
          <w:szCs w:val="44"/>
          <w:highlight w:val="none"/>
        </w:rPr>
      </w:pPr>
      <w:r>
        <w:rPr>
          <w:rFonts w:hint="eastAsia" w:ascii="Times New Roman" w:hAnsi="Times New Roman" w:eastAsia="方正小标宋_GBK" w:cs="方正小标宋_GBK"/>
          <w:color w:val="auto"/>
          <w:sz w:val="44"/>
          <w:szCs w:val="44"/>
          <w:highlight w:val="none"/>
        </w:rPr>
        <w:t>第十五个五年规划纲要</w:t>
      </w:r>
    </w:p>
    <w:p w14:paraId="57683AA0">
      <w:pPr>
        <w:widowControl/>
        <w:numPr>
          <w:ilvl w:val="-1"/>
          <w:numId w:val="0"/>
        </w:numPr>
        <w:adjustRightInd w:val="0"/>
        <w:spacing w:line="600" w:lineRule="exact"/>
        <w:ind w:firstLine="640" w:firstLineChars="200"/>
        <w:jc w:val="left"/>
        <w:rPr>
          <w:rFonts w:hint="default" w:ascii="Times New Roman" w:hAnsi="Times New Roman" w:eastAsia="方正仿宋_GBK" w:cs="Times New Roman"/>
          <w:color w:val="auto"/>
          <w:sz w:val="32"/>
          <w:szCs w:val="20"/>
          <w:highlight w:val="none"/>
          <w:lang w:eastAsia="zh-CN"/>
        </w:rPr>
      </w:pPr>
    </w:p>
    <w:p w14:paraId="066D7525">
      <w:pPr>
        <w:widowControl/>
        <w:numPr>
          <w:ilvl w:val="255"/>
          <w:numId w:val="0"/>
        </w:numPr>
        <w:adjustRightInd w:val="0"/>
        <w:spacing w:line="600" w:lineRule="exact"/>
        <w:ind w:firstLine="640" w:firstLineChars="200"/>
        <w:jc w:val="left"/>
        <w:rPr>
          <w:rFonts w:ascii="Times New Roman" w:hAnsi="Times New Roman" w:eastAsia="方正仿宋_GBK" w:cs="Times New Roman"/>
          <w:color w:val="auto"/>
          <w:sz w:val="32"/>
          <w:szCs w:val="20"/>
          <w:highlight w:val="none"/>
        </w:rPr>
      </w:pPr>
      <w:r>
        <w:rPr>
          <w:rFonts w:ascii="Times New Roman" w:hAnsi="Times New Roman" w:eastAsia="方正仿宋_GBK" w:cs="Times New Roman"/>
          <w:color w:val="auto"/>
          <w:sz w:val="32"/>
          <w:szCs w:val="20"/>
          <w:highlight w:val="none"/>
        </w:rPr>
        <w:t>重庆高新区国民经济和社会发展第十五个五年</w:t>
      </w:r>
      <w:r>
        <w:rPr>
          <w:rFonts w:hint="eastAsia" w:ascii="Times New Roman" w:hAnsi="Times New Roman" w:eastAsia="方正仿宋_GBK" w:cs="Times New Roman"/>
          <w:color w:val="auto"/>
          <w:sz w:val="32"/>
          <w:szCs w:val="20"/>
          <w:highlight w:val="none"/>
        </w:rPr>
        <w:t>（2026—2030年）</w:t>
      </w:r>
      <w:r>
        <w:rPr>
          <w:rFonts w:ascii="Times New Roman" w:hAnsi="Times New Roman" w:eastAsia="方正仿宋_GBK" w:cs="Times New Roman"/>
          <w:color w:val="auto"/>
          <w:sz w:val="32"/>
          <w:szCs w:val="20"/>
          <w:highlight w:val="none"/>
        </w:rPr>
        <w:t>规划纲要</w:t>
      </w:r>
      <w:r>
        <w:rPr>
          <w:rFonts w:hint="eastAsia" w:ascii="Times New Roman" w:hAnsi="Times New Roman" w:eastAsia="方正仿宋_GBK" w:cs="Times New Roman"/>
          <w:color w:val="auto"/>
          <w:sz w:val="32"/>
          <w:szCs w:val="20"/>
          <w:highlight w:val="none"/>
        </w:rPr>
        <w:t>，根据《中华人民共和国国民经济和社会发展第十五个五年规划纲要》《重庆市国民经济和社会发展第十五个五年规划纲要》制定，主要阐明“十五五”时期重庆高新区的发展思路、主要目标、重点任务等，是</w:t>
      </w:r>
      <w:r>
        <w:rPr>
          <w:rFonts w:hint="eastAsia" w:ascii="Times New Roman" w:hAnsi="Times New Roman" w:eastAsia="方正仿宋_GBK" w:cs="Times New Roman"/>
          <w:color w:val="auto"/>
          <w:sz w:val="32"/>
          <w:szCs w:val="20"/>
          <w:highlight w:val="none"/>
          <w:lang w:val="en-US" w:eastAsia="zh-CN"/>
        </w:rPr>
        <w:t>重庆</w:t>
      </w:r>
      <w:r>
        <w:rPr>
          <w:rFonts w:hint="eastAsia" w:ascii="Times New Roman" w:hAnsi="Times New Roman" w:eastAsia="方正仿宋_GBK" w:cs="Times New Roman"/>
          <w:color w:val="auto"/>
          <w:sz w:val="32"/>
          <w:szCs w:val="20"/>
          <w:highlight w:val="none"/>
        </w:rPr>
        <w:t>高新区发展的宏伟蓝图，是</w:t>
      </w:r>
      <w:r>
        <w:rPr>
          <w:rFonts w:hint="eastAsia" w:ascii="Times New Roman" w:hAnsi="Times New Roman" w:eastAsia="方正仿宋_GBK" w:cs="Times New Roman"/>
          <w:color w:val="auto"/>
          <w:sz w:val="32"/>
          <w:szCs w:val="20"/>
          <w:highlight w:val="none"/>
          <w:lang w:val="en-US" w:eastAsia="zh-CN"/>
        </w:rPr>
        <w:t>重庆</w:t>
      </w:r>
      <w:r>
        <w:rPr>
          <w:rFonts w:hint="eastAsia" w:ascii="Times New Roman" w:hAnsi="Times New Roman" w:eastAsia="方正仿宋_GBK" w:cs="Times New Roman"/>
          <w:color w:val="auto"/>
          <w:sz w:val="32"/>
          <w:szCs w:val="20"/>
          <w:highlight w:val="none"/>
        </w:rPr>
        <w:t>高新区人民的共同愿景。</w:t>
      </w:r>
    </w:p>
    <w:bookmarkEnd w:id="0"/>
    <w:bookmarkEnd w:id="1"/>
    <w:bookmarkEnd w:id="2"/>
    <w:bookmarkEnd w:id="3"/>
    <w:bookmarkEnd w:id="4"/>
    <w:bookmarkEnd w:id="5"/>
    <w:bookmarkEnd w:id="6"/>
    <w:bookmarkEnd w:id="7"/>
    <w:bookmarkEnd w:id="8"/>
    <w:bookmarkEnd w:id="9"/>
    <w:bookmarkEnd w:id="10"/>
    <w:bookmarkEnd w:id="11"/>
    <w:bookmarkEnd w:id="12"/>
    <w:p w14:paraId="6B52616F">
      <w:pPr>
        <w:widowControl/>
        <w:adjustRightInd w:val="0"/>
        <w:spacing w:line="600" w:lineRule="exact"/>
        <w:ind w:firstLine="640" w:firstLineChars="200"/>
        <w:jc w:val="left"/>
        <w:rPr>
          <w:rFonts w:ascii="Times New Roman" w:hAnsi="Times New Roman" w:eastAsia="方正仿宋_GBK" w:cs="Times New Roman"/>
          <w:color w:val="auto"/>
          <w:sz w:val="32"/>
          <w:szCs w:val="20"/>
          <w:highlight w:val="none"/>
        </w:rPr>
      </w:pPr>
      <w:bookmarkStart w:id="14" w:name="_Toc10032"/>
      <w:bookmarkStart w:id="15" w:name="_Toc10796"/>
      <w:bookmarkStart w:id="16" w:name="_Toc21331"/>
      <w:bookmarkStart w:id="17" w:name="_Toc5834"/>
      <w:bookmarkStart w:id="18" w:name="_Toc16622"/>
      <w:bookmarkStart w:id="19" w:name="_Toc18521"/>
      <w:bookmarkStart w:id="20" w:name="_Toc17210"/>
      <w:bookmarkStart w:id="21" w:name="_Toc32767"/>
      <w:bookmarkStart w:id="22" w:name="_Toc1086"/>
      <w:bookmarkStart w:id="23" w:name="_Toc12580"/>
      <w:bookmarkStart w:id="24" w:name="_Toc19299"/>
      <w:bookmarkStart w:id="25" w:name="_Toc15440"/>
    </w:p>
    <w:p w14:paraId="22B606F1">
      <w:pPr>
        <w:overflowPunct w:val="0"/>
        <w:adjustRightInd w:val="0"/>
        <w:snapToGrid w:val="0"/>
        <w:spacing w:line="600" w:lineRule="exact"/>
        <w:jc w:val="center"/>
        <w:outlineLvl w:val="0"/>
        <w:rPr>
          <w:rFonts w:ascii="Times New Roman" w:hAnsi="Times New Roman" w:eastAsia="方正黑体_GBK" w:cs="方正黑体_GBK"/>
          <w:color w:val="auto"/>
          <w:sz w:val="32"/>
          <w:szCs w:val="32"/>
          <w:highlight w:val="none"/>
        </w:rPr>
      </w:pPr>
      <w:bookmarkStart w:id="26" w:name="_Toc25646"/>
      <w:bookmarkStart w:id="27" w:name="_Toc1028997996"/>
      <w:bookmarkStart w:id="28" w:name="_Toc859347112"/>
      <w:bookmarkStart w:id="29" w:name="_Toc1016"/>
      <w:bookmarkStart w:id="30" w:name="_Toc22913"/>
      <w:r>
        <w:rPr>
          <w:rFonts w:hint="eastAsia" w:ascii="Times New Roman" w:hAnsi="Times New Roman" w:eastAsia="方正黑体_GBK" w:cs="方正黑体_GBK"/>
          <w:color w:val="auto"/>
          <w:sz w:val="32"/>
          <w:szCs w:val="32"/>
          <w:highlight w:val="none"/>
        </w:rPr>
        <w:t>第一篇 新时代新阶段新起点</w:t>
      </w:r>
      <w:bookmarkEnd w:id="26"/>
      <w:bookmarkEnd w:id="27"/>
      <w:bookmarkEnd w:id="28"/>
      <w:bookmarkEnd w:id="29"/>
      <w:bookmarkEnd w:id="30"/>
    </w:p>
    <w:p w14:paraId="058B3A99">
      <w:pPr>
        <w:overflowPunct w:val="0"/>
        <w:adjustRightInd w:val="0"/>
        <w:snapToGrid w:val="0"/>
        <w:spacing w:line="600" w:lineRule="exact"/>
        <w:jc w:val="center"/>
        <w:outlineLvl w:val="0"/>
        <w:rPr>
          <w:rFonts w:ascii="Times New Roman" w:hAnsi="Times New Roman" w:eastAsia="方正黑体_GBK" w:cs="方正黑体_GBK"/>
          <w:color w:val="auto"/>
          <w:sz w:val="32"/>
          <w:szCs w:val="32"/>
          <w:highlight w:val="none"/>
        </w:rPr>
      </w:pPr>
      <w:bookmarkStart w:id="31" w:name="_Toc292"/>
      <w:bookmarkStart w:id="32" w:name="_Toc8669"/>
      <w:bookmarkStart w:id="33" w:name="_Toc1219385309"/>
      <w:bookmarkStart w:id="34" w:name="_Toc683509481"/>
      <w:bookmarkStart w:id="35" w:name="_Toc17348"/>
      <w:r>
        <w:rPr>
          <w:rFonts w:hint="eastAsia" w:ascii="Times New Roman" w:hAnsi="Times New Roman" w:eastAsia="方正黑体_GBK" w:cs="方正黑体_GBK"/>
          <w:color w:val="auto"/>
          <w:sz w:val="32"/>
          <w:szCs w:val="32"/>
          <w:highlight w:val="none"/>
        </w:rPr>
        <w:t>全面提升服务全市发展大局的能力和贡献度</w:t>
      </w:r>
      <w:bookmarkEnd w:id="31"/>
      <w:bookmarkEnd w:id="32"/>
      <w:bookmarkEnd w:id="33"/>
      <w:bookmarkEnd w:id="34"/>
      <w:bookmarkEnd w:id="35"/>
    </w:p>
    <w:p w14:paraId="536AD873">
      <w:pPr>
        <w:pStyle w:val="19"/>
        <w:overflowPunct w:val="0"/>
        <w:adjustRightInd w:val="0"/>
        <w:spacing w:beforeAutospacing="0" w:afterAutospacing="0" w:line="600" w:lineRule="exact"/>
        <w:ind w:firstLine="640" w:firstLineChars="200"/>
        <w:jc w:val="both"/>
        <w:rPr>
          <w:rFonts w:ascii="Times New Roman" w:hAnsi="Times New Roman" w:eastAsia="方正仿宋_GBK" w:cs="方正仿宋_GBK"/>
          <w:color w:val="auto"/>
          <w:sz w:val="32"/>
          <w:szCs w:val="32"/>
          <w:highlight w:val="none"/>
        </w:rPr>
      </w:pPr>
    </w:p>
    <w:p w14:paraId="2F910C84">
      <w:pPr>
        <w:pStyle w:val="19"/>
        <w:overflowPunct w:val="0"/>
        <w:adjustRightInd w:val="0"/>
        <w:spacing w:beforeAutospacing="0" w:afterAutospacing="0" w:line="600" w:lineRule="exact"/>
        <w:ind w:firstLine="640" w:firstLineChars="200"/>
        <w:jc w:val="both"/>
        <w:rPr>
          <w:rFonts w:hint="eastAsia" w:ascii="Times New Roman" w:hAnsi="Times New Roman" w:eastAsia="方正仿宋_GBK"/>
          <w:color w:val="auto"/>
          <w:sz w:val="32"/>
          <w:szCs w:val="20"/>
          <w:highlight w:val="none"/>
        </w:rPr>
      </w:pPr>
      <w:r>
        <w:rPr>
          <w:rFonts w:hint="eastAsia" w:ascii="Times New Roman" w:hAnsi="Times New Roman" w:eastAsia="方正仿宋_GBK"/>
          <w:color w:val="auto"/>
          <w:sz w:val="32"/>
          <w:szCs w:val="20"/>
          <w:highlight w:val="none"/>
        </w:rPr>
        <w:t>“十五五”时期</w:t>
      </w:r>
      <w:r>
        <w:rPr>
          <w:rFonts w:hint="eastAsia" w:ascii="Times New Roman" w:hAnsi="Times New Roman" w:eastAsia="方正仿宋_GBK"/>
          <w:color w:val="auto"/>
          <w:sz w:val="32"/>
          <w:szCs w:val="20"/>
          <w:highlight w:val="none"/>
          <w:lang w:val="en-US" w:eastAsia="zh-CN"/>
        </w:rPr>
        <w:t>是</w:t>
      </w:r>
      <w:r>
        <w:rPr>
          <w:rFonts w:hint="eastAsia" w:ascii="Times New Roman" w:hAnsi="Times New Roman" w:eastAsia="方正仿宋_GBK"/>
          <w:color w:val="auto"/>
          <w:sz w:val="32"/>
          <w:szCs w:val="20"/>
          <w:highlight w:val="none"/>
        </w:rPr>
        <w:t>基本实现社会主义现代化夯实基础、全面发力的关键时期。重庆高新区必须紧抓现代化新重庆建设的重要引擎、具有全国影响力的科技创新中心核心承载区等机遇，以发展破难题、以改革增动力、以创新求突破，通过“十五五”培育提升、成长壮大，为2035年基本实现现代化奠定坚实基础。</w:t>
      </w:r>
    </w:p>
    <w:p w14:paraId="4164BE8C">
      <w:pPr>
        <w:numPr>
          <w:ilvl w:val="-1"/>
          <w:numId w:val="0"/>
        </w:numPr>
        <w:overflowPunct/>
        <w:adjustRightInd/>
        <w:spacing w:line="240" w:lineRule="auto"/>
        <w:jc w:val="left"/>
        <w:outlineLvl w:val="9"/>
        <w:rPr>
          <w:rFonts w:hint="eastAsia" w:ascii="Times New Roman" w:hAnsi="Times New Roman" w:eastAsia="方正黑体_GBK" w:cs="方正黑体_GBK"/>
          <w:color w:val="auto"/>
          <w:sz w:val="32"/>
          <w:szCs w:val="32"/>
          <w:highlight w:val="none"/>
          <w:lang w:val="en-US" w:eastAsia="zh-CN"/>
        </w:rPr>
      </w:pPr>
      <w:bookmarkStart w:id="36" w:name="_Toc22778"/>
      <w:bookmarkStart w:id="37" w:name="_Toc2945"/>
      <w:bookmarkStart w:id="38" w:name="_Toc32489"/>
      <w:bookmarkStart w:id="39" w:name="_Toc19324"/>
      <w:bookmarkStart w:id="40" w:name="_Toc30024"/>
      <w:bookmarkStart w:id="41" w:name="_Toc32372"/>
      <w:bookmarkStart w:id="42" w:name="_Toc772445042"/>
      <w:bookmarkStart w:id="43" w:name="_Toc853819364"/>
      <w:bookmarkStart w:id="44" w:name="_Toc7070"/>
      <w:bookmarkStart w:id="45" w:name="_Toc1201"/>
      <w:bookmarkStart w:id="46" w:name="_Toc17665"/>
      <w:r>
        <w:rPr>
          <w:rFonts w:hint="eastAsia" w:ascii="Times New Roman" w:hAnsi="Times New Roman" w:eastAsia="方正黑体_GBK" w:cs="方正黑体_GBK"/>
          <w:color w:val="auto"/>
          <w:sz w:val="32"/>
          <w:szCs w:val="32"/>
          <w:highlight w:val="none"/>
          <w:lang w:val="en-US" w:eastAsia="zh-CN"/>
        </w:rPr>
        <w:br w:type="page"/>
      </w:r>
    </w:p>
    <w:p w14:paraId="42823C94">
      <w:pPr>
        <w:numPr>
          <w:ilvl w:val="-1"/>
          <w:numId w:val="0"/>
        </w:numPr>
        <w:overflowPunct w:val="0"/>
        <w:adjustRightInd/>
        <w:spacing w:line="600" w:lineRule="exact"/>
        <w:jc w:val="center"/>
        <w:outlineLvl w:val="1"/>
        <w:rPr>
          <w:rFonts w:hint="eastAsia" w:ascii="Times New Roman" w:hAnsi="Times New Roman" w:eastAsia="方正黑体_GBK" w:cs="方正黑体_GBK"/>
          <w:color w:val="auto"/>
          <w:sz w:val="32"/>
          <w:szCs w:val="32"/>
          <w:highlight w:val="none"/>
        </w:rPr>
      </w:pPr>
      <w:r>
        <w:rPr>
          <w:rFonts w:hint="eastAsia" w:ascii="Times New Roman" w:hAnsi="Times New Roman" w:eastAsia="方正黑体_GBK" w:cs="方正黑体_GBK"/>
          <w:color w:val="auto"/>
          <w:sz w:val="32"/>
          <w:szCs w:val="32"/>
          <w:highlight w:val="none"/>
          <w:lang w:val="en-US" w:eastAsia="zh-CN"/>
        </w:rPr>
        <w:t xml:space="preserve">第一章 </w:t>
      </w:r>
      <w:r>
        <w:rPr>
          <w:rFonts w:hint="eastAsia" w:ascii="Times New Roman" w:hAnsi="Times New Roman" w:eastAsia="方正黑体_GBK" w:cs="方正黑体_GBK"/>
          <w:color w:val="auto"/>
          <w:sz w:val="32"/>
          <w:szCs w:val="32"/>
          <w:highlight w:val="none"/>
        </w:rPr>
        <w:t>“十四五”发展成效</w:t>
      </w:r>
      <w:bookmarkEnd w:id="36"/>
      <w:bookmarkEnd w:id="37"/>
      <w:bookmarkEnd w:id="38"/>
      <w:bookmarkEnd w:id="39"/>
      <w:bookmarkEnd w:id="40"/>
      <w:bookmarkEnd w:id="41"/>
      <w:bookmarkEnd w:id="42"/>
      <w:bookmarkEnd w:id="43"/>
      <w:bookmarkEnd w:id="44"/>
      <w:bookmarkEnd w:id="45"/>
      <w:bookmarkEnd w:id="46"/>
    </w:p>
    <w:p w14:paraId="513AC753">
      <w:pPr>
        <w:adjustRightInd w:val="0"/>
        <w:spacing w:line="600" w:lineRule="exact"/>
        <w:ind w:firstLine="640" w:firstLineChars="200"/>
        <w:textAlignment w:val="baseline"/>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五年来，重庆高新区坚持以习近平新时代中国特色社会主义思想为指导，全面贯彻习近平总书记视察重庆重要讲话重要指示精神和关于以“一城多园”模式合作共建西部科学城的</w:t>
      </w:r>
      <w:r>
        <w:rPr>
          <w:rFonts w:hint="eastAsia" w:ascii="Times New Roman" w:hAnsi="Times New Roman" w:eastAsia="方正仿宋_GBK" w:cs="Times New Roman"/>
          <w:color w:val="auto"/>
          <w:sz w:val="32"/>
          <w:szCs w:val="32"/>
          <w:highlight w:val="none"/>
          <w:lang w:val="en-US" w:eastAsia="zh-CN"/>
        </w:rPr>
        <w:t>战略要求</w:t>
      </w:r>
      <w:r>
        <w:rPr>
          <w:rFonts w:hint="eastAsia" w:ascii="Times New Roman" w:hAnsi="Times New Roman" w:eastAsia="方正仿宋_GBK" w:cs="Times New Roman"/>
          <w:color w:val="auto"/>
          <w:sz w:val="32"/>
          <w:szCs w:val="32"/>
          <w:highlight w:val="none"/>
        </w:rPr>
        <w:t>，抢抓成渝地区双城经济圈战略机遇，认真落实市委关于现代化新重庆建设的部署要求，紧扣市委赋予的“科产城融合发展功能片区”“科创极核”等使命任务，坚持以科产城融合发展为路径，聚焦科学主题“铸魂”，做强现代产业“固本”，面向未来发展“筑城”，深化改革开放“赋能”，推动科创核心承载区辨识度持续增强</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rPr>
        <w:t>现代化新重庆的重要引擎作用日益彰显。</w:t>
      </w:r>
    </w:p>
    <w:p w14:paraId="575DB8B4">
      <w:pPr>
        <w:adjustRightInd w:val="0"/>
        <w:spacing w:line="600" w:lineRule="exact"/>
        <w:ind w:firstLine="640" w:firstLineChars="200"/>
        <w:textAlignment w:val="baseline"/>
        <w:rPr>
          <w:rFonts w:ascii="Times New Roman" w:hAnsi="Times New Roman" w:eastAsia="方正仿宋_GBK" w:cs="方正仿宋_GBK"/>
          <w:color w:val="auto"/>
          <w:sz w:val="32"/>
          <w:szCs w:val="32"/>
          <w:highlight w:val="none"/>
        </w:rPr>
      </w:pPr>
      <w:r>
        <w:rPr>
          <w:rFonts w:hint="eastAsia" w:ascii="Times New Roman" w:hAnsi="Times New Roman" w:eastAsia="方正仿宋_GBK" w:cs="Times New Roman"/>
          <w:color w:val="auto"/>
          <w:sz w:val="32"/>
          <w:szCs w:val="32"/>
          <w:highlight w:val="none"/>
        </w:rPr>
        <w:t>综合经济实</w:t>
      </w:r>
      <w:r>
        <w:rPr>
          <w:rFonts w:hint="eastAsia" w:ascii="Times New Roman" w:hAnsi="Times New Roman" w:eastAsia="方正仿宋_GBK" w:cs="方正仿宋_GBK"/>
          <w:color w:val="auto"/>
          <w:sz w:val="32"/>
          <w:szCs w:val="32"/>
          <w:highlight w:val="none"/>
        </w:rPr>
        <w:t>力稳步攀升。地区生产总值由2021年588.55亿元增至2025年912.5亿元，2025年增速达到6.8%。固定资产投资额由380亿元增至591.1亿元，年均增速13.93%，投资强度及密度全市第一，成为全市投资体量超过550亿元的</w:t>
      </w:r>
      <w:r>
        <w:rPr>
          <w:rFonts w:hint="eastAsia" w:ascii="Times New Roman" w:hAnsi="Times New Roman" w:eastAsia="方正仿宋_GBK" w:cs="方正仿宋_GBK"/>
          <w:color w:val="auto"/>
          <w:sz w:val="32"/>
          <w:szCs w:val="32"/>
          <w:highlight w:val="none"/>
          <w:lang w:val="en-US" w:eastAsia="zh-CN"/>
        </w:rPr>
        <w:t>六</w:t>
      </w:r>
      <w:r>
        <w:rPr>
          <w:rFonts w:hint="eastAsia" w:ascii="Times New Roman" w:hAnsi="Times New Roman" w:eastAsia="方正仿宋_GBK" w:cs="方正仿宋_GBK"/>
          <w:color w:val="auto"/>
          <w:sz w:val="32"/>
          <w:szCs w:val="32"/>
          <w:highlight w:val="none"/>
        </w:rPr>
        <w:t>区之一。新培育规上工业企业126家，规上工业产值达到2619.2亿元，规上工业增加值年均增长4.7%，</w:t>
      </w:r>
      <w:r>
        <w:rPr>
          <w:rFonts w:hint="eastAsia" w:ascii="方正仿宋_GBK" w:hAnsi="方正仿宋_GBK" w:eastAsia="方正仿宋_GBK" w:cs="方正仿宋_GBK"/>
          <w:color w:val="auto"/>
          <w:sz w:val="32"/>
          <w:szCs w:val="32"/>
          <w:highlight w:val="none"/>
        </w:rPr>
        <w:t>是全市工业规模超</w:t>
      </w:r>
      <w:r>
        <w:rPr>
          <w:rFonts w:hint="eastAsia" w:ascii="Times New Roman" w:hAnsi="Times New Roman" w:eastAsia="方正仿宋_GBK" w:cs="方正仿宋_GBK"/>
          <w:color w:val="auto"/>
          <w:sz w:val="32"/>
          <w:szCs w:val="32"/>
          <w:highlight w:val="none"/>
        </w:rPr>
        <w:t>2500</w:t>
      </w:r>
      <w:r>
        <w:rPr>
          <w:rFonts w:hint="eastAsia" w:ascii="方正仿宋_GBK" w:hAnsi="方正仿宋_GBK" w:eastAsia="方正仿宋_GBK" w:cs="方正仿宋_GBK"/>
          <w:color w:val="auto"/>
          <w:sz w:val="32"/>
          <w:szCs w:val="32"/>
          <w:highlight w:val="none"/>
        </w:rPr>
        <w:t>亿元的</w:t>
      </w:r>
      <w:r>
        <w:rPr>
          <w:rFonts w:hint="eastAsia" w:ascii="Times New Roman" w:hAnsi="Times New Roman" w:eastAsia="方正仿宋_GBK" w:cs="方正仿宋_GBK"/>
          <w:color w:val="auto"/>
          <w:sz w:val="32"/>
          <w:szCs w:val="32"/>
          <w:highlight w:val="none"/>
          <w:lang w:val="en-US" w:eastAsia="zh-CN"/>
        </w:rPr>
        <w:t>五</w:t>
      </w:r>
      <w:r>
        <w:rPr>
          <w:rFonts w:hint="eastAsia" w:ascii="方正仿宋_GBK" w:hAnsi="方正仿宋_GBK" w:eastAsia="方正仿宋_GBK" w:cs="方正仿宋_GBK"/>
          <w:color w:val="auto"/>
          <w:sz w:val="32"/>
          <w:szCs w:val="32"/>
          <w:highlight w:val="none"/>
        </w:rPr>
        <w:t>区之一。国家高新区综合排</w:t>
      </w:r>
      <w:r>
        <w:rPr>
          <w:rFonts w:ascii="Times New Roman" w:hAnsi="Times New Roman" w:eastAsia="方正仿宋_GBK" w:cs="Times New Roman"/>
          <w:color w:val="auto"/>
          <w:sz w:val="32"/>
          <w:szCs w:val="32"/>
          <w:highlight w:val="none"/>
        </w:rPr>
        <w:t>名由41位提升至2</w:t>
      </w:r>
      <w:r>
        <w:rPr>
          <w:rFonts w:hint="eastAsia" w:ascii="Times New Roman" w:hAnsi="Times New Roman" w:eastAsia="方正仿宋_GBK" w:cs="Times New Roman"/>
          <w:color w:val="auto"/>
          <w:sz w:val="32"/>
          <w:szCs w:val="32"/>
          <w:highlight w:val="none"/>
          <w:lang w:val="en-US" w:eastAsia="zh-CN"/>
        </w:rPr>
        <w:t>5</w:t>
      </w:r>
      <w:r>
        <w:rPr>
          <w:rFonts w:ascii="Times New Roman" w:hAnsi="Times New Roman" w:eastAsia="方正仿宋_GBK" w:cs="Times New Roman"/>
          <w:color w:val="auto"/>
          <w:sz w:val="32"/>
          <w:szCs w:val="32"/>
          <w:highlight w:val="none"/>
        </w:rPr>
        <w:t>位。</w:t>
      </w:r>
    </w:p>
    <w:p w14:paraId="0C39FC6F">
      <w:pPr>
        <w:adjustRightInd w:val="0"/>
        <w:spacing w:line="600" w:lineRule="exact"/>
        <w:ind w:firstLine="640" w:firstLineChars="200"/>
        <w:textAlignment w:val="baseline"/>
        <w:rPr>
          <w:rFonts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color w:val="auto"/>
          <w:sz w:val="32"/>
          <w:szCs w:val="32"/>
          <w:highlight w:val="none"/>
        </w:rPr>
        <w:t>创新动能加速积蓄。紧扣全市“416”科技创新布局和市域科创走廊建设</w:t>
      </w:r>
      <w:r>
        <w:rPr>
          <w:rFonts w:hint="eastAsia" w:ascii="Times New Roman" w:hAnsi="Times New Roman" w:eastAsia="方正仿宋_GBK" w:cs="方正仿宋_GBK"/>
          <w:color w:val="auto"/>
          <w:sz w:val="32"/>
          <w:szCs w:val="32"/>
          <w:highlight w:val="none"/>
          <w:lang w:val="en-US" w:eastAsia="zh-CN"/>
        </w:rPr>
        <w:t>要求</w:t>
      </w:r>
      <w:r>
        <w:rPr>
          <w:rFonts w:hint="eastAsia" w:ascii="Times New Roman" w:hAnsi="Times New Roman" w:eastAsia="方正仿宋_GBK" w:cs="方正仿宋_GBK"/>
          <w:color w:val="auto"/>
          <w:sz w:val="32"/>
          <w:szCs w:val="32"/>
          <w:highlight w:val="none"/>
        </w:rPr>
        <w:t>，科技创新整体效能全面跃升。强化关键技术攻关，探索“企业出题、政府立题、高校答题、市场判题”产学研协同攻关新模式，承担市级科研重大专项50项、占全市总数35.2%。高端创新主体加速集聚，金凤实验室、嘉陵江实验室两大重庆实验室加快建设，累计建成市级以上科技创新平台基地290个、其中国家级12个，高新技术企业、科技型企业、专精特新企业数量分别增长260%、330%、1286%</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实施人才“兴城强区”行动，建成院士工作站6个，新重庆人才卡持卡人数增至3198名，企业研发人员达1.6万人，人才净增量2.1万人、增量连续3年居全市前列。</w:t>
      </w:r>
    </w:p>
    <w:p w14:paraId="16556DCE">
      <w:pPr>
        <w:adjustRightInd w:val="0"/>
        <w:spacing w:line="600" w:lineRule="exact"/>
        <w:ind w:firstLine="640" w:firstLineChars="200"/>
        <w:textAlignment w:val="baseline"/>
        <w:rPr>
          <w:rFonts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color w:val="auto"/>
          <w:sz w:val="32"/>
          <w:szCs w:val="32"/>
          <w:highlight w:val="none"/>
        </w:rPr>
        <w:t>产业能级持续提升。围绕全市“33618”现代制造业集群体系，以产业链“链长制”为抓手，聚力打造集成电路、新型智能终端、新能源汽摩等5条</w:t>
      </w:r>
      <w:r>
        <w:rPr>
          <w:rFonts w:hint="eastAsia" w:ascii="Times New Roman" w:hAnsi="Times New Roman" w:eastAsia="方正仿宋_GBK" w:cs="方正仿宋_GBK"/>
          <w:color w:val="auto"/>
          <w:sz w:val="32"/>
          <w:szCs w:val="32"/>
          <w:highlight w:val="none"/>
          <w:lang w:val="en-US" w:eastAsia="zh-CN"/>
        </w:rPr>
        <w:t>现代</w:t>
      </w:r>
      <w:r>
        <w:rPr>
          <w:rFonts w:hint="eastAsia" w:ascii="Times New Roman" w:hAnsi="Times New Roman" w:eastAsia="方正仿宋_GBK" w:cs="方正仿宋_GBK"/>
          <w:color w:val="auto"/>
          <w:sz w:val="32"/>
          <w:szCs w:val="32"/>
          <w:highlight w:val="none"/>
        </w:rPr>
        <w:t>制造业产业链，软件和信息服务、科技服务等5条现代服务业产业链。制造业加速提档升级，功率半导体产量居西部第1、全国第3，笔电产能占全球1/4，电子信息产业产值占全市比重达30%</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摩托车整车年产能合计超100万台，2025年新能源汽摩产值较2021年增长超60%。国家药品和医疗器械审评检查西南分中心落地投用，打造全市首批智慧医疗装备产业发展集聚区。生产性服务业加快发展，规上软件和信息服务企业营收年均增长34.7%，打造全市首批跨境电子商务示范区，开通“重庆西永</w:t>
      </w:r>
      <w:r>
        <w:rPr>
          <w:rFonts w:hint="eastAsia" w:ascii="Times New Roman" w:hAnsi="Times New Roman" w:eastAsia="方正仿宋_GBK" w:cs="Times New Roman"/>
          <w:color w:val="auto"/>
          <w:sz w:val="32"/>
          <w:szCs w:val="32"/>
          <w:highlight w:val="none"/>
        </w:rPr>
        <w:t>—</w:t>
      </w:r>
      <w:r>
        <w:rPr>
          <w:rFonts w:hint="eastAsia" w:ascii="Times New Roman" w:hAnsi="Times New Roman" w:eastAsia="方正仿宋_GBK" w:cs="方正仿宋_GBK"/>
          <w:color w:val="auto"/>
          <w:sz w:val="32"/>
          <w:szCs w:val="32"/>
          <w:highlight w:val="none"/>
        </w:rPr>
        <w:t>广西</w:t>
      </w:r>
      <w:r>
        <w:rPr>
          <w:rFonts w:hint="eastAsia" w:ascii="Times New Roman" w:hAnsi="Times New Roman" w:eastAsia="方正仿宋_GBK" w:cs="Times New Roman"/>
          <w:color w:val="auto"/>
          <w:sz w:val="32"/>
          <w:szCs w:val="32"/>
          <w:highlight w:val="none"/>
        </w:rPr>
        <w:t>—</w:t>
      </w:r>
      <w:r>
        <w:rPr>
          <w:rFonts w:hint="eastAsia" w:ascii="Times New Roman" w:hAnsi="Times New Roman" w:eastAsia="方正仿宋_GBK" w:cs="方正仿宋_GBK"/>
          <w:color w:val="auto"/>
          <w:sz w:val="32"/>
          <w:szCs w:val="32"/>
          <w:highlight w:val="none"/>
        </w:rPr>
        <w:t>东盟”跨境专线。</w:t>
      </w:r>
    </w:p>
    <w:p w14:paraId="7C6D554C">
      <w:pPr>
        <w:adjustRightInd w:val="0"/>
        <w:spacing w:line="600" w:lineRule="exact"/>
        <w:ind w:firstLine="640" w:firstLineChars="200"/>
        <w:textAlignment w:val="baseline"/>
        <w:rPr>
          <w:rFonts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color w:val="auto"/>
          <w:sz w:val="32"/>
          <w:szCs w:val="32"/>
          <w:highlight w:val="none"/>
        </w:rPr>
        <w:t>城市功能加快完善。紧盯科学家、企业家、创业者等各类人才需求，加快营造宜学宜研、宜居宜业</w:t>
      </w:r>
      <w:r>
        <w:rPr>
          <w:rFonts w:hint="eastAsia" w:ascii="Times New Roman" w:hAnsi="Times New Roman" w:eastAsia="方正仿宋_GBK" w:cs="方正仿宋_GBK"/>
          <w:color w:val="auto"/>
          <w:sz w:val="32"/>
          <w:szCs w:val="32"/>
          <w:highlight w:val="none"/>
          <w:lang w:val="en-US" w:eastAsia="zh-CN"/>
        </w:rPr>
        <w:t>城市</w:t>
      </w:r>
      <w:r>
        <w:rPr>
          <w:rFonts w:hint="eastAsia" w:ascii="Times New Roman" w:hAnsi="Times New Roman" w:eastAsia="方正仿宋_GBK" w:cs="方正仿宋_GBK"/>
          <w:color w:val="auto"/>
          <w:sz w:val="32"/>
          <w:szCs w:val="32"/>
          <w:highlight w:val="none"/>
        </w:rPr>
        <w:t>环境。强化城市功能匹配，规划城镇建设用地185平方公里，城镇建成区面积增长15.8%，城镇化率提高3个百分点、增速</w:t>
      </w:r>
      <w:r>
        <w:rPr>
          <w:rFonts w:hint="eastAsia" w:ascii="Times New Roman" w:hAnsi="Times New Roman" w:eastAsia="方正仿宋_GBK" w:cs="方正仿宋_GBK"/>
          <w:color w:val="auto"/>
          <w:sz w:val="32"/>
          <w:szCs w:val="32"/>
          <w:highlight w:val="none"/>
          <w:lang w:eastAsia="zh-CN"/>
        </w:rPr>
        <w:t>居中心</w:t>
      </w:r>
      <w:r>
        <w:rPr>
          <w:rFonts w:hint="eastAsia" w:ascii="Times New Roman" w:hAnsi="Times New Roman" w:eastAsia="方正仿宋_GBK" w:cs="方正仿宋_GBK"/>
          <w:color w:val="auto"/>
          <w:sz w:val="32"/>
          <w:szCs w:val="32"/>
          <w:highlight w:val="none"/>
        </w:rPr>
        <w:t>城区第1，新增道路里程</w:t>
      </w:r>
      <w:r>
        <w:rPr>
          <w:rFonts w:ascii="Times New Roman" w:hAnsi="Times New Roman" w:eastAsia="方正仿宋_GBK" w:cs="方正仿宋_GBK"/>
          <w:color w:val="auto"/>
          <w:sz w:val="32"/>
          <w:szCs w:val="32"/>
          <w:highlight w:val="none"/>
        </w:rPr>
        <w:t>186</w:t>
      </w:r>
      <w:r>
        <w:rPr>
          <w:rFonts w:hint="eastAsia" w:ascii="Times New Roman" w:hAnsi="Times New Roman" w:eastAsia="方正仿宋_GBK" w:cs="方正仿宋_GBK"/>
          <w:color w:val="auto"/>
          <w:sz w:val="32"/>
          <w:szCs w:val="32"/>
          <w:highlight w:val="none"/>
        </w:rPr>
        <w:t>公里，在建道路255公里、规模全市第1，在建轨道70.8公里、占全市31.6%。公共服务提质扩能，落地建设重庆大学附属肿瘤医院科学城院区、重庆市第四人民医院科学城院区等三甲医院，</w:t>
      </w:r>
      <w:r>
        <w:rPr>
          <w:rFonts w:hint="eastAsia" w:ascii="Times New Roman" w:hAnsi="Times New Roman" w:eastAsia="方正仿宋_GBK" w:cs="方正仿宋_GBK"/>
          <w:color w:val="auto"/>
          <w:sz w:val="32"/>
          <w:szCs w:val="32"/>
          <w:highlight w:val="none"/>
          <w:lang w:val="en-US" w:eastAsia="zh-CN"/>
        </w:rPr>
        <w:t>引进</w:t>
      </w:r>
      <w:r>
        <w:rPr>
          <w:rFonts w:hint="eastAsia" w:ascii="Times New Roman" w:hAnsi="Times New Roman" w:eastAsia="方正仿宋_GBK" w:cs="方正仿宋_GBK"/>
          <w:color w:val="auto"/>
          <w:sz w:val="32"/>
          <w:szCs w:val="32"/>
          <w:highlight w:val="none"/>
        </w:rPr>
        <w:t>华中师范大学重庆学校、北京师范大学重庆科学城实验学校等优质教育资源，义务教育质量监测综合排名全市领先，区域教育教学整体水平迈入全市第一方阵、位居最前列。新增绿化面积约464万平方米，人均公园绿地面积翻番，城市建成区海绵城市达标率58.4%，水气讯等8类管线矢量化率</w:t>
      </w:r>
      <w:r>
        <w:rPr>
          <w:rFonts w:hint="eastAsia" w:ascii="Times New Roman" w:hAnsi="Times New Roman" w:eastAsia="方正仿宋_GBK" w:cs="方正仿宋_GBK"/>
          <w:color w:val="auto"/>
          <w:sz w:val="32"/>
          <w:szCs w:val="32"/>
          <w:highlight w:val="none"/>
          <w:lang w:val="en-US" w:eastAsia="zh-CN"/>
        </w:rPr>
        <w:t>达到</w:t>
      </w:r>
      <w:r>
        <w:rPr>
          <w:rFonts w:hint="eastAsia" w:ascii="Times New Roman" w:hAnsi="Times New Roman" w:eastAsia="方正仿宋_GBK" w:cs="方正仿宋_GBK"/>
          <w:color w:val="auto"/>
          <w:sz w:val="32"/>
          <w:szCs w:val="32"/>
          <w:highlight w:val="none"/>
        </w:rPr>
        <w:t>100%。</w:t>
      </w:r>
    </w:p>
    <w:p w14:paraId="03F9E8AD">
      <w:pPr>
        <w:adjustRightInd w:val="0"/>
        <w:spacing w:line="600" w:lineRule="exact"/>
        <w:ind w:firstLine="640" w:firstLineChars="200"/>
        <w:textAlignment w:val="baseline"/>
        <w:rPr>
          <w:rFonts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color w:val="auto"/>
          <w:sz w:val="32"/>
          <w:szCs w:val="32"/>
          <w:highlight w:val="none"/>
        </w:rPr>
        <w:t>改革开放纵深推进。深化“一城多园”合作共建西部科学城，与西部（成都）科学城、成都高新区、中国（绵阳）科技城建立合作机制，成渝综合性科学中心成为全国首个跨区域共建科创平台，获批川渝共建重点实验室9家、占全市约82%</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推动“四化”监管和商品条码应用试点等入选全国创新案例</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先行先试科技人才创业陪跑“四支队伍”工作机制，在中西部率先以“先股后投”方式支持科技成果转化试点，促成转化科技成果350项，疾病病理标准化、大气及海洋遥感2个高质量数据集入选国家数据局数据基础设施建设试点，知识产权市场化定价和交易机制等创新举措获评国家级最佳案例，全国中小学科学教育实验区、全国基础教育课程改革试验区获批国家级改革试点。</w:t>
      </w:r>
    </w:p>
    <w:p w14:paraId="4ECBB855">
      <w:pPr>
        <w:numPr>
          <w:ilvl w:val="-1"/>
          <w:numId w:val="0"/>
        </w:numPr>
        <w:overflowPunct w:val="0"/>
        <w:adjustRightInd/>
        <w:spacing w:line="600" w:lineRule="exact"/>
        <w:jc w:val="center"/>
        <w:outlineLvl w:val="1"/>
        <w:rPr>
          <w:rFonts w:ascii="Times New Roman" w:hAnsi="Times New Roman" w:eastAsia="方正黑体_GBK" w:cs="方正黑体_GBK"/>
          <w:color w:val="auto"/>
          <w:sz w:val="32"/>
          <w:szCs w:val="32"/>
          <w:highlight w:val="none"/>
        </w:rPr>
      </w:pPr>
      <w:bookmarkStart w:id="47" w:name="_Toc945174779"/>
      <w:bookmarkStart w:id="48" w:name="_Toc29650"/>
      <w:bookmarkStart w:id="49" w:name="_Toc14025"/>
      <w:bookmarkStart w:id="50" w:name="_Toc26814"/>
      <w:bookmarkStart w:id="51" w:name="_Toc5219"/>
      <w:bookmarkStart w:id="52" w:name="_Toc7952"/>
      <w:bookmarkStart w:id="53" w:name="_Toc8870"/>
      <w:bookmarkStart w:id="54" w:name="_Toc2466"/>
      <w:bookmarkStart w:id="55" w:name="_Toc656321494"/>
      <w:bookmarkStart w:id="56" w:name="_Toc13602"/>
      <w:bookmarkStart w:id="57" w:name="_Toc26987"/>
      <w:r>
        <w:rPr>
          <w:rFonts w:hint="eastAsia" w:ascii="Times New Roman" w:hAnsi="Times New Roman" w:eastAsia="方正黑体_GBK" w:cs="方正黑体_GBK"/>
          <w:color w:val="auto"/>
          <w:sz w:val="32"/>
          <w:szCs w:val="32"/>
          <w:highlight w:val="none"/>
          <w:lang w:val="en-US" w:eastAsia="zh-CN"/>
        </w:rPr>
        <w:t xml:space="preserve">第二章 </w:t>
      </w:r>
      <w:r>
        <w:rPr>
          <w:rFonts w:hint="eastAsia" w:ascii="Times New Roman" w:hAnsi="Times New Roman" w:eastAsia="方正黑体_GBK" w:cs="方正黑体_GBK"/>
          <w:color w:val="auto"/>
          <w:sz w:val="32"/>
          <w:szCs w:val="32"/>
          <w:highlight w:val="none"/>
        </w:rPr>
        <w:t>“十五五”发展形势</w:t>
      </w:r>
      <w:bookmarkEnd w:id="47"/>
      <w:bookmarkEnd w:id="48"/>
      <w:bookmarkEnd w:id="49"/>
      <w:bookmarkEnd w:id="50"/>
      <w:bookmarkEnd w:id="51"/>
      <w:bookmarkEnd w:id="52"/>
      <w:bookmarkEnd w:id="53"/>
      <w:bookmarkEnd w:id="54"/>
      <w:bookmarkEnd w:id="55"/>
      <w:bookmarkEnd w:id="56"/>
      <w:bookmarkEnd w:id="57"/>
    </w:p>
    <w:p w14:paraId="79396A24">
      <w:pPr>
        <w:pStyle w:val="19"/>
        <w:overflowPunct w:val="0"/>
        <w:adjustRightInd w:val="0"/>
        <w:spacing w:beforeAutospacing="0" w:afterAutospacing="0" w:line="600" w:lineRule="exact"/>
        <w:ind w:firstLine="640" w:firstLineChars="200"/>
        <w:rPr>
          <w:rFonts w:hint="eastAsia" w:ascii="Times New Roman" w:hAnsi="Times New Roman" w:eastAsia="方正仿宋_GBK"/>
          <w:color w:val="auto"/>
          <w:sz w:val="32"/>
          <w:szCs w:val="32"/>
          <w:highlight w:val="none"/>
        </w:rPr>
      </w:pPr>
      <w:r>
        <w:rPr>
          <w:rFonts w:hint="eastAsia" w:ascii="Times New Roman" w:hAnsi="Times New Roman" w:eastAsia="方正仿宋_GBK"/>
          <w:color w:val="auto"/>
          <w:sz w:val="32"/>
          <w:szCs w:val="32"/>
          <w:highlight w:val="none"/>
        </w:rPr>
        <w:t>“十五五”时期，世界百年变局加速演进，大国博弈更趋复杂激烈，国际形势更加变乱交织，新一轮科技革命和产业革命加速突破，单边主义、保护主义抬头，国际经贸秩序</w:t>
      </w:r>
      <w:r>
        <w:rPr>
          <w:rFonts w:hint="eastAsia" w:ascii="Times New Roman" w:hAnsi="Times New Roman" w:eastAsia="方正仿宋_GBK"/>
          <w:color w:val="auto"/>
          <w:sz w:val="32"/>
          <w:szCs w:val="32"/>
          <w:highlight w:val="none"/>
          <w:lang w:val="en-US" w:eastAsia="zh-CN"/>
        </w:rPr>
        <w:t>受到严峻</w:t>
      </w:r>
      <w:r>
        <w:rPr>
          <w:rFonts w:hint="eastAsia" w:ascii="Times New Roman" w:hAnsi="Times New Roman" w:eastAsia="方正仿宋_GBK"/>
          <w:color w:val="auto"/>
          <w:sz w:val="32"/>
          <w:szCs w:val="32"/>
          <w:highlight w:val="none"/>
        </w:rPr>
        <w:t>挑战，</w:t>
      </w:r>
      <w:r>
        <w:rPr>
          <w:rFonts w:hint="eastAsia" w:ascii="Times New Roman" w:hAnsi="Times New Roman" w:eastAsia="方正仿宋_GBK"/>
          <w:color w:val="auto"/>
          <w:sz w:val="32"/>
          <w:szCs w:val="32"/>
          <w:highlight w:val="none"/>
          <w:lang w:val="en-US" w:eastAsia="zh-CN"/>
        </w:rPr>
        <w:t>世界</w:t>
      </w:r>
      <w:r>
        <w:rPr>
          <w:rFonts w:hint="eastAsia" w:ascii="Times New Roman" w:hAnsi="Times New Roman" w:eastAsia="方正仿宋_GBK"/>
          <w:color w:val="auto"/>
          <w:sz w:val="32"/>
          <w:szCs w:val="32"/>
          <w:highlight w:val="none"/>
        </w:rPr>
        <w:t>经济增长动能不足。我国处于战略机遇和风险挑战并存、不确定难预料因素增多的时期，但经济基础稳、优势多、韧性强、潜能大，长期向好的支撑条件和基本趋势没有改变，中国特色社会主义制度</w:t>
      </w:r>
      <w:r>
        <w:rPr>
          <w:rFonts w:hint="eastAsia" w:ascii="Times New Roman" w:hAnsi="Times New Roman" w:eastAsia="方正仿宋_GBK"/>
          <w:color w:val="auto"/>
          <w:sz w:val="32"/>
          <w:szCs w:val="32"/>
          <w:highlight w:val="none"/>
          <w:lang w:val="en-US" w:eastAsia="zh-CN"/>
        </w:rPr>
        <w:t>优势</w:t>
      </w:r>
      <w:r>
        <w:rPr>
          <w:rFonts w:hint="eastAsia" w:ascii="Times New Roman" w:hAnsi="Times New Roman" w:eastAsia="方正仿宋_GBK"/>
          <w:color w:val="auto"/>
          <w:sz w:val="32"/>
          <w:szCs w:val="32"/>
          <w:highlight w:val="none"/>
        </w:rPr>
        <w:t>、超大规模市场</w:t>
      </w:r>
      <w:r>
        <w:rPr>
          <w:rFonts w:hint="eastAsia" w:ascii="Times New Roman" w:hAnsi="Times New Roman" w:eastAsia="方正仿宋_GBK"/>
          <w:color w:val="auto"/>
          <w:sz w:val="32"/>
          <w:szCs w:val="32"/>
          <w:highlight w:val="none"/>
          <w:lang w:val="en-US" w:eastAsia="zh-CN"/>
        </w:rPr>
        <w:t>优势</w:t>
      </w:r>
      <w:r>
        <w:rPr>
          <w:rFonts w:hint="eastAsia" w:ascii="Times New Roman" w:hAnsi="Times New Roman" w:eastAsia="方正仿宋_GBK"/>
          <w:color w:val="auto"/>
          <w:sz w:val="32"/>
          <w:szCs w:val="32"/>
          <w:highlight w:val="none"/>
        </w:rPr>
        <w:t>、完整产业体系</w:t>
      </w:r>
      <w:r>
        <w:rPr>
          <w:rFonts w:hint="eastAsia" w:ascii="Times New Roman" w:hAnsi="Times New Roman" w:eastAsia="方正仿宋_GBK"/>
          <w:color w:val="auto"/>
          <w:sz w:val="32"/>
          <w:szCs w:val="32"/>
          <w:highlight w:val="none"/>
          <w:lang w:val="en-US" w:eastAsia="zh-CN"/>
        </w:rPr>
        <w:t>优势</w:t>
      </w:r>
      <w:r>
        <w:rPr>
          <w:rFonts w:hint="eastAsia" w:ascii="Times New Roman" w:hAnsi="Times New Roman" w:eastAsia="方正仿宋_GBK"/>
          <w:color w:val="auto"/>
          <w:sz w:val="32"/>
          <w:szCs w:val="32"/>
          <w:highlight w:val="none"/>
        </w:rPr>
        <w:t>、丰富人才资源优势</w:t>
      </w:r>
      <w:r>
        <w:rPr>
          <w:rFonts w:hint="eastAsia" w:ascii="Times New Roman" w:hAnsi="Times New Roman" w:eastAsia="方正仿宋_GBK"/>
          <w:color w:val="auto"/>
          <w:sz w:val="32"/>
          <w:szCs w:val="32"/>
          <w:highlight w:val="none"/>
          <w:lang w:val="en-US" w:eastAsia="zh-CN"/>
        </w:rPr>
        <w:t>将</w:t>
      </w:r>
      <w:r>
        <w:rPr>
          <w:rFonts w:hint="eastAsia" w:ascii="Times New Roman" w:hAnsi="Times New Roman" w:eastAsia="方正仿宋_GBK"/>
          <w:color w:val="auto"/>
          <w:sz w:val="32"/>
          <w:szCs w:val="32"/>
          <w:highlight w:val="none"/>
        </w:rPr>
        <w:t>持续彰显。</w:t>
      </w:r>
    </w:p>
    <w:p w14:paraId="1D8544DA">
      <w:pPr>
        <w:pStyle w:val="19"/>
        <w:overflowPunct w:val="0"/>
        <w:adjustRightInd w:val="0"/>
        <w:spacing w:beforeAutospacing="0" w:afterAutospacing="0" w:line="600" w:lineRule="exact"/>
        <w:ind w:firstLine="640" w:firstLineChars="200"/>
        <w:rPr>
          <w:rFonts w:hint="eastAsia" w:ascii="Times New Roman" w:hAnsi="Times New Roman" w:eastAsia="方正仿宋_GBK"/>
          <w:color w:val="auto"/>
          <w:sz w:val="32"/>
          <w:szCs w:val="32"/>
          <w:highlight w:val="none"/>
        </w:rPr>
      </w:pPr>
      <w:r>
        <w:rPr>
          <w:rFonts w:hint="eastAsia" w:ascii="Times New Roman" w:hAnsi="Times New Roman" w:eastAsia="方正仿宋_GBK"/>
          <w:color w:val="auto"/>
          <w:sz w:val="32"/>
          <w:szCs w:val="32"/>
          <w:highlight w:val="none"/>
          <w:lang w:eastAsia="zh-CN"/>
        </w:rPr>
        <w:t>“</w:t>
      </w:r>
      <w:r>
        <w:rPr>
          <w:rFonts w:hint="eastAsia" w:ascii="Times New Roman" w:hAnsi="Times New Roman" w:eastAsia="方正仿宋_GBK"/>
          <w:color w:val="auto"/>
          <w:sz w:val="32"/>
          <w:szCs w:val="32"/>
          <w:highlight w:val="none"/>
          <w:lang w:val="en-US" w:eastAsia="zh-CN"/>
        </w:rPr>
        <w:t>十五五”时期，</w:t>
      </w:r>
      <w:r>
        <w:rPr>
          <w:rFonts w:hint="eastAsia" w:ascii="Times New Roman" w:hAnsi="Times New Roman" w:eastAsia="方正仿宋_GBK"/>
          <w:color w:val="auto"/>
          <w:sz w:val="32"/>
          <w:szCs w:val="32"/>
          <w:highlight w:val="none"/>
        </w:rPr>
        <w:t>我市将迎来直辖30周年、西部大开发战略实施30周年、成渝地区双城经济圈建设10周年，进入做实“两大定位”、发挥“三个作用”厚植新优势、跨越新关口、开创新局面的重要战略窗口期，发展动能、开放格局、治理模式、民生保障、人口发展均进入全面转型升级新阶段。多重国家战略叠加赋能，区位、产业、交通枢纽、科技创新等比较优势和后发优势凸显。同时，我市也面临产业能级不高、科技创新能力不强、城乡融合发展不足、投融资模式亟待转型等现实挑战。</w:t>
      </w:r>
    </w:p>
    <w:p w14:paraId="12041E50">
      <w:pPr>
        <w:pStyle w:val="19"/>
        <w:overflowPunct w:val="0"/>
        <w:adjustRightInd w:val="0"/>
        <w:spacing w:beforeAutospacing="0" w:afterAutospacing="0" w:line="600" w:lineRule="exact"/>
        <w:ind w:firstLine="640" w:firstLineChars="200"/>
        <w:rPr>
          <w:rFonts w:ascii="Times New Roman" w:hAnsi="Times New Roman" w:eastAsia="方正仿宋_GBK"/>
          <w:color w:val="auto"/>
          <w:sz w:val="32"/>
          <w:szCs w:val="32"/>
          <w:highlight w:val="none"/>
        </w:rPr>
      </w:pPr>
      <w:r>
        <w:rPr>
          <w:rFonts w:hint="eastAsia" w:ascii="Times New Roman" w:hAnsi="Times New Roman" w:eastAsia="方正仿宋_GBK"/>
          <w:color w:val="auto"/>
          <w:sz w:val="32"/>
          <w:szCs w:val="32"/>
          <w:highlight w:val="none"/>
        </w:rPr>
        <w:t>“十五五”时期，是重庆高新区进位升级、跨越赶超的重要五年。一方面，困难挑战明显增多。经济体量不够</w:t>
      </w:r>
      <w:r>
        <w:rPr>
          <w:rFonts w:hint="eastAsia" w:ascii="Times New Roman" w:hAnsi="Times New Roman" w:eastAsia="方正仿宋_GBK"/>
          <w:color w:val="auto"/>
          <w:sz w:val="32"/>
          <w:szCs w:val="32"/>
          <w:highlight w:val="none"/>
          <w:lang w:eastAsia="zh-CN"/>
        </w:rPr>
        <w:t>、</w:t>
      </w:r>
      <w:r>
        <w:rPr>
          <w:rFonts w:hint="eastAsia" w:ascii="Times New Roman" w:hAnsi="Times New Roman" w:eastAsia="方正仿宋_GBK"/>
          <w:color w:val="auto"/>
          <w:sz w:val="32"/>
          <w:szCs w:val="32"/>
          <w:highlight w:val="none"/>
          <w:lang w:val="en-US" w:eastAsia="zh-CN"/>
        </w:rPr>
        <w:t>产业能级不高</w:t>
      </w:r>
      <w:r>
        <w:rPr>
          <w:rFonts w:hint="eastAsia" w:ascii="Times New Roman" w:hAnsi="Times New Roman" w:eastAsia="方正仿宋_GBK"/>
          <w:color w:val="auto"/>
          <w:sz w:val="32"/>
          <w:szCs w:val="32"/>
          <w:highlight w:val="none"/>
        </w:rPr>
        <w:t>，在全国高新区大盘中显示度</w:t>
      </w:r>
      <w:r>
        <w:rPr>
          <w:rFonts w:hint="eastAsia" w:ascii="Times New Roman" w:hAnsi="Times New Roman" w:eastAsia="方正仿宋_GBK"/>
          <w:color w:val="auto"/>
          <w:sz w:val="32"/>
          <w:szCs w:val="32"/>
          <w:highlight w:val="none"/>
          <w:lang w:val="en-US" w:eastAsia="zh-CN"/>
        </w:rPr>
        <w:t>和全市贡献度仍显不足</w:t>
      </w:r>
      <w:r>
        <w:rPr>
          <w:rFonts w:hint="eastAsia" w:ascii="Times New Roman" w:hAnsi="Times New Roman" w:eastAsia="方正仿宋_GBK"/>
          <w:color w:val="auto"/>
          <w:sz w:val="32"/>
          <w:szCs w:val="32"/>
          <w:highlight w:val="none"/>
        </w:rPr>
        <w:t>。复杂国际经贸形势下产业转型升级持续承压，多点支撑的现代化产业体系仍需加力构建</w:t>
      </w:r>
      <w:r>
        <w:rPr>
          <w:rFonts w:hint="eastAsia" w:ascii="Times New Roman" w:hAnsi="Times New Roman" w:eastAsia="方正仿宋_GBK"/>
          <w:color w:val="auto"/>
          <w:sz w:val="32"/>
          <w:szCs w:val="32"/>
          <w:highlight w:val="none"/>
          <w:lang w:eastAsia="zh-CN"/>
        </w:rPr>
        <w:t>。</w:t>
      </w:r>
      <w:r>
        <w:rPr>
          <w:rFonts w:hint="eastAsia" w:ascii="Times New Roman" w:hAnsi="Times New Roman" w:eastAsia="方正仿宋_GBK"/>
          <w:color w:val="auto"/>
          <w:sz w:val="32"/>
          <w:szCs w:val="32"/>
          <w:highlight w:val="none"/>
        </w:rPr>
        <w:t>重大科技基础设施、大院大所等战略科技力量</w:t>
      </w:r>
      <w:r>
        <w:rPr>
          <w:rFonts w:hint="eastAsia" w:ascii="Times New Roman" w:hAnsi="Times New Roman" w:eastAsia="方正仿宋_GBK"/>
          <w:color w:val="auto"/>
          <w:sz w:val="32"/>
          <w:szCs w:val="32"/>
          <w:highlight w:val="none"/>
          <w:lang w:val="en-US" w:eastAsia="zh-CN"/>
        </w:rPr>
        <w:t>薄弱</w:t>
      </w:r>
      <w:r>
        <w:rPr>
          <w:rFonts w:hint="eastAsia" w:ascii="Times New Roman" w:hAnsi="Times New Roman" w:eastAsia="方正仿宋_GBK"/>
          <w:color w:val="auto"/>
          <w:sz w:val="32"/>
          <w:szCs w:val="32"/>
          <w:highlight w:val="none"/>
        </w:rPr>
        <w:t>，科创赋能产业能力不</w:t>
      </w:r>
      <w:r>
        <w:rPr>
          <w:rFonts w:hint="eastAsia" w:ascii="Times New Roman" w:hAnsi="Times New Roman" w:eastAsia="方正仿宋_GBK"/>
          <w:color w:val="auto"/>
          <w:sz w:val="32"/>
          <w:szCs w:val="32"/>
          <w:highlight w:val="none"/>
          <w:lang w:val="en-US" w:eastAsia="zh-CN"/>
        </w:rPr>
        <w:t>强</w:t>
      </w:r>
      <w:r>
        <w:rPr>
          <w:rFonts w:hint="eastAsia" w:ascii="Times New Roman" w:hAnsi="Times New Roman" w:eastAsia="方正仿宋_GBK"/>
          <w:color w:val="auto"/>
          <w:sz w:val="32"/>
          <w:szCs w:val="32"/>
          <w:highlight w:val="none"/>
          <w:lang w:eastAsia="zh-CN"/>
        </w:rPr>
        <w:t>。</w:t>
      </w:r>
      <w:r>
        <w:rPr>
          <w:rFonts w:hint="eastAsia" w:ascii="Times New Roman" w:hAnsi="Times New Roman" w:eastAsia="方正仿宋_GBK"/>
          <w:color w:val="auto"/>
          <w:sz w:val="32"/>
          <w:szCs w:val="32"/>
          <w:highlight w:val="none"/>
        </w:rPr>
        <w:t>开发建设资金压力较大，统筹发展和化债仍需加力</w:t>
      </w:r>
      <w:r>
        <w:rPr>
          <w:rFonts w:hint="eastAsia" w:ascii="Times New Roman" w:hAnsi="Times New Roman" w:eastAsia="方正仿宋_GBK"/>
          <w:color w:val="auto"/>
          <w:sz w:val="32"/>
          <w:szCs w:val="32"/>
          <w:highlight w:val="none"/>
          <w:lang w:eastAsia="zh-CN"/>
        </w:rPr>
        <w:t>。</w:t>
      </w:r>
      <w:r>
        <w:rPr>
          <w:rFonts w:hint="eastAsia" w:ascii="Times New Roman" w:hAnsi="Times New Roman" w:eastAsia="方正仿宋_GBK"/>
          <w:color w:val="auto"/>
          <w:sz w:val="32"/>
          <w:szCs w:val="32"/>
          <w:highlight w:val="none"/>
        </w:rPr>
        <w:t>推动产城融合存在短板，基础设施、交通、商业配套、公共服务等</w:t>
      </w:r>
      <w:r>
        <w:rPr>
          <w:rFonts w:hint="default" w:ascii="Times New Roman" w:hAnsi="Times New Roman" w:eastAsia="方正仿宋_GBK"/>
          <w:color w:val="auto"/>
          <w:sz w:val="32"/>
          <w:szCs w:val="32"/>
          <w:highlight w:val="none"/>
          <w:lang w:val="en-US"/>
        </w:rPr>
        <w:t>领域</w:t>
      </w:r>
      <w:r>
        <w:rPr>
          <w:rFonts w:hint="eastAsia" w:ascii="Times New Roman" w:hAnsi="Times New Roman" w:eastAsia="方正仿宋_GBK"/>
          <w:color w:val="auto"/>
          <w:sz w:val="32"/>
          <w:szCs w:val="32"/>
          <w:highlight w:val="none"/>
        </w:rPr>
        <w:t>还有待完善。另一方面，发展机遇前所未有。市委明确提出“提质建设西部（重庆）科学城”，赋予建设市域科创走廊极核等重要任务，为争取战略科技力量、重大产业项目、先行先试政策等资源倾斜布局，</w:t>
      </w:r>
      <w:r>
        <w:rPr>
          <w:rFonts w:hint="eastAsia" w:ascii="Times New Roman" w:hAnsi="Times New Roman" w:eastAsia="方正仿宋_GBK"/>
          <w:color w:val="auto"/>
          <w:sz w:val="32"/>
          <w:szCs w:val="32"/>
          <w:highlight w:val="none"/>
          <w:lang w:val="en-US" w:eastAsia="zh-CN"/>
        </w:rPr>
        <w:t>为</w:t>
      </w:r>
      <w:r>
        <w:rPr>
          <w:rFonts w:hint="eastAsia" w:ascii="Times New Roman" w:hAnsi="Times New Roman" w:eastAsia="方正仿宋_GBK"/>
          <w:color w:val="auto"/>
          <w:sz w:val="32"/>
          <w:szCs w:val="32"/>
          <w:highlight w:val="none"/>
        </w:rPr>
        <w:t>服务全市打造全国高质量发展重要增长极提供了广阔前景。“十四五”时期体制机制和政策红利加速释放，“四梁八柱”稳步构建，</w:t>
      </w:r>
      <w:r>
        <w:rPr>
          <w:rFonts w:hint="eastAsia" w:ascii="Times New Roman" w:hAnsi="Times New Roman" w:eastAsia="方正仿宋_GBK"/>
          <w:color w:val="auto"/>
          <w:sz w:val="32"/>
          <w:szCs w:val="32"/>
          <w:highlight w:val="none"/>
          <w:lang w:val="en-US" w:eastAsia="zh-CN"/>
        </w:rPr>
        <w:t>叠加</w:t>
      </w:r>
      <w:r>
        <w:rPr>
          <w:rFonts w:hint="eastAsia" w:ascii="Times New Roman" w:hAnsi="Times New Roman" w:eastAsia="方正仿宋_GBK"/>
          <w:color w:val="auto"/>
          <w:sz w:val="32"/>
          <w:szCs w:val="32"/>
          <w:highlight w:val="none"/>
        </w:rPr>
        <w:t>科学城、大学城、高新区、综保区、自贸区等多个开发开放平台合一优势，高校集聚、人才汇聚，产业和创新承载空间较大，承接重大生产力布局、推动教育科技人才一体化、打造陆港枢纽经济区等条件较好，为奋斗“十五五”、奋进新征程创造了有利条件。</w:t>
      </w:r>
    </w:p>
    <w:p w14:paraId="13AA548F">
      <w:pPr>
        <w:pStyle w:val="19"/>
        <w:overflowPunct w:val="0"/>
        <w:adjustRightInd w:val="0"/>
        <w:spacing w:beforeAutospacing="0" w:afterAutospacing="0" w:line="600" w:lineRule="exact"/>
        <w:ind w:firstLine="640" w:firstLineChars="200"/>
        <w:jc w:val="both"/>
        <w:rPr>
          <w:rFonts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color w:val="auto"/>
          <w:sz w:val="32"/>
          <w:szCs w:val="32"/>
          <w:highlight w:val="none"/>
        </w:rPr>
        <w:t>综合研判，“十五五”时期，重庆高新区发展机遇更具可塑性、挑战更具复杂性，建设现代化新重庆的重要引擎进入积厚成势、整体跃升的关键阶段。要始终胸怀两个大局，乘势而上、唯实争先，努力在国家高新区高质量发展版图中争创新地位，在服务构建新发展格局中拓展新优势，在创造高品质生活促进共同富裕中取得新成效，在高水平统筹发展和安全推进治理现代化中形成新范式，不断推动现代化新重庆建设迈上新台阶。</w:t>
      </w:r>
    </w:p>
    <w:p w14:paraId="55F02A5F">
      <w:pPr>
        <w:adjustRightInd w:val="0"/>
        <w:spacing w:line="600" w:lineRule="exact"/>
        <w:ind w:firstLine="640" w:firstLineChars="200"/>
        <w:jc w:val="left"/>
        <w:textAlignment w:val="baseline"/>
        <w:rPr>
          <w:rFonts w:ascii="Times New Roman" w:hAnsi="Times New Roman" w:eastAsia="方正仿宋_GBK" w:cs="方正仿宋_GBK"/>
          <w:color w:val="auto"/>
          <w:sz w:val="32"/>
          <w:szCs w:val="32"/>
          <w:highlight w:val="none"/>
        </w:rPr>
      </w:pPr>
      <w:bookmarkStart w:id="58" w:name="_Toc17823"/>
      <w:bookmarkStart w:id="59" w:name="_Toc20704"/>
      <w:bookmarkStart w:id="60" w:name="_Toc25659"/>
      <w:bookmarkStart w:id="61" w:name="_Toc25863"/>
      <w:bookmarkStart w:id="62" w:name="_Toc16529"/>
      <w:bookmarkStart w:id="63" w:name="_Toc21836"/>
    </w:p>
    <w:p w14:paraId="3C49BE40">
      <w:pPr>
        <w:overflowPunct w:val="0"/>
        <w:adjustRightInd w:val="0"/>
        <w:spacing w:line="600" w:lineRule="exact"/>
        <w:jc w:val="center"/>
        <w:outlineLvl w:val="1"/>
        <w:rPr>
          <w:rFonts w:ascii="Times New Roman" w:hAnsi="Times New Roman" w:eastAsia="方正黑体_GBK" w:cs="方正黑体_GBK"/>
          <w:color w:val="auto"/>
          <w:sz w:val="32"/>
          <w:szCs w:val="32"/>
          <w:highlight w:val="none"/>
        </w:rPr>
      </w:pPr>
      <w:bookmarkStart w:id="64" w:name="_Toc4269"/>
      <w:bookmarkStart w:id="65" w:name="_Toc615973794"/>
      <w:bookmarkStart w:id="66" w:name="_Toc1319338666"/>
      <w:bookmarkStart w:id="67" w:name="_Toc10695"/>
      <w:bookmarkStart w:id="68" w:name="_Toc7139"/>
      <w:r>
        <w:rPr>
          <w:rFonts w:hint="eastAsia" w:ascii="Times New Roman" w:hAnsi="Times New Roman" w:eastAsia="方正黑体_GBK" w:cs="方正黑体_GBK"/>
          <w:color w:val="auto"/>
          <w:sz w:val="32"/>
          <w:szCs w:val="32"/>
          <w:highlight w:val="none"/>
        </w:rPr>
        <w:t>第三章 总体要求</w:t>
      </w:r>
      <w:bookmarkEnd w:id="58"/>
      <w:bookmarkEnd w:id="59"/>
      <w:bookmarkEnd w:id="60"/>
      <w:bookmarkEnd w:id="61"/>
      <w:bookmarkEnd w:id="62"/>
      <w:bookmarkEnd w:id="63"/>
      <w:bookmarkEnd w:id="64"/>
      <w:bookmarkEnd w:id="65"/>
      <w:bookmarkEnd w:id="66"/>
      <w:bookmarkEnd w:id="67"/>
      <w:bookmarkEnd w:id="68"/>
    </w:p>
    <w:p w14:paraId="237BAE58">
      <w:pPr>
        <w:overflowPunct/>
        <w:adjustRightInd w:val="0"/>
        <w:spacing w:line="600" w:lineRule="exact"/>
        <w:ind w:firstLine="640" w:firstLineChars="200"/>
        <w:jc w:val="left"/>
        <w:textAlignment w:val="baseline"/>
        <w:outlineLvl w:val="9"/>
        <w:rPr>
          <w:rFonts w:hint="eastAsia" w:ascii="Times New Roman" w:hAnsi="Times New Roman" w:eastAsia="方正楷体_GBK" w:cs="方正楷体_GBK"/>
          <w:color w:val="auto"/>
          <w:sz w:val="32"/>
          <w:szCs w:val="32"/>
          <w:highlight w:val="none"/>
        </w:rPr>
      </w:pPr>
      <w:r>
        <w:rPr>
          <w:rFonts w:hint="eastAsia" w:ascii="Times New Roman" w:hAnsi="Times New Roman" w:eastAsia="方正仿宋_GBK" w:cs="Times New Roman"/>
          <w:color w:val="auto"/>
          <w:sz w:val="32"/>
          <w:szCs w:val="32"/>
          <w:highlight w:val="none"/>
        </w:rPr>
        <w:t>强化责任感使命感紧迫感，紧扣全市“十五五”中心任务，进一步明确目标定位，在全市打造西部地区高质量发展先行区中彰显新作为，不断培育壮大新质生产力，推动经济实现质的有效提升和量的合理增长，全面提升服务全市发展大局的能力和贡献度。</w:t>
      </w:r>
      <w:bookmarkStart w:id="69" w:name="_Toc1356304187"/>
      <w:bookmarkStart w:id="70" w:name="_Toc29384"/>
      <w:bookmarkStart w:id="71" w:name="_Toc1800377218"/>
      <w:bookmarkStart w:id="72" w:name="_Toc14007"/>
      <w:bookmarkStart w:id="73" w:name="_Toc25391"/>
      <w:bookmarkStart w:id="74" w:name="_Toc11103"/>
      <w:bookmarkStart w:id="75" w:name="_Toc10690"/>
      <w:bookmarkStart w:id="76" w:name="_Toc21345"/>
      <w:bookmarkStart w:id="77" w:name="_Toc18675"/>
    </w:p>
    <w:p w14:paraId="5B426D11">
      <w:pPr>
        <w:overflowPunct w:val="0"/>
        <w:adjustRightInd w:val="0"/>
        <w:spacing w:line="600" w:lineRule="exact"/>
        <w:jc w:val="center"/>
        <w:outlineLvl w:val="2"/>
        <w:rPr>
          <w:rFonts w:ascii="Times New Roman" w:hAnsi="Times New Roman" w:eastAsia="方正楷体_GBK" w:cs="方正楷体_GBK"/>
          <w:color w:val="auto"/>
          <w:sz w:val="32"/>
          <w:szCs w:val="32"/>
          <w:highlight w:val="none"/>
        </w:rPr>
      </w:pPr>
      <w:bookmarkStart w:id="78" w:name="_Toc10532"/>
      <w:r>
        <w:rPr>
          <w:rFonts w:hint="eastAsia" w:ascii="Times New Roman" w:hAnsi="Times New Roman" w:eastAsia="方正楷体_GBK" w:cs="方正楷体_GBK"/>
          <w:color w:val="auto"/>
          <w:sz w:val="32"/>
          <w:szCs w:val="32"/>
          <w:highlight w:val="none"/>
        </w:rPr>
        <w:t>第一节 指导思想</w:t>
      </w:r>
      <w:bookmarkEnd w:id="69"/>
      <w:bookmarkEnd w:id="70"/>
      <w:bookmarkEnd w:id="71"/>
      <w:bookmarkEnd w:id="72"/>
      <w:bookmarkEnd w:id="73"/>
      <w:bookmarkEnd w:id="74"/>
      <w:bookmarkEnd w:id="75"/>
      <w:bookmarkEnd w:id="76"/>
      <w:bookmarkEnd w:id="77"/>
      <w:bookmarkEnd w:id="78"/>
    </w:p>
    <w:p w14:paraId="46C71D83">
      <w:pPr>
        <w:pStyle w:val="19"/>
        <w:overflowPunct w:val="0"/>
        <w:adjustRightInd w:val="0"/>
        <w:spacing w:beforeAutospacing="0" w:afterAutospacing="0" w:line="600" w:lineRule="exact"/>
        <w:ind w:firstLine="640" w:firstLineChars="200"/>
        <w:jc w:val="both"/>
        <w:rPr>
          <w:rFonts w:hint="eastAsia" w:ascii="Times New Roman" w:hAnsi="Times New Roman" w:eastAsia="方正仿宋_GBK"/>
          <w:color w:val="auto"/>
          <w:sz w:val="32"/>
          <w:szCs w:val="32"/>
          <w:highlight w:val="none"/>
        </w:rPr>
      </w:pPr>
      <w:r>
        <w:rPr>
          <w:rFonts w:hint="eastAsia" w:ascii="Times New Roman" w:hAnsi="Times New Roman" w:eastAsia="方正仿宋_GBK"/>
          <w:color w:val="auto"/>
          <w:sz w:val="32"/>
          <w:szCs w:val="32"/>
          <w:highlight w:val="none"/>
        </w:rPr>
        <w:t>坚持马克思列宁主义、毛泽东思想、邓小平理论、“三个代表”重要思想、科学发展观，全面贯彻习近平新时代中国特色社会主义思想，深入贯彻党的二十大和二十届历次全会精神，全面落实习近平总书记视察重庆重要讲话重要指示精神，深化落实中央经济工作会议精神，认真落实市委六届历次全会、提升成渝地区双城经济圈发展能级推进大会等系列部署要求，聚焦全市做实“两大定位”、发挥“三个作用”，紧扣市委赋予的使命任务，强化党建统领整体智治，完整准确全面贯彻新发展理念，加快融入新发展格局，坚持稳中求进工作总基调，坚持以经济建设为中心，以推动高质量发展为主题，以内需为主导，以改革、开放、创新和数智赋能为动力，</w:t>
      </w:r>
      <w:r>
        <w:rPr>
          <w:rFonts w:hint="eastAsia" w:ascii="方正仿宋_GBK" w:hAnsi="Calibri" w:eastAsia="方正仿宋_GBK" w:cs="Times New Roman"/>
          <w:bCs/>
          <w:color w:val="auto"/>
          <w:sz w:val="32"/>
          <w:szCs w:val="32"/>
          <w:highlight w:val="none"/>
          <w:u w:val="none" w:color="auto"/>
          <w:lang w:val="en-US" w:eastAsia="zh-CN"/>
        </w:rPr>
        <w:t>聚焦“科”“产”“城”抓融合增活力、抓改革强动力、抓环境激潜力，全力推动“以科促产、以产兴城、以城聚人”良性循环，不断培育壮大新质生产力，</w:t>
      </w:r>
      <w:r>
        <w:rPr>
          <w:rFonts w:hint="eastAsia" w:ascii="Times New Roman" w:hAnsi="Times New Roman" w:eastAsia="方正仿宋_GBK"/>
          <w:color w:val="auto"/>
          <w:sz w:val="32"/>
          <w:szCs w:val="32"/>
          <w:highlight w:val="none"/>
        </w:rPr>
        <w:t>以建设成渝地区区域科技创新中心核心承载区为总体愿景，加快建设</w:t>
      </w:r>
      <w:r>
        <w:rPr>
          <w:rFonts w:hint="eastAsia" w:ascii="Times New Roman" w:hAnsi="Times New Roman" w:eastAsia="方正仿宋_GBK" w:cs="方正仿宋_GBK"/>
          <w:color w:val="auto"/>
          <w:sz w:val="32"/>
          <w:szCs w:val="32"/>
          <w:highlight w:val="none"/>
          <w:lang w:val="en-US" w:eastAsia="zh-CN"/>
        </w:rPr>
        <w:t>引领全市支撑成渝</w:t>
      </w:r>
      <w:r>
        <w:rPr>
          <w:rFonts w:hint="eastAsia" w:ascii="Times New Roman" w:hAnsi="Times New Roman" w:eastAsia="方正仿宋_GBK"/>
          <w:color w:val="auto"/>
          <w:sz w:val="32"/>
          <w:szCs w:val="32"/>
          <w:highlight w:val="none"/>
        </w:rPr>
        <w:t>的高能级创新极核、全国领先西部一流的高新技术产业园区、重庆建设现代化人民城市的品质样板、全面深化改革扩大开放的先行示范，打造全市科技创新的主引擎、培育壮大新质生产力的排头兵、未来高质量发展的动力源。</w:t>
      </w:r>
      <w:bookmarkStart w:id="79" w:name="_Toc21460"/>
      <w:bookmarkStart w:id="80" w:name="_Toc20804"/>
      <w:bookmarkStart w:id="81" w:name="_Toc30647"/>
      <w:bookmarkStart w:id="82" w:name="_Toc18321"/>
      <w:bookmarkStart w:id="83" w:name="_Toc32161"/>
      <w:bookmarkStart w:id="84" w:name="_Toc1906"/>
      <w:bookmarkStart w:id="85" w:name="_Toc2013041651"/>
      <w:bookmarkStart w:id="86" w:name="_Toc895316696"/>
      <w:bookmarkStart w:id="87" w:name="_Toc22912"/>
    </w:p>
    <w:p w14:paraId="3F4390BB">
      <w:pPr>
        <w:overflowPunct w:val="0"/>
        <w:adjustRightInd w:val="0"/>
        <w:spacing w:line="600" w:lineRule="exact"/>
        <w:jc w:val="center"/>
        <w:outlineLvl w:val="2"/>
        <w:rPr>
          <w:rFonts w:ascii="Times New Roman" w:hAnsi="Times New Roman" w:eastAsia="方正楷体_GBK" w:cs="方正楷体_GBK"/>
          <w:color w:val="auto"/>
          <w:sz w:val="32"/>
          <w:szCs w:val="32"/>
          <w:highlight w:val="none"/>
        </w:rPr>
      </w:pPr>
      <w:bookmarkStart w:id="88" w:name="_Toc30469"/>
      <w:r>
        <w:rPr>
          <w:rFonts w:hint="eastAsia" w:ascii="Times New Roman" w:hAnsi="Times New Roman" w:eastAsia="方正楷体_GBK" w:cs="方正楷体_GBK"/>
          <w:color w:val="auto"/>
          <w:sz w:val="32"/>
          <w:szCs w:val="32"/>
          <w:highlight w:val="none"/>
        </w:rPr>
        <w:t>第二节 主要原则</w:t>
      </w:r>
      <w:bookmarkEnd w:id="79"/>
      <w:bookmarkEnd w:id="80"/>
      <w:bookmarkEnd w:id="81"/>
      <w:bookmarkEnd w:id="82"/>
      <w:bookmarkEnd w:id="83"/>
      <w:bookmarkEnd w:id="84"/>
      <w:bookmarkEnd w:id="85"/>
      <w:bookmarkEnd w:id="86"/>
      <w:bookmarkEnd w:id="87"/>
      <w:bookmarkEnd w:id="88"/>
    </w:p>
    <w:p w14:paraId="637E229C">
      <w:pPr>
        <w:widowControl/>
        <w:overflowPunct w:val="0"/>
        <w:adjustRightInd w:val="0"/>
        <w:spacing w:line="600" w:lineRule="exact"/>
        <w:ind w:firstLine="640" w:firstLineChars="200"/>
        <w:jc w:val="left"/>
        <w:textAlignment w:val="baseline"/>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坚持党的全面领导。坚决维护党中央权威和集中统一领导，深刻领悟“两个确立”的决定性意义，把坚决做到“两个维护”融入</w:t>
      </w:r>
      <w:r>
        <w:rPr>
          <w:rFonts w:hint="eastAsia" w:ascii="Times New Roman" w:hAnsi="Times New Roman" w:eastAsia="方正仿宋_GBK" w:cs="Times New Roman"/>
          <w:color w:val="auto"/>
          <w:sz w:val="32"/>
          <w:szCs w:val="32"/>
          <w:highlight w:val="none"/>
          <w:lang w:val="en-US" w:eastAsia="zh-CN"/>
        </w:rPr>
        <w:t>重庆高新区</w:t>
      </w:r>
      <w:r>
        <w:rPr>
          <w:rFonts w:hint="eastAsia" w:ascii="Times New Roman" w:hAnsi="Times New Roman" w:eastAsia="方正仿宋_GBK" w:cs="Times New Roman"/>
          <w:color w:val="auto"/>
          <w:sz w:val="32"/>
          <w:szCs w:val="32"/>
          <w:highlight w:val="none"/>
        </w:rPr>
        <w:t>建设各方面全过程，完善抓党建带全局工作体系，推动习近平总书记重要指示批示和党中央重大决策部署在重庆高新区细化量化、落实落地，</w:t>
      </w:r>
      <w:r>
        <w:rPr>
          <w:rFonts w:hint="eastAsia" w:ascii="Times New Roman" w:hAnsi="Times New Roman" w:eastAsia="方正仿宋_GBK" w:cs="Times New Roman"/>
          <w:i w:val="0"/>
          <w:iCs w:val="0"/>
          <w:caps w:val="0"/>
          <w:color w:val="auto"/>
          <w:spacing w:val="0"/>
          <w:kern w:val="2"/>
          <w:sz w:val="32"/>
          <w:szCs w:val="32"/>
          <w:highlight w:val="none"/>
          <w:shd w:val="clear" w:fill="auto"/>
          <w:lang w:val="en-US" w:eastAsia="zh-CN" w:bidi="ar"/>
        </w:rPr>
        <w:t>确保“总书记有号令、党中央有部署，重庆见行动”在科学城高新区一贯到底。</w:t>
      </w:r>
    </w:p>
    <w:p w14:paraId="2E538C63">
      <w:pPr>
        <w:overflowPunct w:val="0"/>
        <w:adjustRightInd w:val="0"/>
        <w:spacing w:line="600" w:lineRule="exact"/>
        <w:ind w:firstLine="640" w:firstLineChars="200"/>
        <w:textAlignment w:val="baseline"/>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坚持人民至上。深入践行“中国式现代化，民生为大”理念，注重在发展中保障和改善民生，在满足民生需求中拓展发展空间，扎实办好群众可感可及民生实事，解决好群众和企业急难愁盼问题，推动经济和社会协调发展、物质文明和精神文明相得益彰，让社会主义现代化建设成果更多更公平惠及全体人民。</w:t>
      </w:r>
    </w:p>
    <w:p w14:paraId="404BD18D">
      <w:pPr>
        <w:overflowPunct w:val="0"/>
        <w:adjustRightInd w:val="0"/>
        <w:spacing w:line="600" w:lineRule="exact"/>
        <w:ind w:firstLine="640" w:firstLineChars="200"/>
        <w:textAlignment w:val="baseline"/>
        <w:rPr>
          <w:rFonts w:ascii="Times New Roman" w:hAnsi="Times New Roman"/>
          <w:color w:val="auto"/>
          <w:sz w:val="32"/>
          <w:szCs w:val="32"/>
          <w:highlight w:val="none"/>
        </w:rPr>
      </w:pPr>
      <w:r>
        <w:rPr>
          <w:rFonts w:hint="eastAsia" w:ascii="Times New Roman" w:hAnsi="Times New Roman" w:eastAsia="方正仿宋_GBK" w:cs="Times New Roman"/>
          <w:color w:val="auto"/>
          <w:sz w:val="32"/>
          <w:szCs w:val="32"/>
          <w:highlight w:val="none"/>
        </w:rPr>
        <w:t>坚持高质量发展。以新发展理念引领发展，因地制宜发展新质生产力，把科技创新引领构建现代化产业体系、激发新动能作为高质量发展的战略根基和核心引擎，以超常规举措推动发展模式全面转入创新驱动发展轨道，促进经济结构优化升级，加快形成市场主导、效益导向的内涵式高质量发展新模式，推动经济持续健康发展和社会全面进步。</w:t>
      </w:r>
    </w:p>
    <w:p w14:paraId="4646CB10">
      <w:pPr>
        <w:overflowPunct w:val="0"/>
        <w:adjustRightInd w:val="0"/>
        <w:spacing w:line="600" w:lineRule="exact"/>
        <w:ind w:firstLine="640" w:firstLineChars="200"/>
        <w:textAlignment w:val="baseline"/>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坚持全面深化改革。积极探索首创性改革、引领性开放，将数智化的理念方法手段融入改革全过程各方面，全面释放人工智能和数字重庆双向赋能产生的溢出效应，引领推动经济发展模式、社会治理方式、政府管理机制变革重塑，持续增强发展动力和社会活力，更好服务成渝地区双城经济圈建设、西部大开发战略和长江经济带发展。</w:t>
      </w:r>
    </w:p>
    <w:p w14:paraId="6DF99CC4">
      <w:pPr>
        <w:overflowPunct w:val="0"/>
        <w:adjustRightInd w:val="0"/>
        <w:spacing w:line="600" w:lineRule="exact"/>
        <w:ind w:firstLine="640" w:firstLineChars="200"/>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坚持有效市场和有为政府相结合。充分发挥市场在资源配置中的决定性作用，更好发挥政府作用，服务构建全国统一大市场，建设法治经济、信用经济，打造市场化、法治化、国际化一流营商环境，促进资源配置效率最优化、效率最大化。</w:t>
      </w:r>
    </w:p>
    <w:p w14:paraId="50BB6E46">
      <w:pPr>
        <w:pStyle w:val="19"/>
        <w:overflowPunct w:val="0"/>
        <w:adjustRightInd w:val="0"/>
        <w:spacing w:beforeAutospacing="0" w:afterAutospacing="0" w:line="600" w:lineRule="exact"/>
        <w:ind w:firstLine="640" w:firstLineChars="200"/>
        <w:jc w:val="both"/>
        <w:rPr>
          <w:rFonts w:ascii="Times New Roman" w:hAnsi="Times New Roman" w:eastAsia="方正仿宋_GBK" w:cs="方正仿宋_GBK"/>
          <w:color w:val="auto"/>
          <w:sz w:val="32"/>
          <w:szCs w:val="32"/>
          <w:highlight w:val="none"/>
        </w:rPr>
      </w:pPr>
      <w:r>
        <w:rPr>
          <w:rFonts w:hint="eastAsia" w:ascii="Times New Roman" w:hAnsi="Times New Roman" w:eastAsia="方正仿宋_GBK"/>
          <w:color w:val="auto"/>
          <w:sz w:val="32"/>
          <w:szCs w:val="32"/>
          <w:highlight w:val="none"/>
        </w:rPr>
        <w:t>坚持统筹发展和安全。深入贯彻总体国家安全观，强化底线思维、极限思维，深化多跨协同、整体智治，一体推进政治安全、经济金融、网络舆情、社会民生、平安稳定等各领域风险隐患全量全过程闭环管控，实现高质量发展和高水平安全良性互动。</w:t>
      </w:r>
    </w:p>
    <w:p w14:paraId="183118E0">
      <w:pPr>
        <w:overflowPunct w:val="0"/>
        <w:adjustRightInd w:val="0"/>
        <w:spacing w:line="600" w:lineRule="exact"/>
        <w:jc w:val="center"/>
        <w:outlineLvl w:val="2"/>
        <w:rPr>
          <w:rFonts w:ascii="Times New Roman" w:hAnsi="Times New Roman" w:eastAsia="方正楷体_GBK" w:cs="方正楷体_GBK"/>
          <w:color w:val="auto"/>
          <w:sz w:val="32"/>
          <w:szCs w:val="32"/>
          <w:highlight w:val="none"/>
        </w:rPr>
      </w:pPr>
      <w:bookmarkStart w:id="89" w:name="_Toc22149"/>
      <w:bookmarkStart w:id="90" w:name="_Toc169795143"/>
      <w:bookmarkStart w:id="91" w:name="_Toc25732"/>
      <w:bookmarkStart w:id="92" w:name="_Toc2243"/>
      <w:bookmarkStart w:id="93" w:name="_Toc17961"/>
      <w:bookmarkStart w:id="94" w:name="_Toc23997"/>
      <w:bookmarkStart w:id="95" w:name="_Toc7792"/>
      <w:bookmarkStart w:id="96" w:name="_Toc12132"/>
      <w:bookmarkStart w:id="97" w:name="_Toc14258"/>
      <w:bookmarkStart w:id="98" w:name="_Toc1733653519"/>
      <w:r>
        <w:rPr>
          <w:rFonts w:hint="eastAsia" w:ascii="Times New Roman" w:hAnsi="Times New Roman" w:eastAsia="方正楷体_GBK" w:cs="方正楷体_GBK"/>
          <w:color w:val="auto"/>
          <w:sz w:val="32"/>
          <w:szCs w:val="32"/>
          <w:highlight w:val="none"/>
        </w:rPr>
        <w:t>第三节 发展目标</w:t>
      </w:r>
      <w:bookmarkEnd w:id="89"/>
      <w:bookmarkEnd w:id="90"/>
      <w:bookmarkEnd w:id="91"/>
      <w:bookmarkEnd w:id="92"/>
      <w:bookmarkEnd w:id="93"/>
      <w:bookmarkEnd w:id="94"/>
      <w:bookmarkEnd w:id="95"/>
      <w:bookmarkEnd w:id="96"/>
      <w:bookmarkEnd w:id="97"/>
      <w:bookmarkEnd w:id="98"/>
    </w:p>
    <w:p w14:paraId="1182BEEF">
      <w:pPr>
        <w:adjustRightInd w:val="0"/>
        <w:spacing w:line="600" w:lineRule="exact"/>
        <w:ind w:firstLine="640" w:firstLineChars="200"/>
        <w:textAlignment w:val="baseline"/>
        <w:rPr>
          <w:rFonts w:ascii="Times New Roman" w:hAnsi="Times New Roman" w:eastAsia="方正仿宋_GBK" w:cs="Times New Roman"/>
          <w:color w:val="auto"/>
          <w:sz w:val="32"/>
          <w:szCs w:val="32"/>
          <w:highlight w:val="none"/>
        </w:rPr>
      </w:pPr>
      <w:r>
        <w:rPr>
          <w:rFonts w:hint="eastAsia" w:ascii="Times New Roman" w:hAnsi="Times New Roman" w:eastAsia="方正黑体_GBK" w:cs="方正黑体_GBK"/>
          <w:color w:val="auto"/>
          <w:sz w:val="32"/>
          <w:szCs w:val="32"/>
          <w:highlight w:val="none"/>
        </w:rPr>
        <w:t>到2027年</w:t>
      </w:r>
      <w:r>
        <w:rPr>
          <w:rFonts w:hint="eastAsia" w:ascii="Times New Roman" w:hAnsi="Times New Roman" w:eastAsia="方正仿宋_GBK" w:cs="Times New Roman"/>
          <w:color w:val="auto"/>
          <w:sz w:val="32"/>
          <w:szCs w:val="32"/>
          <w:highlight w:val="none"/>
        </w:rPr>
        <w:t>，具有全国影响力的科技创新中心核心承载区加快建设，现代化产业体系初具规模，城市综合承载力持续提升，GDP迈上1000亿元台阶，研发投入强度达到5.8%，现代制造业集群产值达到3000亿元，常住人口规模达到</w:t>
      </w:r>
      <w:r>
        <w:rPr>
          <w:rFonts w:hint="default" w:ascii="Times New Roman" w:hAnsi="Times New Roman" w:eastAsia="方正仿宋_GBK" w:cs="Times New Roman"/>
          <w:color w:val="auto"/>
          <w:sz w:val="32"/>
          <w:szCs w:val="32"/>
          <w:highlight w:val="none"/>
          <w:lang w:val="en-US"/>
        </w:rPr>
        <w:t>70</w:t>
      </w:r>
      <w:r>
        <w:rPr>
          <w:rFonts w:hint="eastAsia" w:ascii="Times New Roman" w:hAnsi="Times New Roman" w:eastAsia="方正仿宋_GBK" w:cs="Times New Roman"/>
          <w:color w:val="auto"/>
          <w:sz w:val="32"/>
          <w:szCs w:val="32"/>
          <w:highlight w:val="none"/>
        </w:rPr>
        <w:t>万人。</w:t>
      </w:r>
    </w:p>
    <w:p w14:paraId="03C79151">
      <w:pPr>
        <w:widowControl/>
        <w:adjustRightInd w:val="0"/>
        <w:spacing w:line="600" w:lineRule="exact"/>
        <w:ind w:firstLine="640" w:firstLineChars="200"/>
        <w:textAlignment w:val="baseline"/>
        <w:rPr>
          <w:rFonts w:ascii="Times New Roman" w:hAnsi="Times New Roman" w:eastAsia="方正仿宋_GBK" w:cs="Times New Roman"/>
          <w:color w:val="auto"/>
          <w:sz w:val="32"/>
          <w:szCs w:val="32"/>
          <w:highlight w:val="none"/>
        </w:rPr>
      </w:pPr>
      <w:r>
        <w:rPr>
          <w:rFonts w:hint="eastAsia" w:ascii="Times New Roman" w:hAnsi="Times New Roman" w:eastAsia="方正黑体_GBK" w:cs="方正黑体_GBK"/>
          <w:color w:val="auto"/>
          <w:sz w:val="32"/>
          <w:szCs w:val="32"/>
          <w:highlight w:val="none"/>
        </w:rPr>
        <w:t>到2030年</w:t>
      </w:r>
      <w:r>
        <w:rPr>
          <w:rFonts w:hint="eastAsia" w:ascii="Times New Roman" w:hAnsi="Times New Roman" w:eastAsia="方正仿宋_GBK" w:cs="Times New Roman"/>
          <w:color w:val="auto"/>
          <w:sz w:val="32"/>
          <w:szCs w:val="32"/>
          <w:highlight w:val="none"/>
        </w:rPr>
        <w:t>，具有全国影响力的科技创新中心核心承载区基本建成，现代化产业体系全面构建，城市综合承载力整体跃升，GDP</w:t>
      </w:r>
      <w:r>
        <w:rPr>
          <w:rFonts w:hint="eastAsia" w:ascii="Times New Roman" w:hAnsi="Times New Roman" w:eastAsia="方正仿宋_GBK" w:cs="Times New Roman"/>
          <w:color w:val="auto"/>
          <w:sz w:val="32"/>
          <w:szCs w:val="32"/>
          <w:highlight w:val="none"/>
          <w:lang w:val="en-US" w:eastAsia="zh-CN"/>
        </w:rPr>
        <w:t>迈上</w:t>
      </w:r>
      <w:r>
        <w:rPr>
          <w:rFonts w:hint="eastAsia" w:ascii="Times New Roman" w:hAnsi="Times New Roman" w:eastAsia="方正仿宋_GBK" w:cs="Times New Roman"/>
          <w:color w:val="auto"/>
          <w:sz w:val="32"/>
          <w:szCs w:val="32"/>
          <w:highlight w:val="none"/>
        </w:rPr>
        <w:t>1300亿元</w:t>
      </w:r>
      <w:r>
        <w:rPr>
          <w:rFonts w:hint="eastAsia" w:ascii="Times New Roman" w:hAnsi="Times New Roman" w:eastAsia="方正仿宋_GBK" w:cs="Times New Roman"/>
          <w:color w:val="auto"/>
          <w:sz w:val="32"/>
          <w:szCs w:val="32"/>
          <w:highlight w:val="none"/>
          <w:lang w:val="en-US" w:eastAsia="zh-CN"/>
        </w:rPr>
        <w:t>台阶</w:t>
      </w:r>
      <w:r>
        <w:rPr>
          <w:rFonts w:hint="eastAsia" w:ascii="Times New Roman" w:hAnsi="Times New Roman" w:eastAsia="方正仿宋_GBK" w:cs="Times New Roman"/>
          <w:color w:val="auto"/>
          <w:sz w:val="32"/>
          <w:szCs w:val="32"/>
          <w:highlight w:val="none"/>
        </w:rPr>
        <w:t>，研发投入强度达到6%，现代制造业集群产值达到3500亿元</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rPr>
        <w:t>常住人口规模达到</w:t>
      </w:r>
      <w:r>
        <w:rPr>
          <w:rFonts w:hint="default" w:ascii="Times New Roman" w:hAnsi="Times New Roman" w:eastAsia="方正仿宋_GBK" w:cs="Times New Roman"/>
          <w:color w:val="auto"/>
          <w:sz w:val="32"/>
          <w:szCs w:val="32"/>
          <w:highlight w:val="none"/>
          <w:lang w:val="en-US"/>
        </w:rPr>
        <w:t>90</w:t>
      </w:r>
      <w:r>
        <w:rPr>
          <w:rFonts w:hint="eastAsia" w:ascii="Times New Roman" w:hAnsi="Times New Roman" w:eastAsia="方正仿宋_GBK" w:cs="Times New Roman"/>
          <w:color w:val="auto"/>
          <w:sz w:val="32"/>
          <w:szCs w:val="32"/>
          <w:highlight w:val="none"/>
        </w:rPr>
        <w:t>万人</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lang w:val="en-US" w:eastAsia="zh-CN"/>
        </w:rPr>
        <w:t>集聚新重庆人才7900名，国家高新区综合评价排名进入全国前20、中西部前5。</w:t>
      </w:r>
      <w:r>
        <w:rPr>
          <w:rFonts w:hint="eastAsia" w:ascii="Times New Roman" w:hAnsi="Times New Roman" w:eastAsia="方正仿宋_GBK" w:cs="Times New Roman"/>
          <w:color w:val="auto"/>
          <w:sz w:val="32"/>
          <w:szCs w:val="32"/>
          <w:highlight w:val="none"/>
        </w:rPr>
        <w:t>具体实现四个方面目标：</w:t>
      </w:r>
    </w:p>
    <w:p w14:paraId="08074515">
      <w:pPr>
        <w:adjustRightInd w:val="0"/>
        <w:spacing w:line="600" w:lineRule="exact"/>
        <w:ind w:firstLine="643" w:firstLineChars="200"/>
        <w:textAlignment w:val="baseline"/>
        <w:rPr>
          <w:rFonts w:ascii="Times New Roman" w:hAnsi="Times New Roman" w:eastAsia="方正仿宋_GBK" w:cs="Times New Roman"/>
          <w:b/>
          <w:bCs/>
          <w:color w:val="auto"/>
          <w:sz w:val="32"/>
          <w:szCs w:val="32"/>
          <w:highlight w:val="none"/>
        </w:rPr>
      </w:pPr>
      <w:r>
        <w:rPr>
          <w:rFonts w:hint="eastAsia" w:ascii="Times New Roman" w:hAnsi="Times New Roman" w:eastAsia="方正仿宋_GBK" w:cs="Times New Roman"/>
          <w:b/>
          <w:bCs/>
          <w:color w:val="auto"/>
          <w:sz w:val="32"/>
          <w:szCs w:val="32"/>
          <w:highlight w:val="none"/>
        </w:rPr>
        <w:t>——</w:t>
      </w:r>
      <w:r>
        <w:rPr>
          <w:rFonts w:hint="eastAsia" w:ascii="Times New Roman" w:hAnsi="Times New Roman" w:eastAsia="方正仿宋_GBK" w:cs="Times New Roman"/>
          <w:b/>
          <w:bCs/>
          <w:color w:val="auto"/>
          <w:sz w:val="32"/>
          <w:szCs w:val="32"/>
          <w:highlight w:val="none"/>
          <w:lang w:val="en-US" w:eastAsia="zh-CN"/>
        </w:rPr>
        <w:t>引领全市、支撑成渝</w:t>
      </w:r>
      <w:r>
        <w:rPr>
          <w:rFonts w:hint="eastAsia" w:ascii="Times New Roman" w:hAnsi="Times New Roman" w:eastAsia="方正仿宋_GBK" w:cs="Times New Roman"/>
          <w:b/>
          <w:bCs/>
          <w:color w:val="auto"/>
          <w:sz w:val="32"/>
          <w:szCs w:val="32"/>
          <w:highlight w:val="none"/>
        </w:rPr>
        <w:t>的高能级创新极核作用凸显</w:t>
      </w:r>
      <w:r>
        <w:rPr>
          <w:rFonts w:hint="eastAsia" w:ascii="Times New Roman" w:hAnsi="Times New Roman" w:eastAsia="方正仿宋_GBK" w:cs="Times New Roman"/>
          <w:color w:val="auto"/>
          <w:sz w:val="32"/>
          <w:szCs w:val="32"/>
          <w:highlight w:val="none"/>
        </w:rPr>
        <w:t>。服务全市科创走廊建设的极核作用持续显现，创新策源、要素配置、集聚转化、辐射带动功能显著增强，大学城和科学城融合发展体制机制日趋完善，“基础研究—技术攻关—成果转化—产业升级”全链条创新示范体系全面构建，全社会研发投入强度达到6%，市级以上科技创新平台基地增至320家，高新技术企业、独角兽企业、专精特新“小巨人”企业分别增至1200家、</w:t>
      </w:r>
      <w:r>
        <w:rPr>
          <w:rFonts w:hint="eastAsia" w:ascii="Times New Roman" w:hAnsi="Times New Roman" w:eastAsia="方正仿宋_GBK" w:cs="Times New Roman"/>
          <w:color w:val="auto"/>
          <w:sz w:val="32"/>
          <w:szCs w:val="32"/>
          <w:highlight w:val="none"/>
          <w:lang w:val="en-US" w:eastAsia="zh-CN"/>
        </w:rPr>
        <w:t>5</w:t>
      </w:r>
      <w:r>
        <w:rPr>
          <w:rFonts w:hint="eastAsia" w:ascii="Times New Roman" w:hAnsi="Times New Roman" w:eastAsia="方正仿宋_GBK" w:cs="Times New Roman"/>
          <w:color w:val="auto"/>
          <w:sz w:val="32"/>
          <w:szCs w:val="32"/>
          <w:highlight w:val="none"/>
        </w:rPr>
        <w:t>家、33家。</w:t>
      </w:r>
    </w:p>
    <w:p w14:paraId="766C23F8">
      <w:pPr>
        <w:adjustRightInd w:val="0"/>
        <w:spacing w:line="600" w:lineRule="exact"/>
        <w:ind w:firstLine="643" w:firstLineChars="200"/>
        <w:textAlignment w:val="baseline"/>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b/>
          <w:bCs/>
          <w:color w:val="auto"/>
          <w:sz w:val="32"/>
          <w:szCs w:val="32"/>
          <w:highlight w:val="none"/>
        </w:rPr>
        <w:t>——全国领先、西部一流的高新技术产业园区基本建成</w:t>
      </w:r>
      <w:r>
        <w:rPr>
          <w:rFonts w:hint="eastAsia" w:ascii="Times New Roman" w:hAnsi="Times New Roman" w:eastAsia="方正仿宋_GBK" w:cs="Times New Roman"/>
          <w:color w:val="auto"/>
          <w:sz w:val="32"/>
          <w:szCs w:val="32"/>
          <w:highlight w:val="none"/>
        </w:rPr>
        <w:t>。产业链“链长制”高效运行，</w:t>
      </w:r>
      <w:r>
        <w:rPr>
          <w:rFonts w:hint="eastAsia" w:ascii="Times New Roman" w:hAnsi="Times New Roman" w:eastAsia="方正仿宋_GBK" w:cs="Times New Roman"/>
          <w:color w:val="auto"/>
          <w:sz w:val="32"/>
          <w:szCs w:val="32"/>
          <w:highlight w:val="none"/>
          <w:lang w:val="en-US" w:eastAsia="zh-CN"/>
        </w:rPr>
        <w:t>现代</w:t>
      </w:r>
      <w:r>
        <w:rPr>
          <w:rFonts w:hint="eastAsia" w:ascii="Times New Roman" w:hAnsi="Times New Roman" w:eastAsia="方正仿宋_GBK" w:cs="Times New Roman"/>
          <w:color w:val="auto"/>
          <w:sz w:val="32"/>
          <w:szCs w:val="32"/>
          <w:highlight w:val="none"/>
        </w:rPr>
        <w:t>制造业产业集群提质升级，现代服务业迈向价值链中高端，新兴产业、未来产业形成有效支撑，现代制造业集群产业规模达到3500亿元，规上工业增加值增速达到6.5%，战略性新兴产业产值占规上工业总产值比重</w:t>
      </w:r>
      <w:r>
        <w:rPr>
          <w:rFonts w:hint="eastAsia" w:ascii="Times New Roman" w:hAnsi="Times New Roman" w:eastAsia="方正仿宋_GBK" w:cs="Times New Roman"/>
          <w:color w:val="auto"/>
          <w:sz w:val="32"/>
          <w:szCs w:val="32"/>
          <w:highlight w:val="none"/>
          <w:lang w:val="en-US" w:eastAsia="zh-CN"/>
        </w:rPr>
        <w:t>达到</w:t>
      </w:r>
      <w:r>
        <w:rPr>
          <w:rFonts w:hint="eastAsia" w:ascii="Times New Roman" w:hAnsi="Times New Roman" w:eastAsia="方正仿宋_GBK" w:cs="Times New Roman"/>
          <w:color w:val="auto"/>
          <w:sz w:val="32"/>
          <w:szCs w:val="32"/>
          <w:highlight w:val="none"/>
        </w:rPr>
        <w:t>85%，现代服务业营收规模达到500亿元。</w:t>
      </w:r>
    </w:p>
    <w:p w14:paraId="7F1048A6">
      <w:pPr>
        <w:adjustRightInd w:val="0"/>
        <w:spacing w:line="600" w:lineRule="exact"/>
        <w:ind w:firstLine="643" w:firstLineChars="200"/>
        <w:textAlignment w:val="baseline"/>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b/>
          <w:bCs/>
          <w:color w:val="auto"/>
          <w:sz w:val="32"/>
          <w:szCs w:val="32"/>
          <w:highlight w:val="none"/>
        </w:rPr>
        <w:t>——重庆建设现代化人民城市的品质样板初步成型</w:t>
      </w:r>
      <w:r>
        <w:rPr>
          <w:rFonts w:hint="eastAsia" w:ascii="Times New Roman" w:hAnsi="Times New Roman" w:eastAsia="方正仿宋_GBK" w:cs="Times New Roman"/>
          <w:color w:val="auto"/>
          <w:sz w:val="32"/>
          <w:szCs w:val="32"/>
          <w:highlight w:val="none"/>
        </w:rPr>
        <w:t>。“1236”城市总体发展格局加快形成，宜学宜研、宜居宜业水平持续提升，绿色生产生活方式基本形成，碳达峰目标如期实现，成功创建全国义务教育优质均衡发展区、全国学前教育普及普惠区，金凤城市中心建成约</w:t>
      </w:r>
      <w:r>
        <w:rPr>
          <w:rFonts w:hint="eastAsia" w:ascii="Times New Roman" w:hAnsi="Times New Roman" w:eastAsia="方正仿宋_GBK" w:cs="Times New Roman"/>
          <w:color w:val="auto"/>
          <w:sz w:val="32"/>
          <w:szCs w:val="32"/>
          <w:highlight w:val="none"/>
          <w:lang w:val="en-US" w:eastAsia="zh-CN"/>
        </w:rPr>
        <w:t>7.8</w:t>
      </w:r>
      <w:r>
        <w:rPr>
          <w:rFonts w:hint="eastAsia" w:ascii="Times New Roman" w:hAnsi="Times New Roman" w:eastAsia="方正仿宋_GBK" w:cs="Times New Roman"/>
          <w:color w:val="auto"/>
          <w:sz w:val="32"/>
          <w:szCs w:val="32"/>
          <w:highlight w:val="none"/>
        </w:rPr>
        <w:t>平方公里，路网密度增至5.5千米/平方千米，建成区绿地率达</w:t>
      </w:r>
      <w:r>
        <w:rPr>
          <w:rFonts w:hint="eastAsia" w:ascii="Times New Roman" w:hAnsi="Times New Roman" w:eastAsia="方正仿宋_GBK" w:cs="Times New Roman"/>
          <w:color w:val="auto"/>
          <w:sz w:val="32"/>
          <w:szCs w:val="32"/>
          <w:highlight w:val="none"/>
          <w:lang w:val="en-US" w:eastAsia="zh-CN"/>
        </w:rPr>
        <w:t>38</w:t>
      </w:r>
      <w:r>
        <w:rPr>
          <w:rFonts w:hint="eastAsia" w:ascii="Times New Roman" w:hAnsi="Times New Roman" w:eastAsia="方正仿宋_GBK" w:cs="Times New Roman"/>
          <w:color w:val="auto"/>
          <w:sz w:val="32"/>
          <w:szCs w:val="32"/>
          <w:highlight w:val="none"/>
        </w:rPr>
        <w:t>%，常住人口规模达到90万人</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lang w:val="en-US" w:eastAsia="zh-CN"/>
        </w:rPr>
        <w:t>集聚新重庆人才7900名</w:t>
      </w:r>
      <w:r>
        <w:rPr>
          <w:rFonts w:hint="eastAsia" w:ascii="Times New Roman" w:hAnsi="Times New Roman" w:eastAsia="方正仿宋_GBK" w:cs="Times New Roman"/>
          <w:color w:val="auto"/>
          <w:sz w:val="32"/>
          <w:szCs w:val="32"/>
          <w:highlight w:val="none"/>
        </w:rPr>
        <w:t>。</w:t>
      </w:r>
    </w:p>
    <w:p w14:paraId="64582EED">
      <w:pPr>
        <w:adjustRightInd w:val="0"/>
        <w:spacing w:line="600" w:lineRule="exact"/>
        <w:ind w:firstLine="643" w:firstLineChars="200"/>
        <w:textAlignment w:val="baseline"/>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b/>
          <w:bCs/>
          <w:color w:val="auto"/>
          <w:sz w:val="32"/>
          <w:szCs w:val="32"/>
          <w:highlight w:val="none"/>
        </w:rPr>
        <w:t>——全面深化改革扩大开放的先行示范加快形成。</w:t>
      </w:r>
      <w:r>
        <w:rPr>
          <w:rFonts w:hint="eastAsia" w:ascii="Times New Roman" w:hAnsi="Times New Roman" w:eastAsia="方正仿宋_GBK" w:cs="Times New Roman"/>
          <w:color w:val="auto"/>
          <w:sz w:val="32"/>
          <w:szCs w:val="32"/>
          <w:highlight w:val="none"/>
        </w:rPr>
        <w:t>对内对外开放高效联动，“一城多园”核心引擎作用充分彰显，重庆市物流枢纽经济区高新区功能区加快建成，综保区、自贸区等开放平台能级整体跃升，高端要素配置能力显著增强，高水平对外开放体制机制更加完善，制度型开放稳步扩大，以经济体制改革为牵引的重点领域和关键环节改革取得新的重大突破，国资国企创新力竞争力全面提升，营商环境持续优化，西永综保区排名进入全国前10，进出口总额达到3</w:t>
      </w:r>
      <w:r>
        <w:rPr>
          <w:rFonts w:hint="eastAsia" w:ascii="Times New Roman" w:hAnsi="Times New Roman" w:eastAsia="方正仿宋_GBK" w:cs="Times New Roman"/>
          <w:color w:val="auto"/>
          <w:sz w:val="32"/>
          <w:szCs w:val="32"/>
          <w:highlight w:val="none"/>
          <w:lang w:val="en-US" w:eastAsia="zh-CN"/>
        </w:rPr>
        <w:t>5</w:t>
      </w:r>
      <w:r>
        <w:rPr>
          <w:rFonts w:hint="eastAsia" w:ascii="Times New Roman" w:hAnsi="Times New Roman" w:eastAsia="方正仿宋_GBK" w:cs="Times New Roman"/>
          <w:color w:val="auto"/>
          <w:sz w:val="32"/>
          <w:szCs w:val="32"/>
          <w:highlight w:val="none"/>
        </w:rPr>
        <w:t>00亿元。</w:t>
      </w:r>
    </w:p>
    <w:p w14:paraId="57A37DD2">
      <w:pPr>
        <w:adjustRightInd w:val="0"/>
        <w:spacing w:line="600" w:lineRule="exact"/>
        <w:ind w:firstLine="640" w:firstLineChars="200"/>
        <w:textAlignment w:val="baseline"/>
        <w:rPr>
          <w:rFonts w:hint="eastAsia" w:ascii="Times New Roman" w:hAnsi="Times New Roman" w:eastAsia="方正仿宋_GBK" w:cs="Times New Roman"/>
          <w:color w:val="auto"/>
          <w:sz w:val="32"/>
          <w:szCs w:val="32"/>
          <w:highlight w:val="none"/>
        </w:rPr>
      </w:pPr>
      <w:r>
        <w:rPr>
          <w:rFonts w:hint="eastAsia" w:ascii="Times New Roman" w:hAnsi="Times New Roman" w:eastAsia="方正黑体_GBK" w:cs="方正黑体_GBK"/>
          <w:color w:val="auto"/>
          <w:sz w:val="32"/>
          <w:szCs w:val="32"/>
          <w:highlight w:val="none"/>
        </w:rPr>
        <w:t>到2035年</w:t>
      </w:r>
      <w:r>
        <w:rPr>
          <w:rFonts w:hint="eastAsia" w:ascii="Times New Roman" w:hAnsi="Times New Roman" w:eastAsia="方正仿宋_GBK" w:cs="Times New Roman"/>
          <w:color w:val="auto"/>
          <w:sz w:val="32"/>
          <w:szCs w:val="32"/>
          <w:highlight w:val="none"/>
        </w:rPr>
        <w:t>，全面建成具有全国影响力的科技创新中心核心承载区，科技创新生态成熟，现代化产业集群体系完备，现代化人民城市品质样板成型，深化改革与制度型开放先行示范作用全面凸显，国家高新区综合排名稳居中西部前列，全面建成现代化新重庆的重要引擎，成为创新活力迸发、高端人才汇聚、产城人文深度融合的知名科学城。</w:t>
      </w:r>
    </w:p>
    <w:p w14:paraId="7B0E839F">
      <w:pPr>
        <w:adjustRightInd/>
        <w:spacing w:line="240" w:lineRule="auto"/>
        <w:ind w:firstLine="0" w:firstLineChars="0"/>
        <w:textAlignment w:val="auto"/>
        <w:rPr>
          <w:rFonts w:hint="eastAsia"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br w:type="page"/>
      </w:r>
    </w:p>
    <w:p w14:paraId="59C77EDA">
      <w:pPr>
        <w:overflowPunct/>
        <w:adjustRightInd w:val="0"/>
        <w:spacing w:before="0" w:beforeLines="0" w:after="0" w:afterLines="0" w:line="312" w:lineRule="atLeast"/>
        <w:jc w:val="center"/>
        <w:textAlignment w:val="baseline"/>
        <w:rPr>
          <w:rFonts w:hint="eastAsia" w:ascii="Times New Roman" w:hAnsi="Times New Roman" w:eastAsia="方正黑体_GBK" w:cs="方正黑体_GBK"/>
          <w:color w:val="auto"/>
          <w:kern w:val="0"/>
          <w:sz w:val="32"/>
          <w:szCs w:val="32"/>
          <w:highlight w:val="none"/>
          <w:u w:val="none"/>
        </w:rPr>
      </w:pPr>
      <w:r>
        <w:rPr>
          <w:rFonts w:hint="eastAsia" w:ascii="Times New Roman" w:hAnsi="Times New Roman" w:eastAsia="方正黑体_GBK" w:cs="方正黑体_GBK"/>
          <w:color w:val="auto"/>
          <w:kern w:val="0"/>
          <w:sz w:val="32"/>
          <w:szCs w:val="32"/>
          <w:highlight w:val="none"/>
          <w:u w:val="none"/>
        </w:rPr>
        <w:t>专栏1 重庆高新区“十五五”经济社会发展主要指标</w:t>
      </w:r>
    </w:p>
    <w:tbl>
      <w:tblPr>
        <w:tblStyle w:val="2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3463"/>
        <w:gridCol w:w="1110"/>
        <w:gridCol w:w="1286"/>
        <w:gridCol w:w="1226"/>
        <w:gridCol w:w="1219"/>
      </w:tblGrid>
      <w:tr w14:paraId="79F44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4" w:type="pct"/>
            <w:vAlign w:val="center"/>
          </w:tcPr>
          <w:p w14:paraId="2E675398">
            <w:pPr>
              <w:snapToGrid w:val="0"/>
              <w:spacing w:line="264" w:lineRule="auto"/>
              <w:jc w:val="center"/>
              <w:rPr>
                <w:rFonts w:ascii="Times New Roman" w:hAnsi="Times New Roman" w:eastAsia="方正黑体_GBK" w:cs="方正黑体_GBK"/>
                <w:color w:val="auto"/>
                <w:sz w:val="24"/>
                <w:highlight w:val="none"/>
              </w:rPr>
            </w:pPr>
            <w:r>
              <w:rPr>
                <w:rFonts w:ascii="Times New Roman" w:hAnsi="Times New Roman" w:eastAsia="方正黑体_GBK" w:cs="方正黑体_GBK"/>
                <w:color w:val="auto"/>
                <w:sz w:val="24"/>
                <w:highlight w:val="none"/>
              </w:rPr>
              <w:t>序号</w:t>
            </w:r>
          </w:p>
        </w:tc>
        <w:tc>
          <w:tcPr>
            <w:tcW w:w="1913" w:type="pct"/>
            <w:vAlign w:val="center"/>
          </w:tcPr>
          <w:p w14:paraId="007CEA2F">
            <w:pPr>
              <w:snapToGrid w:val="0"/>
              <w:spacing w:line="264" w:lineRule="auto"/>
              <w:jc w:val="center"/>
              <w:rPr>
                <w:rFonts w:ascii="Times New Roman" w:hAnsi="Times New Roman" w:eastAsia="方正黑体_GBK" w:cs="方正黑体_GBK"/>
                <w:color w:val="auto"/>
                <w:sz w:val="24"/>
                <w:highlight w:val="none"/>
              </w:rPr>
            </w:pPr>
            <w:r>
              <w:rPr>
                <w:rFonts w:ascii="Times New Roman" w:hAnsi="Times New Roman" w:eastAsia="方正黑体_GBK" w:cs="方正黑体_GBK"/>
                <w:color w:val="auto"/>
                <w:sz w:val="24"/>
                <w:highlight w:val="none"/>
              </w:rPr>
              <w:t>指标名称</w:t>
            </w:r>
          </w:p>
        </w:tc>
        <w:tc>
          <w:tcPr>
            <w:tcW w:w="613" w:type="pct"/>
            <w:vAlign w:val="center"/>
          </w:tcPr>
          <w:p w14:paraId="7E31837F">
            <w:pPr>
              <w:snapToGrid w:val="0"/>
              <w:spacing w:line="264" w:lineRule="auto"/>
              <w:jc w:val="center"/>
              <w:rPr>
                <w:rFonts w:ascii="Times New Roman" w:hAnsi="Times New Roman" w:eastAsia="方正黑体_GBK" w:cs="方正黑体_GBK"/>
                <w:color w:val="auto"/>
                <w:sz w:val="24"/>
                <w:highlight w:val="none"/>
              </w:rPr>
            </w:pPr>
            <w:r>
              <w:rPr>
                <w:rFonts w:ascii="Times New Roman" w:hAnsi="Times New Roman" w:eastAsia="方正黑体_GBK" w:cs="方正黑体_GBK"/>
                <w:color w:val="auto"/>
                <w:sz w:val="24"/>
                <w:highlight w:val="none"/>
              </w:rPr>
              <w:t>2025年</w:t>
            </w:r>
          </w:p>
        </w:tc>
        <w:tc>
          <w:tcPr>
            <w:tcW w:w="710" w:type="pct"/>
            <w:vAlign w:val="center"/>
          </w:tcPr>
          <w:p w14:paraId="30FBCF89">
            <w:pPr>
              <w:snapToGrid w:val="0"/>
              <w:spacing w:line="240" w:lineRule="auto"/>
              <w:jc w:val="center"/>
              <w:rPr>
                <w:rFonts w:ascii="Times New Roman" w:hAnsi="Times New Roman" w:eastAsia="方正黑体_GBK" w:cs="方正黑体_GBK"/>
                <w:color w:val="auto"/>
                <w:sz w:val="24"/>
                <w:highlight w:val="none"/>
              </w:rPr>
            </w:pPr>
            <w:r>
              <w:rPr>
                <w:rFonts w:ascii="Times New Roman" w:hAnsi="Times New Roman" w:eastAsia="方正黑体_GBK" w:cs="方正黑体_GBK"/>
                <w:color w:val="auto"/>
                <w:sz w:val="24"/>
                <w:highlight w:val="none"/>
              </w:rPr>
              <w:t>2027年</w:t>
            </w:r>
          </w:p>
          <w:p w14:paraId="49E9E762">
            <w:pPr>
              <w:snapToGrid w:val="0"/>
              <w:spacing w:line="240" w:lineRule="auto"/>
              <w:jc w:val="center"/>
              <w:rPr>
                <w:rFonts w:ascii="Times New Roman" w:hAnsi="Times New Roman" w:eastAsia="方正黑体_GBK" w:cs="方正黑体_GBK"/>
                <w:color w:val="auto"/>
                <w:sz w:val="24"/>
                <w:highlight w:val="none"/>
              </w:rPr>
            </w:pPr>
            <w:r>
              <w:rPr>
                <w:rFonts w:ascii="Times New Roman" w:hAnsi="Times New Roman" w:eastAsia="方正黑体_GBK" w:cs="方正黑体_GBK"/>
                <w:color w:val="auto"/>
                <w:sz w:val="24"/>
                <w:highlight w:val="none"/>
              </w:rPr>
              <w:t>目标</w:t>
            </w:r>
          </w:p>
        </w:tc>
        <w:tc>
          <w:tcPr>
            <w:tcW w:w="677" w:type="pct"/>
            <w:vAlign w:val="center"/>
          </w:tcPr>
          <w:p w14:paraId="458D0288">
            <w:pPr>
              <w:snapToGrid w:val="0"/>
              <w:spacing w:line="240" w:lineRule="auto"/>
              <w:jc w:val="center"/>
              <w:rPr>
                <w:rFonts w:ascii="Times New Roman" w:hAnsi="Times New Roman" w:eastAsia="方正黑体_GBK" w:cs="方正黑体_GBK"/>
                <w:color w:val="auto"/>
                <w:sz w:val="24"/>
                <w:highlight w:val="none"/>
              </w:rPr>
            </w:pPr>
            <w:r>
              <w:rPr>
                <w:rFonts w:ascii="Times New Roman" w:hAnsi="Times New Roman" w:eastAsia="方正黑体_GBK" w:cs="方正黑体_GBK"/>
                <w:color w:val="auto"/>
                <w:sz w:val="24"/>
                <w:highlight w:val="none"/>
              </w:rPr>
              <w:t>2030年</w:t>
            </w:r>
          </w:p>
          <w:p w14:paraId="037F7C1E">
            <w:pPr>
              <w:snapToGrid w:val="0"/>
              <w:spacing w:line="240" w:lineRule="auto"/>
              <w:jc w:val="center"/>
              <w:rPr>
                <w:rFonts w:ascii="Times New Roman" w:hAnsi="Times New Roman" w:eastAsia="方正黑体_GBK" w:cs="方正黑体_GBK"/>
                <w:color w:val="auto"/>
                <w:sz w:val="24"/>
                <w:highlight w:val="none"/>
              </w:rPr>
            </w:pPr>
            <w:r>
              <w:rPr>
                <w:rFonts w:ascii="Times New Roman" w:hAnsi="Times New Roman" w:eastAsia="方正黑体_GBK" w:cs="方正黑体_GBK"/>
                <w:color w:val="auto"/>
                <w:sz w:val="24"/>
                <w:highlight w:val="none"/>
              </w:rPr>
              <w:t>目标</w:t>
            </w:r>
          </w:p>
        </w:tc>
        <w:tc>
          <w:tcPr>
            <w:tcW w:w="672" w:type="pct"/>
            <w:vAlign w:val="center"/>
          </w:tcPr>
          <w:p w14:paraId="7F79B265">
            <w:pPr>
              <w:snapToGrid w:val="0"/>
              <w:spacing w:line="264" w:lineRule="auto"/>
              <w:jc w:val="center"/>
              <w:rPr>
                <w:rFonts w:ascii="Times New Roman" w:hAnsi="Times New Roman" w:eastAsia="方正黑体_GBK" w:cs="方正黑体_GBK"/>
                <w:color w:val="auto"/>
                <w:sz w:val="24"/>
                <w:highlight w:val="none"/>
              </w:rPr>
            </w:pPr>
            <w:r>
              <w:rPr>
                <w:rFonts w:ascii="Times New Roman" w:hAnsi="Times New Roman" w:eastAsia="方正黑体_GBK" w:cs="方正黑体_GBK"/>
                <w:color w:val="auto"/>
                <w:sz w:val="24"/>
                <w:highlight w:val="none"/>
              </w:rPr>
              <w:t>属性</w:t>
            </w:r>
          </w:p>
        </w:tc>
      </w:tr>
      <w:tr w14:paraId="143CC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6"/>
            <w:vAlign w:val="center"/>
          </w:tcPr>
          <w:p w14:paraId="3CABF3AE">
            <w:pPr>
              <w:snapToGrid w:val="0"/>
              <w:spacing w:line="264" w:lineRule="auto"/>
              <w:jc w:val="left"/>
              <w:rPr>
                <w:rFonts w:ascii="Times New Roman" w:hAnsi="Times New Roman" w:eastAsia="方正仿宋_GBK" w:cs="Times New Roman"/>
                <w:color w:val="auto"/>
                <w:sz w:val="24"/>
                <w:highlight w:val="none"/>
              </w:rPr>
            </w:pPr>
            <w:r>
              <w:rPr>
                <w:rFonts w:hint="eastAsia" w:ascii="Times New Roman" w:hAnsi="Times New Roman" w:eastAsia="方正黑体_GBK" w:cs="方正黑体_GBK"/>
                <w:color w:val="auto"/>
                <w:kern w:val="0"/>
                <w:sz w:val="24"/>
                <w:highlight w:val="none"/>
                <w:u w:val="none"/>
              </w:rPr>
              <w:t>一、综合实力</w:t>
            </w:r>
          </w:p>
        </w:tc>
      </w:tr>
      <w:tr w14:paraId="33D87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4" w:type="pct"/>
            <w:vAlign w:val="center"/>
          </w:tcPr>
          <w:p w14:paraId="05747E83">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1</w:t>
            </w:r>
          </w:p>
        </w:tc>
        <w:tc>
          <w:tcPr>
            <w:tcW w:w="1913" w:type="pct"/>
            <w:vAlign w:val="center"/>
          </w:tcPr>
          <w:p w14:paraId="62CAC6F9">
            <w:pPr>
              <w:adjustRightInd w:val="0"/>
              <w:snapToGrid w:val="0"/>
              <w:spacing w:line="264" w:lineRule="auto"/>
              <w:jc w:val="left"/>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地区生产总值（亿元）</w:t>
            </w:r>
          </w:p>
        </w:tc>
        <w:tc>
          <w:tcPr>
            <w:tcW w:w="613" w:type="pct"/>
            <w:vAlign w:val="center"/>
          </w:tcPr>
          <w:p w14:paraId="2F637354">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912.5</w:t>
            </w:r>
          </w:p>
        </w:tc>
        <w:tc>
          <w:tcPr>
            <w:tcW w:w="710" w:type="pct"/>
            <w:vAlign w:val="center"/>
          </w:tcPr>
          <w:p w14:paraId="2C75AE0B">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1000</w:t>
            </w:r>
          </w:p>
        </w:tc>
        <w:tc>
          <w:tcPr>
            <w:tcW w:w="677" w:type="pct"/>
            <w:vAlign w:val="center"/>
          </w:tcPr>
          <w:p w14:paraId="7A595127">
            <w:pPr>
              <w:adjustRightInd w:val="0"/>
              <w:snapToGrid w:val="0"/>
              <w:spacing w:line="264" w:lineRule="auto"/>
              <w:jc w:val="center"/>
              <w:textAlignment w:val="baseline"/>
              <w:rPr>
                <w:rFonts w:hint="default" w:ascii="Times New Roman" w:hAnsi="Times New Roman" w:eastAsia="方正书宋_GBK" w:cs="方正书宋_GBK"/>
                <w:color w:val="auto"/>
                <w:kern w:val="0"/>
                <w:sz w:val="24"/>
                <w:highlight w:val="none"/>
                <w:u w:val="none"/>
                <w:lang w:val="en-US" w:eastAsia="zh-CN"/>
              </w:rPr>
            </w:pPr>
            <w:r>
              <w:rPr>
                <w:rFonts w:hint="eastAsia" w:ascii="Times New Roman" w:hAnsi="Times New Roman" w:eastAsia="方正书宋_GBK" w:cs="方正书宋_GBK"/>
                <w:color w:val="auto"/>
                <w:kern w:val="0"/>
                <w:sz w:val="24"/>
                <w:highlight w:val="none"/>
                <w:u w:val="none"/>
                <w:lang w:val="en-US" w:eastAsia="zh-CN"/>
              </w:rPr>
              <w:t>1300</w:t>
            </w:r>
          </w:p>
        </w:tc>
        <w:tc>
          <w:tcPr>
            <w:tcW w:w="672" w:type="pct"/>
            <w:vAlign w:val="center"/>
          </w:tcPr>
          <w:p w14:paraId="0546F422">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预期性</w:t>
            </w:r>
          </w:p>
        </w:tc>
      </w:tr>
      <w:tr w14:paraId="3AD32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4" w:type="pct"/>
            <w:vAlign w:val="center"/>
          </w:tcPr>
          <w:p w14:paraId="62EBA44A">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2</w:t>
            </w:r>
          </w:p>
        </w:tc>
        <w:tc>
          <w:tcPr>
            <w:tcW w:w="1913" w:type="pct"/>
            <w:vAlign w:val="center"/>
          </w:tcPr>
          <w:p w14:paraId="068F9ACC">
            <w:pPr>
              <w:adjustRightInd w:val="0"/>
              <w:snapToGrid w:val="0"/>
              <w:spacing w:line="264" w:lineRule="auto"/>
              <w:jc w:val="left"/>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国家高新区全国排名</w:t>
            </w:r>
          </w:p>
        </w:tc>
        <w:tc>
          <w:tcPr>
            <w:tcW w:w="613" w:type="pct"/>
            <w:vAlign w:val="center"/>
          </w:tcPr>
          <w:p w14:paraId="06A2BA8D">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lang w:val="en-US" w:eastAsia="zh-CN"/>
              </w:rPr>
              <w:t>25</w:t>
            </w:r>
          </w:p>
        </w:tc>
        <w:tc>
          <w:tcPr>
            <w:tcW w:w="710" w:type="pct"/>
            <w:vAlign w:val="center"/>
          </w:tcPr>
          <w:p w14:paraId="6A54467F">
            <w:pPr>
              <w:adjustRightInd w:val="0"/>
              <w:snapToGrid w:val="0"/>
              <w:spacing w:line="264" w:lineRule="auto"/>
              <w:jc w:val="center"/>
              <w:textAlignment w:val="baseline"/>
              <w:rPr>
                <w:rFonts w:hint="default" w:ascii="Times New Roman" w:hAnsi="Times New Roman" w:eastAsia="方正书宋_GBK" w:cs="方正书宋_GBK"/>
                <w:color w:val="auto"/>
                <w:kern w:val="0"/>
                <w:sz w:val="24"/>
                <w:highlight w:val="none"/>
                <w:u w:val="none"/>
                <w:lang w:val="en-US" w:eastAsia="zh-CN"/>
              </w:rPr>
            </w:pPr>
            <w:r>
              <w:rPr>
                <w:rFonts w:hint="default" w:ascii="Times New Roman" w:hAnsi="Times New Roman" w:eastAsia="方正书宋_GBK" w:cs="方正书宋_GBK"/>
                <w:color w:val="auto"/>
                <w:kern w:val="0"/>
                <w:sz w:val="24"/>
                <w:highlight w:val="none"/>
                <w:u w:val="none"/>
                <w:lang w:val="en-US"/>
              </w:rPr>
              <w:t>2</w:t>
            </w:r>
            <w:r>
              <w:rPr>
                <w:rFonts w:hint="eastAsia" w:ascii="Times New Roman" w:hAnsi="Times New Roman" w:eastAsia="方正书宋_GBK" w:cs="方正书宋_GBK"/>
                <w:color w:val="auto"/>
                <w:kern w:val="0"/>
                <w:sz w:val="24"/>
                <w:highlight w:val="none"/>
                <w:u w:val="none"/>
                <w:lang w:val="en-US" w:eastAsia="zh-CN"/>
              </w:rPr>
              <w:t>3</w:t>
            </w:r>
          </w:p>
        </w:tc>
        <w:tc>
          <w:tcPr>
            <w:tcW w:w="677" w:type="pct"/>
            <w:vAlign w:val="center"/>
          </w:tcPr>
          <w:p w14:paraId="77A42910">
            <w:pPr>
              <w:adjustRightInd w:val="0"/>
              <w:snapToGrid w:val="0"/>
              <w:spacing w:line="264" w:lineRule="auto"/>
              <w:jc w:val="center"/>
              <w:textAlignment w:val="baseline"/>
              <w:rPr>
                <w:rFonts w:hint="default" w:ascii="Times New Roman" w:hAnsi="Times New Roman" w:eastAsia="方正书宋_GBK" w:cs="方正书宋_GBK"/>
                <w:color w:val="auto"/>
                <w:kern w:val="0"/>
                <w:sz w:val="24"/>
                <w:highlight w:val="none"/>
                <w:u w:val="none"/>
                <w:lang w:val="en-US" w:eastAsia="zh-CN"/>
              </w:rPr>
            </w:pPr>
            <w:r>
              <w:rPr>
                <w:rFonts w:hint="default" w:ascii="Times New Roman" w:hAnsi="Times New Roman" w:eastAsia="方正书宋_GBK" w:cs="方正书宋_GBK"/>
                <w:color w:val="auto"/>
                <w:kern w:val="0"/>
                <w:sz w:val="24"/>
                <w:highlight w:val="none"/>
                <w:u w:val="none"/>
                <w:lang w:val="en-US"/>
              </w:rPr>
              <w:t>2</w:t>
            </w:r>
            <w:r>
              <w:rPr>
                <w:rFonts w:hint="eastAsia" w:ascii="Times New Roman" w:hAnsi="Times New Roman" w:eastAsia="方正书宋_GBK" w:cs="方正书宋_GBK"/>
                <w:color w:val="auto"/>
                <w:kern w:val="0"/>
                <w:sz w:val="24"/>
                <w:highlight w:val="none"/>
                <w:u w:val="none"/>
                <w:lang w:val="en-US" w:eastAsia="zh-CN"/>
              </w:rPr>
              <w:t>0</w:t>
            </w:r>
          </w:p>
        </w:tc>
        <w:tc>
          <w:tcPr>
            <w:tcW w:w="672" w:type="pct"/>
            <w:vAlign w:val="center"/>
          </w:tcPr>
          <w:p w14:paraId="33544A5C">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预期性</w:t>
            </w:r>
          </w:p>
        </w:tc>
      </w:tr>
      <w:tr w14:paraId="6914D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4" w:type="pct"/>
            <w:vAlign w:val="center"/>
          </w:tcPr>
          <w:p w14:paraId="7D09C62F">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3</w:t>
            </w:r>
          </w:p>
        </w:tc>
        <w:tc>
          <w:tcPr>
            <w:tcW w:w="1913" w:type="pct"/>
            <w:vAlign w:val="center"/>
          </w:tcPr>
          <w:p w14:paraId="619D2F1E">
            <w:pPr>
              <w:adjustRightInd w:val="0"/>
              <w:snapToGrid w:val="0"/>
              <w:spacing w:line="264" w:lineRule="auto"/>
              <w:jc w:val="left"/>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西永综保区全国排名</w:t>
            </w:r>
          </w:p>
        </w:tc>
        <w:tc>
          <w:tcPr>
            <w:tcW w:w="613" w:type="pct"/>
            <w:vAlign w:val="center"/>
          </w:tcPr>
          <w:p w14:paraId="1F17E229">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17</w:t>
            </w:r>
          </w:p>
        </w:tc>
        <w:tc>
          <w:tcPr>
            <w:tcW w:w="710" w:type="pct"/>
            <w:vAlign w:val="center"/>
          </w:tcPr>
          <w:p w14:paraId="1B7F7217">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力争前15</w:t>
            </w:r>
          </w:p>
        </w:tc>
        <w:tc>
          <w:tcPr>
            <w:tcW w:w="677" w:type="pct"/>
            <w:vAlign w:val="center"/>
          </w:tcPr>
          <w:p w14:paraId="50C07E96">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力争前10</w:t>
            </w:r>
          </w:p>
        </w:tc>
        <w:tc>
          <w:tcPr>
            <w:tcW w:w="672" w:type="pct"/>
            <w:vAlign w:val="center"/>
          </w:tcPr>
          <w:p w14:paraId="7AB2C7B7">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预期性</w:t>
            </w:r>
          </w:p>
        </w:tc>
      </w:tr>
      <w:tr w14:paraId="3953E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6"/>
            <w:vAlign w:val="center"/>
          </w:tcPr>
          <w:p w14:paraId="42E7CA48">
            <w:pPr>
              <w:snapToGrid w:val="0"/>
              <w:spacing w:line="264" w:lineRule="auto"/>
              <w:jc w:val="left"/>
              <w:rPr>
                <w:rFonts w:hint="default" w:ascii="Times New Roman" w:hAnsi="Times New Roman" w:eastAsia="方正仿宋_GBK" w:cs="Times New Roman"/>
                <w:color w:val="auto"/>
                <w:sz w:val="24"/>
                <w:highlight w:val="none"/>
                <w:lang w:val="en-US" w:eastAsia="zh-CN"/>
              </w:rPr>
            </w:pPr>
            <w:r>
              <w:rPr>
                <w:rFonts w:hint="eastAsia" w:ascii="Times New Roman" w:hAnsi="Times New Roman" w:eastAsia="方正黑体_GBK" w:cs="方正黑体_GBK"/>
                <w:color w:val="auto"/>
                <w:kern w:val="0"/>
                <w:sz w:val="24"/>
                <w:highlight w:val="none"/>
                <w:u w:val="none"/>
                <w:lang w:val="en-US" w:eastAsia="zh-CN"/>
              </w:rPr>
              <w:t>二</w:t>
            </w:r>
            <w:r>
              <w:rPr>
                <w:rFonts w:hint="eastAsia" w:ascii="Times New Roman" w:hAnsi="Times New Roman" w:eastAsia="方正黑体_GBK" w:cs="方正黑体_GBK"/>
                <w:color w:val="auto"/>
                <w:kern w:val="0"/>
                <w:sz w:val="24"/>
                <w:highlight w:val="none"/>
                <w:u w:val="none"/>
              </w:rPr>
              <w:t>、</w:t>
            </w:r>
            <w:r>
              <w:rPr>
                <w:rFonts w:hint="eastAsia" w:ascii="Times New Roman" w:hAnsi="Times New Roman" w:eastAsia="方正黑体_GBK" w:cs="方正黑体_GBK"/>
                <w:color w:val="auto"/>
                <w:kern w:val="0"/>
                <w:sz w:val="24"/>
                <w:highlight w:val="none"/>
                <w:u w:val="none"/>
                <w:lang w:val="en-US" w:eastAsia="zh-CN"/>
              </w:rPr>
              <w:t>科技创新</w:t>
            </w:r>
          </w:p>
        </w:tc>
      </w:tr>
      <w:tr w14:paraId="557AB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4" w:type="pct"/>
            <w:vAlign w:val="center"/>
          </w:tcPr>
          <w:p w14:paraId="54483CF5">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lang w:val="en-US" w:eastAsia="zh-CN"/>
              </w:rPr>
              <w:t>4</w:t>
            </w:r>
          </w:p>
        </w:tc>
        <w:tc>
          <w:tcPr>
            <w:tcW w:w="1913" w:type="pct"/>
            <w:vAlign w:val="center"/>
          </w:tcPr>
          <w:p w14:paraId="5C9E71BD">
            <w:pPr>
              <w:adjustRightInd w:val="0"/>
              <w:snapToGrid w:val="0"/>
              <w:spacing w:line="264" w:lineRule="auto"/>
              <w:jc w:val="left"/>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研发经费投入强度（%）</w:t>
            </w:r>
          </w:p>
        </w:tc>
        <w:tc>
          <w:tcPr>
            <w:tcW w:w="613" w:type="pct"/>
            <w:vAlign w:val="center"/>
          </w:tcPr>
          <w:p w14:paraId="6F443FE0">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5.5</w:t>
            </w:r>
          </w:p>
        </w:tc>
        <w:tc>
          <w:tcPr>
            <w:tcW w:w="710" w:type="pct"/>
            <w:vAlign w:val="center"/>
          </w:tcPr>
          <w:p w14:paraId="208D76EE">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5.8</w:t>
            </w:r>
          </w:p>
        </w:tc>
        <w:tc>
          <w:tcPr>
            <w:tcW w:w="677" w:type="pct"/>
            <w:vAlign w:val="center"/>
          </w:tcPr>
          <w:p w14:paraId="6C5A44BC">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6</w:t>
            </w:r>
          </w:p>
        </w:tc>
        <w:tc>
          <w:tcPr>
            <w:tcW w:w="672" w:type="pct"/>
            <w:vAlign w:val="center"/>
          </w:tcPr>
          <w:p w14:paraId="32C549D9">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预期性</w:t>
            </w:r>
          </w:p>
        </w:tc>
      </w:tr>
      <w:tr w14:paraId="1B3C0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4" w:type="pct"/>
            <w:vAlign w:val="center"/>
          </w:tcPr>
          <w:p w14:paraId="53BEDE03">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lang w:val="en-US" w:eastAsia="zh-CN"/>
              </w:rPr>
              <w:t>5</w:t>
            </w:r>
          </w:p>
        </w:tc>
        <w:tc>
          <w:tcPr>
            <w:tcW w:w="1913" w:type="pct"/>
            <w:vAlign w:val="center"/>
          </w:tcPr>
          <w:p w14:paraId="1EA7D318">
            <w:pPr>
              <w:adjustRightInd w:val="0"/>
              <w:snapToGrid w:val="0"/>
              <w:spacing w:line="264" w:lineRule="auto"/>
              <w:jc w:val="left"/>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市级以上科技创新平台基地数量（个）</w:t>
            </w:r>
          </w:p>
        </w:tc>
        <w:tc>
          <w:tcPr>
            <w:tcW w:w="613" w:type="pct"/>
            <w:vAlign w:val="center"/>
          </w:tcPr>
          <w:p w14:paraId="267C9D77">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290</w:t>
            </w:r>
          </w:p>
        </w:tc>
        <w:tc>
          <w:tcPr>
            <w:tcW w:w="710" w:type="pct"/>
            <w:vAlign w:val="center"/>
          </w:tcPr>
          <w:p w14:paraId="2F836A21">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300</w:t>
            </w:r>
          </w:p>
        </w:tc>
        <w:tc>
          <w:tcPr>
            <w:tcW w:w="677" w:type="pct"/>
            <w:vAlign w:val="center"/>
          </w:tcPr>
          <w:p w14:paraId="42098691">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320</w:t>
            </w:r>
          </w:p>
        </w:tc>
        <w:tc>
          <w:tcPr>
            <w:tcW w:w="672" w:type="pct"/>
            <w:vAlign w:val="center"/>
          </w:tcPr>
          <w:p w14:paraId="24C84ABC">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预期性</w:t>
            </w:r>
          </w:p>
        </w:tc>
      </w:tr>
      <w:tr w14:paraId="14A11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4" w:type="pct"/>
            <w:vAlign w:val="center"/>
          </w:tcPr>
          <w:p w14:paraId="53F8E715">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lang w:val="en-US" w:eastAsia="zh-CN"/>
              </w:rPr>
              <w:t>6</w:t>
            </w:r>
          </w:p>
        </w:tc>
        <w:tc>
          <w:tcPr>
            <w:tcW w:w="1913" w:type="pct"/>
            <w:vAlign w:val="center"/>
          </w:tcPr>
          <w:p w14:paraId="525385C7">
            <w:pPr>
              <w:adjustRightInd w:val="0"/>
              <w:snapToGrid w:val="0"/>
              <w:spacing w:line="264" w:lineRule="auto"/>
              <w:jc w:val="left"/>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每万人口高价值发明专利拥有量（件）</w:t>
            </w:r>
          </w:p>
        </w:tc>
        <w:tc>
          <w:tcPr>
            <w:tcW w:w="613" w:type="pct"/>
            <w:vAlign w:val="center"/>
          </w:tcPr>
          <w:p w14:paraId="66A97F23">
            <w:pPr>
              <w:adjustRightInd w:val="0"/>
              <w:snapToGrid w:val="0"/>
              <w:spacing w:line="264" w:lineRule="auto"/>
              <w:jc w:val="center"/>
              <w:textAlignment w:val="baseline"/>
              <w:rPr>
                <w:rFonts w:hint="default"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lang w:val="en-US" w:eastAsia="zh-CN"/>
              </w:rPr>
              <w:t>30.11</w:t>
            </w:r>
          </w:p>
        </w:tc>
        <w:tc>
          <w:tcPr>
            <w:tcW w:w="710" w:type="pct"/>
            <w:vAlign w:val="center"/>
          </w:tcPr>
          <w:p w14:paraId="3A825C36">
            <w:pPr>
              <w:adjustRightInd w:val="0"/>
              <w:snapToGrid w:val="0"/>
              <w:spacing w:line="264" w:lineRule="auto"/>
              <w:jc w:val="center"/>
              <w:textAlignment w:val="baseline"/>
              <w:rPr>
                <w:rFonts w:hint="default"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lang w:val="en-US" w:eastAsia="zh-CN"/>
              </w:rPr>
              <w:t>31</w:t>
            </w:r>
          </w:p>
        </w:tc>
        <w:tc>
          <w:tcPr>
            <w:tcW w:w="677" w:type="pct"/>
            <w:vAlign w:val="center"/>
          </w:tcPr>
          <w:p w14:paraId="0239D39C">
            <w:pPr>
              <w:adjustRightInd w:val="0"/>
              <w:snapToGrid w:val="0"/>
              <w:spacing w:line="264" w:lineRule="auto"/>
              <w:jc w:val="center"/>
              <w:textAlignment w:val="baseline"/>
              <w:rPr>
                <w:rFonts w:hint="default"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lang w:val="en-US" w:eastAsia="zh-CN"/>
              </w:rPr>
              <w:t>33</w:t>
            </w:r>
          </w:p>
        </w:tc>
        <w:tc>
          <w:tcPr>
            <w:tcW w:w="672" w:type="pct"/>
            <w:vAlign w:val="center"/>
          </w:tcPr>
          <w:p w14:paraId="2BF5AC6D">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预期性</w:t>
            </w:r>
          </w:p>
        </w:tc>
      </w:tr>
      <w:tr w14:paraId="3670F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4" w:type="pct"/>
            <w:vAlign w:val="center"/>
          </w:tcPr>
          <w:p w14:paraId="16D986A9">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lang w:val="en-US" w:eastAsia="zh-CN"/>
              </w:rPr>
              <w:t>7</w:t>
            </w:r>
          </w:p>
        </w:tc>
        <w:tc>
          <w:tcPr>
            <w:tcW w:w="1913" w:type="pct"/>
            <w:vAlign w:val="center"/>
          </w:tcPr>
          <w:p w14:paraId="3B2FA95B">
            <w:pPr>
              <w:adjustRightInd w:val="0"/>
              <w:snapToGrid w:val="0"/>
              <w:spacing w:line="264" w:lineRule="auto"/>
              <w:jc w:val="left"/>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高新技术企业数（家）</w:t>
            </w:r>
          </w:p>
        </w:tc>
        <w:tc>
          <w:tcPr>
            <w:tcW w:w="613" w:type="pct"/>
            <w:vAlign w:val="center"/>
          </w:tcPr>
          <w:p w14:paraId="5CE3BA98">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70</w:t>
            </w:r>
            <w:r>
              <w:rPr>
                <w:rFonts w:hint="eastAsia" w:ascii="Times New Roman" w:hAnsi="Times New Roman" w:eastAsia="方正书宋_GBK" w:cs="方正书宋_GBK"/>
                <w:color w:val="auto"/>
                <w:kern w:val="0"/>
                <w:sz w:val="24"/>
                <w:highlight w:val="none"/>
                <w:u w:val="none"/>
                <w:lang w:val="en-US" w:eastAsia="zh-CN"/>
              </w:rPr>
              <w:t>1</w:t>
            </w:r>
          </w:p>
        </w:tc>
        <w:tc>
          <w:tcPr>
            <w:tcW w:w="710" w:type="pct"/>
            <w:vAlign w:val="center"/>
          </w:tcPr>
          <w:p w14:paraId="00B943C2">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900</w:t>
            </w:r>
          </w:p>
        </w:tc>
        <w:tc>
          <w:tcPr>
            <w:tcW w:w="677" w:type="pct"/>
            <w:vAlign w:val="center"/>
          </w:tcPr>
          <w:p w14:paraId="29992070">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1200</w:t>
            </w:r>
          </w:p>
        </w:tc>
        <w:tc>
          <w:tcPr>
            <w:tcW w:w="672" w:type="pct"/>
            <w:vAlign w:val="center"/>
          </w:tcPr>
          <w:p w14:paraId="0121F286">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预期性</w:t>
            </w:r>
          </w:p>
        </w:tc>
      </w:tr>
      <w:tr w14:paraId="536FA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4" w:type="pct"/>
            <w:vAlign w:val="center"/>
          </w:tcPr>
          <w:p w14:paraId="26373234">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lang w:val="en-US" w:eastAsia="zh-CN"/>
              </w:rPr>
              <w:t>8</w:t>
            </w:r>
          </w:p>
        </w:tc>
        <w:tc>
          <w:tcPr>
            <w:tcW w:w="1913" w:type="pct"/>
            <w:vAlign w:val="center"/>
          </w:tcPr>
          <w:p w14:paraId="11C915AB">
            <w:pPr>
              <w:adjustRightInd w:val="0"/>
              <w:snapToGrid w:val="0"/>
              <w:spacing w:line="264" w:lineRule="auto"/>
              <w:jc w:val="left"/>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独角兽企业数（家）</w:t>
            </w:r>
          </w:p>
        </w:tc>
        <w:tc>
          <w:tcPr>
            <w:tcW w:w="613" w:type="pct"/>
            <w:vAlign w:val="center"/>
          </w:tcPr>
          <w:p w14:paraId="35F5D032">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lang w:val="en-US" w:eastAsia="zh-CN"/>
              </w:rPr>
              <w:t>2</w:t>
            </w:r>
          </w:p>
        </w:tc>
        <w:tc>
          <w:tcPr>
            <w:tcW w:w="710" w:type="pct"/>
            <w:vAlign w:val="center"/>
          </w:tcPr>
          <w:p w14:paraId="4E3044DB">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lang w:val="en-US" w:eastAsia="zh-CN"/>
              </w:rPr>
              <w:t>3</w:t>
            </w:r>
          </w:p>
        </w:tc>
        <w:tc>
          <w:tcPr>
            <w:tcW w:w="677" w:type="pct"/>
            <w:vAlign w:val="center"/>
          </w:tcPr>
          <w:p w14:paraId="079F0F45">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lang w:val="en-US" w:eastAsia="zh-CN"/>
              </w:rPr>
              <w:t>5</w:t>
            </w:r>
          </w:p>
        </w:tc>
        <w:tc>
          <w:tcPr>
            <w:tcW w:w="672" w:type="pct"/>
            <w:vAlign w:val="center"/>
          </w:tcPr>
          <w:p w14:paraId="5AA1C206">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预期性</w:t>
            </w:r>
          </w:p>
        </w:tc>
      </w:tr>
      <w:tr w14:paraId="2682F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4" w:type="pct"/>
            <w:vAlign w:val="center"/>
          </w:tcPr>
          <w:p w14:paraId="3C419856">
            <w:pPr>
              <w:adjustRightInd w:val="0"/>
              <w:snapToGrid w:val="0"/>
              <w:spacing w:line="264" w:lineRule="auto"/>
              <w:jc w:val="center"/>
              <w:textAlignment w:val="baseline"/>
              <w:rPr>
                <w:rFonts w:hint="default"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lang w:val="en-US" w:eastAsia="zh-CN"/>
              </w:rPr>
              <w:t>9</w:t>
            </w:r>
          </w:p>
        </w:tc>
        <w:tc>
          <w:tcPr>
            <w:tcW w:w="1913" w:type="pct"/>
            <w:vAlign w:val="center"/>
          </w:tcPr>
          <w:p w14:paraId="7E901A0E">
            <w:pPr>
              <w:adjustRightInd w:val="0"/>
              <w:snapToGrid w:val="0"/>
              <w:spacing w:line="264" w:lineRule="auto"/>
              <w:jc w:val="left"/>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专精特新“小巨人”企业数（家）</w:t>
            </w:r>
          </w:p>
        </w:tc>
        <w:tc>
          <w:tcPr>
            <w:tcW w:w="613" w:type="pct"/>
            <w:vAlign w:val="center"/>
          </w:tcPr>
          <w:p w14:paraId="41A8C97E">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28</w:t>
            </w:r>
          </w:p>
        </w:tc>
        <w:tc>
          <w:tcPr>
            <w:tcW w:w="710" w:type="pct"/>
            <w:vAlign w:val="center"/>
          </w:tcPr>
          <w:p w14:paraId="12E953DA">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30</w:t>
            </w:r>
          </w:p>
        </w:tc>
        <w:tc>
          <w:tcPr>
            <w:tcW w:w="677" w:type="pct"/>
            <w:vAlign w:val="center"/>
          </w:tcPr>
          <w:p w14:paraId="2A897A04">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33</w:t>
            </w:r>
          </w:p>
        </w:tc>
        <w:tc>
          <w:tcPr>
            <w:tcW w:w="672" w:type="pct"/>
            <w:vAlign w:val="center"/>
          </w:tcPr>
          <w:p w14:paraId="74F651DD">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预期性</w:t>
            </w:r>
          </w:p>
        </w:tc>
      </w:tr>
      <w:tr w14:paraId="74A5B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6"/>
            <w:shd w:val="clear" w:color="auto" w:fill="auto"/>
            <w:vAlign w:val="center"/>
          </w:tcPr>
          <w:p w14:paraId="1A902B48">
            <w:pPr>
              <w:adjustRightInd w:val="0"/>
              <w:snapToGrid w:val="0"/>
              <w:spacing w:line="264" w:lineRule="auto"/>
              <w:jc w:val="left"/>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黑体_GBK" w:cs="方正黑体_GBK"/>
                <w:color w:val="auto"/>
                <w:kern w:val="0"/>
                <w:sz w:val="24"/>
                <w:highlight w:val="none"/>
                <w:u w:val="none"/>
                <w:lang w:val="en-US" w:eastAsia="zh-CN"/>
              </w:rPr>
              <w:t>三</w:t>
            </w:r>
            <w:r>
              <w:rPr>
                <w:rFonts w:hint="eastAsia" w:ascii="Times New Roman" w:hAnsi="Times New Roman" w:eastAsia="方正黑体_GBK" w:cs="方正黑体_GBK"/>
                <w:color w:val="auto"/>
                <w:kern w:val="0"/>
                <w:sz w:val="24"/>
                <w:highlight w:val="none"/>
                <w:u w:val="none"/>
              </w:rPr>
              <w:t>、</w:t>
            </w:r>
            <w:r>
              <w:rPr>
                <w:rFonts w:hint="eastAsia" w:ascii="Times New Roman" w:hAnsi="Times New Roman" w:eastAsia="方正黑体_GBK" w:cs="方正黑体_GBK"/>
                <w:color w:val="auto"/>
                <w:kern w:val="0"/>
                <w:sz w:val="24"/>
                <w:highlight w:val="none"/>
                <w:u w:val="none"/>
                <w:lang w:val="en-US" w:eastAsia="zh-CN"/>
              </w:rPr>
              <w:t>产业发展</w:t>
            </w:r>
          </w:p>
        </w:tc>
      </w:tr>
      <w:tr w14:paraId="16B77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4" w:type="pct"/>
            <w:shd w:val="clear" w:color="auto" w:fill="auto"/>
            <w:vAlign w:val="center"/>
          </w:tcPr>
          <w:p w14:paraId="40115DE0">
            <w:pPr>
              <w:adjustRightInd w:val="0"/>
              <w:snapToGrid w:val="0"/>
              <w:spacing w:line="264" w:lineRule="auto"/>
              <w:jc w:val="center"/>
              <w:textAlignment w:val="baseline"/>
              <w:rPr>
                <w:rFonts w:hint="default"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lang w:val="en-US" w:eastAsia="zh-CN"/>
              </w:rPr>
              <w:t>10</w:t>
            </w:r>
          </w:p>
        </w:tc>
        <w:tc>
          <w:tcPr>
            <w:tcW w:w="1913" w:type="pct"/>
            <w:shd w:val="clear" w:color="auto" w:fill="auto"/>
            <w:vAlign w:val="center"/>
          </w:tcPr>
          <w:p w14:paraId="210F1D83">
            <w:pPr>
              <w:adjustRightInd w:val="0"/>
              <w:snapToGrid w:val="0"/>
              <w:spacing w:line="264" w:lineRule="auto"/>
              <w:jc w:val="left"/>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规上工业增加值增速（%）</w:t>
            </w:r>
          </w:p>
        </w:tc>
        <w:tc>
          <w:tcPr>
            <w:tcW w:w="613" w:type="pct"/>
            <w:shd w:val="clear" w:color="auto" w:fill="auto"/>
            <w:vAlign w:val="center"/>
          </w:tcPr>
          <w:p w14:paraId="40D53658">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5.9</w:t>
            </w:r>
          </w:p>
        </w:tc>
        <w:tc>
          <w:tcPr>
            <w:tcW w:w="710" w:type="pct"/>
            <w:shd w:val="clear" w:color="auto" w:fill="auto"/>
            <w:vAlign w:val="center"/>
          </w:tcPr>
          <w:p w14:paraId="1091AB14">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6.5</w:t>
            </w:r>
          </w:p>
        </w:tc>
        <w:tc>
          <w:tcPr>
            <w:tcW w:w="677" w:type="pct"/>
            <w:shd w:val="clear" w:color="auto" w:fill="auto"/>
            <w:vAlign w:val="center"/>
          </w:tcPr>
          <w:p w14:paraId="3EFDD130">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6.5</w:t>
            </w:r>
          </w:p>
        </w:tc>
        <w:tc>
          <w:tcPr>
            <w:tcW w:w="672" w:type="pct"/>
            <w:shd w:val="clear" w:color="auto" w:fill="auto"/>
            <w:vAlign w:val="center"/>
          </w:tcPr>
          <w:p w14:paraId="1C8181D0">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预期性</w:t>
            </w:r>
          </w:p>
        </w:tc>
      </w:tr>
      <w:tr w14:paraId="72887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4" w:type="pct"/>
            <w:shd w:val="clear" w:color="auto" w:fill="auto"/>
            <w:vAlign w:val="center"/>
          </w:tcPr>
          <w:p w14:paraId="4C3CB347">
            <w:pPr>
              <w:adjustRightInd w:val="0"/>
              <w:snapToGrid w:val="0"/>
              <w:spacing w:line="264" w:lineRule="auto"/>
              <w:jc w:val="center"/>
              <w:textAlignment w:val="baseline"/>
              <w:rPr>
                <w:rFonts w:hint="default"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lang w:val="en-US" w:eastAsia="zh-CN"/>
              </w:rPr>
              <w:t>11</w:t>
            </w:r>
          </w:p>
        </w:tc>
        <w:tc>
          <w:tcPr>
            <w:tcW w:w="1913" w:type="pct"/>
            <w:shd w:val="clear" w:color="auto" w:fill="auto"/>
            <w:vAlign w:val="center"/>
          </w:tcPr>
          <w:p w14:paraId="23BED8F7">
            <w:pPr>
              <w:adjustRightInd w:val="0"/>
              <w:snapToGrid w:val="0"/>
              <w:spacing w:line="264" w:lineRule="auto"/>
              <w:jc w:val="left"/>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战略性新兴产业产值占规模以上工业总产值比重（%）</w:t>
            </w:r>
          </w:p>
        </w:tc>
        <w:tc>
          <w:tcPr>
            <w:tcW w:w="613" w:type="pct"/>
            <w:shd w:val="clear" w:color="auto" w:fill="auto"/>
            <w:vAlign w:val="center"/>
          </w:tcPr>
          <w:p w14:paraId="1D4F9983">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80</w:t>
            </w:r>
          </w:p>
        </w:tc>
        <w:tc>
          <w:tcPr>
            <w:tcW w:w="710" w:type="pct"/>
            <w:shd w:val="clear" w:color="auto" w:fill="auto"/>
            <w:vAlign w:val="center"/>
          </w:tcPr>
          <w:p w14:paraId="1FF2B340">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83</w:t>
            </w:r>
          </w:p>
        </w:tc>
        <w:tc>
          <w:tcPr>
            <w:tcW w:w="677" w:type="pct"/>
            <w:shd w:val="clear" w:color="auto" w:fill="auto"/>
            <w:vAlign w:val="center"/>
          </w:tcPr>
          <w:p w14:paraId="3F8EEC96">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85</w:t>
            </w:r>
          </w:p>
        </w:tc>
        <w:tc>
          <w:tcPr>
            <w:tcW w:w="672" w:type="pct"/>
            <w:shd w:val="clear" w:color="auto" w:fill="auto"/>
            <w:vAlign w:val="center"/>
          </w:tcPr>
          <w:p w14:paraId="6A8FDC0C">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预期性</w:t>
            </w:r>
          </w:p>
        </w:tc>
      </w:tr>
      <w:tr w14:paraId="5F76F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4" w:type="pct"/>
            <w:shd w:val="clear" w:color="auto" w:fill="auto"/>
            <w:vAlign w:val="center"/>
          </w:tcPr>
          <w:p w14:paraId="51F813D7">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lang w:val="en-US" w:eastAsia="zh-CN"/>
              </w:rPr>
              <w:t>12</w:t>
            </w:r>
          </w:p>
        </w:tc>
        <w:tc>
          <w:tcPr>
            <w:tcW w:w="1913" w:type="pct"/>
            <w:shd w:val="clear" w:color="auto" w:fill="auto"/>
            <w:vAlign w:val="center"/>
          </w:tcPr>
          <w:p w14:paraId="4C3264D2">
            <w:pPr>
              <w:adjustRightInd w:val="0"/>
              <w:snapToGrid w:val="0"/>
              <w:spacing w:line="264" w:lineRule="auto"/>
              <w:jc w:val="left"/>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数字经济核心产业增加值占地区生产总值比重（%）</w:t>
            </w:r>
          </w:p>
        </w:tc>
        <w:tc>
          <w:tcPr>
            <w:tcW w:w="613" w:type="pct"/>
            <w:shd w:val="clear" w:color="auto" w:fill="auto"/>
            <w:vAlign w:val="center"/>
          </w:tcPr>
          <w:p w14:paraId="4FA1A2B2">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17.5</w:t>
            </w:r>
          </w:p>
        </w:tc>
        <w:tc>
          <w:tcPr>
            <w:tcW w:w="710" w:type="pct"/>
            <w:shd w:val="clear" w:color="auto" w:fill="auto"/>
            <w:vAlign w:val="center"/>
          </w:tcPr>
          <w:p w14:paraId="695A4B1A">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18</w:t>
            </w:r>
          </w:p>
        </w:tc>
        <w:tc>
          <w:tcPr>
            <w:tcW w:w="677" w:type="pct"/>
            <w:shd w:val="clear" w:color="auto" w:fill="auto"/>
            <w:vAlign w:val="center"/>
          </w:tcPr>
          <w:p w14:paraId="6BC9FAAE">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18</w:t>
            </w:r>
          </w:p>
        </w:tc>
        <w:tc>
          <w:tcPr>
            <w:tcW w:w="672" w:type="pct"/>
            <w:shd w:val="clear" w:color="auto" w:fill="auto"/>
            <w:vAlign w:val="center"/>
          </w:tcPr>
          <w:p w14:paraId="612ADEE7">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预期性</w:t>
            </w:r>
          </w:p>
        </w:tc>
      </w:tr>
      <w:tr w14:paraId="215B2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4" w:type="pct"/>
            <w:shd w:val="clear" w:color="auto" w:fill="auto"/>
            <w:vAlign w:val="center"/>
          </w:tcPr>
          <w:p w14:paraId="48988E08">
            <w:pPr>
              <w:adjustRightInd w:val="0"/>
              <w:snapToGrid w:val="0"/>
              <w:spacing w:line="264" w:lineRule="auto"/>
              <w:jc w:val="center"/>
              <w:textAlignment w:val="baseline"/>
              <w:rPr>
                <w:rFonts w:hint="default"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szCs w:val="24"/>
                <w:highlight w:val="none"/>
                <w:u w:val="none"/>
                <w:lang w:val="en-US" w:eastAsia="zh-CN" w:bidi="ar-SA"/>
              </w:rPr>
              <w:t>13</w:t>
            </w:r>
          </w:p>
        </w:tc>
        <w:tc>
          <w:tcPr>
            <w:tcW w:w="1913" w:type="pct"/>
            <w:shd w:val="clear" w:color="auto" w:fill="auto"/>
            <w:vAlign w:val="center"/>
          </w:tcPr>
          <w:p w14:paraId="50E3FE1D">
            <w:pPr>
              <w:adjustRightInd w:val="0"/>
              <w:snapToGrid w:val="0"/>
              <w:spacing w:line="264" w:lineRule="auto"/>
              <w:jc w:val="left"/>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规模以上工业企业数字化改造率（%）</w:t>
            </w:r>
          </w:p>
        </w:tc>
        <w:tc>
          <w:tcPr>
            <w:tcW w:w="613" w:type="pct"/>
            <w:shd w:val="clear" w:color="auto" w:fill="auto"/>
            <w:vAlign w:val="center"/>
          </w:tcPr>
          <w:p w14:paraId="2D4941BD">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80</w:t>
            </w:r>
          </w:p>
        </w:tc>
        <w:tc>
          <w:tcPr>
            <w:tcW w:w="710" w:type="pct"/>
            <w:shd w:val="clear" w:color="auto" w:fill="auto"/>
            <w:vAlign w:val="center"/>
          </w:tcPr>
          <w:p w14:paraId="39055E06">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100</w:t>
            </w:r>
          </w:p>
        </w:tc>
        <w:tc>
          <w:tcPr>
            <w:tcW w:w="677" w:type="pct"/>
            <w:shd w:val="clear" w:color="auto" w:fill="auto"/>
            <w:vAlign w:val="center"/>
          </w:tcPr>
          <w:p w14:paraId="29F5FC51">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100</w:t>
            </w:r>
          </w:p>
        </w:tc>
        <w:tc>
          <w:tcPr>
            <w:tcW w:w="672" w:type="pct"/>
            <w:shd w:val="clear" w:color="auto" w:fill="auto"/>
            <w:vAlign w:val="center"/>
          </w:tcPr>
          <w:p w14:paraId="46195978">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预期性</w:t>
            </w:r>
          </w:p>
        </w:tc>
      </w:tr>
      <w:tr w14:paraId="3583E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4" w:type="pct"/>
            <w:shd w:val="clear" w:color="auto" w:fill="auto"/>
            <w:vAlign w:val="center"/>
          </w:tcPr>
          <w:p w14:paraId="71FF7401">
            <w:pPr>
              <w:adjustRightInd w:val="0"/>
              <w:snapToGrid w:val="0"/>
              <w:spacing w:line="264" w:lineRule="auto"/>
              <w:jc w:val="center"/>
              <w:textAlignment w:val="baseline"/>
              <w:rPr>
                <w:rFonts w:hint="default"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lang w:val="en-US" w:eastAsia="zh-CN"/>
              </w:rPr>
              <w:t>14</w:t>
            </w:r>
          </w:p>
        </w:tc>
        <w:tc>
          <w:tcPr>
            <w:tcW w:w="1913" w:type="pct"/>
            <w:shd w:val="clear" w:color="auto" w:fill="auto"/>
            <w:vAlign w:val="center"/>
          </w:tcPr>
          <w:p w14:paraId="7A248A06">
            <w:pPr>
              <w:adjustRightInd w:val="0"/>
              <w:snapToGrid w:val="0"/>
              <w:spacing w:line="264" w:lineRule="auto"/>
              <w:jc w:val="left"/>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规上工业亩均税收增速（%）</w:t>
            </w:r>
          </w:p>
        </w:tc>
        <w:tc>
          <w:tcPr>
            <w:tcW w:w="613" w:type="pct"/>
            <w:shd w:val="clear" w:color="auto" w:fill="auto"/>
            <w:vAlign w:val="center"/>
          </w:tcPr>
          <w:p w14:paraId="73C152BB">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10</w:t>
            </w:r>
          </w:p>
        </w:tc>
        <w:tc>
          <w:tcPr>
            <w:tcW w:w="710" w:type="pct"/>
            <w:shd w:val="clear" w:color="auto" w:fill="auto"/>
            <w:vAlign w:val="center"/>
          </w:tcPr>
          <w:p w14:paraId="2AE3C7FA">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市级下达</w:t>
            </w:r>
          </w:p>
        </w:tc>
        <w:tc>
          <w:tcPr>
            <w:tcW w:w="677" w:type="pct"/>
            <w:shd w:val="clear" w:color="auto" w:fill="auto"/>
            <w:vAlign w:val="center"/>
          </w:tcPr>
          <w:p w14:paraId="0D83CC11">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市级下达</w:t>
            </w:r>
          </w:p>
        </w:tc>
        <w:tc>
          <w:tcPr>
            <w:tcW w:w="672" w:type="pct"/>
            <w:shd w:val="clear" w:color="auto" w:fill="auto"/>
            <w:vAlign w:val="center"/>
          </w:tcPr>
          <w:p w14:paraId="38696A81">
            <w:pPr>
              <w:adjustRightInd w:val="0"/>
              <w:snapToGrid w:val="0"/>
              <w:spacing w:line="264" w:lineRule="auto"/>
              <w:jc w:val="center"/>
              <w:textAlignment w:val="baseline"/>
              <w:rPr>
                <w:rFonts w:hint="eastAsia" w:ascii="Times New Roman" w:hAnsi="Times New Roman" w:eastAsia="方正书宋_GBK" w:cs="方正书宋_GBK"/>
                <w:color w:val="auto"/>
                <w:kern w:val="0"/>
                <w:sz w:val="24"/>
                <w:szCs w:val="24"/>
                <w:highlight w:val="none"/>
                <w:u w:val="none"/>
                <w:lang w:val="en-US" w:eastAsia="zh-CN" w:bidi="ar-SA"/>
              </w:rPr>
            </w:pPr>
            <w:r>
              <w:rPr>
                <w:rFonts w:hint="eastAsia" w:ascii="Times New Roman" w:hAnsi="Times New Roman" w:eastAsia="方正书宋_GBK" w:cs="方正书宋_GBK"/>
                <w:color w:val="auto"/>
                <w:kern w:val="0"/>
                <w:sz w:val="24"/>
                <w:highlight w:val="none"/>
                <w:u w:val="none"/>
              </w:rPr>
              <w:t>预期性</w:t>
            </w:r>
          </w:p>
        </w:tc>
      </w:tr>
      <w:tr w14:paraId="3F111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6"/>
            <w:vAlign w:val="center"/>
          </w:tcPr>
          <w:p w14:paraId="52157FF6">
            <w:pPr>
              <w:snapToGrid w:val="0"/>
              <w:spacing w:line="264" w:lineRule="auto"/>
              <w:jc w:val="left"/>
              <w:rPr>
                <w:rFonts w:ascii="Times New Roman" w:hAnsi="Times New Roman" w:eastAsia="方正仿宋_GBK" w:cs="Times New Roman"/>
                <w:color w:val="auto"/>
                <w:sz w:val="24"/>
                <w:highlight w:val="none"/>
              </w:rPr>
            </w:pPr>
            <w:r>
              <w:rPr>
                <w:rFonts w:hint="eastAsia" w:ascii="Times New Roman" w:hAnsi="Times New Roman" w:eastAsia="方正黑体_GBK" w:cs="方正黑体_GBK"/>
                <w:color w:val="auto"/>
                <w:kern w:val="0"/>
                <w:sz w:val="24"/>
                <w:highlight w:val="none"/>
                <w:u w:val="none"/>
              </w:rPr>
              <w:t>四、城市建设</w:t>
            </w:r>
          </w:p>
        </w:tc>
      </w:tr>
      <w:tr w14:paraId="35160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4" w:type="pct"/>
            <w:vAlign w:val="center"/>
          </w:tcPr>
          <w:p w14:paraId="181A3745">
            <w:pPr>
              <w:adjustRightInd w:val="0"/>
              <w:snapToGrid w:val="0"/>
              <w:spacing w:line="264" w:lineRule="auto"/>
              <w:jc w:val="center"/>
              <w:textAlignment w:val="baseline"/>
              <w:rPr>
                <w:rFonts w:hint="default" w:ascii="Times New Roman" w:hAnsi="Times New Roman" w:eastAsia="方正书宋_GBK" w:cs="方正书宋_GBK"/>
                <w:color w:val="auto"/>
                <w:kern w:val="0"/>
                <w:sz w:val="24"/>
                <w:highlight w:val="none"/>
                <w:u w:val="none"/>
                <w:lang w:val="en-US" w:eastAsia="zh-CN"/>
              </w:rPr>
            </w:pPr>
            <w:r>
              <w:rPr>
                <w:rFonts w:hint="eastAsia" w:ascii="Times New Roman" w:hAnsi="Times New Roman" w:eastAsia="方正书宋_GBK" w:cs="方正书宋_GBK"/>
                <w:color w:val="auto"/>
                <w:kern w:val="0"/>
                <w:sz w:val="24"/>
                <w:highlight w:val="none"/>
                <w:u w:val="none"/>
                <w:lang w:val="en-US" w:eastAsia="zh-CN"/>
              </w:rPr>
              <w:t>15</w:t>
            </w:r>
          </w:p>
        </w:tc>
        <w:tc>
          <w:tcPr>
            <w:tcW w:w="1913" w:type="pct"/>
            <w:vAlign w:val="center"/>
          </w:tcPr>
          <w:p w14:paraId="3E7BE8E0">
            <w:pPr>
              <w:keepNext w:val="0"/>
              <w:keepLines w:val="0"/>
              <w:pageBreakBefore w:val="0"/>
              <w:widowControl w:val="0"/>
              <w:kinsoku/>
              <w:wordWrap/>
              <w:overflowPunct/>
              <w:topLinePunct w:val="0"/>
              <w:autoSpaceDE/>
              <w:autoSpaceDN/>
              <w:bidi w:val="0"/>
              <w:adjustRightInd/>
              <w:snapToGrid w:val="0"/>
              <w:spacing w:line="264" w:lineRule="auto"/>
              <w:jc w:val="left"/>
              <w:textAlignment w:val="auto"/>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sz w:val="24"/>
                <w:szCs w:val="24"/>
                <w:highlight w:val="none"/>
                <w:u w:val="none"/>
                <w:lang w:val="en-US" w:eastAsia="zh-CN"/>
              </w:rPr>
              <w:t>居民人均可支配收入（万元）</w:t>
            </w:r>
          </w:p>
        </w:tc>
        <w:tc>
          <w:tcPr>
            <w:tcW w:w="613" w:type="pct"/>
            <w:vAlign w:val="center"/>
          </w:tcPr>
          <w:p w14:paraId="704F581E">
            <w:pPr>
              <w:keepNext w:val="0"/>
              <w:keepLines w:val="0"/>
              <w:pageBreakBefore w:val="0"/>
              <w:widowControl w:val="0"/>
              <w:kinsoku/>
              <w:wordWrap/>
              <w:overflowPunct/>
              <w:topLinePunct w:val="0"/>
              <w:autoSpaceDE/>
              <w:autoSpaceDN/>
              <w:bidi w:val="0"/>
              <w:adjustRightInd/>
              <w:snapToGrid w:val="0"/>
              <w:spacing w:line="264" w:lineRule="auto"/>
              <w:jc w:val="center"/>
              <w:textAlignment w:val="auto"/>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sz w:val="24"/>
                <w:szCs w:val="24"/>
                <w:highlight w:val="none"/>
                <w:u w:val="none"/>
                <w:lang w:val="en-US" w:eastAsia="zh-CN"/>
              </w:rPr>
              <w:t>4.7</w:t>
            </w:r>
          </w:p>
        </w:tc>
        <w:tc>
          <w:tcPr>
            <w:tcW w:w="710" w:type="pct"/>
            <w:vAlign w:val="center"/>
          </w:tcPr>
          <w:p w14:paraId="60CBD98F">
            <w:pPr>
              <w:keepNext w:val="0"/>
              <w:keepLines w:val="0"/>
              <w:pageBreakBefore w:val="0"/>
              <w:widowControl w:val="0"/>
              <w:kinsoku/>
              <w:wordWrap/>
              <w:overflowPunct/>
              <w:topLinePunct w:val="0"/>
              <w:autoSpaceDE/>
              <w:autoSpaceDN/>
              <w:bidi w:val="0"/>
              <w:adjustRightInd/>
              <w:snapToGrid w:val="0"/>
              <w:spacing w:line="264" w:lineRule="auto"/>
              <w:jc w:val="center"/>
              <w:textAlignment w:val="auto"/>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sz w:val="24"/>
                <w:szCs w:val="24"/>
                <w:highlight w:val="none"/>
                <w:u w:val="none"/>
                <w:lang w:val="en-US" w:eastAsia="zh-CN"/>
              </w:rPr>
              <w:t>4.8</w:t>
            </w:r>
          </w:p>
        </w:tc>
        <w:tc>
          <w:tcPr>
            <w:tcW w:w="677" w:type="pct"/>
            <w:vAlign w:val="center"/>
          </w:tcPr>
          <w:p w14:paraId="6122B942">
            <w:pPr>
              <w:keepNext w:val="0"/>
              <w:keepLines w:val="0"/>
              <w:pageBreakBefore w:val="0"/>
              <w:widowControl w:val="0"/>
              <w:kinsoku/>
              <w:wordWrap/>
              <w:overflowPunct/>
              <w:topLinePunct w:val="0"/>
              <w:autoSpaceDE/>
              <w:autoSpaceDN/>
              <w:bidi w:val="0"/>
              <w:adjustRightInd/>
              <w:snapToGrid w:val="0"/>
              <w:spacing w:line="264" w:lineRule="auto"/>
              <w:jc w:val="center"/>
              <w:textAlignment w:val="auto"/>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sz w:val="24"/>
                <w:szCs w:val="24"/>
                <w:highlight w:val="none"/>
                <w:u w:val="none"/>
                <w:lang w:val="en-US" w:eastAsia="zh-CN"/>
              </w:rPr>
              <w:t>5</w:t>
            </w:r>
          </w:p>
        </w:tc>
        <w:tc>
          <w:tcPr>
            <w:tcW w:w="672" w:type="pct"/>
            <w:vAlign w:val="center"/>
          </w:tcPr>
          <w:p w14:paraId="45A83E7A">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预期性</w:t>
            </w:r>
          </w:p>
        </w:tc>
      </w:tr>
      <w:tr w14:paraId="50E66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4" w:type="pct"/>
            <w:vAlign w:val="center"/>
          </w:tcPr>
          <w:p w14:paraId="36918A0C">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lang w:eastAsia="zh-CN"/>
              </w:rPr>
            </w:pPr>
            <w:r>
              <w:rPr>
                <w:rFonts w:hint="eastAsia" w:ascii="Times New Roman" w:hAnsi="Times New Roman" w:eastAsia="方正书宋_GBK" w:cs="方正书宋_GBK"/>
                <w:color w:val="auto"/>
                <w:kern w:val="0"/>
                <w:sz w:val="24"/>
                <w:highlight w:val="none"/>
                <w:u w:val="none"/>
              </w:rPr>
              <w:t>1</w:t>
            </w:r>
            <w:r>
              <w:rPr>
                <w:rFonts w:hint="eastAsia" w:ascii="Times New Roman" w:hAnsi="Times New Roman" w:eastAsia="方正书宋_GBK" w:cs="方正书宋_GBK"/>
                <w:color w:val="auto"/>
                <w:kern w:val="0"/>
                <w:sz w:val="24"/>
                <w:highlight w:val="none"/>
                <w:u w:val="none"/>
                <w:lang w:val="en-US" w:eastAsia="zh-CN"/>
              </w:rPr>
              <w:t>6</w:t>
            </w:r>
          </w:p>
        </w:tc>
        <w:tc>
          <w:tcPr>
            <w:tcW w:w="1913" w:type="pct"/>
            <w:vAlign w:val="center"/>
          </w:tcPr>
          <w:p w14:paraId="21F2FAB4">
            <w:pPr>
              <w:adjustRightInd w:val="0"/>
              <w:snapToGrid w:val="0"/>
              <w:spacing w:line="264" w:lineRule="auto"/>
              <w:jc w:val="left"/>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道路网密度（千米/平方千米）</w:t>
            </w:r>
          </w:p>
        </w:tc>
        <w:tc>
          <w:tcPr>
            <w:tcW w:w="613" w:type="pct"/>
            <w:vAlign w:val="center"/>
          </w:tcPr>
          <w:p w14:paraId="760BBFE1">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4.9</w:t>
            </w:r>
          </w:p>
        </w:tc>
        <w:tc>
          <w:tcPr>
            <w:tcW w:w="710" w:type="pct"/>
            <w:vAlign w:val="center"/>
          </w:tcPr>
          <w:p w14:paraId="01B58977">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5.2</w:t>
            </w:r>
          </w:p>
        </w:tc>
        <w:tc>
          <w:tcPr>
            <w:tcW w:w="677" w:type="pct"/>
            <w:vAlign w:val="center"/>
          </w:tcPr>
          <w:p w14:paraId="63463C49">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5.5</w:t>
            </w:r>
          </w:p>
        </w:tc>
        <w:tc>
          <w:tcPr>
            <w:tcW w:w="672" w:type="pct"/>
            <w:vAlign w:val="center"/>
          </w:tcPr>
          <w:p w14:paraId="64FFBD24">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预期性</w:t>
            </w:r>
          </w:p>
        </w:tc>
      </w:tr>
      <w:tr w14:paraId="24622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4" w:type="pct"/>
            <w:vAlign w:val="center"/>
          </w:tcPr>
          <w:p w14:paraId="46D9D124">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lang w:eastAsia="zh-CN"/>
              </w:rPr>
            </w:pPr>
            <w:r>
              <w:rPr>
                <w:rFonts w:hint="eastAsia" w:ascii="Times New Roman" w:hAnsi="Times New Roman" w:eastAsia="方正书宋_GBK" w:cs="方正书宋_GBK"/>
                <w:color w:val="auto"/>
                <w:kern w:val="0"/>
                <w:sz w:val="24"/>
                <w:highlight w:val="none"/>
                <w:u w:val="none"/>
              </w:rPr>
              <w:t>1</w:t>
            </w:r>
            <w:r>
              <w:rPr>
                <w:rFonts w:hint="eastAsia" w:ascii="Times New Roman" w:hAnsi="Times New Roman" w:eastAsia="方正书宋_GBK" w:cs="方正书宋_GBK"/>
                <w:color w:val="auto"/>
                <w:kern w:val="0"/>
                <w:sz w:val="24"/>
                <w:highlight w:val="none"/>
                <w:u w:val="none"/>
                <w:lang w:val="en-US" w:eastAsia="zh-CN"/>
              </w:rPr>
              <w:t>7</w:t>
            </w:r>
          </w:p>
        </w:tc>
        <w:tc>
          <w:tcPr>
            <w:tcW w:w="1913" w:type="pct"/>
            <w:vAlign w:val="center"/>
          </w:tcPr>
          <w:p w14:paraId="3EF11C85">
            <w:pPr>
              <w:adjustRightInd w:val="0"/>
              <w:snapToGrid w:val="0"/>
              <w:spacing w:line="264" w:lineRule="auto"/>
              <w:jc w:val="left"/>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轨道通车里程（公里）</w:t>
            </w:r>
          </w:p>
        </w:tc>
        <w:tc>
          <w:tcPr>
            <w:tcW w:w="613" w:type="pct"/>
            <w:vAlign w:val="center"/>
          </w:tcPr>
          <w:p w14:paraId="25DFD130">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17.6</w:t>
            </w:r>
          </w:p>
        </w:tc>
        <w:tc>
          <w:tcPr>
            <w:tcW w:w="710" w:type="pct"/>
            <w:vAlign w:val="center"/>
          </w:tcPr>
          <w:p w14:paraId="693DCD93">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52</w:t>
            </w:r>
          </w:p>
        </w:tc>
        <w:tc>
          <w:tcPr>
            <w:tcW w:w="677" w:type="pct"/>
            <w:vAlign w:val="center"/>
          </w:tcPr>
          <w:p w14:paraId="778A851E">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72</w:t>
            </w:r>
          </w:p>
        </w:tc>
        <w:tc>
          <w:tcPr>
            <w:tcW w:w="672" w:type="pct"/>
            <w:vAlign w:val="center"/>
          </w:tcPr>
          <w:p w14:paraId="1534B8D1">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预期性</w:t>
            </w:r>
          </w:p>
        </w:tc>
      </w:tr>
      <w:tr w14:paraId="49AC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4" w:type="pct"/>
            <w:vAlign w:val="center"/>
          </w:tcPr>
          <w:p w14:paraId="5103A182">
            <w:pPr>
              <w:adjustRightInd w:val="0"/>
              <w:snapToGrid w:val="0"/>
              <w:spacing w:line="264" w:lineRule="auto"/>
              <w:jc w:val="center"/>
              <w:textAlignment w:val="baseline"/>
              <w:rPr>
                <w:rFonts w:hint="default" w:ascii="Times New Roman" w:hAnsi="Times New Roman" w:eastAsia="方正书宋_GBK" w:cs="方正书宋_GBK"/>
                <w:color w:val="auto"/>
                <w:kern w:val="0"/>
                <w:sz w:val="24"/>
                <w:highlight w:val="none"/>
                <w:u w:val="none"/>
                <w:lang w:val="en-US" w:eastAsia="zh-CN"/>
              </w:rPr>
            </w:pPr>
            <w:r>
              <w:rPr>
                <w:rFonts w:hint="eastAsia" w:ascii="Times New Roman" w:hAnsi="Times New Roman" w:eastAsia="方正书宋_GBK" w:cs="方正书宋_GBK"/>
                <w:color w:val="auto"/>
                <w:kern w:val="0"/>
                <w:sz w:val="24"/>
                <w:highlight w:val="none"/>
                <w:u w:val="none"/>
                <w:lang w:val="en-US" w:eastAsia="zh-CN"/>
              </w:rPr>
              <w:t>18</w:t>
            </w:r>
          </w:p>
        </w:tc>
        <w:tc>
          <w:tcPr>
            <w:tcW w:w="1913" w:type="pct"/>
            <w:vAlign w:val="center"/>
          </w:tcPr>
          <w:p w14:paraId="0CBD1139">
            <w:pPr>
              <w:adjustRightInd w:val="0"/>
              <w:snapToGrid w:val="0"/>
              <w:spacing w:line="264" w:lineRule="auto"/>
              <w:jc w:val="left"/>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建成区绿地率（%）</w:t>
            </w:r>
          </w:p>
        </w:tc>
        <w:tc>
          <w:tcPr>
            <w:tcW w:w="613" w:type="pct"/>
            <w:vAlign w:val="center"/>
          </w:tcPr>
          <w:p w14:paraId="4B9B5B71">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37</w:t>
            </w:r>
          </w:p>
        </w:tc>
        <w:tc>
          <w:tcPr>
            <w:tcW w:w="710" w:type="pct"/>
            <w:vAlign w:val="center"/>
          </w:tcPr>
          <w:p w14:paraId="1D43B2D9">
            <w:pPr>
              <w:adjustRightInd w:val="0"/>
              <w:snapToGrid w:val="0"/>
              <w:spacing w:line="264" w:lineRule="auto"/>
              <w:jc w:val="center"/>
              <w:textAlignment w:val="baseline"/>
              <w:rPr>
                <w:rFonts w:hint="default" w:ascii="Times New Roman" w:hAnsi="Times New Roman" w:eastAsia="方正书宋_GBK" w:cs="方正书宋_GBK"/>
                <w:color w:val="auto"/>
                <w:kern w:val="0"/>
                <w:sz w:val="24"/>
                <w:highlight w:val="none"/>
                <w:u w:val="none"/>
                <w:lang w:val="en-US" w:eastAsia="zh-CN"/>
              </w:rPr>
            </w:pPr>
            <w:r>
              <w:rPr>
                <w:rFonts w:hint="eastAsia" w:ascii="Times New Roman" w:hAnsi="Times New Roman" w:eastAsia="方正书宋_GBK" w:cs="方正书宋_GBK"/>
                <w:color w:val="auto"/>
                <w:kern w:val="0"/>
                <w:sz w:val="24"/>
                <w:highlight w:val="none"/>
                <w:u w:val="none"/>
                <w:lang w:val="en-US" w:eastAsia="zh-CN"/>
              </w:rPr>
              <w:t>37</w:t>
            </w:r>
          </w:p>
        </w:tc>
        <w:tc>
          <w:tcPr>
            <w:tcW w:w="677" w:type="pct"/>
            <w:vAlign w:val="center"/>
          </w:tcPr>
          <w:p w14:paraId="7D316F5F">
            <w:pPr>
              <w:adjustRightInd w:val="0"/>
              <w:snapToGrid w:val="0"/>
              <w:spacing w:line="264" w:lineRule="auto"/>
              <w:jc w:val="center"/>
              <w:textAlignment w:val="baseline"/>
              <w:rPr>
                <w:rFonts w:hint="default" w:ascii="Times New Roman" w:hAnsi="Times New Roman" w:eastAsia="方正书宋_GBK" w:cs="方正书宋_GBK"/>
                <w:color w:val="auto"/>
                <w:kern w:val="0"/>
                <w:sz w:val="24"/>
                <w:highlight w:val="none"/>
                <w:u w:val="none"/>
                <w:lang w:val="en-US" w:eastAsia="zh-CN"/>
              </w:rPr>
            </w:pPr>
            <w:r>
              <w:rPr>
                <w:rFonts w:hint="eastAsia" w:ascii="Times New Roman" w:hAnsi="Times New Roman" w:eastAsia="方正书宋_GBK" w:cs="方正书宋_GBK"/>
                <w:color w:val="auto"/>
                <w:kern w:val="0"/>
                <w:sz w:val="24"/>
                <w:highlight w:val="none"/>
                <w:u w:val="none"/>
                <w:lang w:val="en-US" w:eastAsia="zh-CN"/>
              </w:rPr>
              <w:t>38</w:t>
            </w:r>
          </w:p>
        </w:tc>
        <w:tc>
          <w:tcPr>
            <w:tcW w:w="672" w:type="pct"/>
            <w:vAlign w:val="center"/>
          </w:tcPr>
          <w:p w14:paraId="10FDDABF">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预期性</w:t>
            </w:r>
          </w:p>
        </w:tc>
      </w:tr>
      <w:tr w14:paraId="1DCC0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4" w:type="pct"/>
            <w:vAlign w:val="center"/>
          </w:tcPr>
          <w:p w14:paraId="155F4869">
            <w:pPr>
              <w:adjustRightInd w:val="0"/>
              <w:snapToGrid w:val="0"/>
              <w:spacing w:line="264" w:lineRule="auto"/>
              <w:jc w:val="center"/>
              <w:textAlignment w:val="baseline"/>
              <w:rPr>
                <w:rFonts w:hint="default" w:ascii="Times New Roman" w:hAnsi="Times New Roman" w:eastAsia="方正书宋_GBK" w:cs="方正书宋_GBK"/>
                <w:color w:val="auto"/>
                <w:kern w:val="0"/>
                <w:sz w:val="24"/>
                <w:highlight w:val="none"/>
                <w:u w:val="none"/>
                <w:lang w:val="en-US" w:eastAsia="zh-CN"/>
              </w:rPr>
            </w:pPr>
            <w:r>
              <w:rPr>
                <w:rFonts w:hint="eastAsia" w:ascii="Times New Roman" w:hAnsi="Times New Roman" w:eastAsia="方正书宋_GBK" w:cs="方正书宋_GBK"/>
                <w:color w:val="auto"/>
                <w:kern w:val="0"/>
                <w:sz w:val="24"/>
                <w:highlight w:val="none"/>
                <w:u w:val="none"/>
                <w:lang w:val="en-US" w:eastAsia="zh-CN"/>
              </w:rPr>
              <w:t>19</w:t>
            </w:r>
          </w:p>
        </w:tc>
        <w:tc>
          <w:tcPr>
            <w:tcW w:w="1913" w:type="pct"/>
            <w:vAlign w:val="center"/>
          </w:tcPr>
          <w:p w14:paraId="63E7BF16">
            <w:pPr>
              <w:adjustRightInd w:val="0"/>
              <w:snapToGrid w:val="0"/>
              <w:spacing w:line="264" w:lineRule="auto"/>
              <w:jc w:val="left"/>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单位地区生产总值二氧化碳排放降低（%）</w:t>
            </w:r>
          </w:p>
        </w:tc>
        <w:tc>
          <w:tcPr>
            <w:tcW w:w="613" w:type="pct"/>
            <w:vAlign w:val="center"/>
          </w:tcPr>
          <w:p w14:paraId="1D60896D">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lang w:eastAsia="zh-CN"/>
              </w:rPr>
            </w:pPr>
            <w:r>
              <w:rPr>
                <w:rFonts w:hint="eastAsia" w:ascii="Times New Roman" w:hAnsi="Times New Roman" w:eastAsia="方正书宋_GBK" w:cs="方正书宋_GBK"/>
                <w:color w:val="auto"/>
                <w:kern w:val="0"/>
                <w:sz w:val="24"/>
                <w:highlight w:val="none"/>
                <w:u w:val="none"/>
                <w:lang w:val="en-US" w:eastAsia="zh-CN"/>
              </w:rPr>
              <w:t>/</w:t>
            </w:r>
          </w:p>
        </w:tc>
        <w:tc>
          <w:tcPr>
            <w:tcW w:w="710" w:type="pct"/>
            <w:vAlign w:val="center"/>
          </w:tcPr>
          <w:p w14:paraId="473CD834">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市级下达</w:t>
            </w:r>
          </w:p>
        </w:tc>
        <w:tc>
          <w:tcPr>
            <w:tcW w:w="677" w:type="pct"/>
            <w:vAlign w:val="center"/>
          </w:tcPr>
          <w:p w14:paraId="5BD4792E">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市级下达</w:t>
            </w:r>
          </w:p>
        </w:tc>
        <w:tc>
          <w:tcPr>
            <w:tcW w:w="672" w:type="pct"/>
            <w:vAlign w:val="center"/>
          </w:tcPr>
          <w:p w14:paraId="2380D101">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约束性</w:t>
            </w:r>
          </w:p>
        </w:tc>
      </w:tr>
      <w:tr w14:paraId="29EBB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4" w:type="pct"/>
            <w:vAlign w:val="center"/>
          </w:tcPr>
          <w:p w14:paraId="1229E43D">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lang w:eastAsia="zh-CN"/>
              </w:rPr>
            </w:pPr>
            <w:r>
              <w:rPr>
                <w:rFonts w:hint="eastAsia" w:ascii="Times New Roman" w:hAnsi="Times New Roman" w:eastAsia="方正书宋_GBK" w:cs="方正书宋_GBK"/>
                <w:color w:val="auto"/>
                <w:kern w:val="0"/>
                <w:sz w:val="24"/>
                <w:highlight w:val="none"/>
                <w:u w:val="none"/>
              </w:rPr>
              <w:t>2</w:t>
            </w:r>
            <w:r>
              <w:rPr>
                <w:rFonts w:hint="eastAsia" w:ascii="Times New Roman" w:hAnsi="Times New Roman" w:eastAsia="方正书宋_GBK" w:cs="方正书宋_GBK"/>
                <w:color w:val="auto"/>
                <w:kern w:val="0"/>
                <w:sz w:val="24"/>
                <w:highlight w:val="none"/>
                <w:u w:val="none"/>
                <w:lang w:val="en-US" w:eastAsia="zh-CN"/>
              </w:rPr>
              <w:t>0</w:t>
            </w:r>
          </w:p>
        </w:tc>
        <w:tc>
          <w:tcPr>
            <w:tcW w:w="1913" w:type="pct"/>
            <w:vAlign w:val="center"/>
          </w:tcPr>
          <w:p w14:paraId="534763E9">
            <w:pPr>
              <w:adjustRightInd w:val="0"/>
              <w:snapToGrid w:val="0"/>
              <w:spacing w:line="264" w:lineRule="auto"/>
              <w:jc w:val="left"/>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细颗粒物（PM</w:t>
            </w:r>
            <w:r>
              <w:rPr>
                <w:rFonts w:hint="eastAsia" w:ascii="Times New Roman" w:hAnsi="Times New Roman" w:eastAsia="方正仿宋_GBK" w:cs="Times New Roman"/>
                <w:color w:val="auto"/>
                <w:sz w:val="32"/>
                <w:szCs w:val="32"/>
                <w:highlight w:val="none"/>
                <w:vertAlign w:val="subscript"/>
              </w:rPr>
              <w:t>2.5</w:t>
            </w:r>
            <w:r>
              <w:rPr>
                <w:rFonts w:hint="eastAsia" w:ascii="Times New Roman" w:hAnsi="Times New Roman" w:eastAsia="方正书宋_GBK" w:cs="方正书宋_GBK"/>
                <w:color w:val="auto"/>
                <w:kern w:val="0"/>
                <w:sz w:val="24"/>
                <w:highlight w:val="none"/>
                <w:u w:val="none"/>
              </w:rPr>
              <w:t>）浓度（微克/立方米）</w:t>
            </w:r>
          </w:p>
        </w:tc>
        <w:tc>
          <w:tcPr>
            <w:tcW w:w="613" w:type="pct"/>
            <w:vAlign w:val="center"/>
          </w:tcPr>
          <w:p w14:paraId="782F0AA1">
            <w:pPr>
              <w:adjustRightInd w:val="0"/>
              <w:snapToGrid w:val="0"/>
              <w:spacing w:line="264" w:lineRule="auto"/>
              <w:jc w:val="center"/>
              <w:textAlignment w:val="baseline"/>
              <w:rPr>
                <w:rFonts w:hint="default" w:ascii="Times New Roman" w:hAnsi="Times New Roman" w:eastAsia="方正书宋_GBK" w:cs="方正书宋_GBK"/>
                <w:color w:val="auto"/>
                <w:kern w:val="0"/>
                <w:sz w:val="24"/>
                <w:highlight w:val="none"/>
                <w:u w:val="none"/>
                <w:lang w:val="en-US" w:eastAsia="zh-CN"/>
              </w:rPr>
            </w:pPr>
            <w:r>
              <w:rPr>
                <w:rFonts w:hint="eastAsia" w:ascii="Times New Roman" w:hAnsi="Times New Roman" w:eastAsia="方正书宋_GBK" w:cs="方正书宋_GBK"/>
                <w:color w:val="auto"/>
                <w:kern w:val="0"/>
                <w:sz w:val="24"/>
                <w:highlight w:val="none"/>
                <w:u w:val="none"/>
                <w:lang w:val="en-US" w:eastAsia="zh-CN"/>
              </w:rPr>
              <w:t>29</w:t>
            </w:r>
          </w:p>
        </w:tc>
        <w:tc>
          <w:tcPr>
            <w:tcW w:w="710" w:type="pct"/>
            <w:vAlign w:val="center"/>
          </w:tcPr>
          <w:p w14:paraId="4E162644">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市级下达</w:t>
            </w:r>
          </w:p>
        </w:tc>
        <w:tc>
          <w:tcPr>
            <w:tcW w:w="677" w:type="pct"/>
            <w:vAlign w:val="center"/>
          </w:tcPr>
          <w:p w14:paraId="27249B7F">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市级下达</w:t>
            </w:r>
          </w:p>
        </w:tc>
        <w:tc>
          <w:tcPr>
            <w:tcW w:w="672" w:type="pct"/>
            <w:vAlign w:val="center"/>
          </w:tcPr>
          <w:p w14:paraId="6EE31DBB">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lang w:val="en-US" w:eastAsia="zh-CN"/>
              </w:rPr>
            </w:pPr>
            <w:r>
              <w:rPr>
                <w:rFonts w:hint="eastAsia" w:ascii="Times New Roman" w:hAnsi="Times New Roman" w:eastAsia="方正书宋_GBK" w:cs="方正书宋_GBK"/>
                <w:color w:val="auto"/>
                <w:kern w:val="0"/>
                <w:sz w:val="24"/>
                <w:highlight w:val="none"/>
                <w:u w:val="none"/>
                <w:lang w:val="en-US" w:eastAsia="zh-CN"/>
              </w:rPr>
              <w:t>约束性</w:t>
            </w:r>
          </w:p>
        </w:tc>
      </w:tr>
      <w:tr w14:paraId="7D4BF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4" w:type="pct"/>
            <w:vAlign w:val="center"/>
          </w:tcPr>
          <w:p w14:paraId="2CF2D7DE">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lang w:eastAsia="zh-CN"/>
              </w:rPr>
            </w:pPr>
            <w:r>
              <w:rPr>
                <w:rFonts w:hint="eastAsia" w:ascii="Times New Roman" w:hAnsi="Times New Roman" w:eastAsia="方正书宋_GBK" w:cs="方正书宋_GBK"/>
                <w:color w:val="auto"/>
                <w:kern w:val="0"/>
                <w:sz w:val="24"/>
                <w:highlight w:val="none"/>
                <w:u w:val="none"/>
              </w:rPr>
              <w:t>2</w:t>
            </w:r>
            <w:r>
              <w:rPr>
                <w:rFonts w:hint="eastAsia" w:ascii="Times New Roman" w:hAnsi="Times New Roman" w:eastAsia="方正书宋_GBK" w:cs="方正书宋_GBK"/>
                <w:color w:val="auto"/>
                <w:kern w:val="0"/>
                <w:sz w:val="24"/>
                <w:highlight w:val="none"/>
                <w:u w:val="none"/>
                <w:lang w:val="en-US" w:eastAsia="zh-CN"/>
              </w:rPr>
              <w:t>1</w:t>
            </w:r>
          </w:p>
        </w:tc>
        <w:tc>
          <w:tcPr>
            <w:tcW w:w="1913" w:type="pct"/>
            <w:vAlign w:val="center"/>
          </w:tcPr>
          <w:p w14:paraId="730565BA">
            <w:pPr>
              <w:adjustRightInd w:val="0"/>
              <w:snapToGrid w:val="0"/>
              <w:spacing w:line="264" w:lineRule="auto"/>
              <w:jc w:val="left"/>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纳入市级考核地表水断面达标率（%）</w:t>
            </w:r>
          </w:p>
        </w:tc>
        <w:tc>
          <w:tcPr>
            <w:tcW w:w="613" w:type="pct"/>
            <w:vAlign w:val="center"/>
          </w:tcPr>
          <w:p w14:paraId="1DAC0FED">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100</w:t>
            </w:r>
          </w:p>
        </w:tc>
        <w:tc>
          <w:tcPr>
            <w:tcW w:w="710" w:type="pct"/>
            <w:vAlign w:val="center"/>
          </w:tcPr>
          <w:p w14:paraId="5658BAC2">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100</w:t>
            </w:r>
          </w:p>
        </w:tc>
        <w:tc>
          <w:tcPr>
            <w:tcW w:w="677" w:type="pct"/>
            <w:vAlign w:val="center"/>
          </w:tcPr>
          <w:p w14:paraId="3175B36B">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100</w:t>
            </w:r>
          </w:p>
        </w:tc>
        <w:tc>
          <w:tcPr>
            <w:tcW w:w="672" w:type="pct"/>
            <w:vAlign w:val="center"/>
          </w:tcPr>
          <w:p w14:paraId="6D3486E9">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约束性</w:t>
            </w:r>
          </w:p>
        </w:tc>
      </w:tr>
      <w:tr w14:paraId="1DDBA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4" w:type="pct"/>
            <w:vAlign w:val="center"/>
          </w:tcPr>
          <w:p w14:paraId="19022D4C">
            <w:pPr>
              <w:adjustRightInd w:val="0"/>
              <w:snapToGrid w:val="0"/>
              <w:spacing w:line="264" w:lineRule="auto"/>
              <w:jc w:val="center"/>
              <w:textAlignment w:val="baseline"/>
              <w:rPr>
                <w:rFonts w:hint="default" w:ascii="Times New Roman" w:hAnsi="Times New Roman" w:eastAsia="方正书宋_GBK" w:cs="方正书宋_GBK"/>
                <w:color w:val="auto"/>
                <w:kern w:val="0"/>
                <w:sz w:val="24"/>
                <w:highlight w:val="none"/>
                <w:u w:val="none"/>
                <w:lang w:val="en-US" w:eastAsia="zh-CN"/>
              </w:rPr>
            </w:pPr>
            <w:r>
              <w:rPr>
                <w:rFonts w:hint="eastAsia" w:ascii="Times New Roman" w:hAnsi="Times New Roman" w:eastAsia="方正书宋_GBK" w:cs="方正书宋_GBK"/>
                <w:color w:val="auto"/>
                <w:kern w:val="0"/>
                <w:sz w:val="24"/>
                <w:highlight w:val="none"/>
                <w:u w:val="none"/>
              </w:rPr>
              <w:t>2</w:t>
            </w:r>
            <w:r>
              <w:rPr>
                <w:rFonts w:hint="eastAsia" w:ascii="Times New Roman" w:hAnsi="Times New Roman" w:eastAsia="方正书宋_GBK" w:cs="方正书宋_GBK"/>
                <w:color w:val="auto"/>
                <w:kern w:val="0"/>
                <w:sz w:val="24"/>
                <w:highlight w:val="none"/>
                <w:u w:val="none"/>
                <w:lang w:val="en-US" w:eastAsia="zh-CN"/>
              </w:rPr>
              <w:t>2</w:t>
            </w:r>
          </w:p>
        </w:tc>
        <w:tc>
          <w:tcPr>
            <w:tcW w:w="1913" w:type="pct"/>
            <w:vAlign w:val="center"/>
          </w:tcPr>
          <w:p w14:paraId="713209DC">
            <w:pPr>
              <w:adjustRightInd w:val="0"/>
              <w:snapToGrid w:val="0"/>
              <w:spacing w:line="264" w:lineRule="auto"/>
              <w:jc w:val="left"/>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每千人口基础教育设施用地面积（平方米）</w:t>
            </w:r>
          </w:p>
        </w:tc>
        <w:tc>
          <w:tcPr>
            <w:tcW w:w="613" w:type="pct"/>
            <w:vAlign w:val="center"/>
          </w:tcPr>
          <w:p w14:paraId="39EA6909">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2560</w:t>
            </w:r>
          </w:p>
        </w:tc>
        <w:tc>
          <w:tcPr>
            <w:tcW w:w="710" w:type="pct"/>
            <w:vAlign w:val="center"/>
          </w:tcPr>
          <w:p w14:paraId="122F09DB">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2750</w:t>
            </w:r>
          </w:p>
        </w:tc>
        <w:tc>
          <w:tcPr>
            <w:tcW w:w="677" w:type="pct"/>
            <w:vAlign w:val="center"/>
          </w:tcPr>
          <w:p w14:paraId="149677C2">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3050</w:t>
            </w:r>
          </w:p>
        </w:tc>
        <w:tc>
          <w:tcPr>
            <w:tcW w:w="672" w:type="pct"/>
            <w:vAlign w:val="center"/>
          </w:tcPr>
          <w:p w14:paraId="2B916282">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预期性</w:t>
            </w:r>
          </w:p>
        </w:tc>
      </w:tr>
      <w:tr w14:paraId="3EA89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4" w:type="pct"/>
            <w:vAlign w:val="center"/>
          </w:tcPr>
          <w:p w14:paraId="7E41211C">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lang w:eastAsia="zh-CN"/>
              </w:rPr>
            </w:pPr>
            <w:r>
              <w:rPr>
                <w:rFonts w:hint="eastAsia" w:ascii="Times New Roman" w:hAnsi="Times New Roman" w:eastAsia="方正书宋_GBK" w:cs="方正书宋_GBK"/>
                <w:color w:val="auto"/>
                <w:kern w:val="0"/>
                <w:sz w:val="24"/>
                <w:highlight w:val="none"/>
                <w:u w:val="none"/>
              </w:rPr>
              <w:t>2</w:t>
            </w:r>
            <w:r>
              <w:rPr>
                <w:rFonts w:hint="eastAsia" w:ascii="Times New Roman" w:hAnsi="Times New Roman" w:eastAsia="方正书宋_GBK" w:cs="方正书宋_GBK"/>
                <w:color w:val="auto"/>
                <w:kern w:val="0"/>
                <w:sz w:val="24"/>
                <w:highlight w:val="none"/>
                <w:u w:val="none"/>
                <w:lang w:val="en-US" w:eastAsia="zh-CN"/>
              </w:rPr>
              <w:t>3</w:t>
            </w:r>
          </w:p>
        </w:tc>
        <w:tc>
          <w:tcPr>
            <w:tcW w:w="1913" w:type="pct"/>
            <w:vAlign w:val="center"/>
          </w:tcPr>
          <w:p w14:paraId="44510E5B">
            <w:pPr>
              <w:adjustRightInd w:val="0"/>
              <w:snapToGrid w:val="0"/>
              <w:spacing w:line="264" w:lineRule="auto"/>
              <w:jc w:val="left"/>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每千人口拥有医疗卫生机构床位数（张）</w:t>
            </w:r>
          </w:p>
        </w:tc>
        <w:tc>
          <w:tcPr>
            <w:tcW w:w="613" w:type="pct"/>
            <w:vAlign w:val="center"/>
          </w:tcPr>
          <w:p w14:paraId="36F62F9C">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6.5</w:t>
            </w:r>
          </w:p>
        </w:tc>
        <w:tc>
          <w:tcPr>
            <w:tcW w:w="710" w:type="pct"/>
            <w:vAlign w:val="center"/>
          </w:tcPr>
          <w:p w14:paraId="21E30794">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8</w:t>
            </w:r>
          </w:p>
        </w:tc>
        <w:tc>
          <w:tcPr>
            <w:tcW w:w="677" w:type="pct"/>
            <w:vAlign w:val="center"/>
          </w:tcPr>
          <w:p w14:paraId="43E72E27">
            <w:pPr>
              <w:adjustRightInd w:val="0"/>
              <w:snapToGrid w:val="0"/>
              <w:spacing w:line="264" w:lineRule="auto"/>
              <w:jc w:val="center"/>
              <w:textAlignment w:val="baseline"/>
              <w:rPr>
                <w:rFonts w:hint="default" w:ascii="Times New Roman" w:hAnsi="Times New Roman" w:eastAsia="方正书宋_GBK" w:cs="方正书宋_GBK"/>
                <w:color w:val="auto"/>
                <w:kern w:val="0"/>
                <w:sz w:val="24"/>
                <w:highlight w:val="none"/>
                <w:u w:val="none"/>
                <w:lang w:val="en-US" w:eastAsia="zh-CN"/>
              </w:rPr>
            </w:pPr>
            <w:r>
              <w:rPr>
                <w:rFonts w:hint="eastAsia" w:ascii="Times New Roman" w:hAnsi="Times New Roman" w:eastAsia="方正书宋_GBK" w:cs="方正书宋_GBK"/>
                <w:color w:val="auto"/>
                <w:kern w:val="0"/>
                <w:sz w:val="24"/>
                <w:highlight w:val="none"/>
                <w:u w:val="none"/>
                <w:lang w:val="en-US" w:eastAsia="zh-CN"/>
              </w:rPr>
              <w:t>9.5</w:t>
            </w:r>
          </w:p>
        </w:tc>
        <w:tc>
          <w:tcPr>
            <w:tcW w:w="672" w:type="pct"/>
            <w:vAlign w:val="center"/>
          </w:tcPr>
          <w:p w14:paraId="6FAD7DF8">
            <w:pPr>
              <w:adjustRightInd w:val="0"/>
              <w:snapToGrid w:val="0"/>
              <w:spacing w:line="264" w:lineRule="auto"/>
              <w:jc w:val="center"/>
              <w:textAlignment w:val="baseline"/>
              <w:rPr>
                <w:rFonts w:hint="eastAsia" w:ascii="Times New Roman" w:hAnsi="Times New Roman" w:eastAsia="方正书宋_GBK" w:cs="方正书宋_GBK"/>
                <w:color w:val="auto"/>
                <w:kern w:val="0"/>
                <w:sz w:val="24"/>
                <w:highlight w:val="none"/>
                <w:u w:val="none"/>
              </w:rPr>
            </w:pPr>
            <w:r>
              <w:rPr>
                <w:rFonts w:hint="eastAsia" w:ascii="Times New Roman" w:hAnsi="Times New Roman" w:eastAsia="方正书宋_GBK" w:cs="方正书宋_GBK"/>
                <w:color w:val="auto"/>
                <w:kern w:val="0"/>
                <w:sz w:val="24"/>
                <w:highlight w:val="none"/>
                <w:u w:val="none"/>
              </w:rPr>
              <w:t>预期性</w:t>
            </w:r>
          </w:p>
        </w:tc>
      </w:tr>
    </w:tbl>
    <w:p w14:paraId="7A9C3BED">
      <w:pPr>
        <w:widowControl/>
        <w:jc w:val="left"/>
        <w:rPr>
          <w:rFonts w:ascii="Times New Roman" w:hAnsi="Times New Roman" w:eastAsia="方正仿宋_GBK" w:cs="Times New Roman"/>
          <w:color w:val="auto"/>
          <w:sz w:val="32"/>
          <w:szCs w:val="32"/>
          <w:highlight w:val="none"/>
        </w:rPr>
      </w:pPr>
      <w:r>
        <w:rPr>
          <w:rFonts w:hint="eastAsia" w:ascii="Times New Roman" w:hAnsi="Times New Roman" w:eastAsia="方正黑体_GBK" w:cs="方正黑体_GBK"/>
          <w:color w:val="auto"/>
          <w:sz w:val="32"/>
          <w:szCs w:val="32"/>
          <w:highlight w:val="none"/>
        </w:rPr>
        <w:br w:type="page"/>
      </w:r>
    </w:p>
    <w:p w14:paraId="1AED981B">
      <w:pPr>
        <w:overflowPunct w:val="0"/>
        <w:adjustRightInd w:val="0"/>
        <w:snapToGrid w:val="0"/>
        <w:spacing w:line="600" w:lineRule="exact"/>
        <w:jc w:val="center"/>
        <w:outlineLvl w:val="0"/>
        <w:rPr>
          <w:rFonts w:ascii="Times New Roman" w:hAnsi="Times New Roman" w:eastAsia="方正黑体_GBK" w:cs="方正黑体_GBK"/>
          <w:color w:val="auto"/>
          <w:sz w:val="32"/>
          <w:szCs w:val="32"/>
          <w:highlight w:val="none"/>
        </w:rPr>
      </w:pPr>
      <w:bookmarkStart w:id="99" w:name="_Toc1349827489"/>
      <w:bookmarkStart w:id="100" w:name="_Toc22380"/>
      <w:bookmarkStart w:id="101" w:name="_Toc1320429762"/>
      <w:bookmarkStart w:id="102" w:name="_Toc32093"/>
      <w:bookmarkStart w:id="103" w:name="_Toc28634"/>
      <w:bookmarkStart w:id="104" w:name="_Toc31660"/>
      <w:bookmarkStart w:id="105" w:name="_Toc26914"/>
      <w:bookmarkStart w:id="106" w:name="_Toc25796"/>
      <w:bookmarkStart w:id="107" w:name="_Toc456571337"/>
      <w:bookmarkStart w:id="108" w:name="_Toc1888685185"/>
      <w:r>
        <w:rPr>
          <w:rFonts w:hint="eastAsia" w:ascii="Times New Roman" w:hAnsi="Times New Roman" w:eastAsia="方正黑体_GBK" w:cs="方正黑体_GBK"/>
          <w:color w:val="auto"/>
          <w:sz w:val="32"/>
          <w:szCs w:val="32"/>
          <w:highlight w:val="none"/>
        </w:rPr>
        <w:t>第</w:t>
      </w:r>
      <w:r>
        <w:rPr>
          <w:rFonts w:hint="eastAsia" w:ascii="Times New Roman" w:hAnsi="Times New Roman" w:eastAsia="方正黑体_GBK" w:cs="方正黑体_GBK"/>
          <w:color w:val="auto"/>
          <w:sz w:val="32"/>
          <w:szCs w:val="32"/>
          <w:highlight w:val="none"/>
          <w:lang w:val="en-US" w:eastAsia="zh-CN"/>
        </w:rPr>
        <w:t>二</w:t>
      </w:r>
      <w:r>
        <w:rPr>
          <w:rFonts w:hint="eastAsia" w:ascii="Times New Roman" w:hAnsi="Times New Roman" w:eastAsia="方正黑体_GBK" w:cs="方正黑体_GBK"/>
          <w:color w:val="auto"/>
          <w:sz w:val="32"/>
          <w:szCs w:val="32"/>
          <w:highlight w:val="none"/>
        </w:rPr>
        <w:t>篇 建设引领全市、支撑成渝的高能级创新极核</w:t>
      </w:r>
      <w:bookmarkEnd w:id="99"/>
      <w:bookmarkEnd w:id="100"/>
      <w:bookmarkEnd w:id="101"/>
    </w:p>
    <w:p w14:paraId="0265E6B4">
      <w:pPr>
        <w:overflowPunct/>
        <w:adjustRightInd w:val="0"/>
        <w:snapToGrid/>
        <w:spacing w:line="600" w:lineRule="exact"/>
        <w:ind w:firstLine="640" w:firstLineChars="200"/>
        <w:jc w:val="left"/>
        <w:textAlignment w:val="baseline"/>
        <w:rPr>
          <w:rFonts w:hint="eastAsia" w:ascii="Times New Roman" w:hAnsi="Times New Roman" w:eastAsia="方正仿宋_GBK" w:cs="Times New Roman"/>
          <w:color w:val="auto"/>
          <w:sz w:val="32"/>
          <w:szCs w:val="32"/>
          <w:highlight w:val="none"/>
        </w:rPr>
      </w:pPr>
    </w:p>
    <w:p w14:paraId="433CB203">
      <w:pPr>
        <w:adjustRightInd w:val="0"/>
        <w:snapToGrid w:val="0"/>
        <w:spacing w:line="600" w:lineRule="exact"/>
        <w:ind w:firstLine="640" w:firstLineChars="200"/>
        <w:rPr>
          <w:rFonts w:hint="default" w:ascii="Times New Roman" w:hAnsi="Times New Roman" w:eastAsia="方正仿宋_GBK" w:cs="方正仿宋_GBK"/>
          <w:color w:val="auto"/>
          <w:sz w:val="32"/>
          <w:szCs w:val="32"/>
          <w:highlight w:val="none"/>
          <w:lang w:val="en-US" w:eastAsia="zh-CN"/>
        </w:rPr>
      </w:pPr>
      <w:r>
        <w:rPr>
          <w:rFonts w:hint="default" w:ascii="Times New Roman" w:hAnsi="Times New Roman" w:eastAsia="方正仿宋_GBK" w:cs="Times New Roman"/>
          <w:bCs/>
          <w:sz w:val="32"/>
          <w:szCs w:val="32"/>
          <w:highlight w:val="none"/>
          <w:u w:val="none" w:color="auto"/>
          <w:lang w:val="en-US" w:eastAsia="zh-CN"/>
        </w:rPr>
        <w:t>聚焦</w:t>
      </w:r>
      <w:r>
        <w:rPr>
          <w:rFonts w:hint="eastAsia" w:ascii="Times New Roman" w:hAnsi="Times New Roman" w:eastAsia="方正仿宋_GBK" w:cs="Times New Roman"/>
          <w:bCs/>
          <w:sz w:val="32"/>
          <w:szCs w:val="32"/>
          <w:highlight w:val="none"/>
          <w:u w:val="none" w:color="auto"/>
          <w:lang w:val="en-US" w:eastAsia="zh-CN"/>
        </w:rPr>
        <w:t>“</w:t>
      </w:r>
      <w:r>
        <w:rPr>
          <w:rFonts w:hint="default" w:ascii="Times New Roman" w:hAnsi="Times New Roman" w:eastAsia="方正仿宋_GBK" w:cs="Times New Roman"/>
          <w:bCs/>
          <w:sz w:val="32"/>
          <w:szCs w:val="32"/>
          <w:highlight w:val="none"/>
          <w:u w:val="none" w:color="auto"/>
          <w:lang w:val="en-US" w:eastAsia="zh-CN"/>
        </w:rPr>
        <w:t>416</w:t>
      </w:r>
      <w:r>
        <w:rPr>
          <w:rFonts w:hint="eastAsia" w:ascii="Times New Roman" w:hAnsi="Times New Roman" w:eastAsia="方正仿宋_GBK" w:cs="Times New Roman"/>
          <w:bCs/>
          <w:sz w:val="32"/>
          <w:szCs w:val="32"/>
          <w:highlight w:val="none"/>
          <w:u w:val="none" w:color="auto"/>
          <w:lang w:val="en-US" w:eastAsia="zh-CN"/>
        </w:rPr>
        <w:t>”</w:t>
      </w:r>
      <w:r>
        <w:rPr>
          <w:rFonts w:hint="default" w:ascii="Times New Roman" w:hAnsi="Times New Roman" w:eastAsia="方正仿宋_GBK" w:cs="Times New Roman"/>
          <w:bCs/>
          <w:sz w:val="32"/>
          <w:szCs w:val="32"/>
          <w:highlight w:val="none"/>
          <w:u w:val="none" w:color="auto"/>
          <w:lang w:val="en-US" w:eastAsia="zh-CN"/>
        </w:rPr>
        <w:t>科技创新布局，</w:t>
      </w:r>
      <w:r>
        <w:rPr>
          <w:rFonts w:hint="eastAsia" w:ascii="方正仿宋_GBK" w:hAnsi="Calibri" w:eastAsia="方正仿宋_GBK" w:cs="Times New Roman"/>
          <w:bCs/>
          <w:color w:val="auto"/>
          <w:sz w:val="32"/>
          <w:szCs w:val="32"/>
          <w:highlight w:val="none"/>
          <w:u w:val="none" w:color="auto"/>
          <w:lang w:val="en-US" w:eastAsia="zh-CN"/>
        </w:rPr>
        <w:t>放大大学城智力和科学城产业优势，</w:t>
      </w:r>
      <w:r>
        <w:rPr>
          <w:rFonts w:hint="eastAsia" w:ascii="方正仿宋_GBK" w:hAnsi="方正仿宋_GBK" w:eastAsia="方正仿宋_GBK" w:cs="方正仿宋_GBK"/>
          <w:b w:val="0"/>
          <w:bCs w:val="0"/>
          <w:color w:val="auto"/>
          <w:sz w:val="32"/>
          <w:szCs w:val="32"/>
          <w:highlight w:val="none"/>
          <w:u w:val="none" w:color="auto"/>
          <w:lang w:val="en-US" w:eastAsia="zh-CN"/>
        </w:rPr>
        <w:t>做实全市生命健康、数智科技两大科创高地的战略制高点</w:t>
      </w:r>
      <w:r>
        <w:rPr>
          <w:rFonts w:hint="eastAsia" w:ascii="方正仿宋_GBK" w:hAnsi="Calibri" w:eastAsia="方正仿宋_GBK" w:cs="Times New Roman"/>
          <w:bCs/>
          <w:color w:val="auto"/>
          <w:sz w:val="32"/>
          <w:szCs w:val="32"/>
          <w:highlight w:val="none"/>
          <w:u w:val="none" w:color="auto"/>
          <w:lang w:val="en-US" w:eastAsia="zh-CN"/>
        </w:rPr>
        <w:t>，</w:t>
      </w:r>
      <w:r>
        <w:rPr>
          <w:rFonts w:hint="eastAsia" w:ascii="方正仿宋_GBK" w:hAnsi="方正仿宋_GBK" w:eastAsia="方正仿宋_GBK" w:cs="方正仿宋_GBK"/>
          <w:color w:val="auto"/>
          <w:sz w:val="32"/>
          <w:szCs w:val="32"/>
          <w:highlight w:val="none"/>
        </w:rPr>
        <w:t>发挥西部（重庆）科学城、国家高新区、国家自主创新示范区、国家科技成果转移转化示范区平台叠加势能，</w:t>
      </w:r>
      <w:r>
        <w:rPr>
          <w:rFonts w:hint="eastAsia" w:ascii="方正仿宋_GBK" w:hAnsi="Calibri" w:eastAsia="方正仿宋_GBK" w:cs="Times New Roman"/>
          <w:bCs/>
          <w:sz w:val="32"/>
          <w:szCs w:val="32"/>
          <w:highlight w:val="none"/>
          <w:u w:val="none" w:color="auto"/>
          <w:lang w:val="en-US" w:eastAsia="zh-CN"/>
        </w:rPr>
        <w:t>增强创新策源、要素配置、集聚转化、辐射带动功能，</w:t>
      </w:r>
      <w:r>
        <w:rPr>
          <w:rFonts w:hint="eastAsia" w:ascii="方正仿宋_GBK" w:hAnsi="方正仿宋_GBK" w:eastAsia="方正仿宋_GBK" w:cs="方正仿宋_GBK"/>
          <w:color w:val="auto"/>
          <w:sz w:val="32"/>
          <w:szCs w:val="32"/>
          <w:highlight w:val="none"/>
        </w:rPr>
        <w:t>统筹推进教育科技人才一体发展，打造成渝绵“科技创新金三角”核心支撑、市域科创走廊创新极核。</w:t>
      </w:r>
      <w:r>
        <w:rPr>
          <w:rFonts w:hint="default" w:ascii="Times New Roman" w:hAnsi="Times New Roman" w:eastAsia="方正仿宋_GBK" w:cs="Times New Roman"/>
          <w:color w:val="auto"/>
          <w:sz w:val="32"/>
          <w:szCs w:val="32"/>
          <w:highlight w:val="none"/>
          <w:lang w:val="en-US" w:eastAsia="zh-CN"/>
        </w:rPr>
        <w:t>到2030年，研发投入强度、每万人高价值发明专利拥有量等关键指标跻身国家高新区第一梯队。</w:t>
      </w:r>
    </w:p>
    <w:p w14:paraId="0D81A7D3">
      <w:pPr>
        <w:overflowPunct/>
        <w:adjustRightInd w:val="0"/>
        <w:snapToGrid/>
        <w:spacing w:line="600" w:lineRule="exact"/>
        <w:ind w:firstLine="640" w:firstLineChars="200"/>
        <w:jc w:val="left"/>
        <w:textAlignment w:val="baseline"/>
        <w:rPr>
          <w:rFonts w:hint="eastAsia" w:ascii="Times New Roman" w:hAnsi="Times New Roman" w:eastAsia="方正仿宋_GBK" w:cs="Times New Roman"/>
          <w:color w:val="auto"/>
          <w:sz w:val="32"/>
          <w:szCs w:val="32"/>
          <w:highlight w:val="none"/>
        </w:rPr>
      </w:pPr>
    </w:p>
    <w:p w14:paraId="71922EEF">
      <w:pPr>
        <w:overflowPunct w:val="0"/>
        <w:adjustRightInd w:val="0"/>
        <w:snapToGrid w:val="0"/>
        <w:spacing w:line="600" w:lineRule="exact"/>
        <w:jc w:val="center"/>
        <w:outlineLvl w:val="1"/>
        <w:rPr>
          <w:rFonts w:ascii="Times New Roman" w:hAnsi="Times New Roman" w:eastAsia="方正黑体_GBK" w:cs="方正黑体_GBK"/>
          <w:color w:val="auto"/>
          <w:spacing w:val="-20"/>
          <w:sz w:val="32"/>
          <w:szCs w:val="32"/>
          <w:highlight w:val="none"/>
        </w:rPr>
      </w:pPr>
      <w:bookmarkStart w:id="109" w:name="_Toc367001836"/>
      <w:bookmarkStart w:id="110" w:name="_Toc533360715"/>
      <w:bookmarkStart w:id="111" w:name="_Toc1626"/>
      <w:r>
        <w:rPr>
          <w:rFonts w:ascii="Times New Roman" w:hAnsi="Times New Roman" w:eastAsia="方正黑体_GBK" w:cs="方正黑体_GBK"/>
          <w:color w:val="auto"/>
          <w:spacing w:val="-20"/>
          <w:sz w:val="32"/>
          <w:szCs w:val="32"/>
          <w:highlight w:val="none"/>
        </w:rPr>
        <w:t>第</w:t>
      </w:r>
      <w:r>
        <w:rPr>
          <w:rFonts w:hint="eastAsia" w:ascii="Times New Roman" w:hAnsi="Times New Roman" w:eastAsia="方正黑体_GBK" w:cs="方正黑体_GBK"/>
          <w:color w:val="auto"/>
          <w:spacing w:val="-20"/>
          <w:sz w:val="32"/>
          <w:szCs w:val="32"/>
          <w:highlight w:val="none"/>
        </w:rPr>
        <w:t>一章</w:t>
      </w:r>
      <w:r>
        <w:rPr>
          <w:rFonts w:ascii="Times New Roman" w:hAnsi="Times New Roman" w:eastAsia="方正黑体_GBK" w:cs="方正黑体_GBK"/>
          <w:color w:val="auto"/>
          <w:spacing w:val="-20"/>
          <w:sz w:val="32"/>
          <w:szCs w:val="32"/>
          <w:highlight w:val="none"/>
        </w:rPr>
        <w:t xml:space="preserve"> </w:t>
      </w:r>
      <w:r>
        <w:rPr>
          <w:rFonts w:hint="eastAsia" w:ascii="Times New Roman" w:hAnsi="Times New Roman" w:eastAsia="方正黑体_GBK" w:cs="方正黑体_GBK"/>
          <w:color w:val="auto"/>
          <w:spacing w:val="-20"/>
          <w:sz w:val="32"/>
          <w:szCs w:val="32"/>
          <w:highlight w:val="none"/>
        </w:rPr>
        <w:t>建设成渝（金凤）综合性科学中心为引领的区域科技</w:t>
      </w:r>
      <w:bookmarkEnd w:id="109"/>
      <w:bookmarkEnd w:id="110"/>
      <w:bookmarkStart w:id="112" w:name="_Toc596794427"/>
      <w:bookmarkStart w:id="113" w:name="_Toc626823468"/>
      <w:r>
        <w:rPr>
          <w:rFonts w:hint="eastAsia" w:ascii="Times New Roman" w:hAnsi="Times New Roman" w:eastAsia="方正黑体_GBK" w:cs="方正黑体_GBK"/>
          <w:color w:val="auto"/>
          <w:spacing w:val="-20"/>
          <w:sz w:val="32"/>
          <w:szCs w:val="32"/>
          <w:highlight w:val="none"/>
        </w:rPr>
        <w:t>创新体系</w:t>
      </w:r>
      <w:bookmarkEnd w:id="111"/>
      <w:bookmarkEnd w:id="112"/>
      <w:bookmarkEnd w:id="113"/>
    </w:p>
    <w:p w14:paraId="3A35BBCD">
      <w:pPr>
        <w:adjustRightInd w:val="0"/>
        <w:snapToGrid w:val="0"/>
        <w:spacing w:line="600" w:lineRule="exact"/>
        <w:ind w:firstLine="640" w:firstLineChars="200"/>
        <w:textAlignment w:val="baseline"/>
        <w:rPr>
          <w:rFonts w:ascii="Times New Roman" w:hAnsi="Times New Roman" w:eastAsia="方正仿宋_GBK" w:cs="Times New Roman"/>
          <w:color w:val="auto"/>
          <w:sz w:val="32"/>
          <w:szCs w:val="32"/>
          <w:highlight w:val="none"/>
        </w:rPr>
      </w:pPr>
      <w:r>
        <w:rPr>
          <w:rFonts w:hint="eastAsia" w:ascii="Times New Roman" w:hAnsi="Times New Roman" w:eastAsia="方正仿宋_GBK" w:cs="方正仿宋_GBK"/>
          <w:color w:val="auto"/>
          <w:sz w:val="32"/>
          <w:szCs w:val="32"/>
          <w:highlight w:val="none"/>
        </w:rPr>
        <w:t>面向国家战略需求，</w:t>
      </w:r>
      <w:r>
        <w:rPr>
          <w:rFonts w:hint="eastAsia" w:ascii="Times New Roman" w:hAnsi="Times New Roman" w:eastAsia="方正仿宋_GBK" w:cs="Times New Roman"/>
          <w:color w:val="auto"/>
          <w:sz w:val="32"/>
          <w:szCs w:val="32"/>
          <w:highlight w:val="none"/>
        </w:rPr>
        <w:t>高水平建设成渝（金凤）综合性科学中心，</w:t>
      </w:r>
      <w:r>
        <w:rPr>
          <w:rFonts w:hint="eastAsia" w:ascii="Times New Roman" w:hAnsi="Times New Roman" w:eastAsia="方正仿宋_GBK" w:cs="Times New Roman"/>
          <w:color w:val="auto"/>
          <w:sz w:val="32"/>
          <w:szCs w:val="32"/>
          <w:highlight w:val="none"/>
          <w:lang w:val="en-US" w:eastAsia="zh-CN"/>
        </w:rPr>
        <w:t>构建</w:t>
      </w:r>
      <w:r>
        <w:rPr>
          <w:rFonts w:hint="eastAsia" w:ascii="Times New Roman" w:hAnsi="Times New Roman" w:eastAsia="方正仿宋_GBK" w:cs="Times New Roman"/>
          <w:color w:val="auto"/>
          <w:sz w:val="32"/>
          <w:szCs w:val="32"/>
          <w:highlight w:val="none"/>
        </w:rPr>
        <w:t>以重庆实验室为引领、科技基础设施为支撑的区域科技创新体系，加强原始创新、关键核心技术攻关和成果转化，打造产业创新高地。</w:t>
      </w:r>
    </w:p>
    <w:p w14:paraId="788C2DBD">
      <w:pPr>
        <w:overflowPunct w:val="0"/>
        <w:adjustRightInd w:val="0"/>
        <w:snapToGrid w:val="0"/>
        <w:spacing w:line="600" w:lineRule="exact"/>
        <w:jc w:val="center"/>
        <w:outlineLvl w:val="2"/>
        <w:rPr>
          <w:rFonts w:ascii="Times New Roman" w:hAnsi="Times New Roman" w:eastAsia="方正楷体_GBK" w:cs="方正楷体_GBK"/>
          <w:color w:val="auto"/>
          <w:sz w:val="32"/>
          <w:szCs w:val="32"/>
          <w:highlight w:val="none"/>
        </w:rPr>
      </w:pPr>
      <w:bookmarkStart w:id="114" w:name="_Toc1575303099"/>
      <w:bookmarkStart w:id="115" w:name="_Toc30001"/>
      <w:bookmarkStart w:id="116" w:name="_Toc1614738141"/>
      <w:r>
        <w:rPr>
          <w:rFonts w:hint="eastAsia" w:ascii="Times New Roman" w:hAnsi="Times New Roman" w:eastAsia="方正楷体_GBK" w:cs="方正楷体_GBK"/>
          <w:color w:val="auto"/>
          <w:sz w:val="32"/>
          <w:szCs w:val="32"/>
          <w:highlight w:val="none"/>
        </w:rPr>
        <w:t>第一节 建强两大重庆实验室</w:t>
      </w:r>
      <w:bookmarkEnd w:id="114"/>
      <w:bookmarkEnd w:id="115"/>
      <w:bookmarkEnd w:id="116"/>
    </w:p>
    <w:p w14:paraId="6AB4AE59">
      <w:pPr>
        <w:adjustRightInd w:val="0"/>
        <w:snapToGrid w:val="0"/>
        <w:spacing w:line="600" w:lineRule="exact"/>
        <w:ind w:firstLine="640" w:firstLineChars="200"/>
        <w:textAlignment w:val="baseline"/>
        <w:rPr>
          <w:rFonts w:ascii="Times New Roman" w:hAnsi="Times New Roman" w:eastAsia="方正仿宋_GBK" w:cs="Times New Roman"/>
          <w:color w:val="auto"/>
          <w:sz w:val="32"/>
          <w:szCs w:val="32"/>
          <w:highlight w:val="none"/>
        </w:rPr>
      </w:pPr>
      <w:r>
        <w:rPr>
          <w:rFonts w:hint="eastAsia" w:ascii="方正仿宋_GBK" w:hAnsi="方正仿宋_GBK" w:eastAsia="方正仿宋_GBK" w:cs="方正仿宋_GBK"/>
          <w:color w:val="auto"/>
          <w:sz w:val="32"/>
          <w:szCs w:val="32"/>
          <w:highlight w:val="none"/>
        </w:rPr>
        <w:t>坚持市区联动，优化重庆实验室运行机制和服务保障，构建“基础研究+应用开发+成果转化”全链条创新生态。提质建设金凤实验室。支持实验室深耕“重大疾病的下一代诊断”领域，主攻智慧病理、干细胞与衰老方向，开展病理机制和表型组学研究、智慧诊断关键技术原理攻关及微、无创诊疗一体化技术体系研究，加快干细胞质量控制与评估中心、类器官疾病模型库等公共平台建设，研发“</w:t>
      </w:r>
      <w:r>
        <w:rPr>
          <w:rFonts w:ascii="Times New Roman" w:hAnsi="Times New Roman" w:eastAsia="方正仿宋_GBK" w:cs="Times New Roman"/>
          <w:color w:val="auto"/>
          <w:sz w:val="32"/>
          <w:szCs w:val="32"/>
          <w:highlight w:val="none"/>
        </w:rPr>
        <w:t>AI+MDT</w:t>
      </w:r>
      <w:r>
        <w:rPr>
          <w:rFonts w:hint="eastAsia" w:ascii="方正仿宋_GBK" w:hAnsi="方正仿宋_GBK" w:eastAsia="方正仿宋_GBK" w:cs="方正仿宋_GBK"/>
          <w:color w:val="auto"/>
          <w:sz w:val="32"/>
          <w:szCs w:val="32"/>
          <w:highlight w:val="none"/>
        </w:rPr>
        <w:t>”远程会诊系统。到</w:t>
      </w:r>
      <w:r>
        <w:rPr>
          <w:rFonts w:hint="eastAsia" w:ascii="Times New Roman" w:hAnsi="Times New Roman" w:eastAsia="方正仿宋_GBK" w:cs="方正仿宋_GBK"/>
          <w:color w:val="auto"/>
          <w:sz w:val="32"/>
          <w:szCs w:val="32"/>
          <w:highlight w:val="none"/>
        </w:rPr>
        <w:t>2030</w:t>
      </w:r>
      <w:r>
        <w:rPr>
          <w:rFonts w:hint="eastAsia" w:ascii="方正仿宋_GBK" w:hAnsi="方正仿宋_GBK" w:eastAsia="方正仿宋_GBK" w:cs="方正仿宋_GBK"/>
          <w:color w:val="auto"/>
          <w:sz w:val="32"/>
          <w:szCs w:val="32"/>
          <w:highlight w:val="none"/>
        </w:rPr>
        <w:t>年，</w:t>
      </w:r>
      <w:r>
        <w:rPr>
          <w:rFonts w:hint="eastAsia" w:ascii="Times New Roman" w:hAnsi="Times New Roman" w:eastAsia="方正仿宋_GBK" w:cs="方正仿宋_GBK"/>
          <w:color w:val="auto"/>
          <w:sz w:val="32"/>
          <w:szCs w:val="32"/>
          <w:highlight w:val="none"/>
        </w:rPr>
        <w:t>建成</w:t>
      </w:r>
      <w:r>
        <w:rPr>
          <w:rFonts w:hint="eastAsia" w:ascii="方正仿宋_GBK" w:hAnsi="方正仿宋_GBK" w:eastAsia="方正仿宋_GBK" w:cs="方正仿宋_GBK"/>
          <w:color w:val="auto"/>
          <w:sz w:val="32"/>
          <w:szCs w:val="32"/>
          <w:highlight w:val="none"/>
        </w:rPr>
        <w:t>全球最大的病理性干细胞资源库，推出全国首创、行业公认的</w:t>
      </w:r>
      <w:r>
        <w:rPr>
          <w:rFonts w:hint="eastAsia" w:ascii="方正仿宋_GBK" w:hAnsi="方正仿宋_GBK" w:eastAsia="方正仿宋_GBK" w:cs="方正仿宋_GBK"/>
          <w:color w:val="auto"/>
          <w:sz w:val="32"/>
          <w:szCs w:val="32"/>
          <w:highlight w:val="none"/>
          <w:lang w:eastAsia="zh-CN"/>
        </w:rPr>
        <w:t>“</w:t>
      </w:r>
      <w:r>
        <w:rPr>
          <w:rFonts w:hint="eastAsia" w:ascii="方正仿宋_GBK" w:hAnsi="方正仿宋_GBK" w:eastAsia="方正仿宋_GBK" w:cs="方正仿宋_GBK"/>
          <w:color w:val="auto"/>
          <w:sz w:val="32"/>
          <w:szCs w:val="32"/>
          <w:highlight w:val="none"/>
        </w:rPr>
        <w:t>金凤</w:t>
      </w:r>
      <w:r>
        <w:rPr>
          <w:rFonts w:hint="eastAsia" w:ascii="方正仿宋_GBK" w:hAnsi="方正仿宋_GBK" w:eastAsia="方正仿宋_GBK" w:cs="方正仿宋_GBK"/>
          <w:color w:val="auto"/>
          <w:sz w:val="32"/>
          <w:szCs w:val="32"/>
          <w:highlight w:val="none"/>
          <w:lang w:eastAsia="zh-CN"/>
        </w:rPr>
        <w:t>”</w:t>
      </w:r>
      <w:r>
        <w:rPr>
          <w:rFonts w:hint="eastAsia" w:ascii="方正仿宋_GBK" w:hAnsi="方正仿宋_GBK" w:eastAsia="方正仿宋_GBK" w:cs="方正仿宋_GBK"/>
          <w:color w:val="auto"/>
          <w:sz w:val="32"/>
          <w:szCs w:val="32"/>
          <w:highlight w:val="none"/>
        </w:rPr>
        <w:t>疾病分型，</w:t>
      </w:r>
      <w:r>
        <w:rPr>
          <w:rFonts w:hint="default" w:ascii="Times New Roman" w:hAnsi="Times New Roman" w:eastAsia="方正仿宋_GBK" w:cs="Times New Roman"/>
          <w:color w:val="auto"/>
          <w:sz w:val="32"/>
          <w:szCs w:val="32"/>
          <w:highlight w:val="none"/>
        </w:rPr>
        <w:t>引育硬核科技企业20家</w:t>
      </w:r>
      <w:r>
        <w:rPr>
          <w:rFonts w:hint="eastAsia" w:ascii="Times New Roman" w:hAnsi="Times New Roman" w:eastAsia="方正仿宋_GBK" w:cs="Times New Roman"/>
          <w:color w:val="auto"/>
          <w:sz w:val="32"/>
          <w:szCs w:val="32"/>
          <w:highlight w:val="none"/>
          <w:lang w:val="en-US" w:eastAsia="zh-CN"/>
        </w:rPr>
        <w:t>以上</w:t>
      </w:r>
      <w:r>
        <w:rPr>
          <w:rFonts w:hint="default" w:ascii="Times New Roman" w:hAnsi="Times New Roman" w:eastAsia="方正仿宋_GBK" w:cs="Times New Roman"/>
          <w:color w:val="auto"/>
          <w:sz w:val="32"/>
          <w:szCs w:val="32"/>
          <w:highlight w:val="none"/>
        </w:rPr>
        <w:t>。</w:t>
      </w:r>
      <w:r>
        <w:rPr>
          <w:rFonts w:hint="eastAsia" w:ascii="方正仿宋_GBK" w:hAnsi="方正仿宋_GBK" w:eastAsia="方正仿宋_GBK" w:cs="方正仿宋_GBK"/>
          <w:color w:val="auto"/>
          <w:sz w:val="32"/>
          <w:szCs w:val="32"/>
          <w:highlight w:val="none"/>
        </w:rPr>
        <w:t>高水平建设嘉陵江实验室。支持实验室聚焦“数智+装备”融合</w:t>
      </w:r>
      <w:r>
        <w:rPr>
          <w:rFonts w:hint="eastAsia" w:ascii="方正仿宋_GBK" w:hAnsi="方正仿宋_GBK" w:eastAsia="方正仿宋_GBK" w:cs="方正仿宋_GBK"/>
          <w:color w:val="auto"/>
          <w:sz w:val="32"/>
          <w:szCs w:val="32"/>
          <w:highlight w:val="none"/>
          <w:lang w:val="en-US" w:eastAsia="zh-CN"/>
        </w:rPr>
        <w:t>领域</w:t>
      </w:r>
      <w:r>
        <w:rPr>
          <w:rFonts w:hint="eastAsia" w:ascii="方正仿宋_GBK" w:hAnsi="方正仿宋_GBK" w:eastAsia="方正仿宋_GBK" w:cs="方正仿宋_GBK"/>
          <w:color w:val="auto"/>
          <w:sz w:val="32"/>
          <w:szCs w:val="32"/>
          <w:highlight w:val="none"/>
        </w:rPr>
        <w:t>，主攻具身智能、智能传感与仪器等重点</w:t>
      </w:r>
      <w:r>
        <w:rPr>
          <w:rFonts w:hint="eastAsia" w:ascii="方正仿宋_GBK" w:hAnsi="方正仿宋_GBK" w:eastAsia="方正仿宋_GBK" w:cs="方正仿宋_GBK"/>
          <w:color w:val="auto"/>
          <w:sz w:val="32"/>
          <w:szCs w:val="32"/>
          <w:highlight w:val="none"/>
          <w:lang w:val="en-US" w:eastAsia="zh-CN"/>
        </w:rPr>
        <w:t>方向</w:t>
      </w:r>
      <w:r>
        <w:rPr>
          <w:rFonts w:hint="eastAsia" w:ascii="方正仿宋_GBK" w:hAnsi="方正仿宋_GBK" w:eastAsia="方正仿宋_GBK" w:cs="方正仿宋_GBK"/>
          <w:color w:val="auto"/>
          <w:sz w:val="32"/>
          <w:szCs w:val="32"/>
          <w:highlight w:val="none"/>
        </w:rPr>
        <w:t>，建设人形机器人研究中心、微纳器件及系统研究中心、智慧医疗装备研究院等科研平台，建设国家数智装备知识产权运营中心，布局重庆市具身智能创新中心、无人系统试验场等公共服务平台，</w:t>
      </w:r>
      <w:r>
        <w:rPr>
          <w:rFonts w:hint="eastAsia" w:ascii="方正仿宋_GBK" w:hAnsi="方正仿宋_GBK" w:eastAsia="方正仿宋_GBK" w:cs="方正仿宋_GBK"/>
          <w:color w:val="auto"/>
          <w:sz w:val="32"/>
          <w:szCs w:val="32"/>
          <w:highlight w:val="none"/>
          <w:lang w:val="en-US" w:eastAsia="zh-CN"/>
        </w:rPr>
        <w:t>建设</w:t>
      </w:r>
      <w:r>
        <w:rPr>
          <w:rFonts w:hint="eastAsia" w:ascii="方正仿宋_GBK" w:hAnsi="方正仿宋_GBK" w:eastAsia="方正仿宋_GBK" w:cs="方正仿宋_GBK"/>
          <w:color w:val="auto"/>
          <w:sz w:val="32"/>
          <w:szCs w:val="32"/>
          <w:highlight w:val="none"/>
        </w:rPr>
        <w:t>独具特色的科研攻关与验证场景</w:t>
      </w:r>
      <w:r>
        <w:rPr>
          <w:rFonts w:hint="eastAsia" w:ascii="方正仿宋_GBK" w:hAnsi="方正仿宋_GBK" w:eastAsia="方正仿宋_GBK" w:cs="方正仿宋_GBK"/>
          <w:color w:val="auto"/>
          <w:sz w:val="32"/>
          <w:szCs w:val="32"/>
          <w:highlight w:val="none"/>
          <w:lang w:eastAsia="zh-CN"/>
        </w:rPr>
        <w:t>，</w:t>
      </w:r>
      <w:r>
        <w:rPr>
          <w:rFonts w:hint="eastAsia" w:ascii="方正仿宋_GBK" w:hAnsi="方正仿宋_GBK" w:eastAsia="方正仿宋_GBK" w:cs="方正仿宋_GBK"/>
          <w:color w:val="auto"/>
          <w:sz w:val="32"/>
          <w:szCs w:val="32"/>
          <w:highlight w:val="none"/>
          <w:lang w:val="en-US" w:eastAsia="zh-CN"/>
        </w:rPr>
        <w:t>培育</w:t>
      </w:r>
      <w:r>
        <w:rPr>
          <w:rFonts w:hint="eastAsia" w:ascii="方正仿宋_GBK" w:hAnsi="方正仿宋_GBK" w:eastAsia="方正仿宋_GBK" w:cs="方正仿宋_GBK"/>
          <w:b w:val="0"/>
          <w:bCs w:val="0"/>
          <w:color w:val="auto"/>
          <w:sz w:val="32"/>
          <w:szCs w:val="32"/>
          <w:highlight w:val="none"/>
          <w:u w:val="none" w:color="auto"/>
          <w:lang w:val="en-US" w:eastAsia="zh-CN"/>
        </w:rPr>
        <w:t>以概念验证、研发测试为核心的数智装备研究平台集群，</w:t>
      </w:r>
      <w:r>
        <w:rPr>
          <w:rFonts w:hint="eastAsia" w:ascii="方正仿宋_GBK" w:hAnsi="方正仿宋_GBK" w:eastAsia="方正仿宋_GBK" w:cs="方正仿宋_GBK"/>
          <w:color w:val="auto"/>
          <w:sz w:val="32"/>
          <w:szCs w:val="32"/>
          <w:highlight w:val="none"/>
          <w:lang w:eastAsia="zh-CN"/>
        </w:rPr>
        <w:t>打造全国具身智能装备的战略制高点和创新策源地</w:t>
      </w:r>
      <w:r>
        <w:rPr>
          <w:rFonts w:hint="eastAsia" w:ascii="方正仿宋_GBK" w:hAnsi="方正仿宋_GBK" w:eastAsia="方正仿宋_GBK" w:cs="方正仿宋_GBK"/>
          <w:color w:val="auto"/>
          <w:sz w:val="32"/>
          <w:szCs w:val="32"/>
          <w:highlight w:val="none"/>
        </w:rPr>
        <w:t>。到</w:t>
      </w:r>
      <w:r>
        <w:rPr>
          <w:rFonts w:hint="eastAsia" w:ascii="Times New Roman" w:hAnsi="Times New Roman" w:eastAsia="方正仿宋_GBK" w:cs="方正仿宋_GBK"/>
          <w:color w:val="auto"/>
          <w:sz w:val="32"/>
          <w:szCs w:val="32"/>
          <w:highlight w:val="none"/>
        </w:rPr>
        <w:t>2030</w:t>
      </w:r>
      <w:r>
        <w:rPr>
          <w:rFonts w:hint="eastAsia" w:ascii="方正仿宋_GBK" w:hAnsi="方正仿宋_GBK" w:eastAsia="方正仿宋_GBK" w:cs="方正仿宋_GBK"/>
          <w:color w:val="auto"/>
          <w:sz w:val="32"/>
          <w:szCs w:val="32"/>
          <w:highlight w:val="none"/>
        </w:rPr>
        <w:t>年，建成全国首个山地—地下复杂场景智能无人装备系统与综合试验场，</w:t>
      </w:r>
      <w:r>
        <w:rPr>
          <w:rFonts w:hint="default" w:ascii="Times New Roman" w:hAnsi="Times New Roman" w:eastAsia="方正仿宋_GBK" w:cs="Times New Roman"/>
          <w:color w:val="auto"/>
          <w:sz w:val="32"/>
          <w:szCs w:val="32"/>
          <w:highlight w:val="none"/>
        </w:rPr>
        <w:t>形成国家/行业标准5</w:t>
      </w:r>
      <w:r>
        <w:rPr>
          <w:rFonts w:hint="eastAsia" w:ascii="方正仿宋_GBK" w:hAnsi="方正仿宋_GBK" w:eastAsia="方正仿宋_GBK" w:cs="方正仿宋_GBK"/>
          <w:color w:val="auto"/>
          <w:sz w:val="32"/>
          <w:szCs w:val="32"/>
          <w:highlight w:val="none"/>
        </w:rPr>
        <w:t>—</w:t>
      </w:r>
      <w:r>
        <w:rPr>
          <w:rFonts w:hint="default" w:ascii="Times New Roman" w:hAnsi="Times New Roman" w:eastAsia="方正仿宋_GBK" w:cs="Times New Roman"/>
          <w:color w:val="auto"/>
          <w:sz w:val="32"/>
          <w:szCs w:val="32"/>
          <w:highlight w:val="none"/>
        </w:rPr>
        <w:t>8项，</w:t>
      </w:r>
      <w:r>
        <w:rPr>
          <w:rFonts w:hint="eastAsia" w:ascii="Times New Roman" w:hAnsi="Times New Roman" w:eastAsia="方正仿宋_GBK" w:cs="Times New Roman"/>
          <w:color w:val="auto"/>
          <w:sz w:val="32"/>
          <w:szCs w:val="32"/>
          <w:highlight w:val="none"/>
          <w:lang w:val="en-US" w:eastAsia="zh-CN"/>
        </w:rPr>
        <w:t>新增</w:t>
      </w:r>
      <w:r>
        <w:rPr>
          <w:rFonts w:hint="eastAsia" w:ascii="方正仿宋_GBK" w:hAnsi="方正仿宋_GBK" w:eastAsia="方正仿宋_GBK" w:cs="方正仿宋_GBK"/>
          <w:color w:val="auto"/>
          <w:sz w:val="32"/>
          <w:szCs w:val="32"/>
          <w:highlight w:val="none"/>
        </w:rPr>
        <w:t>上市后备企业</w:t>
      </w:r>
      <w:r>
        <w:rPr>
          <w:rFonts w:hint="default" w:ascii="Times New Roman" w:hAnsi="Times New Roman" w:eastAsia="方正仿宋_GBK" w:cs="Times New Roman"/>
          <w:color w:val="auto"/>
          <w:sz w:val="32"/>
          <w:szCs w:val="32"/>
          <w:highlight w:val="none"/>
        </w:rPr>
        <w:t>3</w:t>
      </w:r>
      <w:r>
        <w:rPr>
          <w:rFonts w:hint="eastAsia" w:ascii="Times New Roman" w:hAnsi="Times New Roman" w:eastAsia="方正仿宋_GBK" w:cs="Times New Roman"/>
          <w:color w:val="auto"/>
          <w:sz w:val="32"/>
          <w:szCs w:val="32"/>
          <w:highlight w:val="none"/>
          <w:lang w:val="en-US" w:eastAsia="zh-CN"/>
        </w:rPr>
        <w:t>家以上</w:t>
      </w:r>
      <w:r>
        <w:rPr>
          <w:rFonts w:hint="eastAsia" w:ascii="方正仿宋_GBK" w:hAnsi="方正仿宋_GBK" w:eastAsia="方正仿宋_GBK" w:cs="方正仿宋_GBK"/>
          <w:color w:val="auto"/>
          <w:sz w:val="32"/>
          <w:szCs w:val="32"/>
          <w:highlight w:val="none"/>
        </w:rPr>
        <w:t>。</w:t>
      </w:r>
      <w:r>
        <w:rPr>
          <w:rFonts w:hint="eastAsia" w:ascii="Times New Roman" w:hAnsi="Times New Roman" w:eastAsia="方正仿宋_GBK" w:cs="Times New Roman"/>
          <w:color w:val="auto"/>
          <w:sz w:val="32"/>
          <w:szCs w:val="32"/>
          <w:highlight w:val="none"/>
        </w:rPr>
        <w:t>主动对接国家重大战略需求，积极融入国家实验室体系</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rPr>
        <w:t>加强与国家实验室、国家科研机构及高水平研究型大学的协同创新，全力培育建设国家实验室“预备队”。</w:t>
      </w:r>
    </w:p>
    <w:p w14:paraId="2676AC9A">
      <w:pPr>
        <w:overflowPunct w:val="0"/>
        <w:jc w:val="center"/>
        <w:rPr>
          <w:rFonts w:hint="eastAsia" w:ascii="Times New Roman" w:hAnsi="Times New Roman" w:eastAsia="方正黑体_GBK" w:cs="方正黑体_GBK"/>
          <w:color w:val="auto"/>
          <w:kern w:val="0"/>
          <w:sz w:val="32"/>
          <w:szCs w:val="32"/>
          <w:highlight w:val="none"/>
          <w:u w:val="none"/>
          <w:lang w:bidi="ar"/>
        </w:rPr>
      </w:pPr>
      <w:r>
        <w:rPr>
          <w:rFonts w:hint="eastAsia" w:ascii="Times New Roman" w:hAnsi="Times New Roman" w:eastAsia="方正黑体_GBK" w:cs="方正黑体_GBK"/>
          <w:color w:val="auto"/>
          <w:kern w:val="0"/>
          <w:sz w:val="32"/>
          <w:szCs w:val="32"/>
          <w:highlight w:val="none"/>
          <w:u w:val="none"/>
          <w:lang w:bidi="ar"/>
        </w:rPr>
        <w:t>专栏</w:t>
      </w:r>
      <w:r>
        <w:rPr>
          <w:rFonts w:hint="eastAsia" w:ascii="Times New Roman" w:hAnsi="Times New Roman" w:eastAsia="方正黑体_GBK" w:cs="方正黑体_GBK"/>
          <w:color w:val="auto"/>
          <w:kern w:val="0"/>
          <w:sz w:val="32"/>
          <w:szCs w:val="32"/>
          <w:highlight w:val="none"/>
          <w:u w:val="none"/>
          <w:lang w:val="en-US" w:eastAsia="zh-CN" w:bidi="ar"/>
        </w:rPr>
        <w:t>2</w:t>
      </w:r>
      <w:r>
        <w:rPr>
          <w:rFonts w:hint="eastAsia" w:ascii="Times New Roman" w:hAnsi="Times New Roman" w:eastAsia="方正黑体_GBK" w:cs="方正黑体_GBK"/>
          <w:color w:val="auto"/>
          <w:kern w:val="0"/>
          <w:sz w:val="32"/>
          <w:szCs w:val="32"/>
          <w:highlight w:val="none"/>
          <w:u w:val="none"/>
          <w:lang w:bidi="ar"/>
        </w:rPr>
        <w:t xml:space="preserve"> 重庆实验室旗舰引领功能专项行动</w:t>
      </w:r>
    </w:p>
    <w:tbl>
      <w:tblPr>
        <w:tblStyle w:val="22"/>
        <w:tblW w:w="5000" w:type="pct"/>
        <w:tblInd w:w="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105B8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30A5FF62">
            <w:pPr>
              <w:pStyle w:val="19"/>
              <w:overflowPunct w:val="0"/>
              <w:snapToGrid w:val="0"/>
              <w:spacing w:beforeAutospacing="0" w:afterAutospacing="0" w:line="380" w:lineRule="exact"/>
              <w:ind w:firstLine="480" w:firstLineChars="200"/>
              <w:jc w:val="both"/>
              <w:rPr>
                <w:rFonts w:hint="eastAsia" w:ascii="Times New Roman" w:hAnsi="Times New Roman" w:eastAsia="方正书宋_GBK" w:cs="Times New Roman"/>
                <w:color w:val="auto"/>
                <w:highlight w:val="none"/>
                <w:u w:val="none"/>
                <w:lang w:eastAsia="zh-CN"/>
              </w:rPr>
            </w:pPr>
            <w:r>
              <w:rPr>
                <w:rFonts w:hint="eastAsia" w:ascii="Times New Roman" w:hAnsi="Times New Roman" w:eastAsia="方正黑体_GBK" w:cs="方正黑体_GBK"/>
                <w:color w:val="auto"/>
                <w:highlight w:val="none"/>
                <w:u w:val="none"/>
              </w:rPr>
              <w:t>1</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highlight w:val="none"/>
                <w:u w:val="none"/>
              </w:rPr>
              <w:t>金凤实验室。</w:t>
            </w:r>
            <w:r>
              <w:rPr>
                <w:rFonts w:hint="eastAsia" w:ascii="Times New Roman" w:hAnsi="Times New Roman" w:eastAsia="方正书宋_GBK" w:cs="Times New Roman"/>
                <w:color w:val="auto"/>
                <w:highlight w:val="none"/>
                <w:u w:val="none"/>
              </w:rPr>
              <w:t>深耕“重大疾病的下一代诊断”，推动“经验看病”向“智能算病”迭代取得突破性进展，打造中国病理研究“总平台”、诊断技术研发“总链长”、国际领先的病理科学研究中心。</w:t>
            </w:r>
          </w:p>
          <w:p w14:paraId="1E1A6913">
            <w:pPr>
              <w:pStyle w:val="19"/>
              <w:overflowPunct w:val="0"/>
              <w:snapToGrid w:val="0"/>
              <w:spacing w:beforeAutospacing="0" w:afterAutospacing="0" w:line="380" w:lineRule="exact"/>
              <w:ind w:firstLine="480" w:firstLineChars="200"/>
              <w:jc w:val="both"/>
              <w:rPr>
                <w:rFonts w:ascii="Times New Roman" w:hAnsi="Times New Roman"/>
                <w:color w:val="auto"/>
                <w:szCs w:val="20"/>
                <w:highlight w:val="none"/>
              </w:rPr>
            </w:pPr>
            <w:r>
              <w:rPr>
                <w:rFonts w:hint="eastAsia" w:ascii="Times New Roman" w:hAnsi="Times New Roman" w:eastAsia="方正黑体_GBK" w:cs="方正黑体_GBK"/>
                <w:color w:val="auto"/>
                <w:highlight w:val="none"/>
                <w:u w:val="none"/>
              </w:rPr>
              <w:t>2</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highlight w:val="none"/>
                <w:u w:val="none"/>
              </w:rPr>
              <w:t>嘉陵江实验室。</w:t>
            </w:r>
            <w:r>
              <w:rPr>
                <w:rFonts w:hint="eastAsia" w:ascii="Times New Roman" w:hAnsi="Times New Roman" w:eastAsia="方正书宋_GBK" w:cs="Times New Roman"/>
                <w:color w:val="auto"/>
                <w:highlight w:val="none"/>
                <w:u w:val="none"/>
              </w:rPr>
              <w:t>聚焦具身智能、智慧装备，打造“数智基座—核心部件—系统集成—规模应用”垂直创新体系，着力攻克复杂环境下智能体的强鲁棒感知、协同决策与虚实迁移等关键技术，抢占复杂环境智能技术战略制高点。</w:t>
            </w:r>
          </w:p>
        </w:tc>
      </w:tr>
    </w:tbl>
    <w:p w14:paraId="2491AA79">
      <w:pPr>
        <w:overflowPunct w:val="0"/>
        <w:adjustRightInd w:val="0"/>
        <w:snapToGrid w:val="0"/>
        <w:spacing w:line="600" w:lineRule="exact"/>
        <w:jc w:val="center"/>
        <w:outlineLvl w:val="2"/>
        <w:rPr>
          <w:rFonts w:ascii="Times New Roman" w:hAnsi="Times New Roman" w:eastAsia="方正仿宋_GBK" w:cs="Times New Roman"/>
          <w:color w:val="auto"/>
          <w:sz w:val="32"/>
          <w:szCs w:val="32"/>
          <w:highlight w:val="none"/>
        </w:rPr>
      </w:pPr>
      <w:bookmarkStart w:id="117" w:name="_Toc1940784677"/>
      <w:bookmarkStart w:id="118" w:name="_Toc1153088648"/>
      <w:bookmarkStart w:id="119" w:name="_Toc9141"/>
      <w:r>
        <w:rPr>
          <w:rFonts w:hint="eastAsia" w:ascii="Times New Roman" w:hAnsi="Times New Roman" w:eastAsia="方正楷体_GBK" w:cs="方正楷体_GBK"/>
          <w:color w:val="auto"/>
          <w:sz w:val="32"/>
          <w:szCs w:val="32"/>
          <w:highlight w:val="none"/>
        </w:rPr>
        <w:t>第二节 建设重大科技基础设施</w:t>
      </w:r>
      <w:bookmarkEnd w:id="117"/>
      <w:bookmarkEnd w:id="118"/>
      <w:bookmarkEnd w:id="119"/>
    </w:p>
    <w:p w14:paraId="7FFAC93D">
      <w:pPr>
        <w:adjustRightInd w:val="0"/>
        <w:snapToGrid w:val="0"/>
        <w:spacing w:line="600" w:lineRule="exact"/>
        <w:ind w:firstLine="640" w:firstLineChars="200"/>
        <w:textAlignment w:val="baseline"/>
        <w:rPr>
          <w:rFonts w:hint="eastAsia" w:ascii="Times New Roman" w:hAnsi="Times New Roman" w:eastAsia="方正黑体_GBK" w:cs="方正黑体_GBK"/>
          <w:color w:val="auto"/>
          <w:sz w:val="28"/>
          <w:szCs w:val="28"/>
          <w:highlight w:val="none"/>
          <w:lang w:bidi="ar"/>
        </w:rPr>
      </w:pPr>
      <w:r>
        <w:rPr>
          <w:rFonts w:hint="eastAsia" w:ascii="方正仿宋_GBK" w:hAnsi="方正仿宋_GBK" w:eastAsia="方正仿宋_GBK" w:cs="方正仿宋_GBK"/>
          <w:color w:val="auto"/>
          <w:sz w:val="32"/>
          <w:szCs w:val="32"/>
          <w:highlight w:val="none"/>
        </w:rPr>
        <w:t>推动科技创新基础设施投用见效，拓展和深化校地协同创新合作，争取更多战略科技力量布局，</w:t>
      </w:r>
      <w:r>
        <w:rPr>
          <w:rFonts w:hint="eastAsia" w:ascii="Times New Roman" w:hAnsi="Times New Roman" w:eastAsia="方正仿宋_GBK" w:cs="方正仿宋_GBK"/>
          <w:color w:val="auto"/>
          <w:sz w:val="32"/>
          <w:szCs w:val="32"/>
          <w:highlight w:val="none"/>
        </w:rPr>
        <w:t>打造一批原理探索、关键技术攻关、工程验证等类型重大科技基础设施，</w:t>
      </w:r>
      <w:r>
        <w:rPr>
          <w:rFonts w:hint="eastAsia" w:ascii="方正仿宋_GBK" w:hAnsi="方正仿宋_GBK" w:eastAsia="方正仿宋_GBK" w:cs="方正仿宋_GBK"/>
          <w:color w:val="auto"/>
          <w:sz w:val="32"/>
          <w:szCs w:val="32"/>
          <w:highlight w:val="none"/>
        </w:rPr>
        <w:t>提升科技创新核心竞争力。</w:t>
      </w:r>
      <w:r>
        <w:rPr>
          <w:rFonts w:hint="eastAsia" w:ascii="Times New Roman" w:hAnsi="Times New Roman" w:eastAsia="方正仿宋_GBK" w:cs="Times New Roman"/>
          <w:color w:val="auto"/>
          <w:sz w:val="32"/>
          <w:szCs w:val="32"/>
          <w:highlight w:val="none"/>
        </w:rPr>
        <w:t>推动超瞬态实验装置预研项目加快建成投用，</w:t>
      </w:r>
      <w:r>
        <w:rPr>
          <w:rFonts w:hint="eastAsia" w:ascii="方正仿宋_GBK" w:hAnsi="Times New Roman" w:eastAsia="方正仿宋_GBK" w:cs="Times New Roman"/>
          <w:color w:val="auto"/>
          <w:kern w:val="0"/>
          <w:sz w:val="32"/>
          <w:szCs w:val="32"/>
          <w:highlight w:val="none"/>
        </w:rPr>
        <w:t>为物质、材料、生命等领域科学研究提供极限研究手段。</w:t>
      </w:r>
      <w:r>
        <w:rPr>
          <w:rFonts w:hint="eastAsia" w:ascii="Times New Roman" w:hAnsi="Times New Roman" w:eastAsia="方正仿宋_GBK" w:cs="Times New Roman"/>
          <w:color w:val="auto"/>
          <w:sz w:val="32"/>
          <w:szCs w:val="32"/>
          <w:highlight w:val="none"/>
        </w:rPr>
        <w:t>推动</w:t>
      </w:r>
      <w:r>
        <w:rPr>
          <w:rFonts w:hint="eastAsia" w:ascii="方正仿宋_GBK" w:hAnsi="方正仿宋_GBK" w:eastAsia="方正仿宋_GBK" w:cs="方正仿宋_GBK"/>
          <w:color w:val="auto"/>
          <w:sz w:val="32"/>
          <w:szCs w:val="32"/>
          <w:highlight w:val="none"/>
        </w:rPr>
        <w:t>中子源科学装置完成应用终端建设，</w:t>
      </w:r>
      <w:r>
        <w:rPr>
          <w:rFonts w:hint="eastAsia" w:ascii="Times New Roman" w:hAnsi="Times New Roman" w:eastAsia="方正仿宋_GBK" w:cs="Times New Roman"/>
          <w:color w:val="auto"/>
          <w:sz w:val="32"/>
          <w:szCs w:val="32"/>
          <w:highlight w:val="none"/>
        </w:rPr>
        <w:t>支持国家健康战略资源中心建设“三库、二平台、二基地”。</w:t>
      </w:r>
      <w:r>
        <w:rPr>
          <w:rFonts w:hint="eastAsia" w:ascii="方正仿宋_GBK" w:hAnsi="方正仿宋_GBK" w:eastAsia="方正仿宋_GBK" w:cs="方正仿宋_GBK"/>
          <w:color w:val="auto"/>
          <w:sz w:val="32"/>
          <w:szCs w:val="32"/>
          <w:highlight w:val="none"/>
        </w:rPr>
        <w:t>提档升级长江上游种质创制工程研究中心、精密机械检测技术与装备工程研究中心等市级科技基础设施，积极争取“两重”“两新”项目布局和中央科技创新引导专项资金支持</w:t>
      </w:r>
      <w:r>
        <w:rPr>
          <w:rFonts w:hint="eastAsia" w:ascii="Times New Roman" w:hAnsi="Times New Roman" w:eastAsia="方正仿宋_GBK" w:cs="Times New Roman"/>
          <w:color w:val="auto"/>
          <w:sz w:val="32"/>
          <w:szCs w:val="32"/>
          <w:highlight w:val="none"/>
        </w:rPr>
        <w:t>。</w:t>
      </w:r>
      <w:r>
        <w:rPr>
          <w:rFonts w:hint="eastAsia" w:ascii="方正仿宋_GBK" w:hAnsi="方正仿宋_GBK" w:eastAsia="方正仿宋_GBK" w:cs="方正仿宋_GBK"/>
          <w:color w:val="auto"/>
          <w:sz w:val="32"/>
          <w:szCs w:val="32"/>
          <w:highlight w:val="none"/>
        </w:rPr>
        <w:t>到</w:t>
      </w:r>
      <w:r>
        <w:rPr>
          <w:rFonts w:hint="eastAsia" w:ascii="Times New Roman" w:hAnsi="Times New Roman" w:eastAsia="方正仿宋_GBK" w:cs="方正仿宋_GBK"/>
          <w:color w:val="auto"/>
          <w:sz w:val="32"/>
          <w:szCs w:val="32"/>
          <w:highlight w:val="none"/>
        </w:rPr>
        <w:t>2030</w:t>
      </w:r>
      <w:r>
        <w:rPr>
          <w:rFonts w:hint="eastAsia" w:ascii="方正仿宋_GBK" w:hAnsi="方正仿宋_GBK" w:eastAsia="方正仿宋_GBK" w:cs="方正仿宋_GBK"/>
          <w:color w:val="auto"/>
          <w:sz w:val="32"/>
          <w:szCs w:val="32"/>
          <w:highlight w:val="none"/>
        </w:rPr>
        <w:t>年，培育</w:t>
      </w:r>
      <w:r>
        <w:rPr>
          <w:rFonts w:hint="eastAsia" w:ascii="Times New Roman" w:hAnsi="Times New Roman" w:eastAsia="方正仿宋_GBK" w:cs="方正仿宋_GBK"/>
          <w:color w:val="auto"/>
          <w:sz w:val="32"/>
          <w:szCs w:val="32"/>
          <w:highlight w:val="none"/>
        </w:rPr>
        <w:t>1</w:t>
      </w:r>
      <w:r>
        <w:rPr>
          <w:rFonts w:hint="eastAsia" w:ascii="方正仿宋_GBK" w:hAnsi="方正仿宋_GBK" w:eastAsia="方正仿宋_GBK" w:cs="方正仿宋_GBK"/>
          <w:color w:val="auto"/>
          <w:sz w:val="32"/>
          <w:szCs w:val="32"/>
          <w:highlight w:val="none"/>
        </w:rPr>
        <w:t>—</w:t>
      </w:r>
      <w:r>
        <w:rPr>
          <w:rFonts w:hint="eastAsia" w:ascii="Times New Roman" w:hAnsi="Times New Roman" w:eastAsia="方正仿宋_GBK" w:cs="方正仿宋_GBK"/>
          <w:color w:val="auto"/>
          <w:sz w:val="32"/>
          <w:szCs w:val="32"/>
          <w:highlight w:val="none"/>
        </w:rPr>
        <w:t>2</w:t>
      </w:r>
      <w:r>
        <w:rPr>
          <w:rFonts w:hint="eastAsia" w:ascii="方正仿宋_GBK" w:hAnsi="方正仿宋_GBK" w:eastAsia="方正仿宋_GBK" w:cs="方正仿宋_GBK"/>
          <w:color w:val="auto"/>
          <w:sz w:val="32"/>
          <w:szCs w:val="32"/>
          <w:highlight w:val="none"/>
        </w:rPr>
        <w:t>个市级以上重大科技基础设施。</w:t>
      </w:r>
    </w:p>
    <w:p w14:paraId="0EC6B761">
      <w:pPr>
        <w:overflowPunct w:val="0"/>
        <w:jc w:val="center"/>
        <w:rPr>
          <w:rFonts w:hint="eastAsia" w:ascii="Times New Roman" w:hAnsi="Times New Roman" w:eastAsia="方正黑体_GBK" w:cs="方正黑体_GBK"/>
          <w:color w:val="auto"/>
          <w:kern w:val="0"/>
          <w:sz w:val="32"/>
          <w:szCs w:val="32"/>
          <w:highlight w:val="none"/>
          <w:u w:val="none"/>
          <w:lang w:bidi="ar"/>
        </w:rPr>
      </w:pPr>
      <w:r>
        <w:rPr>
          <w:rFonts w:hint="eastAsia" w:ascii="Times New Roman" w:hAnsi="Times New Roman" w:eastAsia="方正黑体_GBK" w:cs="方正黑体_GBK"/>
          <w:color w:val="auto"/>
          <w:kern w:val="0"/>
          <w:sz w:val="32"/>
          <w:szCs w:val="32"/>
          <w:highlight w:val="none"/>
          <w:u w:val="none"/>
          <w:lang w:bidi="ar"/>
        </w:rPr>
        <w:t>专栏</w:t>
      </w:r>
      <w:r>
        <w:rPr>
          <w:rFonts w:hint="eastAsia" w:ascii="Times New Roman" w:hAnsi="Times New Roman" w:eastAsia="方正黑体_GBK" w:cs="方正黑体_GBK"/>
          <w:color w:val="auto"/>
          <w:kern w:val="0"/>
          <w:sz w:val="32"/>
          <w:szCs w:val="32"/>
          <w:highlight w:val="none"/>
          <w:u w:val="none"/>
          <w:lang w:val="en-US" w:eastAsia="zh-CN" w:bidi="ar"/>
        </w:rPr>
        <w:t>3</w:t>
      </w:r>
      <w:r>
        <w:rPr>
          <w:rFonts w:hint="eastAsia" w:ascii="Times New Roman" w:hAnsi="Times New Roman" w:eastAsia="方正黑体_GBK" w:cs="方正黑体_GBK"/>
          <w:color w:val="auto"/>
          <w:kern w:val="0"/>
          <w:sz w:val="32"/>
          <w:szCs w:val="32"/>
          <w:highlight w:val="none"/>
          <w:u w:val="none"/>
          <w:lang w:bidi="ar"/>
        </w:rPr>
        <w:t xml:space="preserve"> 重大科技基础设施提质增效专项行动</w:t>
      </w:r>
    </w:p>
    <w:tbl>
      <w:tblPr>
        <w:tblStyle w:val="22"/>
        <w:tblW w:w="5000" w:type="pct"/>
        <w:tblInd w:w="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249E1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1DCB1ACA">
            <w:pPr>
              <w:pStyle w:val="19"/>
              <w:overflowPunct w:val="0"/>
              <w:snapToGrid w:val="0"/>
              <w:spacing w:beforeAutospacing="0" w:afterAutospacing="0" w:line="380" w:lineRule="exact"/>
              <w:ind w:firstLine="480" w:firstLineChars="200"/>
              <w:jc w:val="both"/>
              <w:rPr>
                <w:rFonts w:hint="eastAsia" w:ascii="Times New Roman" w:hAnsi="Times New Roman" w:eastAsia="方正书宋_GBK" w:cs="Times New Roman"/>
                <w:color w:val="auto"/>
                <w:sz w:val="24"/>
                <w:szCs w:val="24"/>
                <w:highlight w:val="none"/>
                <w:u w:val="none"/>
              </w:rPr>
            </w:pPr>
            <w:r>
              <w:rPr>
                <w:rFonts w:hint="eastAsia" w:ascii="Times New Roman" w:hAnsi="Times New Roman" w:eastAsia="方正黑体_GBK" w:cs="方正黑体_GBK"/>
                <w:color w:val="auto"/>
                <w:sz w:val="24"/>
                <w:szCs w:val="24"/>
                <w:highlight w:val="none"/>
                <w:u w:val="none"/>
              </w:rPr>
              <w:t>1．超瞬态实验装置。</w:t>
            </w:r>
            <w:r>
              <w:rPr>
                <w:rFonts w:hint="eastAsia" w:ascii="Times New Roman" w:hAnsi="Times New Roman" w:eastAsia="方正书宋_GBK" w:cs="Times New Roman"/>
                <w:color w:val="auto"/>
                <w:sz w:val="24"/>
                <w:szCs w:val="24"/>
                <w:highlight w:val="none"/>
                <w:u w:val="none"/>
              </w:rPr>
              <w:t>推动超瞬态实验装置（一期）建成投用，完成电子能量500</w:t>
            </w:r>
            <w:r>
              <w:rPr>
                <w:rFonts w:hint="eastAsia" w:ascii="Times New Roman" w:hAnsi="Times New Roman" w:eastAsia="方正书宋_GBK" w:cs="Times New Roman"/>
                <w:color w:val="auto"/>
                <w:sz w:val="24"/>
                <w:szCs w:val="24"/>
                <w:highlight w:val="none"/>
                <w:u w:val="none"/>
                <w:lang w:val="en-US" w:eastAsia="zh-CN"/>
              </w:rPr>
              <w:t xml:space="preserve"> </w:t>
            </w:r>
            <w:r>
              <w:rPr>
                <w:rFonts w:hint="eastAsia" w:ascii="Times New Roman" w:hAnsi="Times New Roman" w:eastAsia="方正书宋_GBK" w:cs="Times New Roman"/>
                <w:color w:val="auto"/>
                <w:sz w:val="24"/>
                <w:szCs w:val="24"/>
                <w:highlight w:val="none"/>
                <w:u w:val="none"/>
              </w:rPr>
              <w:t>MeV的直线加速器、能量500MeV的储存环和4个先进实验平台建设。推动超瞬态实验装置（二期）建设，打造国际领先的高通量光子探针和电子束综合研究平台，实现50fs的时间分辨率</w:t>
            </w:r>
            <w:r>
              <w:rPr>
                <w:rFonts w:hint="eastAsia" w:ascii="Times New Roman" w:hAnsi="Times New Roman" w:eastAsia="方正书宋_GBK" w:cs="Times New Roman"/>
                <w:color w:val="auto"/>
                <w:sz w:val="24"/>
                <w:szCs w:val="24"/>
                <w:highlight w:val="none"/>
                <w:u w:val="none"/>
                <w:lang w:eastAsia="zh-CN"/>
              </w:rPr>
              <w:t>、</w:t>
            </w:r>
            <w:r>
              <w:rPr>
                <w:rFonts w:hint="eastAsia" w:ascii="Times New Roman" w:hAnsi="Times New Roman" w:eastAsia="方正书宋_GBK" w:cs="Times New Roman"/>
                <w:color w:val="auto"/>
                <w:sz w:val="24"/>
                <w:szCs w:val="24"/>
                <w:highlight w:val="none"/>
                <w:u w:val="none"/>
              </w:rPr>
              <w:t>0.5Å的空间分辨率和0.2meV的能量分辨率。</w:t>
            </w:r>
          </w:p>
          <w:p w14:paraId="12CB49DF">
            <w:pPr>
              <w:pStyle w:val="19"/>
              <w:overflowPunct w:val="0"/>
              <w:snapToGrid w:val="0"/>
              <w:spacing w:beforeAutospacing="0" w:afterAutospacing="0" w:line="380" w:lineRule="exact"/>
              <w:ind w:firstLine="480" w:firstLineChars="200"/>
              <w:jc w:val="both"/>
              <w:rPr>
                <w:rFonts w:hint="eastAsia" w:ascii="Times New Roman" w:hAnsi="Times New Roman" w:eastAsia="方正书宋_GBK" w:cs="Times New Roman"/>
                <w:color w:val="auto"/>
                <w:sz w:val="24"/>
                <w:szCs w:val="24"/>
                <w:highlight w:val="none"/>
                <w:u w:val="none"/>
              </w:rPr>
            </w:pPr>
            <w:r>
              <w:rPr>
                <w:rFonts w:hint="eastAsia" w:ascii="Times New Roman" w:hAnsi="Times New Roman" w:eastAsia="方正黑体_GBK" w:cs="方正黑体_GBK"/>
                <w:color w:val="auto"/>
                <w:sz w:val="24"/>
                <w:szCs w:val="24"/>
                <w:highlight w:val="none"/>
                <w:u w:val="none"/>
              </w:rPr>
              <w:t>2．中子源大科学装置。</w:t>
            </w:r>
            <w:r>
              <w:rPr>
                <w:rFonts w:hint="eastAsia" w:ascii="Times New Roman" w:hAnsi="Times New Roman" w:eastAsia="方正书宋_GBK" w:cs="Times New Roman"/>
                <w:color w:val="auto"/>
                <w:sz w:val="24"/>
                <w:szCs w:val="24"/>
                <w:highlight w:val="none"/>
                <w:u w:val="none"/>
              </w:rPr>
              <w:t>提供高流强标准单能中子场与构建特定中子辐照环境，重点开展中子技术在医疗、工业检测、医用同位素生产、中子能量转换利用等领域的应用技术研发验证。</w:t>
            </w:r>
          </w:p>
          <w:p w14:paraId="0DC35C9E">
            <w:pPr>
              <w:pStyle w:val="19"/>
              <w:overflowPunct w:val="0"/>
              <w:snapToGrid w:val="0"/>
              <w:spacing w:beforeAutospacing="0" w:afterAutospacing="0" w:line="380" w:lineRule="exact"/>
              <w:ind w:firstLine="480" w:firstLineChars="200"/>
              <w:jc w:val="both"/>
              <w:rPr>
                <w:rFonts w:ascii="Times New Roman" w:hAnsi="Times New Roman"/>
                <w:color w:val="auto"/>
                <w:sz w:val="24"/>
                <w:szCs w:val="24"/>
                <w:highlight w:val="none"/>
              </w:rPr>
            </w:pPr>
            <w:r>
              <w:rPr>
                <w:rFonts w:hint="eastAsia" w:ascii="Times New Roman" w:hAnsi="Times New Roman" w:eastAsia="方正黑体_GBK" w:cs="方正黑体_GBK"/>
                <w:color w:val="auto"/>
                <w:sz w:val="24"/>
                <w:szCs w:val="24"/>
                <w:highlight w:val="none"/>
                <w:u w:val="none"/>
              </w:rPr>
              <w:t>3．国家健康战略资源中心。</w:t>
            </w:r>
            <w:r>
              <w:rPr>
                <w:rFonts w:hint="eastAsia" w:ascii="Times New Roman" w:hAnsi="Times New Roman" w:eastAsia="方正书宋_GBK" w:cs="Times New Roman"/>
                <w:color w:val="auto"/>
                <w:sz w:val="24"/>
                <w:szCs w:val="24"/>
                <w:highlight w:val="none"/>
                <w:u w:val="none"/>
              </w:rPr>
              <w:t>打造百万量级中国自然人群队列、千万量级中国自然人群生物资源库、十万量级人群队列的基因组，构建用于精准健康研究与生物医药创新的生物样本与数据资源体系，实现国家健康资源在成渝地区战略储备。</w:t>
            </w:r>
          </w:p>
        </w:tc>
      </w:tr>
    </w:tbl>
    <w:p w14:paraId="0B65BD15">
      <w:pPr>
        <w:overflowPunct w:val="0"/>
        <w:adjustRightInd w:val="0"/>
        <w:snapToGrid w:val="0"/>
        <w:spacing w:line="600" w:lineRule="exact"/>
        <w:jc w:val="center"/>
        <w:outlineLvl w:val="2"/>
        <w:rPr>
          <w:rFonts w:ascii="Times New Roman" w:hAnsi="Times New Roman" w:eastAsia="方正楷体_GBK" w:cs="方正仿宋_GBK"/>
          <w:color w:val="auto"/>
          <w:sz w:val="32"/>
          <w:szCs w:val="32"/>
          <w:highlight w:val="none"/>
        </w:rPr>
      </w:pPr>
      <w:bookmarkStart w:id="120" w:name="_Toc638952056"/>
      <w:bookmarkStart w:id="121" w:name="_Toc1068476408"/>
      <w:bookmarkStart w:id="122" w:name="_Toc7490"/>
      <w:r>
        <w:rPr>
          <w:rFonts w:hint="eastAsia" w:ascii="Times New Roman" w:hAnsi="Times New Roman" w:eastAsia="方正楷体_GBK" w:cs="方正楷体_GBK"/>
          <w:color w:val="auto"/>
          <w:sz w:val="32"/>
          <w:szCs w:val="32"/>
          <w:highlight w:val="none"/>
        </w:rPr>
        <w:t>第三节 培育科技创新平台基地</w:t>
      </w:r>
      <w:bookmarkEnd w:id="120"/>
      <w:bookmarkEnd w:id="121"/>
      <w:bookmarkEnd w:id="122"/>
    </w:p>
    <w:p w14:paraId="2AACA8F8">
      <w:pPr>
        <w:overflowPunct/>
        <w:adjustRightInd w:val="0"/>
        <w:snapToGrid w:val="0"/>
        <w:spacing w:line="600" w:lineRule="exact"/>
        <w:ind w:firstLine="640" w:firstLineChars="200"/>
        <w:jc w:val="left"/>
        <w:textAlignment w:val="baseline"/>
        <w:rPr>
          <w:rFonts w:hint="eastAsia" w:ascii="Times New Roman" w:hAnsi="Times New Roman" w:eastAsia="方正黑体_GBK" w:cs="方正黑体_GBK"/>
          <w:color w:val="auto"/>
          <w:kern w:val="0"/>
          <w:sz w:val="32"/>
          <w:szCs w:val="32"/>
          <w:highlight w:val="none"/>
          <w:u w:val="none"/>
          <w:lang w:bidi="ar"/>
        </w:rPr>
      </w:pPr>
      <w:r>
        <w:rPr>
          <w:rFonts w:hint="eastAsia" w:ascii="Times New Roman" w:hAnsi="Times New Roman" w:eastAsia="方正仿宋_GBK" w:cs="Times New Roman"/>
          <w:color w:val="auto"/>
          <w:sz w:val="32"/>
          <w:szCs w:val="32"/>
          <w:highlight w:val="none"/>
        </w:rPr>
        <w:t>立足高等院校、科研院所、高新技术企业等创新资源</w:t>
      </w:r>
      <w:r>
        <w:rPr>
          <w:rFonts w:hint="eastAsia" w:ascii="Times New Roman" w:hAnsi="Times New Roman" w:eastAsia="方正仿宋_GBK" w:cs="Times New Roman"/>
          <w:color w:val="auto"/>
          <w:sz w:val="32"/>
          <w:szCs w:val="32"/>
          <w:highlight w:val="none"/>
          <w:lang w:eastAsia="zh-CN"/>
        </w:rPr>
        <w:t>集聚</w:t>
      </w:r>
      <w:r>
        <w:rPr>
          <w:rFonts w:hint="eastAsia" w:ascii="Times New Roman" w:hAnsi="Times New Roman" w:eastAsia="方正仿宋_GBK" w:cs="Times New Roman"/>
          <w:color w:val="auto"/>
          <w:sz w:val="32"/>
          <w:szCs w:val="32"/>
          <w:highlight w:val="none"/>
        </w:rPr>
        <w:t>优势，持续构建多层次、高能级、体系化的科技创新平台矩阵。培育基础研究类平台基地。聚焦生命健康、新材料、新能源与储能等核心赛道，全力推进国家重点实验室优化重组与新建，重点谋划培育</w:t>
      </w:r>
      <w:r>
        <w:rPr>
          <w:rFonts w:hint="eastAsia" w:ascii="Times New Roman" w:hAnsi="Times New Roman" w:eastAsia="方正仿宋_GBK" w:cs="Times New Roman"/>
          <w:color w:val="auto"/>
          <w:sz w:val="32"/>
          <w:szCs w:val="32"/>
          <w:highlight w:val="none"/>
          <w:lang w:eastAsia="zh-CN"/>
        </w:rPr>
        <w:t>非常规油气开发</w:t>
      </w:r>
      <w:r>
        <w:rPr>
          <w:rFonts w:hint="eastAsia" w:ascii="Times New Roman" w:hAnsi="Times New Roman" w:eastAsia="方正仿宋_GBK" w:cs="Times New Roman"/>
          <w:color w:val="auto"/>
          <w:sz w:val="32"/>
          <w:szCs w:val="32"/>
          <w:highlight w:val="none"/>
        </w:rPr>
        <w:t>等全国重点实验室，做优做强一批特色鲜明、支撑力强的市级重点实验室，形成“国家级为引领、市级为骨干”的基础研究阵地。深度融入全球创新网络，高标准筹建农林病虫害综合治理等“一带一路”联合实验室。前瞻布局岩溶地下水系统等野外科学观测研究站，开展长期、定点的前沿科学观测与数据采集，填补区域关键基础科学数据空白。建设技术创新类平台基地。围绕集成电路、</w:t>
      </w:r>
      <w:r>
        <w:rPr>
          <w:rFonts w:hint="eastAsia" w:ascii="Times New Roman" w:hAnsi="Times New Roman" w:eastAsia="方正仿宋_GBK" w:cs="Times New Roman"/>
          <w:color w:val="auto"/>
          <w:sz w:val="32"/>
          <w:szCs w:val="32"/>
          <w:highlight w:val="none"/>
          <w:lang w:val="en-US" w:eastAsia="zh-CN"/>
        </w:rPr>
        <w:t>新能源汽摩</w:t>
      </w:r>
      <w:r>
        <w:rPr>
          <w:rFonts w:hint="eastAsia" w:ascii="Times New Roman" w:hAnsi="Times New Roman" w:eastAsia="方正仿宋_GBK" w:cs="Times New Roman"/>
          <w:color w:val="auto"/>
          <w:sz w:val="32"/>
          <w:szCs w:val="32"/>
          <w:highlight w:val="none"/>
        </w:rPr>
        <w:t>等标志性产业链，</w:t>
      </w:r>
      <w:r>
        <w:rPr>
          <w:rFonts w:hint="eastAsia" w:eastAsia="方正仿宋_GBK" w:cs="Times New Roman"/>
          <w:bCs/>
          <w:color w:val="auto"/>
          <w:sz w:val="32"/>
          <w:szCs w:val="32"/>
          <w:highlight w:val="none"/>
        </w:rPr>
        <w:t>引导企业、高校院所牵头建设国家级和市级制造业创新中心、企业技术创新中心、产业技术工程化中心等高能级科创平台</w:t>
      </w:r>
      <w:r>
        <w:rPr>
          <w:rFonts w:hint="eastAsia" w:ascii="Times New Roman" w:hAnsi="Times New Roman" w:eastAsia="方正仿宋_GBK" w:cs="Times New Roman"/>
          <w:color w:val="auto"/>
          <w:sz w:val="32"/>
          <w:szCs w:val="32"/>
          <w:highlight w:val="none"/>
        </w:rPr>
        <w:t>。谋划布局无人装备、生物制造等新兴产业创新中心，打造一批新域新质创新平台，加速前沿技术向现实生产力转化。到2030年，全区科创平台基地底座全面夯实、体系更加完善，技术创新能力显著提升，市级</w:t>
      </w:r>
      <w:r>
        <w:rPr>
          <w:rFonts w:hint="eastAsia" w:ascii="Times New Roman" w:hAnsi="Times New Roman" w:eastAsia="方正仿宋_GBK" w:cs="Times New Roman"/>
          <w:color w:val="auto"/>
          <w:sz w:val="32"/>
          <w:szCs w:val="32"/>
          <w:highlight w:val="none"/>
          <w:lang w:eastAsia="zh-CN"/>
        </w:rPr>
        <w:t>及以上科技创新</w:t>
      </w:r>
      <w:r>
        <w:rPr>
          <w:rFonts w:hint="eastAsia" w:ascii="Times New Roman" w:hAnsi="Times New Roman" w:eastAsia="方正仿宋_GBK" w:cs="Times New Roman"/>
          <w:color w:val="auto"/>
          <w:sz w:val="32"/>
          <w:szCs w:val="32"/>
          <w:highlight w:val="none"/>
        </w:rPr>
        <w:t>平台基地增至</w:t>
      </w:r>
      <w:r>
        <w:rPr>
          <w:rFonts w:hint="eastAsia" w:ascii="Times New Roman" w:hAnsi="Times New Roman" w:eastAsia="方正仿宋_GBK" w:cs="Times New Roman"/>
          <w:color w:val="auto"/>
          <w:sz w:val="32"/>
          <w:szCs w:val="32"/>
          <w:highlight w:val="none"/>
          <w:lang w:val="en-US" w:eastAsia="zh-CN"/>
        </w:rPr>
        <w:t>320</w:t>
      </w:r>
      <w:r>
        <w:rPr>
          <w:rFonts w:hint="eastAsia" w:ascii="Times New Roman" w:hAnsi="Times New Roman" w:eastAsia="方正仿宋_GBK" w:cs="Times New Roman"/>
          <w:color w:val="auto"/>
          <w:sz w:val="32"/>
          <w:szCs w:val="32"/>
          <w:highlight w:val="none"/>
        </w:rPr>
        <w:t>家。</w:t>
      </w:r>
    </w:p>
    <w:p w14:paraId="5B9E325D">
      <w:pPr>
        <w:overflowPunct w:val="0"/>
        <w:jc w:val="center"/>
        <w:rPr>
          <w:rFonts w:hint="eastAsia" w:ascii="Times New Roman" w:hAnsi="Times New Roman" w:eastAsia="方正黑体_GBK" w:cs="方正黑体_GBK"/>
          <w:color w:val="auto"/>
          <w:kern w:val="0"/>
          <w:sz w:val="32"/>
          <w:szCs w:val="32"/>
          <w:highlight w:val="none"/>
          <w:u w:val="none"/>
          <w:lang w:bidi="ar"/>
        </w:rPr>
      </w:pPr>
      <w:r>
        <w:rPr>
          <w:rFonts w:hint="eastAsia" w:ascii="Times New Roman" w:hAnsi="Times New Roman" w:eastAsia="方正黑体_GBK" w:cs="方正黑体_GBK"/>
          <w:color w:val="auto"/>
          <w:kern w:val="0"/>
          <w:sz w:val="32"/>
          <w:szCs w:val="32"/>
          <w:highlight w:val="none"/>
          <w:u w:val="none"/>
          <w:lang w:bidi="ar"/>
        </w:rPr>
        <w:t>专栏</w:t>
      </w:r>
      <w:r>
        <w:rPr>
          <w:rFonts w:hint="eastAsia" w:ascii="Times New Roman" w:hAnsi="Times New Roman" w:eastAsia="方正黑体_GBK" w:cs="方正黑体_GBK"/>
          <w:color w:val="auto"/>
          <w:kern w:val="0"/>
          <w:sz w:val="32"/>
          <w:szCs w:val="32"/>
          <w:highlight w:val="none"/>
          <w:u w:val="none"/>
          <w:lang w:val="en-US" w:eastAsia="zh-CN" w:bidi="ar"/>
        </w:rPr>
        <w:t>4</w:t>
      </w:r>
      <w:r>
        <w:rPr>
          <w:rFonts w:hint="eastAsia" w:ascii="Times New Roman" w:hAnsi="Times New Roman" w:eastAsia="方正黑体_GBK" w:cs="方正黑体_GBK"/>
          <w:color w:val="auto"/>
          <w:kern w:val="0"/>
          <w:sz w:val="32"/>
          <w:szCs w:val="32"/>
          <w:highlight w:val="none"/>
          <w:u w:val="none"/>
          <w:lang w:bidi="ar"/>
        </w:rPr>
        <w:t xml:space="preserve"> 重点科技创新平台基地</w:t>
      </w:r>
    </w:p>
    <w:tbl>
      <w:tblPr>
        <w:tblStyle w:val="22"/>
        <w:tblW w:w="5000" w:type="pct"/>
        <w:tblInd w:w="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11D38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3456EB6F">
            <w:pPr>
              <w:pStyle w:val="19"/>
              <w:overflowPunct w:val="0"/>
              <w:snapToGrid w:val="0"/>
              <w:spacing w:beforeAutospacing="0" w:afterAutospacing="0" w:line="380" w:lineRule="exact"/>
              <w:ind w:firstLine="480" w:firstLineChars="200"/>
              <w:jc w:val="both"/>
              <w:rPr>
                <w:rFonts w:hint="eastAsia" w:ascii="Times New Roman" w:hAnsi="Times New Roman" w:eastAsia="方正黑体_GBK" w:cs="方正黑体_GBK"/>
                <w:color w:val="auto"/>
                <w:sz w:val="24"/>
                <w:szCs w:val="24"/>
                <w:highlight w:val="none"/>
                <w:u w:val="none"/>
              </w:rPr>
            </w:pPr>
            <w:r>
              <w:rPr>
                <w:rFonts w:hint="eastAsia" w:ascii="Times New Roman" w:hAnsi="Times New Roman" w:eastAsia="方正黑体_GBK" w:cs="方正黑体_GBK"/>
                <w:color w:val="auto"/>
                <w:sz w:val="24"/>
                <w:szCs w:val="24"/>
                <w:highlight w:val="none"/>
                <w:u w:val="none"/>
                <w:lang w:val="en-US" w:eastAsia="zh-CN"/>
              </w:rPr>
              <w:t>1</w:t>
            </w:r>
            <w:r>
              <w:rPr>
                <w:rFonts w:hint="eastAsia" w:ascii="Times New Roman" w:hAnsi="Times New Roman" w:eastAsia="方正黑体_GBK" w:cs="方正黑体_GBK"/>
                <w:color w:val="auto"/>
                <w:sz w:val="24"/>
                <w:szCs w:val="24"/>
                <w:highlight w:val="none"/>
                <w:u w:val="none"/>
              </w:rPr>
              <w:t>．全国重点实验室。</w:t>
            </w:r>
            <w:r>
              <w:rPr>
                <w:rFonts w:hint="eastAsia" w:ascii="Times New Roman" w:hAnsi="Times New Roman" w:eastAsia="方正书宋_GBK" w:cs="Times New Roman"/>
                <w:color w:val="auto"/>
                <w:sz w:val="24"/>
                <w:szCs w:val="24"/>
                <w:highlight w:val="none"/>
                <w:u w:val="none"/>
              </w:rPr>
              <w:t>电子可靠性全国重点实验室、高端装备机械传动全国重点实验室、创伤与化学中毒全国重点实验室、输变电装备技术全国重点实验室、煤矿灾害动力学与控制全国重点实验室、煤矿灾害防控全国重点实验室、高端装备铸造技术全国重点实验室、特种化学电源全国重点实验室、山区土木工程安全与韧性全国重点实验室。</w:t>
            </w:r>
          </w:p>
          <w:p w14:paraId="5BBE2BBE">
            <w:pPr>
              <w:pStyle w:val="19"/>
              <w:overflowPunct w:val="0"/>
              <w:snapToGrid w:val="0"/>
              <w:spacing w:beforeAutospacing="0" w:afterAutospacing="0" w:line="380" w:lineRule="exact"/>
              <w:ind w:firstLine="480" w:firstLineChars="200"/>
              <w:jc w:val="both"/>
              <w:rPr>
                <w:rFonts w:hint="eastAsia" w:ascii="Times New Roman" w:hAnsi="Times New Roman" w:eastAsia="方正书宋_GBK" w:cs="Times New Roman"/>
                <w:color w:val="auto"/>
                <w:sz w:val="24"/>
                <w:szCs w:val="24"/>
                <w:highlight w:val="none"/>
                <w:u w:val="none"/>
              </w:rPr>
            </w:pPr>
            <w:r>
              <w:rPr>
                <w:rFonts w:hint="eastAsia" w:ascii="Times New Roman" w:hAnsi="Times New Roman" w:eastAsia="方正黑体_GBK" w:cs="方正黑体_GBK"/>
                <w:color w:val="auto"/>
                <w:sz w:val="24"/>
                <w:szCs w:val="24"/>
                <w:highlight w:val="none"/>
                <w:u w:val="none"/>
                <w:lang w:val="en-US" w:eastAsia="zh-CN"/>
              </w:rPr>
              <w:t>2</w:t>
            </w:r>
            <w:r>
              <w:rPr>
                <w:rFonts w:hint="eastAsia" w:ascii="Times New Roman" w:hAnsi="Times New Roman" w:eastAsia="方正黑体_GBK" w:cs="方正黑体_GBK"/>
                <w:color w:val="auto"/>
                <w:sz w:val="24"/>
                <w:szCs w:val="24"/>
                <w:highlight w:val="none"/>
                <w:u w:val="none"/>
              </w:rPr>
              <w:t>．制造业创新中心。</w:t>
            </w:r>
            <w:r>
              <w:rPr>
                <w:rFonts w:hint="eastAsia" w:ascii="Times New Roman" w:hAnsi="Times New Roman" w:eastAsia="方正书宋_GBK" w:cs="Times New Roman"/>
                <w:color w:val="auto"/>
                <w:sz w:val="24"/>
                <w:szCs w:val="24"/>
                <w:highlight w:val="none"/>
                <w:u w:val="none"/>
              </w:rPr>
              <w:t>国家地方共建硅基混合集成创新中心、重庆市集成电路特色工艺及封装测试制造业创新中心、重庆市石墨烯制造业创新中心等。</w:t>
            </w:r>
          </w:p>
          <w:p w14:paraId="10161DF2">
            <w:pPr>
              <w:pStyle w:val="19"/>
              <w:overflowPunct w:val="0"/>
              <w:snapToGrid w:val="0"/>
              <w:spacing w:beforeAutospacing="0" w:afterAutospacing="0" w:line="380" w:lineRule="exact"/>
              <w:ind w:firstLine="480" w:firstLineChars="200"/>
              <w:jc w:val="both"/>
              <w:rPr>
                <w:rFonts w:ascii="Times New Roman" w:hAnsi="Times New Roman"/>
                <w:color w:val="auto"/>
                <w:sz w:val="24"/>
                <w:szCs w:val="24"/>
                <w:highlight w:val="none"/>
              </w:rPr>
            </w:pPr>
            <w:r>
              <w:rPr>
                <w:rFonts w:hint="eastAsia" w:ascii="Times New Roman" w:hAnsi="Times New Roman" w:eastAsia="方正黑体_GBK" w:cs="方正黑体_GBK"/>
                <w:color w:val="auto"/>
                <w:sz w:val="24"/>
                <w:szCs w:val="24"/>
                <w:highlight w:val="none"/>
                <w:u w:val="none"/>
                <w:lang w:val="en-US" w:eastAsia="zh-CN"/>
              </w:rPr>
              <w:t>3</w:t>
            </w:r>
            <w:r>
              <w:rPr>
                <w:rFonts w:hint="eastAsia" w:ascii="Times New Roman" w:hAnsi="Times New Roman" w:eastAsia="方正黑体_GBK" w:cs="方正黑体_GBK"/>
                <w:color w:val="auto"/>
                <w:sz w:val="24"/>
                <w:szCs w:val="24"/>
                <w:highlight w:val="none"/>
                <w:u w:val="none"/>
              </w:rPr>
              <w:t>．产业技术工程化中心。</w:t>
            </w:r>
            <w:r>
              <w:rPr>
                <w:rFonts w:hint="eastAsia" w:ascii="Times New Roman" w:hAnsi="Times New Roman" w:eastAsia="方正书宋_GBK" w:cs="Times New Roman"/>
                <w:color w:val="auto"/>
                <w:sz w:val="24"/>
                <w:szCs w:val="24"/>
                <w:highlight w:val="none"/>
                <w:u w:val="none"/>
              </w:rPr>
              <w:t>精密测量产业技术工程化中心、重庆市细胞治疗工程技术研究中心、重庆市通用汽油机及发电机电装品工程技术研究中心、基因与细胞重庆市工程研究中心、5G通信芯片与模组重庆市工程研究中心等。</w:t>
            </w:r>
          </w:p>
        </w:tc>
      </w:tr>
    </w:tbl>
    <w:p w14:paraId="1C0A6454">
      <w:pPr>
        <w:overflowPunct w:val="0"/>
        <w:adjustRightInd w:val="0"/>
        <w:snapToGrid w:val="0"/>
        <w:spacing w:line="600" w:lineRule="exact"/>
        <w:jc w:val="center"/>
        <w:outlineLvl w:val="2"/>
        <w:rPr>
          <w:rFonts w:ascii="Times New Roman" w:hAnsi="Times New Roman" w:eastAsia="方正楷体_GBK" w:cs="方正楷体_GBK"/>
          <w:color w:val="auto"/>
          <w:sz w:val="32"/>
          <w:szCs w:val="32"/>
          <w:highlight w:val="none"/>
        </w:rPr>
      </w:pPr>
      <w:bookmarkStart w:id="123" w:name="_Toc624733042"/>
      <w:bookmarkStart w:id="124" w:name="_Toc32449"/>
      <w:bookmarkStart w:id="125" w:name="_Toc1448970192"/>
      <w:r>
        <w:rPr>
          <w:rFonts w:hint="eastAsia" w:ascii="Times New Roman" w:hAnsi="Times New Roman" w:eastAsia="方正楷体_GBK" w:cs="方正楷体_GBK"/>
          <w:color w:val="auto"/>
          <w:sz w:val="32"/>
          <w:szCs w:val="32"/>
          <w:highlight w:val="none"/>
        </w:rPr>
        <w:t>第四节 打造N个标志性新型研发机构</w:t>
      </w:r>
      <w:bookmarkEnd w:id="123"/>
      <w:bookmarkEnd w:id="124"/>
      <w:bookmarkEnd w:id="125"/>
    </w:p>
    <w:p w14:paraId="438E599C">
      <w:pPr>
        <w:adjustRightInd w:val="0"/>
        <w:snapToGrid w:val="0"/>
        <w:spacing w:line="600" w:lineRule="exact"/>
        <w:ind w:firstLine="640" w:firstLineChars="200"/>
        <w:textAlignment w:val="baseline"/>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rPr>
        <w:t>面向知名高校、央属部属科研机构、企业等主体，积极争取高校院所异地研发机构、央企区域研发中心等平台落地布局。探索建立新型研发机构梯度培育机制</w:t>
      </w:r>
      <w:r>
        <w:rPr>
          <w:rFonts w:hint="eastAsia" w:ascii="Times New Roman" w:hAnsi="Times New Roman" w:eastAsia="方正仿宋_GBK" w:cs="Times New Roman"/>
          <w:color w:val="auto"/>
          <w:sz w:val="32"/>
          <w:szCs w:val="32"/>
          <w:highlight w:val="none"/>
        </w:rPr>
        <w:t>，</w:t>
      </w:r>
      <w:r>
        <w:rPr>
          <w:rFonts w:hint="eastAsia" w:ascii="Times New Roman" w:hAnsi="Times New Roman" w:eastAsia="方正仿宋_GBK" w:cs="Times New Roman"/>
          <w:color w:val="auto"/>
          <w:sz w:val="32"/>
          <w:szCs w:val="32"/>
          <w:highlight w:val="none"/>
          <w:lang w:val="en-US" w:eastAsia="zh-CN"/>
        </w:rPr>
        <w:t>鼓励</w:t>
      </w:r>
      <w:r>
        <w:rPr>
          <w:rFonts w:hint="eastAsia" w:ascii="Times New Roman" w:hAnsi="Times New Roman" w:eastAsia="方正仿宋_GBK" w:cs="Times New Roman"/>
          <w:color w:val="auto"/>
          <w:sz w:val="32"/>
          <w:szCs w:val="32"/>
          <w:highlight w:val="none"/>
        </w:rPr>
        <w:t>新型研发机构注册市场化运营公司开展技术转让、企业孵化、产业服务等业务，探索逐步取消单一财政支持建设运营模式。</w:t>
      </w:r>
      <w:r>
        <w:rPr>
          <w:rFonts w:hint="eastAsia" w:ascii="方正仿宋_GBK" w:hAnsi="方正仿宋_GBK" w:eastAsia="方正仿宋_GBK" w:cs="方正仿宋_GBK"/>
          <w:color w:val="auto"/>
          <w:sz w:val="32"/>
          <w:szCs w:val="32"/>
          <w:highlight w:val="none"/>
        </w:rPr>
        <w:t>发挥高校院所在渝机构的支点作用，推动中国科学院重庆汽车软件创新研究平台、</w:t>
      </w:r>
      <w:r>
        <w:rPr>
          <w:rFonts w:hint="eastAsia" w:ascii="Times New Roman" w:hAnsi="Times New Roman" w:eastAsia="方正仿宋_GBK" w:cs="Times New Roman"/>
          <w:color w:val="auto"/>
          <w:sz w:val="32"/>
          <w:szCs w:val="32"/>
          <w:highlight w:val="none"/>
        </w:rPr>
        <w:t>北京大学重庆大数据研究院、北京大学重庆碳基集成电路研究院、重庆医科大学</w:t>
      </w:r>
      <w:r>
        <w:rPr>
          <w:rFonts w:hint="eastAsia" w:ascii="Times New Roman" w:hAnsi="Times New Roman" w:eastAsia="方正仿宋_GBK" w:cs="Times New Roman"/>
          <w:color w:val="auto"/>
          <w:sz w:val="32"/>
          <w:szCs w:val="32"/>
          <w:highlight w:val="none"/>
          <w:lang w:eastAsia="zh-CN"/>
        </w:rPr>
        <w:t>西部数智医疗研究院</w:t>
      </w:r>
      <w:r>
        <w:rPr>
          <w:rFonts w:hint="eastAsia" w:ascii="Times New Roman" w:hAnsi="Times New Roman" w:eastAsia="方正仿宋_GBK" w:cs="Times New Roman"/>
          <w:color w:val="auto"/>
          <w:sz w:val="32"/>
          <w:szCs w:val="32"/>
          <w:highlight w:val="none"/>
        </w:rPr>
        <w:t>等平台</w:t>
      </w:r>
      <w:r>
        <w:rPr>
          <w:rFonts w:hint="eastAsia" w:ascii="方正仿宋_GBK" w:hAnsi="方正仿宋_GBK" w:eastAsia="方正仿宋_GBK" w:cs="方正仿宋_GBK"/>
          <w:color w:val="auto"/>
          <w:sz w:val="32"/>
          <w:szCs w:val="32"/>
          <w:highlight w:val="none"/>
        </w:rPr>
        <w:t>优质成果落地转化，赋能集成电路、智能网联新能源汽车、生物医药等重点产业高质量发展。</w:t>
      </w:r>
    </w:p>
    <w:p w14:paraId="2AC6CC2A">
      <w:pPr>
        <w:adjustRightInd w:val="0"/>
        <w:snapToGrid w:val="0"/>
        <w:spacing w:line="600" w:lineRule="exact"/>
        <w:ind w:firstLine="640" w:firstLineChars="200"/>
        <w:textAlignment w:val="baseline"/>
        <w:rPr>
          <w:rFonts w:hint="eastAsia" w:ascii="方正仿宋_GBK" w:hAnsi="方正仿宋_GBK" w:eastAsia="方正仿宋_GBK" w:cs="方正仿宋_GBK"/>
          <w:color w:val="auto"/>
          <w:sz w:val="32"/>
          <w:szCs w:val="32"/>
          <w:highlight w:val="none"/>
        </w:rPr>
      </w:pPr>
    </w:p>
    <w:p w14:paraId="33D5A7C5">
      <w:pPr>
        <w:overflowPunct w:val="0"/>
        <w:spacing w:line="600" w:lineRule="exact"/>
        <w:jc w:val="center"/>
        <w:outlineLvl w:val="1"/>
        <w:rPr>
          <w:rFonts w:ascii="Times New Roman" w:hAnsi="Times New Roman" w:eastAsia="方正黑体_GBK" w:cs="方正黑体_GBK"/>
          <w:color w:val="auto"/>
          <w:sz w:val="32"/>
          <w:szCs w:val="32"/>
          <w:highlight w:val="none"/>
        </w:rPr>
      </w:pPr>
      <w:bookmarkStart w:id="126" w:name="_Toc6018"/>
      <w:bookmarkStart w:id="127" w:name="_Toc840686711"/>
      <w:bookmarkStart w:id="128" w:name="_Toc377459964"/>
      <w:r>
        <w:rPr>
          <w:rFonts w:hint="eastAsia" w:ascii="Times New Roman" w:hAnsi="Times New Roman" w:eastAsia="方正黑体_GBK" w:cs="方正黑体_GBK"/>
          <w:color w:val="auto"/>
          <w:sz w:val="32"/>
          <w:szCs w:val="32"/>
          <w:highlight w:val="none"/>
        </w:rPr>
        <w:t>第二章 强化企业科技创新主体地位</w:t>
      </w:r>
      <w:bookmarkEnd w:id="126"/>
      <w:bookmarkEnd w:id="127"/>
      <w:bookmarkEnd w:id="128"/>
    </w:p>
    <w:p w14:paraId="730F38BB">
      <w:pPr>
        <w:snapToGrid w:val="0"/>
        <w:spacing w:line="600" w:lineRule="exact"/>
        <w:ind w:firstLine="640" w:firstLineChars="200"/>
        <w:textAlignment w:val="baseline"/>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强化企业科技创新主体地位，</w:t>
      </w:r>
      <w:r>
        <w:rPr>
          <w:rFonts w:hint="eastAsia" w:ascii="方正仿宋_GBK" w:hAnsi="方正仿宋_GBK" w:eastAsia="方正仿宋_GBK" w:cs="方正仿宋_GBK"/>
          <w:color w:val="auto"/>
          <w:sz w:val="32"/>
          <w:szCs w:val="32"/>
          <w:highlight w:val="none"/>
        </w:rPr>
        <w:t>推动人才、资金、技术、平台、项目等创新资源加快向</w:t>
      </w:r>
      <w:r>
        <w:rPr>
          <w:rFonts w:hint="eastAsia" w:ascii="Times New Roman" w:hAnsi="Times New Roman" w:eastAsia="方正仿宋_GBK" w:cs="Times New Roman"/>
          <w:color w:val="auto"/>
          <w:sz w:val="32"/>
          <w:szCs w:val="32"/>
          <w:highlight w:val="none"/>
        </w:rPr>
        <w:t>企业集聚，让</w:t>
      </w:r>
      <w:r>
        <w:rPr>
          <w:rFonts w:hint="eastAsia" w:ascii="方正仿宋_GBK" w:hAnsi="方正仿宋_GBK" w:eastAsia="方正仿宋_GBK" w:cs="方正仿宋_GBK"/>
          <w:color w:val="auto"/>
          <w:sz w:val="32"/>
          <w:szCs w:val="32"/>
          <w:highlight w:val="none"/>
        </w:rPr>
        <w:t>企业成为技术创新决策者和研发投入、科研组织、成果转化的“主力军”。</w:t>
      </w:r>
    </w:p>
    <w:p w14:paraId="1C42C491">
      <w:pPr>
        <w:overflowPunct w:val="0"/>
        <w:spacing w:line="600" w:lineRule="exact"/>
        <w:jc w:val="center"/>
        <w:outlineLvl w:val="2"/>
        <w:rPr>
          <w:rFonts w:ascii="Times New Roman" w:hAnsi="Times New Roman" w:eastAsia="方正楷体_GBK" w:cs="方正楷体_GBK"/>
          <w:color w:val="auto"/>
          <w:sz w:val="32"/>
          <w:szCs w:val="32"/>
          <w:highlight w:val="none"/>
        </w:rPr>
      </w:pPr>
      <w:bookmarkStart w:id="129" w:name="_Toc1126638164"/>
      <w:bookmarkStart w:id="130" w:name="_Toc302921710"/>
      <w:bookmarkStart w:id="131" w:name="_Toc24182"/>
      <w:r>
        <w:rPr>
          <w:rFonts w:hint="eastAsia" w:ascii="Times New Roman" w:hAnsi="Times New Roman" w:eastAsia="方正楷体_GBK" w:cs="方正楷体_GBK"/>
          <w:color w:val="auto"/>
          <w:sz w:val="32"/>
          <w:szCs w:val="32"/>
          <w:highlight w:val="none"/>
        </w:rPr>
        <w:t>第一节 培育创新型企业发展</w:t>
      </w:r>
      <w:r>
        <w:rPr>
          <w:rFonts w:hint="eastAsia" w:ascii="Times New Roman" w:hAnsi="Times New Roman" w:eastAsia="方正楷体_GBK" w:cs="方正楷体_GBK"/>
          <w:color w:val="auto"/>
          <w:sz w:val="32"/>
          <w:szCs w:val="32"/>
          <w:highlight w:val="none"/>
          <w:lang w:val="en-US" w:eastAsia="zh-CN"/>
        </w:rPr>
        <w:t>群体</w:t>
      </w:r>
      <w:bookmarkEnd w:id="129"/>
      <w:bookmarkEnd w:id="130"/>
      <w:bookmarkEnd w:id="131"/>
    </w:p>
    <w:p w14:paraId="6A1E758D">
      <w:pPr>
        <w:pStyle w:val="19"/>
        <w:widowControl/>
        <w:spacing w:beforeAutospacing="0" w:afterAutospacing="0" w:line="600" w:lineRule="exact"/>
        <w:ind w:firstLine="640" w:firstLineChars="200"/>
        <w:jc w:val="both"/>
        <w:rPr>
          <w:rFonts w:hint="eastAsia" w:ascii="方正仿宋_GBK" w:hAnsi="方正仿宋_GBK" w:eastAsia="方正仿宋_GBK" w:cs="方正仿宋_GBK"/>
          <w:color w:val="auto"/>
          <w:sz w:val="32"/>
          <w:szCs w:val="32"/>
          <w:highlight w:val="none"/>
        </w:rPr>
      </w:pPr>
      <w:r>
        <w:rPr>
          <w:rFonts w:ascii="Times New Roman" w:hAnsi="Times New Roman" w:eastAsia="方正仿宋_GBK"/>
          <w:color w:val="auto"/>
          <w:sz w:val="32"/>
          <w:szCs w:val="32"/>
          <w:highlight w:val="none"/>
        </w:rPr>
        <w:t>量质并举推进</w:t>
      </w:r>
      <w:r>
        <w:rPr>
          <w:rFonts w:hint="eastAsia" w:ascii="Times New Roman" w:hAnsi="Times New Roman" w:eastAsia="方正仿宋_GBK"/>
          <w:color w:val="auto"/>
          <w:sz w:val="32"/>
          <w:szCs w:val="32"/>
          <w:highlight w:val="none"/>
        </w:rPr>
        <w:t>科技型企业、高新技术企</w:t>
      </w:r>
      <w:r>
        <w:rPr>
          <w:rFonts w:hint="eastAsia" w:ascii="方正仿宋_GBK" w:hAnsi="方正仿宋_GBK" w:eastAsia="方正仿宋_GBK" w:cs="方正仿宋_GBK"/>
          <w:color w:val="auto"/>
          <w:sz w:val="32"/>
          <w:szCs w:val="32"/>
          <w:highlight w:val="none"/>
        </w:rPr>
        <w:t>业“双倍增”行</w:t>
      </w:r>
      <w:r>
        <w:rPr>
          <w:rFonts w:ascii="Times New Roman" w:hAnsi="Times New Roman" w:eastAsia="方正仿宋_GBK"/>
          <w:color w:val="auto"/>
          <w:sz w:val="32"/>
          <w:szCs w:val="32"/>
          <w:highlight w:val="none"/>
        </w:rPr>
        <w:t>动</w:t>
      </w:r>
      <w:r>
        <w:rPr>
          <w:rFonts w:hint="eastAsia" w:ascii="Times New Roman" w:hAnsi="Times New Roman" w:eastAsia="方正仿宋_GBK"/>
          <w:color w:val="auto"/>
          <w:sz w:val="32"/>
          <w:szCs w:val="32"/>
          <w:highlight w:val="none"/>
        </w:rPr>
        <w:t>。</w:t>
      </w:r>
      <w:r>
        <w:rPr>
          <w:rFonts w:ascii="Times New Roman" w:hAnsi="Times New Roman" w:eastAsia="方正仿宋_GBK"/>
          <w:color w:val="auto"/>
          <w:sz w:val="32"/>
          <w:szCs w:val="32"/>
          <w:highlight w:val="none"/>
        </w:rPr>
        <w:t>健全</w:t>
      </w:r>
      <w:r>
        <w:rPr>
          <w:rFonts w:hint="eastAsia" w:ascii="方正仿宋_GBK" w:hAnsi="方正仿宋_GBK" w:eastAsia="方正仿宋_GBK" w:cs="方正仿宋_GBK"/>
          <w:color w:val="auto"/>
          <w:sz w:val="32"/>
          <w:szCs w:val="32"/>
          <w:highlight w:val="none"/>
        </w:rPr>
        <w:t>“</w:t>
      </w:r>
      <w:r>
        <w:rPr>
          <w:rFonts w:ascii="Times New Roman" w:hAnsi="Times New Roman" w:eastAsia="方正仿宋_GBK"/>
          <w:color w:val="auto"/>
          <w:sz w:val="32"/>
          <w:szCs w:val="32"/>
          <w:highlight w:val="none"/>
        </w:rPr>
        <w:t>科技型中小企业</w:t>
      </w:r>
      <w:r>
        <w:rPr>
          <w:rFonts w:hint="eastAsia" w:ascii="Times New Roman" w:hAnsi="Times New Roman" w:eastAsia="方正仿宋_GBK"/>
          <w:color w:val="auto"/>
          <w:sz w:val="32"/>
          <w:szCs w:val="32"/>
          <w:highlight w:val="none"/>
        </w:rPr>
        <w:t>—</w:t>
      </w:r>
      <w:r>
        <w:rPr>
          <w:rFonts w:ascii="Times New Roman" w:hAnsi="Times New Roman" w:eastAsia="方正仿宋_GBK"/>
          <w:color w:val="auto"/>
          <w:sz w:val="32"/>
          <w:szCs w:val="32"/>
          <w:highlight w:val="none"/>
        </w:rPr>
        <w:t>高新技术企业</w:t>
      </w:r>
      <w:r>
        <w:rPr>
          <w:rFonts w:hint="eastAsia" w:ascii="Times New Roman" w:hAnsi="Times New Roman" w:eastAsia="方正仿宋_GBK"/>
          <w:color w:val="auto"/>
          <w:sz w:val="32"/>
          <w:szCs w:val="32"/>
          <w:highlight w:val="none"/>
        </w:rPr>
        <w:t>—</w:t>
      </w:r>
      <w:r>
        <w:rPr>
          <w:rFonts w:ascii="Times New Roman" w:hAnsi="Times New Roman" w:eastAsia="方正仿宋_GBK"/>
          <w:color w:val="auto"/>
          <w:sz w:val="32"/>
          <w:szCs w:val="32"/>
          <w:highlight w:val="none"/>
        </w:rPr>
        <w:t>科技领军企业</w:t>
      </w:r>
      <w:r>
        <w:rPr>
          <w:rFonts w:hint="eastAsia" w:ascii="方正仿宋_GBK" w:hAnsi="方正仿宋_GBK" w:eastAsia="方正仿宋_GBK" w:cs="方正仿宋_GBK"/>
          <w:color w:val="auto"/>
          <w:sz w:val="32"/>
          <w:szCs w:val="32"/>
          <w:highlight w:val="none"/>
        </w:rPr>
        <w:t>”</w:t>
      </w:r>
      <w:r>
        <w:rPr>
          <w:rFonts w:ascii="Times New Roman" w:hAnsi="Times New Roman" w:eastAsia="方正仿宋_GBK"/>
          <w:color w:val="auto"/>
          <w:sz w:val="32"/>
          <w:szCs w:val="32"/>
          <w:highlight w:val="none"/>
        </w:rPr>
        <w:t>梯度培育体系，</w:t>
      </w:r>
      <w:r>
        <w:rPr>
          <w:rFonts w:hint="eastAsia" w:ascii="Times New Roman" w:hAnsi="Times New Roman" w:eastAsia="方正仿宋_GBK"/>
          <w:color w:val="auto"/>
          <w:sz w:val="32"/>
          <w:szCs w:val="32"/>
          <w:highlight w:val="none"/>
        </w:rPr>
        <w:t>探索优化企业梯度培育政策，制定高新区企业梯度培育清单，加强分层分级定向指导和服务，</w:t>
      </w:r>
      <w:r>
        <w:rPr>
          <w:rFonts w:hint="eastAsia" w:ascii="方正仿宋_GBK" w:hAnsi="方正仿宋_GBK" w:eastAsia="方正仿宋_GBK" w:cs="方正仿宋_GBK"/>
          <w:color w:val="auto"/>
          <w:sz w:val="32"/>
          <w:szCs w:val="32"/>
          <w:highlight w:val="none"/>
        </w:rPr>
        <w:t>推动企业“微成长、小升高、高壮大、大变强”</w:t>
      </w:r>
      <w:r>
        <w:rPr>
          <w:rFonts w:hint="eastAsia" w:ascii="Times New Roman" w:hAnsi="Times New Roman" w:eastAsia="方正仿宋_GBK"/>
          <w:color w:val="auto"/>
          <w:sz w:val="32"/>
          <w:szCs w:val="32"/>
          <w:highlight w:val="none"/>
        </w:rPr>
        <w:t>。优化完善高新区</w:t>
      </w:r>
      <w:r>
        <w:rPr>
          <w:rFonts w:ascii="Times New Roman" w:hAnsi="Times New Roman" w:eastAsia="方正仿宋_GBK"/>
          <w:color w:val="auto"/>
          <w:sz w:val="32"/>
          <w:szCs w:val="32"/>
          <w:highlight w:val="none"/>
        </w:rPr>
        <w:t>瞪羚、独角兽企业等高成长企业培育机制</w:t>
      </w:r>
      <w:r>
        <w:rPr>
          <w:rFonts w:hint="eastAsia" w:ascii="Times New Roman" w:hAnsi="Times New Roman" w:eastAsia="方正仿宋_GBK"/>
          <w:color w:val="auto"/>
          <w:sz w:val="32"/>
          <w:szCs w:val="32"/>
          <w:highlight w:val="none"/>
        </w:rPr>
        <w:t>。盘活存量楼宇打造科创赛事优胜项目、“一带一路”联合成果等特色创业孵化社区，</w:t>
      </w:r>
      <w:r>
        <w:rPr>
          <w:rFonts w:hint="eastAsia" w:ascii="Times New Roman" w:hAnsi="Times New Roman" w:eastAsia="方正仿宋_GBK"/>
          <w:color w:val="auto"/>
          <w:sz w:val="32"/>
          <w:szCs w:val="32"/>
          <w:highlight w:val="none"/>
          <w:lang w:val="en-US" w:eastAsia="zh-CN"/>
        </w:rPr>
        <w:t>鼓励</w:t>
      </w:r>
      <w:r>
        <w:rPr>
          <w:rFonts w:hint="eastAsia" w:ascii="Times New Roman" w:hAnsi="Times New Roman" w:eastAsia="方正仿宋_GBK"/>
          <w:color w:val="auto"/>
          <w:sz w:val="32"/>
          <w:szCs w:val="32"/>
          <w:highlight w:val="none"/>
        </w:rPr>
        <w:t>企业围绕供应链需求设立垂直行业孵化器，构建“1</w:t>
      </w:r>
      <w:r>
        <w:rPr>
          <w:rFonts w:hint="eastAsia" w:ascii="Times New Roman" w:hAnsi="Times New Roman" w:eastAsia="方正仿宋_GBK"/>
          <w:color w:val="auto"/>
          <w:sz w:val="32"/>
          <w:szCs w:val="32"/>
          <w:highlight w:val="none"/>
          <w:lang w:val="en-US" w:eastAsia="zh-CN"/>
        </w:rPr>
        <w:t>+</w:t>
      </w:r>
      <w:r>
        <w:rPr>
          <w:rFonts w:hint="eastAsia" w:ascii="Times New Roman" w:hAnsi="Times New Roman" w:eastAsia="方正仿宋_GBK"/>
          <w:color w:val="auto"/>
          <w:sz w:val="32"/>
          <w:szCs w:val="32"/>
          <w:highlight w:val="none"/>
        </w:rPr>
        <w:t>N”卓越级带动标准级的孵化器体系，探索“孵化服务股权（期权）化”运营模式。大力落实企业</w:t>
      </w:r>
      <w:r>
        <w:rPr>
          <w:rFonts w:hint="eastAsia" w:ascii="方正仿宋_GBK" w:hAnsi="方正仿宋_GBK" w:eastAsia="方正仿宋_GBK" w:cs="方正仿宋_GBK"/>
          <w:color w:val="auto"/>
          <w:sz w:val="32"/>
          <w:szCs w:val="32"/>
          <w:highlight w:val="none"/>
        </w:rPr>
        <w:t>创新支持政策，引导企业建立常态化、长效化的研发投入机制。</w:t>
      </w:r>
      <w:r>
        <w:rPr>
          <w:rFonts w:hint="eastAsia" w:ascii="方正仿宋_GBK" w:hAnsi="方正仿宋_GBK" w:eastAsia="方正仿宋_GBK" w:cs="方正仿宋_GBK"/>
          <w:color w:val="auto"/>
          <w:sz w:val="32"/>
          <w:szCs w:val="32"/>
          <w:highlight w:val="none"/>
          <w:lang w:val="en-US" w:eastAsia="zh-CN"/>
        </w:rPr>
        <w:t>鼓励</w:t>
      </w:r>
      <w:r>
        <w:rPr>
          <w:rFonts w:hint="eastAsia" w:ascii="方正仿宋_GBK" w:hAnsi="方正仿宋_GBK" w:eastAsia="方正仿宋_GBK" w:cs="方正仿宋_GBK"/>
          <w:color w:val="auto"/>
          <w:sz w:val="32"/>
          <w:szCs w:val="32"/>
          <w:highlight w:val="none"/>
        </w:rPr>
        <w:t>企业加大科学研究和技术服务业固定资产投资，推动规模以上工业企业研发平台、研发活动、研发人员全覆盖。</w:t>
      </w:r>
      <w:r>
        <w:rPr>
          <w:rFonts w:ascii="Times New Roman" w:hAnsi="Times New Roman" w:eastAsia="方正仿宋_GBK"/>
          <w:color w:val="auto"/>
          <w:sz w:val="32"/>
          <w:szCs w:val="32"/>
          <w:highlight w:val="none"/>
        </w:rPr>
        <w:t>到2030年，</w:t>
      </w:r>
      <w:r>
        <w:rPr>
          <w:rFonts w:hint="eastAsia" w:ascii="Times New Roman" w:hAnsi="Times New Roman" w:eastAsia="方正仿宋_GBK"/>
          <w:color w:val="auto"/>
          <w:sz w:val="32"/>
          <w:szCs w:val="32"/>
          <w:highlight w:val="none"/>
          <w:lang w:val="en-US" w:eastAsia="zh-CN"/>
        </w:rPr>
        <w:t>建成国家级科技型企业孵化器5家</w:t>
      </w:r>
      <w:r>
        <w:rPr>
          <w:rFonts w:hint="eastAsia" w:ascii="Times New Roman" w:hAnsi="Times New Roman" w:eastAsia="方正仿宋_GBK"/>
          <w:color w:val="auto"/>
          <w:sz w:val="32"/>
          <w:szCs w:val="32"/>
          <w:highlight w:val="none"/>
        </w:rPr>
        <w:t>，</w:t>
      </w:r>
      <w:r>
        <w:rPr>
          <w:rFonts w:hint="eastAsia" w:ascii="Times New Roman" w:hAnsi="Times New Roman" w:eastAsia="方正仿宋_GBK"/>
          <w:color w:val="auto"/>
          <w:sz w:val="32"/>
          <w:szCs w:val="32"/>
          <w:highlight w:val="none"/>
          <w:lang w:val="en-US" w:eastAsia="zh-CN"/>
        </w:rPr>
        <w:t>育成</w:t>
      </w:r>
      <w:r>
        <w:rPr>
          <w:rFonts w:ascii="Times New Roman" w:hAnsi="Times New Roman" w:eastAsia="方正仿宋_GBK"/>
          <w:color w:val="auto"/>
          <w:sz w:val="32"/>
          <w:szCs w:val="32"/>
          <w:highlight w:val="none"/>
        </w:rPr>
        <w:t>高新技术企业达1200家</w:t>
      </w:r>
      <w:r>
        <w:rPr>
          <w:rFonts w:hint="eastAsia" w:ascii="Times New Roman" w:hAnsi="Times New Roman" w:eastAsia="方正仿宋_GBK"/>
          <w:color w:val="auto"/>
          <w:sz w:val="32"/>
          <w:szCs w:val="32"/>
          <w:highlight w:val="none"/>
        </w:rPr>
        <w:t>、专精特新“小巨人”企业33家</w:t>
      </w:r>
      <w:r>
        <w:rPr>
          <w:rFonts w:hint="eastAsia" w:ascii="方正仿宋_GBK" w:hAnsi="方正仿宋_GBK" w:eastAsia="方正仿宋_GBK" w:cs="方正仿宋_GBK"/>
          <w:color w:val="auto"/>
          <w:sz w:val="32"/>
          <w:szCs w:val="32"/>
          <w:highlight w:val="none"/>
        </w:rPr>
        <w:t>。</w:t>
      </w:r>
    </w:p>
    <w:p w14:paraId="3773331B">
      <w:pPr>
        <w:overflowPunct w:val="0"/>
        <w:spacing w:line="600" w:lineRule="exact"/>
        <w:jc w:val="center"/>
        <w:outlineLvl w:val="2"/>
        <w:rPr>
          <w:rFonts w:ascii="Times New Roman" w:hAnsi="Times New Roman" w:eastAsia="方正楷体_GBK" w:cs="方正楷体_GBK"/>
          <w:color w:val="auto"/>
          <w:sz w:val="32"/>
          <w:szCs w:val="32"/>
          <w:highlight w:val="none"/>
        </w:rPr>
      </w:pPr>
      <w:bookmarkStart w:id="132" w:name="_Toc15138"/>
      <w:bookmarkStart w:id="133" w:name="_Toc1668936580"/>
      <w:bookmarkStart w:id="134" w:name="_Toc1044306749"/>
      <w:r>
        <w:rPr>
          <w:rFonts w:hint="eastAsia" w:ascii="Times New Roman" w:hAnsi="Times New Roman" w:eastAsia="方正楷体_GBK" w:cs="方正楷体_GBK"/>
          <w:color w:val="auto"/>
          <w:sz w:val="32"/>
          <w:szCs w:val="32"/>
          <w:highlight w:val="none"/>
        </w:rPr>
        <w:t>第二节 建强</w:t>
      </w:r>
      <w:r>
        <w:rPr>
          <w:rFonts w:hint="eastAsia" w:ascii="Times New Roman" w:hAnsi="Times New Roman" w:eastAsia="方正楷体_GBK" w:cs="方正楷体_GBK"/>
          <w:color w:val="auto"/>
          <w:sz w:val="32"/>
          <w:szCs w:val="32"/>
          <w:highlight w:val="none"/>
          <w:lang w:val="en-US" w:eastAsia="zh-CN"/>
        </w:rPr>
        <w:t>以</w:t>
      </w:r>
      <w:r>
        <w:rPr>
          <w:rFonts w:hint="eastAsia" w:ascii="Times New Roman" w:hAnsi="Times New Roman" w:eastAsia="方正楷体_GBK" w:cs="方正楷体_GBK"/>
          <w:color w:val="auto"/>
          <w:sz w:val="32"/>
          <w:szCs w:val="32"/>
          <w:highlight w:val="none"/>
        </w:rPr>
        <w:t>企业为主导的产业创新综合体</w:t>
      </w:r>
      <w:bookmarkEnd w:id="132"/>
      <w:bookmarkEnd w:id="133"/>
      <w:bookmarkEnd w:id="134"/>
    </w:p>
    <w:p w14:paraId="613C18CE">
      <w:pPr>
        <w:adjustRightInd w:val="0"/>
        <w:snapToGrid w:val="0"/>
        <w:spacing w:line="600" w:lineRule="exact"/>
        <w:ind w:firstLine="640" w:firstLineChars="200"/>
        <w:jc w:val="left"/>
        <w:textAlignment w:val="baseline"/>
        <w:rPr>
          <w:rFonts w:hint="default" w:ascii="Times New Roman" w:hAnsi="Times New Roman" w:eastAsia="方正仿宋_GBK" w:cs="方正黑体_GBK"/>
          <w:color w:val="auto"/>
          <w:sz w:val="28"/>
          <w:szCs w:val="28"/>
          <w:highlight w:val="none"/>
          <w:lang w:val="en-US" w:eastAsia="zh-CN" w:bidi="ar"/>
        </w:rPr>
      </w:pPr>
      <w:r>
        <w:rPr>
          <w:rFonts w:hint="eastAsia" w:ascii="方正仿宋_GBK" w:hAnsi="方正仿宋_GBK" w:eastAsia="方正仿宋_GBK" w:cs="方正仿宋_GBK"/>
          <w:b w:val="0"/>
          <w:bCs w:val="0"/>
          <w:color w:val="auto"/>
          <w:sz w:val="32"/>
          <w:szCs w:val="32"/>
          <w:highlight w:val="none"/>
          <w:u w:val="none" w:color="auto"/>
          <w:lang w:val="en-US" w:eastAsia="zh-CN"/>
        </w:rPr>
        <w:t>高水平打造创新企业牵头、高校院所和创投机构共同参与的产业创新综合体</w:t>
      </w:r>
      <w:r>
        <w:rPr>
          <w:rFonts w:hint="eastAsia" w:ascii="方正仿宋_GBK" w:hAnsi="方正仿宋_GBK" w:eastAsia="方正仿宋_GBK" w:cs="方正仿宋_GBK"/>
          <w:color w:val="auto"/>
          <w:sz w:val="32"/>
          <w:szCs w:val="32"/>
          <w:highlight w:val="none"/>
        </w:rPr>
        <w:t>，促进企业主导的产学研融通创新。</w:t>
      </w:r>
      <w:r>
        <w:rPr>
          <w:rFonts w:hint="eastAsia" w:ascii="Times New Roman" w:hAnsi="Times New Roman" w:eastAsia="方正仿宋_GBK" w:cs="Times New Roman"/>
          <w:color w:val="auto"/>
          <w:sz w:val="32"/>
          <w:szCs w:val="32"/>
          <w:highlight w:val="none"/>
        </w:rPr>
        <w:t>做优做强重庆市精密检测技术产业创新综合体，重点建设国际先进的精密机械试验检测平台，围绕精密机械检测产业化发展提供全链条技术服务。加快建设高速公路新能源廊道装备与应用产业综合体，依托通用机械制造领域工程技术研究中心、MOF材料批量化制备中试平台等创新平台，打造国内领先的高速公路新能源廊道装备与应用产业生态。完善储能安全与智慧能源等产业创新综合体技术攻关、资源配置、产业服务、生态聚合等功能，聚焦储能安全与智慧能源，主攻储能安全、长时储能、智慧调度、氢能协同四大技术方向，持续强化技术供给能力和产业服务效能。积极打造集成电路、高端摩托车、生物医药、新型储能与智慧能源等产业大脑，探索形成数据驱动、精准匹配、高效协同的产业创新范式。</w:t>
      </w:r>
      <w:r>
        <w:rPr>
          <w:rFonts w:hint="eastAsia" w:ascii="Times New Roman" w:hAnsi="Times New Roman" w:eastAsia="方正仿宋_GBK" w:cs="Times New Roman"/>
          <w:color w:val="auto"/>
          <w:sz w:val="32"/>
          <w:szCs w:val="32"/>
          <w:highlight w:val="none"/>
          <w:lang w:val="en-US" w:eastAsia="zh-CN"/>
        </w:rPr>
        <w:t>到2030年，建成产业创新综合体30个。</w:t>
      </w:r>
    </w:p>
    <w:p w14:paraId="6D4906D8">
      <w:pPr>
        <w:overflowPunct w:val="0"/>
        <w:jc w:val="center"/>
        <w:rPr>
          <w:rFonts w:hint="eastAsia" w:ascii="Times New Roman" w:hAnsi="Times New Roman" w:eastAsia="方正黑体_GBK" w:cs="方正黑体_GBK"/>
          <w:color w:val="auto"/>
          <w:kern w:val="0"/>
          <w:sz w:val="32"/>
          <w:szCs w:val="32"/>
          <w:highlight w:val="none"/>
          <w:u w:val="none"/>
          <w:lang w:bidi="ar"/>
        </w:rPr>
      </w:pPr>
      <w:r>
        <w:rPr>
          <w:rFonts w:hint="eastAsia" w:ascii="Times New Roman" w:hAnsi="Times New Roman" w:eastAsia="方正黑体_GBK" w:cs="方正黑体_GBK"/>
          <w:color w:val="auto"/>
          <w:kern w:val="0"/>
          <w:sz w:val="32"/>
          <w:szCs w:val="32"/>
          <w:highlight w:val="none"/>
          <w:u w:val="none"/>
          <w:lang w:bidi="ar"/>
        </w:rPr>
        <w:t>专栏</w:t>
      </w:r>
      <w:r>
        <w:rPr>
          <w:rFonts w:hint="eastAsia" w:ascii="Times New Roman" w:hAnsi="Times New Roman" w:eastAsia="方正黑体_GBK" w:cs="方正黑体_GBK"/>
          <w:color w:val="auto"/>
          <w:kern w:val="0"/>
          <w:sz w:val="32"/>
          <w:szCs w:val="32"/>
          <w:highlight w:val="none"/>
          <w:u w:val="none"/>
          <w:lang w:val="en-US" w:eastAsia="zh-CN" w:bidi="ar"/>
        </w:rPr>
        <w:t>5</w:t>
      </w:r>
      <w:r>
        <w:rPr>
          <w:rFonts w:hint="eastAsia" w:ascii="Times New Roman" w:hAnsi="Times New Roman" w:eastAsia="方正黑体_GBK" w:cs="方正黑体_GBK"/>
          <w:color w:val="auto"/>
          <w:kern w:val="0"/>
          <w:sz w:val="32"/>
          <w:szCs w:val="32"/>
          <w:highlight w:val="none"/>
          <w:u w:val="none"/>
          <w:lang w:bidi="ar"/>
        </w:rPr>
        <w:t xml:space="preserve"> 产业创新综合体（科技型企业主导型）</w:t>
      </w:r>
    </w:p>
    <w:tbl>
      <w:tblPr>
        <w:tblStyle w:val="22"/>
        <w:tblW w:w="5000" w:type="pct"/>
        <w:tblInd w:w="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420C2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753A0FF2">
            <w:pPr>
              <w:pStyle w:val="19"/>
              <w:overflowPunct w:val="0"/>
              <w:snapToGrid w:val="0"/>
              <w:spacing w:beforeAutospacing="0" w:afterAutospacing="0" w:line="380" w:lineRule="exact"/>
              <w:ind w:firstLine="480" w:firstLineChars="200"/>
              <w:jc w:val="both"/>
              <w:rPr>
                <w:rFonts w:hint="eastAsia" w:ascii="Times New Roman" w:hAnsi="Times New Roman" w:eastAsia="方正黑体_GBK" w:cs="方正黑体_GBK"/>
                <w:color w:val="auto"/>
                <w:highlight w:val="none"/>
                <w:u w:val="none"/>
              </w:rPr>
            </w:pPr>
            <w:r>
              <w:rPr>
                <w:rFonts w:hint="eastAsia" w:ascii="Times New Roman" w:hAnsi="Times New Roman" w:eastAsia="方正黑体_GBK" w:cs="方正黑体_GBK"/>
                <w:color w:val="auto"/>
                <w:highlight w:val="none"/>
                <w:u w:val="none"/>
              </w:rPr>
              <w:t>1</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highlight w:val="none"/>
                <w:u w:val="none"/>
              </w:rPr>
              <w:t>重庆市精密检测技术产业创新综合体。</w:t>
            </w:r>
            <w:r>
              <w:rPr>
                <w:rFonts w:hint="eastAsia" w:ascii="Times New Roman" w:hAnsi="Times New Roman" w:eastAsia="方正书宋_GBK" w:cs="Times New Roman"/>
                <w:color w:val="auto"/>
                <w:highlight w:val="none"/>
                <w:u w:val="none"/>
              </w:rPr>
              <w:t>重点建立国际先进的精密机械试验检测平台，研发一批高端精密机械检测装备，集聚一批高水平创新团队，培育一批发展前景广阔的新产业方向，形成一批</w:t>
            </w:r>
            <w:r>
              <w:rPr>
                <w:rFonts w:hint="eastAsia" w:ascii="Times New Roman" w:hAnsi="Times New Roman" w:eastAsia="方正书宋_GBK" w:cs="Times New Roman"/>
                <w:color w:val="auto"/>
                <w:highlight w:val="none"/>
                <w:u w:val="none"/>
                <w:lang w:val="en-US" w:eastAsia="zh-CN"/>
              </w:rPr>
              <w:t>推动</w:t>
            </w:r>
            <w:r>
              <w:rPr>
                <w:rFonts w:hint="eastAsia" w:ascii="Times New Roman" w:hAnsi="Times New Roman" w:eastAsia="方正书宋_GBK" w:cs="Times New Roman"/>
                <w:color w:val="auto"/>
                <w:highlight w:val="none"/>
                <w:u w:val="none"/>
              </w:rPr>
              <w:t>精密机械检测产业化的全产业链技术服务机构，成为我国精密机械检测领域科技创新与产业孵化发展的核心创新基地，努力创建成为重庆市精密机械检测技术领域顶尖的创新创业研究机构和技术创新示范单位，打造成为中国西部地区国际一流的创新综合体。</w:t>
            </w:r>
          </w:p>
          <w:p w14:paraId="581ADF8B">
            <w:pPr>
              <w:pStyle w:val="19"/>
              <w:overflowPunct w:val="0"/>
              <w:snapToGrid w:val="0"/>
              <w:spacing w:beforeAutospacing="0" w:afterAutospacing="0" w:line="380" w:lineRule="exact"/>
              <w:ind w:firstLine="480" w:firstLineChars="200"/>
              <w:jc w:val="both"/>
              <w:rPr>
                <w:rFonts w:hint="eastAsia" w:ascii="Times New Roman" w:hAnsi="Times New Roman" w:eastAsia="方正书宋_GBK" w:cs="Times New Roman"/>
                <w:color w:val="auto"/>
                <w:highlight w:val="none"/>
                <w:u w:val="none"/>
              </w:rPr>
            </w:pPr>
            <w:r>
              <w:rPr>
                <w:rFonts w:hint="eastAsia" w:ascii="Times New Roman" w:hAnsi="Times New Roman" w:eastAsia="方正黑体_GBK" w:cs="方正黑体_GBK"/>
                <w:color w:val="auto"/>
                <w:highlight w:val="none"/>
                <w:u w:val="none"/>
              </w:rPr>
              <w:t>2</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highlight w:val="none"/>
                <w:u w:val="none"/>
              </w:rPr>
              <w:t>高速公路新能源廊道装备与应用产业创新综合体。</w:t>
            </w:r>
            <w:r>
              <w:rPr>
                <w:rFonts w:hint="eastAsia" w:ascii="Times New Roman" w:hAnsi="Times New Roman" w:eastAsia="方正书宋_GBK" w:cs="Times New Roman"/>
                <w:color w:val="auto"/>
                <w:highlight w:val="none"/>
                <w:u w:val="none"/>
              </w:rPr>
              <w:t>建有通用机械制造领域工程技术研究中心、企业技术中心、MOF材料批量化制备中试平台等12个市级以上创新平台，具备较强的行业影响力、科研引领力、资源整合能力</w:t>
            </w:r>
            <w:r>
              <w:rPr>
                <w:rFonts w:hint="eastAsia" w:ascii="Times New Roman" w:hAnsi="Times New Roman" w:eastAsia="方正书宋_GBK" w:cs="Times New Roman"/>
                <w:color w:val="auto"/>
                <w:highlight w:val="none"/>
                <w:u w:val="none"/>
                <w:lang w:eastAsia="zh-CN"/>
              </w:rPr>
              <w:t>，</w:t>
            </w:r>
            <w:r>
              <w:rPr>
                <w:rFonts w:hint="eastAsia" w:ascii="Times New Roman" w:hAnsi="Times New Roman" w:eastAsia="方正书宋_GBK" w:cs="Times New Roman"/>
                <w:color w:val="auto"/>
                <w:highlight w:val="none"/>
                <w:u w:val="none"/>
              </w:rPr>
              <w:t>旨在打造国内领先的高速公路新能源廊道装备与产业应用生态，为制造型企业赋能，助力重庆本土制造业发展。</w:t>
            </w:r>
          </w:p>
          <w:p w14:paraId="6791F74B">
            <w:pPr>
              <w:pStyle w:val="19"/>
              <w:overflowPunct w:val="0"/>
              <w:snapToGrid w:val="0"/>
              <w:spacing w:beforeAutospacing="0" w:afterAutospacing="0" w:line="380" w:lineRule="exact"/>
              <w:ind w:firstLine="480" w:firstLineChars="200"/>
              <w:jc w:val="both"/>
              <w:rPr>
                <w:rFonts w:ascii="Times New Roman" w:hAnsi="Times New Roman"/>
                <w:color w:val="auto"/>
                <w:sz w:val="24"/>
                <w:szCs w:val="24"/>
                <w:highlight w:val="none"/>
              </w:rPr>
            </w:pPr>
            <w:r>
              <w:rPr>
                <w:rFonts w:hint="eastAsia" w:ascii="Times New Roman" w:hAnsi="Times New Roman" w:eastAsia="方正黑体_GBK" w:cs="方正黑体_GBK"/>
                <w:color w:val="auto"/>
                <w:highlight w:val="none"/>
                <w:u w:val="none"/>
              </w:rPr>
              <w:t>3</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highlight w:val="none"/>
                <w:u w:val="none"/>
              </w:rPr>
              <w:t>重庆市储能安全与智慧能源产业创新综合体。</w:t>
            </w:r>
            <w:r>
              <w:rPr>
                <w:rFonts w:hint="eastAsia" w:ascii="Times New Roman" w:hAnsi="Times New Roman" w:eastAsia="方正书宋_GBK" w:cs="Times New Roman"/>
                <w:color w:val="auto"/>
                <w:highlight w:val="none"/>
                <w:u w:val="none"/>
              </w:rPr>
              <w:t>整合高校、科研机构、产业链企业等多元力量</w:t>
            </w:r>
            <w:r>
              <w:rPr>
                <w:rFonts w:hint="eastAsia" w:ascii="Times New Roman" w:hAnsi="Times New Roman" w:eastAsia="方正书宋_GBK" w:cs="Times New Roman"/>
                <w:color w:val="auto"/>
                <w:highlight w:val="none"/>
                <w:u w:val="none"/>
                <w:lang w:val="en-US" w:eastAsia="zh-CN"/>
              </w:rPr>
              <w:t>共同</w:t>
            </w:r>
            <w:r>
              <w:rPr>
                <w:rFonts w:hint="eastAsia" w:ascii="Times New Roman" w:hAnsi="Times New Roman" w:eastAsia="方正书宋_GBK" w:cs="Times New Roman"/>
                <w:color w:val="auto"/>
                <w:highlight w:val="none"/>
                <w:u w:val="none"/>
              </w:rPr>
              <w:t>组建</w:t>
            </w:r>
            <w:r>
              <w:rPr>
                <w:rFonts w:hint="eastAsia" w:ascii="Times New Roman" w:hAnsi="Times New Roman" w:eastAsia="方正书宋_GBK" w:cs="Times New Roman"/>
                <w:color w:val="auto"/>
                <w:highlight w:val="none"/>
                <w:u w:val="none"/>
                <w:lang w:eastAsia="zh-CN"/>
              </w:rPr>
              <w:t>，</w:t>
            </w:r>
            <w:r>
              <w:rPr>
                <w:rFonts w:hint="eastAsia" w:ascii="Times New Roman" w:hAnsi="Times New Roman" w:eastAsia="方正书宋_GBK" w:cs="Times New Roman"/>
                <w:color w:val="auto"/>
                <w:highlight w:val="none"/>
                <w:u w:val="none"/>
              </w:rPr>
              <w:t>聚焦储能安全与智慧能源，承担技术攻关、资源配置、产业服务、生态聚合四大功能，主攻储能安全、长时储能、智慧调度、氢能协同四大技术方向。通过“产学研用金”协同，助力国家“双碳”目标，契合重庆产业集群需求，引领行业高质量发展。</w:t>
            </w:r>
          </w:p>
        </w:tc>
      </w:tr>
    </w:tbl>
    <w:p w14:paraId="016B2628">
      <w:pPr>
        <w:overflowPunct w:val="0"/>
        <w:spacing w:line="600" w:lineRule="exact"/>
        <w:jc w:val="center"/>
        <w:outlineLvl w:val="2"/>
        <w:rPr>
          <w:rFonts w:ascii="Times New Roman" w:hAnsi="Times New Roman" w:eastAsia="方正楷体_GBK" w:cs="方正楷体_GBK"/>
          <w:color w:val="auto"/>
          <w:sz w:val="32"/>
          <w:szCs w:val="32"/>
          <w:highlight w:val="none"/>
        </w:rPr>
      </w:pPr>
      <w:bookmarkStart w:id="135" w:name="_Toc1533186593"/>
      <w:bookmarkStart w:id="136" w:name="_Toc8436"/>
      <w:bookmarkStart w:id="137" w:name="_Toc279683512"/>
      <w:r>
        <w:rPr>
          <w:rFonts w:hint="eastAsia" w:ascii="Times New Roman" w:hAnsi="Times New Roman" w:eastAsia="方正楷体_GBK" w:cs="方正楷体_GBK"/>
          <w:color w:val="auto"/>
          <w:sz w:val="32"/>
          <w:szCs w:val="32"/>
          <w:highlight w:val="none"/>
        </w:rPr>
        <w:t>第三节 推动大中小企业协同创新融通发展</w:t>
      </w:r>
      <w:bookmarkEnd w:id="135"/>
      <w:bookmarkEnd w:id="136"/>
      <w:bookmarkEnd w:id="137"/>
    </w:p>
    <w:p w14:paraId="6E3E4D38">
      <w:pPr>
        <w:widowControl/>
        <w:adjustRightInd w:val="0"/>
        <w:snapToGrid w:val="0"/>
        <w:spacing w:line="600" w:lineRule="exact"/>
        <w:ind w:firstLine="640" w:firstLineChars="200"/>
        <w:rPr>
          <w:rFonts w:hint="eastAsia"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鼓励和引导</w:t>
      </w:r>
      <w:r>
        <w:rPr>
          <w:rFonts w:hint="eastAsia" w:ascii="Times New Roman" w:hAnsi="Times New Roman" w:eastAsia="方正仿宋_GBK" w:cs="Times New Roman"/>
          <w:color w:val="auto"/>
          <w:sz w:val="32"/>
          <w:szCs w:val="32"/>
          <w:highlight w:val="none"/>
        </w:rPr>
        <w:t>企业</w:t>
      </w:r>
      <w:r>
        <w:rPr>
          <w:rFonts w:ascii="Times New Roman" w:hAnsi="Times New Roman" w:eastAsia="方正仿宋_GBK" w:cs="Times New Roman"/>
          <w:color w:val="auto"/>
          <w:sz w:val="32"/>
          <w:szCs w:val="32"/>
          <w:highlight w:val="none"/>
        </w:rPr>
        <w:t>超前布局前沿颠覆性技术</w:t>
      </w:r>
      <w:r>
        <w:rPr>
          <w:rFonts w:hint="eastAsia" w:ascii="Times New Roman" w:hAnsi="Times New Roman" w:eastAsia="方正仿宋_GBK" w:cs="Times New Roman"/>
          <w:color w:val="auto"/>
          <w:sz w:val="32"/>
          <w:szCs w:val="32"/>
          <w:highlight w:val="none"/>
          <w:lang w:val="en-US" w:eastAsia="zh-CN"/>
        </w:rPr>
        <w:t>攻关</w:t>
      </w:r>
      <w:r>
        <w:rPr>
          <w:rFonts w:ascii="Times New Roman" w:hAnsi="Times New Roman" w:eastAsia="方正仿宋_GBK" w:cs="Times New Roman"/>
          <w:color w:val="auto"/>
          <w:sz w:val="32"/>
          <w:szCs w:val="32"/>
          <w:highlight w:val="none"/>
        </w:rPr>
        <w:t>，</w:t>
      </w:r>
      <w:r>
        <w:rPr>
          <w:rFonts w:hint="eastAsia" w:ascii="Times New Roman" w:hAnsi="Times New Roman" w:eastAsia="方正仿宋_GBK" w:cs="Times New Roman"/>
          <w:color w:val="auto"/>
          <w:sz w:val="32"/>
          <w:szCs w:val="32"/>
          <w:highlight w:val="none"/>
          <w:lang w:val="en-US" w:eastAsia="zh-CN"/>
        </w:rPr>
        <w:t>推动</w:t>
      </w:r>
      <w:r>
        <w:rPr>
          <w:rFonts w:ascii="Times New Roman" w:hAnsi="Times New Roman" w:eastAsia="方正仿宋_GBK" w:cs="Times New Roman"/>
          <w:color w:val="auto"/>
          <w:sz w:val="32"/>
          <w:szCs w:val="32"/>
          <w:highlight w:val="none"/>
        </w:rPr>
        <w:t>企业牵头或深度参与国家重大科技专项、国家重点研发计划及市级重大科技专项，大幅提升企业在战略科技任务中的承接比例与话语权</w:t>
      </w:r>
      <w:r>
        <w:rPr>
          <w:rFonts w:hint="eastAsia" w:ascii="Times New Roman" w:hAnsi="Times New Roman" w:eastAsia="方正仿宋_GBK" w:cs="Times New Roman"/>
          <w:color w:val="auto"/>
          <w:sz w:val="32"/>
          <w:szCs w:val="32"/>
          <w:highlight w:val="none"/>
        </w:rPr>
        <w:t>。</w:t>
      </w:r>
      <w:r>
        <w:rPr>
          <w:rFonts w:hint="eastAsia" w:ascii="Times New Roman" w:hAnsi="Times New Roman" w:eastAsia="方正仿宋_GBK" w:cs="Times New Roman"/>
          <w:color w:val="auto"/>
          <w:sz w:val="32"/>
          <w:szCs w:val="32"/>
          <w:highlight w:val="none"/>
          <w:lang w:val="en-US" w:eastAsia="zh-CN"/>
        </w:rPr>
        <w:t>鼓励</w:t>
      </w:r>
      <w:r>
        <w:rPr>
          <w:rFonts w:hint="eastAsia" w:ascii="Times New Roman" w:hAnsi="Times New Roman" w:eastAsia="方正仿宋_GBK" w:cs="Times New Roman"/>
          <w:color w:val="auto"/>
          <w:sz w:val="32"/>
          <w:szCs w:val="32"/>
          <w:highlight w:val="none"/>
        </w:rPr>
        <w:t>企业构建投资孵化生态，积极探索企业生态投资模式，搭建</w:t>
      </w:r>
      <w:r>
        <w:rPr>
          <w:rFonts w:hint="eastAsia" w:ascii="Times New Roman" w:hAnsi="Times New Roman" w:eastAsia="方正仿宋_GBK" w:cs="Times New Roman"/>
          <w:color w:val="auto"/>
          <w:sz w:val="32"/>
          <w:szCs w:val="32"/>
          <w:highlight w:val="none"/>
          <w:lang w:val="en-US" w:eastAsia="zh-CN"/>
        </w:rPr>
        <w:t>鼓励</w:t>
      </w:r>
      <w:r>
        <w:rPr>
          <w:rFonts w:hint="eastAsia" w:ascii="Times New Roman" w:hAnsi="Times New Roman" w:eastAsia="方正仿宋_GBK" w:cs="Times New Roman"/>
          <w:color w:val="auto"/>
          <w:sz w:val="32"/>
          <w:szCs w:val="32"/>
          <w:highlight w:val="none"/>
        </w:rPr>
        <w:t>内部创业、</w:t>
      </w:r>
      <w:r>
        <w:rPr>
          <w:rFonts w:hint="eastAsia" w:ascii="Times New Roman" w:hAnsi="Times New Roman" w:eastAsia="方正仿宋_GBK" w:cs="Times New Roman"/>
          <w:color w:val="auto"/>
          <w:sz w:val="32"/>
          <w:szCs w:val="32"/>
          <w:highlight w:val="none"/>
          <w:lang w:val="en-US" w:eastAsia="zh-CN"/>
        </w:rPr>
        <w:t>孵化</w:t>
      </w:r>
      <w:r>
        <w:rPr>
          <w:rFonts w:hint="eastAsia" w:ascii="Times New Roman" w:hAnsi="Times New Roman" w:eastAsia="方正仿宋_GBK" w:cs="Times New Roman"/>
          <w:color w:val="auto"/>
          <w:sz w:val="32"/>
          <w:szCs w:val="32"/>
          <w:highlight w:val="none"/>
        </w:rPr>
        <w:t>专业化子公司等市场化机制，面向行业前沿技术开展战略性、前瞻性投资孵化，培育一批专精特新企业、高新技术企业。</w:t>
      </w:r>
      <w:r>
        <w:rPr>
          <w:rFonts w:hint="eastAsia" w:ascii="Times New Roman" w:hAnsi="Times New Roman" w:eastAsia="方正仿宋_GBK" w:cs="Times New Roman"/>
          <w:color w:val="auto"/>
          <w:sz w:val="32"/>
          <w:szCs w:val="32"/>
          <w:highlight w:val="none"/>
          <w:lang w:val="en-US" w:eastAsia="zh-CN"/>
        </w:rPr>
        <w:t>推动</w:t>
      </w:r>
      <w:r>
        <w:rPr>
          <w:rFonts w:hint="eastAsia" w:ascii="Times New Roman" w:hAnsi="Times New Roman" w:eastAsia="方正仿宋_GBK" w:cs="Times New Roman"/>
          <w:color w:val="auto"/>
          <w:sz w:val="32"/>
          <w:szCs w:val="32"/>
          <w:highlight w:val="none"/>
        </w:rPr>
        <w:t>企业有序开放共享大型实验设备、精密检测仪器与中试平台等创新资源，带动一批中小企业发展。</w:t>
      </w:r>
    </w:p>
    <w:p w14:paraId="789513B4">
      <w:pPr>
        <w:widowControl/>
        <w:adjustRightInd w:val="0"/>
        <w:snapToGrid w:val="0"/>
        <w:spacing w:line="600" w:lineRule="exact"/>
        <w:ind w:firstLine="640" w:firstLineChars="200"/>
        <w:rPr>
          <w:rFonts w:hint="eastAsia" w:ascii="Times New Roman" w:hAnsi="Times New Roman" w:eastAsia="方正仿宋_GBK" w:cs="Times New Roman"/>
          <w:color w:val="auto"/>
          <w:sz w:val="32"/>
          <w:szCs w:val="32"/>
          <w:highlight w:val="none"/>
        </w:rPr>
      </w:pPr>
    </w:p>
    <w:p w14:paraId="4F69EC61">
      <w:pPr>
        <w:overflowPunct w:val="0"/>
        <w:adjustRightInd w:val="0"/>
        <w:snapToGrid w:val="0"/>
        <w:spacing w:line="600" w:lineRule="exact"/>
        <w:jc w:val="center"/>
        <w:outlineLvl w:val="1"/>
        <w:rPr>
          <w:rFonts w:ascii="Times New Roman" w:hAnsi="Times New Roman" w:eastAsia="方正黑体_GBK" w:cs="方正黑体_GBK"/>
          <w:color w:val="auto"/>
          <w:sz w:val="32"/>
          <w:szCs w:val="32"/>
          <w:highlight w:val="none"/>
        </w:rPr>
      </w:pPr>
      <w:bookmarkStart w:id="138" w:name="_Toc1946566548"/>
      <w:bookmarkStart w:id="139" w:name="_Toc2737"/>
      <w:bookmarkStart w:id="140" w:name="_Toc610788198"/>
      <w:r>
        <w:rPr>
          <w:rFonts w:hint="eastAsia" w:ascii="Times New Roman" w:hAnsi="Times New Roman" w:eastAsia="方正黑体_GBK" w:cs="方正黑体_GBK"/>
          <w:color w:val="auto"/>
          <w:sz w:val="32"/>
          <w:szCs w:val="32"/>
          <w:highlight w:val="none"/>
        </w:rPr>
        <w:t>第三章 构建高水平成果转化为导向的科技攻关体系</w:t>
      </w:r>
      <w:bookmarkEnd w:id="138"/>
      <w:bookmarkEnd w:id="139"/>
      <w:bookmarkEnd w:id="140"/>
    </w:p>
    <w:p w14:paraId="483C3175">
      <w:pPr>
        <w:overflowPunct w:val="0"/>
        <w:adjustRightInd w:val="0"/>
        <w:snapToGrid w:val="0"/>
        <w:spacing w:line="600" w:lineRule="exact"/>
        <w:ind w:firstLine="640" w:firstLineChars="200"/>
        <w:textAlignment w:val="baseline"/>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以国家科技成果转移转化示范区建设为牵引，坚持技术攻关、成果转化和产业化导向，实施科技赋能产业创新工程，完善“成果对接</w:t>
      </w:r>
      <w:r>
        <w:rPr>
          <w:rFonts w:hint="eastAsia" w:ascii="Times New Roman" w:hAnsi="Times New Roman" w:eastAsia="方正仿宋_GBK" w:cs="Times New Roman"/>
          <w:color w:val="auto"/>
          <w:sz w:val="32"/>
          <w:szCs w:val="32"/>
          <w:highlight w:val="none"/>
          <w:lang w:val="en-US" w:eastAsia="zh-CN"/>
        </w:rPr>
        <w:t>+</w:t>
      </w:r>
      <w:r>
        <w:rPr>
          <w:rFonts w:hint="eastAsia" w:ascii="Times New Roman" w:hAnsi="Times New Roman" w:eastAsia="方正仿宋_GBK" w:cs="Times New Roman"/>
          <w:color w:val="auto"/>
          <w:sz w:val="32"/>
          <w:szCs w:val="32"/>
          <w:highlight w:val="none"/>
        </w:rPr>
        <w:t>概念验证</w:t>
      </w:r>
      <w:r>
        <w:rPr>
          <w:rFonts w:hint="eastAsia" w:ascii="Times New Roman" w:hAnsi="Times New Roman" w:eastAsia="方正仿宋_GBK" w:cs="Times New Roman"/>
          <w:color w:val="auto"/>
          <w:sz w:val="32"/>
          <w:szCs w:val="32"/>
          <w:highlight w:val="none"/>
          <w:lang w:val="en-US" w:eastAsia="zh-CN"/>
        </w:rPr>
        <w:t>+</w:t>
      </w:r>
      <w:r>
        <w:rPr>
          <w:rFonts w:hint="eastAsia" w:ascii="Times New Roman" w:hAnsi="Times New Roman" w:eastAsia="方正仿宋_GBK" w:cs="Times New Roman"/>
          <w:color w:val="auto"/>
          <w:sz w:val="32"/>
          <w:szCs w:val="32"/>
          <w:highlight w:val="none"/>
        </w:rPr>
        <w:t>技术转移</w:t>
      </w:r>
      <w:r>
        <w:rPr>
          <w:rFonts w:hint="eastAsia" w:ascii="Times New Roman" w:hAnsi="Times New Roman" w:eastAsia="方正仿宋_GBK" w:cs="Times New Roman"/>
          <w:color w:val="auto"/>
          <w:sz w:val="32"/>
          <w:szCs w:val="32"/>
          <w:highlight w:val="none"/>
          <w:lang w:val="en-US" w:eastAsia="zh-CN"/>
        </w:rPr>
        <w:t>+</w:t>
      </w:r>
      <w:r>
        <w:rPr>
          <w:rFonts w:hint="eastAsia" w:ascii="Times New Roman" w:hAnsi="Times New Roman" w:eastAsia="方正仿宋_GBK" w:cs="Times New Roman"/>
          <w:color w:val="auto"/>
          <w:sz w:val="32"/>
          <w:szCs w:val="32"/>
          <w:highlight w:val="none"/>
        </w:rPr>
        <w:t>中试熟化”服务链条</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rPr>
        <w:t>积极营造更具活力、更高效率、更为开放的创新氛围，推动科技成果向现实生产力转化。到2030年，促成成果转化3000项。</w:t>
      </w:r>
    </w:p>
    <w:p w14:paraId="7286DF16">
      <w:pPr>
        <w:overflowPunct w:val="0"/>
        <w:adjustRightInd w:val="0"/>
        <w:snapToGrid w:val="0"/>
        <w:spacing w:line="600" w:lineRule="exact"/>
        <w:jc w:val="center"/>
        <w:outlineLvl w:val="2"/>
        <w:rPr>
          <w:rFonts w:ascii="Times New Roman" w:hAnsi="Times New Roman" w:eastAsia="方正楷体_GBK" w:cs="方正楷体_GBK"/>
          <w:color w:val="auto"/>
          <w:sz w:val="32"/>
          <w:szCs w:val="32"/>
          <w:highlight w:val="none"/>
        </w:rPr>
      </w:pPr>
      <w:bookmarkStart w:id="141" w:name="_Toc1178093838"/>
      <w:bookmarkStart w:id="142" w:name="_Toc545411126"/>
      <w:bookmarkStart w:id="143" w:name="_Toc4045"/>
      <w:r>
        <w:rPr>
          <w:rFonts w:hint="eastAsia" w:ascii="Times New Roman" w:hAnsi="Times New Roman" w:eastAsia="方正楷体_GBK" w:cs="方正楷体_GBK"/>
          <w:color w:val="auto"/>
          <w:sz w:val="32"/>
          <w:szCs w:val="32"/>
          <w:highlight w:val="none"/>
        </w:rPr>
        <w:t>第一节 健全“产业出题、科技答题”攻关体系</w:t>
      </w:r>
      <w:bookmarkEnd w:id="141"/>
      <w:bookmarkEnd w:id="142"/>
      <w:bookmarkEnd w:id="143"/>
    </w:p>
    <w:p w14:paraId="4EC5BCB3">
      <w:pPr>
        <w:overflowPunct w:val="0"/>
        <w:adjustRightInd w:val="0"/>
        <w:snapToGrid w:val="0"/>
        <w:spacing w:line="600" w:lineRule="exact"/>
        <w:ind w:firstLine="640" w:firstLineChars="200"/>
        <w:textAlignment w:val="baseline"/>
        <w:rPr>
          <w:rFonts w:hint="default"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提速建设科技成果转移转化枢纽平台。做强做优全国高校先导电子区域技术转移转化中心科技成果供给、教育部重庆高等研究院企业技术需求挖掘功能，集成放大工信部火炬中心西南中心、重庆知识产权运营中心等平台资源集聚、流通、撮合功能，推动全市高校院所、国有企业、公立医疗机构等国有创新主体职务科技成果优先在重庆科技要素交易中心挂牌交易。</w:t>
      </w:r>
    </w:p>
    <w:p w14:paraId="20CD9D4D">
      <w:pPr>
        <w:adjustRightInd w:val="0"/>
        <w:snapToGrid w:val="0"/>
        <w:spacing w:line="600" w:lineRule="exact"/>
        <w:ind w:firstLine="640" w:firstLineChars="200"/>
        <w:textAlignment w:val="baseline"/>
        <w:rPr>
          <w:rFonts w:hint="eastAsia" w:ascii="方正仿宋_GBK" w:hAnsi="方正仿宋_GBK" w:eastAsia="方正仿宋_GBK" w:cs="方正仿宋_GBK"/>
          <w:color w:val="auto"/>
          <w:sz w:val="32"/>
          <w:szCs w:val="32"/>
          <w:highlight w:val="none"/>
        </w:rPr>
      </w:pPr>
      <w:r>
        <w:rPr>
          <w:rFonts w:hint="eastAsia" w:ascii="Times New Roman" w:hAnsi="Times New Roman" w:eastAsia="方正仿宋_GBK" w:cs="Times New Roman"/>
          <w:color w:val="auto"/>
          <w:sz w:val="32"/>
          <w:szCs w:val="32"/>
          <w:highlight w:val="none"/>
        </w:rPr>
        <w:t>优化关键核心技术攻关机制。</w:t>
      </w:r>
      <w:r>
        <w:rPr>
          <w:rFonts w:ascii="Times New Roman" w:hAnsi="Times New Roman" w:eastAsia="方正仿宋_GBK" w:cs="Times New Roman"/>
          <w:color w:val="auto"/>
          <w:sz w:val="32"/>
          <w:szCs w:val="32"/>
          <w:highlight w:val="none"/>
        </w:rPr>
        <w:t>建立常态化产业技术创新需求征集发布机制，通过政府搭台、企业挂帅、科研机构答卷，构建</w:t>
      </w:r>
      <w:r>
        <w:rPr>
          <w:rFonts w:hint="eastAsia" w:ascii="Times New Roman" w:hAnsi="Times New Roman" w:eastAsia="方正仿宋_GBK" w:cs="Times New Roman"/>
          <w:color w:val="auto"/>
          <w:sz w:val="32"/>
          <w:szCs w:val="32"/>
          <w:highlight w:val="none"/>
        </w:rPr>
        <w:t>“</w:t>
      </w:r>
      <w:r>
        <w:rPr>
          <w:rFonts w:ascii="Times New Roman" w:hAnsi="Times New Roman" w:eastAsia="方正仿宋_GBK" w:cs="Times New Roman"/>
          <w:color w:val="auto"/>
          <w:sz w:val="32"/>
          <w:szCs w:val="32"/>
          <w:highlight w:val="none"/>
        </w:rPr>
        <w:t>产业出题、科技答题</w:t>
      </w:r>
      <w:r>
        <w:rPr>
          <w:rFonts w:hint="eastAsia" w:ascii="Times New Roman" w:hAnsi="Times New Roman" w:eastAsia="方正仿宋_GBK" w:cs="Times New Roman"/>
          <w:color w:val="auto"/>
          <w:sz w:val="32"/>
          <w:szCs w:val="32"/>
          <w:highlight w:val="none"/>
        </w:rPr>
        <w:t>”</w:t>
      </w:r>
      <w:r>
        <w:rPr>
          <w:rFonts w:ascii="Times New Roman" w:hAnsi="Times New Roman" w:eastAsia="方正仿宋_GBK" w:cs="Times New Roman"/>
          <w:color w:val="auto"/>
          <w:sz w:val="32"/>
          <w:szCs w:val="32"/>
          <w:highlight w:val="none"/>
        </w:rPr>
        <w:t>的攻关机制。部署实施企业科技攻关联合行动计划，鼓励企业</w:t>
      </w:r>
      <w:r>
        <w:rPr>
          <w:rFonts w:hint="eastAsia" w:ascii="Times New Roman" w:hAnsi="Times New Roman" w:eastAsia="方正仿宋_GBK" w:cs="Times New Roman"/>
          <w:color w:val="auto"/>
          <w:sz w:val="32"/>
          <w:szCs w:val="32"/>
          <w:highlight w:val="none"/>
        </w:rPr>
        <w:t>“</w:t>
      </w:r>
      <w:r>
        <w:rPr>
          <w:rFonts w:ascii="Times New Roman" w:hAnsi="Times New Roman" w:eastAsia="方正仿宋_GBK" w:cs="Times New Roman"/>
          <w:color w:val="auto"/>
          <w:sz w:val="32"/>
          <w:szCs w:val="32"/>
          <w:highlight w:val="none"/>
        </w:rPr>
        <w:t>出题、出资</w:t>
      </w:r>
      <w:r>
        <w:rPr>
          <w:rFonts w:hint="eastAsia" w:ascii="Times New Roman" w:hAnsi="Times New Roman" w:eastAsia="方正仿宋_GBK" w:cs="Times New Roman"/>
          <w:color w:val="auto"/>
          <w:sz w:val="32"/>
          <w:szCs w:val="32"/>
          <w:highlight w:val="none"/>
        </w:rPr>
        <w:t>”</w:t>
      </w:r>
      <w:r>
        <w:rPr>
          <w:rFonts w:ascii="Times New Roman" w:hAnsi="Times New Roman" w:eastAsia="方正仿宋_GBK" w:cs="Times New Roman"/>
          <w:color w:val="auto"/>
          <w:sz w:val="32"/>
          <w:szCs w:val="32"/>
          <w:highlight w:val="none"/>
        </w:rPr>
        <w:t>，高校院所</w:t>
      </w:r>
      <w:r>
        <w:rPr>
          <w:rFonts w:hint="eastAsia" w:ascii="Times New Roman" w:hAnsi="Times New Roman" w:eastAsia="方正仿宋_GBK" w:cs="Times New Roman"/>
          <w:color w:val="auto"/>
          <w:sz w:val="32"/>
          <w:szCs w:val="32"/>
          <w:highlight w:val="none"/>
        </w:rPr>
        <w:t>“</w:t>
      </w:r>
      <w:r>
        <w:rPr>
          <w:rFonts w:ascii="Times New Roman" w:hAnsi="Times New Roman" w:eastAsia="方正仿宋_GBK" w:cs="Times New Roman"/>
          <w:color w:val="auto"/>
          <w:sz w:val="32"/>
          <w:szCs w:val="32"/>
          <w:highlight w:val="none"/>
        </w:rPr>
        <w:t>出团队、出技术</w:t>
      </w:r>
      <w:r>
        <w:rPr>
          <w:rFonts w:hint="eastAsia" w:ascii="Times New Roman" w:hAnsi="Times New Roman" w:eastAsia="方正仿宋_GBK" w:cs="Times New Roman"/>
          <w:color w:val="auto"/>
          <w:sz w:val="32"/>
          <w:szCs w:val="32"/>
          <w:highlight w:val="none"/>
        </w:rPr>
        <w:t>”</w:t>
      </w:r>
      <w:r>
        <w:rPr>
          <w:rFonts w:ascii="Times New Roman" w:hAnsi="Times New Roman" w:eastAsia="方正仿宋_GBK" w:cs="Times New Roman"/>
          <w:color w:val="auto"/>
          <w:sz w:val="32"/>
          <w:szCs w:val="32"/>
          <w:highlight w:val="none"/>
        </w:rPr>
        <w:t>，共同开展以企业需求为导向的任务牵引型研发。</w:t>
      </w:r>
      <w:r>
        <w:rPr>
          <w:rFonts w:hint="eastAsia" w:ascii="Times New Roman" w:hAnsi="Times New Roman" w:eastAsia="方正仿宋_GBK" w:cs="Times New Roman"/>
          <w:color w:val="auto"/>
          <w:sz w:val="32"/>
          <w:szCs w:val="32"/>
          <w:highlight w:val="none"/>
        </w:rPr>
        <w:t>聚焦集成电路、高端装备、前沿材料、生命科学、新能源等领域，大力实施基础科学研究引领行动，加速</w:t>
      </w:r>
      <w:r>
        <w:rPr>
          <w:rFonts w:hint="eastAsia" w:ascii="方正仿宋_GBK" w:hAnsi="方正仿宋_GBK" w:eastAsia="方正仿宋_GBK" w:cs="方正仿宋_GBK"/>
          <w:color w:val="auto"/>
          <w:sz w:val="32"/>
          <w:szCs w:val="32"/>
          <w:highlight w:val="none"/>
        </w:rPr>
        <w:t>“</w:t>
      </w:r>
      <w:r>
        <w:rPr>
          <w:rFonts w:hint="eastAsia" w:ascii="Times New Roman" w:hAnsi="Times New Roman" w:eastAsia="方正仿宋_GBK" w:cs="Times New Roman"/>
          <w:color w:val="auto"/>
          <w:sz w:val="32"/>
          <w:szCs w:val="32"/>
          <w:highlight w:val="none"/>
        </w:rPr>
        <w:t>科创大脑+未来实验室</w:t>
      </w:r>
      <w:r>
        <w:rPr>
          <w:rFonts w:ascii="方正仿宋_GBK" w:hAnsi="方正仿宋_GBK" w:eastAsia="方正仿宋_GBK" w:cs="方正仿宋_GBK"/>
          <w:color w:val="auto"/>
          <w:sz w:val="32"/>
          <w:szCs w:val="32"/>
          <w:highlight w:val="none"/>
        </w:rPr>
        <w:t>”</w:t>
      </w:r>
      <w:r>
        <w:rPr>
          <w:rFonts w:hint="eastAsia" w:ascii="Times New Roman" w:hAnsi="Times New Roman" w:eastAsia="方正仿宋_GBK" w:cs="Times New Roman"/>
          <w:color w:val="auto"/>
          <w:sz w:val="32"/>
          <w:szCs w:val="32"/>
          <w:highlight w:val="none"/>
        </w:rPr>
        <w:t>科研范式变革，加快产出原创性科研成果和标志性产品。</w:t>
      </w:r>
      <w:r>
        <w:rPr>
          <w:rFonts w:hint="eastAsia" w:ascii="方正仿宋_GBK" w:hAnsi="方正仿宋_GBK" w:eastAsia="方正仿宋_GBK" w:cs="方正仿宋_GBK"/>
          <w:color w:val="auto"/>
          <w:sz w:val="32"/>
          <w:szCs w:val="32"/>
          <w:highlight w:val="none"/>
        </w:rPr>
        <w:t>以教育部重庆高等研究院、全国高校成果转移转化中心建设为抓手，打造大学城科学城融合发展示范区。</w:t>
      </w:r>
    </w:p>
    <w:p w14:paraId="240A93FC">
      <w:pPr>
        <w:widowControl/>
        <w:overflowPunct w:val="0"/>
        <w:jc w:val="center"/>
        <w:rPr>
          <w:rFonts w:hint="eastAsia" w:ascii="Times New Roman" w:hAnsi="Times New Roman" w:eastAsia="方正黑体_GBK" w:cs="方正黑体_GBK"/>
          <w:color w:val="auto"/>
          <w:kern w:val="0"/>
          <w:sz w:val="32"/>
          <w:szCs w:val="32"/>
          <w:highlight w:val="none"/>
          <w:u w:val="none"/>
          <w:lang w:bidi="ar"/>
        </w:rPr>
      </w:pPr>
      <w:r>
        <w:rPr>
          <w:rFonts w:hint="eastAsia" w:ascii="Times New Roman" w:hAnsi="Times New Roman" w:eastAsia="方正黑体_GBK" w:cs="方正黑体_GBK"/>
          <w:color w:val="auto"/>
          <w:kern w:val="0"/>
          <w:sz w:val="32"/>
          <w:szCs w:val="32"/>
          <w:highlight w:val="none"/>
          <w:u w:val="none"/>
          <w:lang w:bidi="ar"/>
        </w:rPr>
        <w:t>专栏</w:t>
      </w:r>
      <w:r>
        <w:rPr>
          <w:rFonts w:hint="eastAsia" w:ascii="Times New Roman" w:hAnsi="Times New Roman" w:eastAsia="方正黑体_GBK" w:cs="方正黑体_GBK"/>
          <w:color w:val="auto"/>
          <w:kern w:val="0"/>
          <w:sz w:val="32"/>
          <w:szCs w:val="32"/>
          <w:highlight w:val="none"/>
          <w:u w:val="none"/>
          <w:lang w:val="en-US" w:eastAsia="zh-CN" w:bidi="ar"/>
        </w:rPr>
        <w:t>6</w:t>
      </w:r>
      <w:r>
        <w:rPr>
          <w:rFonts w:hint="eastAsia" w:ascii="Times New Roman" w:hAnsi="Times New Roman" w:eastAsia="方正黑体_GBK" w:cs="方正黑体_GBK"/>
          <w:color w:val="auto"/>
          <w:kern w:val="0"/>
          <w:sz w:val="32"/>
          <w:szCs w:val="32"/>
          <w:highlight w:val="none"/>
          <w:u w:val="none"/>
          <w:lang w:bidi="ar"/>
        </w:rPr>
        <w:t xml:space="preserve"> 重点技术攻关计划</w:t>
      </w:r>
    </w:p>
    <w:tbl>
      <w:tblPr>
        <w:tblStyle w:val="22"/>
        <w:tblW w:w="5000" w:type="pct"/>
        <w:tblInd w:w="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67E3C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1DE0F281">
            <w:pPr>
              <w:pStyle w:val="19"/>
              <w:overflowPunct w:val="0"/>
              <w:snapToGrid w:val="0"/>
              <w:spacing w:beforeAutospacing="0" w:afterAutospacing="0" w:line="380" w:lineRule="exact"/>
              <w:ind w:firstLine="480" w:firstLineChars="200"/>
              <w:jc w:val="both"/>
              <w:rPr>
                <w:rFonts w:hint="eastAsia" w:ascii="Times New Roman" w:hAnsi="Times New Roman" w:eastAsia="方正书宋_GBK" w:cs="Times New Roman"/>
                <w:color w:val="auto"/>
                <w:highlight w:val="none"/>
                <w:u w:val="none"/>
              </w:rPr>
            </w:pPr>
            <w:r>
              <w:rPr>
                <w:rFonts w:hint="eastAsia" w:ascii="Times New Roman" w:hAnsi="Times New Roman" w:eastAsia="方正黑体_GBK" w:cs="方正黑体_GBK"/>
                <w:color w:val="auto"/>
                <w:highlight w:val="none"/>
                <w:u w:val="none"/>
                <w:lang w:val="en-US" w:eastAsia="zh-CN"/>
              </w:rPr>
              <w:t>1</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highlight w:val="none"/>
                <w:u w:val="none"/>
              </w:rPr>
              <w:t>新能源汽摩。</w:t>
            </w:r>
            <w:r>
              <w:rPr>
                <w:rFonts w:hint="eastAsia" w:ascii="Times New Roman" w:hAnsi="Times New Roman" w:eastAsia="方正书宋_GBK" w:cs="Times New Roman"/>
                <w:color w:val="auto"/>
                <w:highlight w:val="none"/>
                <w:u w:val="none"/>
              </w:rPr>
              <w:t>重点发展高端智能电动摩托车、新能源全地形车、车规级无人物流车及镁合金应用技术智造，预计到2030年汇聚3—5家高能级研发主体。聚焦“车路云一体化”、汽车检测，</w:t>
            </w:r>
            <w:r>
              <w:rPr>
                <w:rFonts w:hint="eastAsia" w:ascii="Times New Roman" w:hAnsi="Times New Roman" w:eastAsia="方正书宋_GBK" w:cs="Times New Roman"/>
                <w:color w:val="auto"/>
                <w:highlight w:val="none"/>
                <w:u w:val="none"/>
                <w:lang w:val="en-US" w:eastAsia="zh-CN"/>
              </w:rPr>
              <w:t>争取</w:t>
            </w:r>
            <w:r>
              <w:rPr>
                <w:rFonts w:hint="eastAsia" w:ascii="Times New Roman" w:hAnsi="Times New Roman" w:eastAsia="方正书宋_GBK" w:cs="Times New Roman"/>
                <w:color w:val="auto"/>
                <w:highlight w:val="none"/>
                <w:u w:val="none"/>
              </w:rPr>
              <w:t>到2030年打通多项“车路云一体化”关键技术链路。重点攻关新能源汽车动力总成、智能化软硬件系统，</w:t>
            </w:r>
            <w:r>
              <w:rPr>
                <w:rFonts w:hint="eastAsia" w:ascii="Times New Roman" w:hAnsi="Times New Roman" w:eastAsia="方正书宋_GBK" w:cs="Times New Roman"/>
                <w:color w:val="auto"/>
                <w:highlight w:val="none"/>
                <w:u w:val="none"/>
                <w:lang w:val="en-US" w:eastAsia="zh-CN"/>
              </w:rPr>
              <w:t>争取</w:t>
            </w:r>
            <w:r>
              <w:rPr>
                <w:rFonts w:hint="eastAsia" w:ascii="Times New Roman" w:hAnsi="Times New Roman" w:eastAsia="方正书宋_GBK" w:cs="Times New Roman"/>
                <w:color w:val="auto"/>
                <w:highlight w:val="none"/>
                <w:u w:val="none"/>
              </w:rPr>
              <w:t>到2030年研发一批智能驾驶系统产品。</w:t>
            </w:r>
          </w:p>
          <w:p w14:paraId="20551D3B">
            <w:pPr>
              <w:pStyle w:val="19"/>
              <w:overflowPunct w:val="0"/>
              <w:snapToGrid w:val="0"/>
              <w:spacing w:beforeAutospacing="0" w:afterAutospacing="0" w:line="380" w:lineRule="exact"/>
              <w:ind w:firstLine="480" w:firstLineChars="200"/>
              <w:jc w:val="both"/>
              <w:rPr>
                <w:rFonts w:hint="eastAsia" w:ascii="Times New Roman" w:hAnsi="Times New Roman" w:eastAsia="方正书宋_GBK" w:cs="Times New Roman"/>
                <w:color w:val="auto"/>
                <w:highlight w:val="none"/>
                <w:u w:val="none"/>
              </w:rPr>
            </w:pPr>
            <w:r>
              <w:rPr>
                <w:rFonts w:hint="eastAsia" w:ascii="Times New Roman" w:hAnsi="Times New Roman" w:eastAsia="方正黑体_GBK" w:cs="方正黑体_GBK"/>
                <w:color w:val="auto"/>
                <w:highlight w:val="none"/>
                <w:u w:val="none"/>
                <w:lang w:val="en-US" w:eastAsia="zh-CN"/>
              </w:rPr>
              <w:t>2</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highlight w:val="none"/>
                <w:u w:val="none"/>
              </w:rPr>
              <w:t>生物医药。</w:t>
            </w:r>
            <w:r>
              <w:rPr>
                <w:rFonts w:hint="eastAsia" w:ascii="Times New Roman" w:hAnsi="Times New Roman" w:eastAsia="方正书宋_GBK" w:cs="Times New Roman"/>
                <w:color w:val="auto"/>
                <w:highlight w:val="none"/>
                <w:u w:val="none"/>
              </w:rPr>
              <w:t>依托金凤实验室，攻关干细胞质量检测、细胞治疗、智能病理诊断</w:t>
            </w:r>
            <w:r>
              <w:rPr>
                <w:rFonts w:hint="eastAsia" w:ascii="Times New Roman" w:hAnsi="Times New Roman" w:eastAsia="方正书宋_GBK" w:cs="Times New Roman"/>
                <w:color w:val="auto"/>
                <w:highlight w:val="none"/>
                <w:u w:val="none"/>
                <w:lang w:val="en-US" w:eastAsia="zh-CN"/>
              </w:rPr>
              <w:t>等技术</w:t>
            </w:r>
            <w:r>
              <w:rPr>
                <w:rFonts w:hint="eastAsia" w:ascii="Times New Roman" w:hAnsi="Times New Roman" w:eastAsia="方正书宋_GBK" w:cs="Times New Roman"/>
                <w:color w:val="auto"/>
                <w:highlight w:val="none"/>
                <w:u w:val="none"/>
              </w:rPr>
              <w:t>，预计到2030年形成中国自主的干细胞质量检测方法，开发病理数据集和病理诊断大模型，建成投用市级病理远程会诊平台、国家干细胞库（重庆）中心。依托国家健康战略资源中心，聚焦细胞治疗、免疫力评估与干预等技术方向，争取到2030年建成国防动员库、细胞资源库、遗传资源库及细胞智能制造技术平台。依托国家药械审评检查西南分中心，推动药械注册指导、药械注册加速审评，</w:t>
            </w:r>
            <w:r>
              <w:rPr>
                <w:rFonts w:hint="eastAsia" w:ascii="Times New Roman" w:hAnsi="Times New Roman" w:eastAsia="方正书宋_GBK" w:cs="Times New Roman"/>
                <w:color w:val="auto"/>
                <w:highlight w:val="none"/>
                <w:u w:val="none"/>
                <w:lang w:val="en-US" w:eastAsia="zh-CN"/>
              </w:rPr>
              <w:t>推动</w:t>
            </w:r>
            <w:r>
              <w:rPr>
                <w:rFonts w:hint="eastAsia" w:ascii="Times New Roman" w:hAnsi="Times New Roman" w:eastAsia="方正书宋_GBK" w:cs="Times New Roman"/>
                <w:color w:val="auto"/>
                <w:highlight w:val="none"/>
                <w:u w:val="none"/>
              </w:rPr>
              <w:t>干细胞治疗、创新药与高端医疗器械等领域加速产业化。</w:t>
            </w:r>
          </w:p>
          <w:p w14:paraId="0C0655F8">
            <w:pPr>
              <w:pStyle w:val="19"/>
              <w:overflowPunct w:val="0"/>
              <w:snapToGrid w:val="0"/>
              <w:spacing w:beforeAutospacing="0" w:afterAutospacing="0" w:line="380" w:lineRule="exact"/>
              <w:ind w:firstLine="480" w:firstLineChars="200"/>
              <w:jc w:val="both"/>
              <w:rPr>
                <w:rFonts w:ascii="Times New Roman" w:hAnsi="Times New Roman"/>
                <w:color w:val="auto"/>
                <w:sz w:val="24"/>
                <w:szCs w:val="24"/>
                <w:highlight w:val="none"/>
              </w:rPr>
            </w:pPr>
            <w:r>
              <w:rPr>
                <w:rFonts w:hint="eastAsia" w:ascii="Times New Roman" w:hAnsi="Times New Roman" w:eastAsia="方正黑体_GBK" w:cs="方正黑体_GBK"/>
                <w:color w:val="auto"/>
                <w:highlight w:val="none"/>
                <w:u w:val="none"/>
                <w:lang w:val="en-US" w:eastAsia="zh-CN"/>
              </w:rPr>
              <w:t>3</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highlight w:val="none"/>
                <w:u w:val="none"/>
              </w:rPr>
              <w:t>人工智能+。</w:t>
            </w:r>
            <w:r>
              <w:rPr>
                <w:rFonts w:hint="eastAsia" w:ascii="Times New Roman" w:hAnsi="Times New Roman" w:eastAsia="方正书宋_GBK" w:cs="Times New Roman"/>
                <w:color w:val="auto"/>
                <w:highlight w:val="none"/>
                <w:u w:val="none"/>
              </w:rPr>
              <w:t>依托嘉陵江实验室，聚焦智能机器人系统，预计到2030年建成具身智能机器人系统软硬件平台和基于数字孪生的试验验证系统。依托北京大学重庆大数据研究院，围绕多垂域大模型、科学计算与仿真、科学智能等方向，开发具身智能的多垂域大模型，推广无极中医大模型等。依托上海交通大学沪渝人工智能研究院，围绕多垂域大模型、智慧医疗领域，推广兆言系列大模型、optADMET成药性预测平台等。</w:t>
            </w:r>
          </w:p>
        </w:tc>
      </w:tr>
    </w:tbl>
    <w:p w14:paraId="5EAF149C">
      <w:pPr>
        <w:overflowPunct/>
        <w:adjustRightInd/>
        <w:snapToGrid/>
        <w:spacing w:line="240" w:lineRule="auto"/>
        <w:jc w:val="left"/>
        <w:outlineLvl w:val="9"/>
        <w:rPr>
          <w:rFonts w:hint="eastAsia" w:ascii="Times New Roman" w:hAnsi="Times New Roman" w:eastAsia="方正楷体_GBK" w:cs="方正楷体_GBK"/>
          <w:color w:val="auto"/>
          <w:sz w:val="32"/>
          <w:szCs w:val="32"/>
          <w:highlight w:val="none"/>
        </w:rPr>
      </w:pPr>
      <w:bookmarkStart w:id="144" w:name="_Toc15791"/>
      <w:bookmarkStart w:id="145" w:name="_Toc1264589286"/>
      <w:bookmarkStart w:id="146" w:name="_Toc423909926"/>
      <w:r>
        <w:rPr>
          <w:rFonts w:hint="eastAsia" w:ascii="Times New Roman" w:hAnsi="Times New Roman" w:eastAsia="方正楷体_GBK" w:cs="方正楷体_GBK"/>
          <w:color w:val="auto"/>
          <w:sz w:val="32"/>
          <w:szCs w:val="32"/>
          <w:highlight w:val="none"/>
        </w:rPr>
        <w:br w:type="page"/>
      </w:r>
    </w:p>
    <w:p w14:paraId="396DEDE5">
      <w:pPr>
        <w:overflowPunct w:val="0"/>
        <w:adjustRightInd w:val="0"/>
        <w:snapToGrid w:val="0"/>
        <w:spacing w:line="600" w:lineRule="exact"/>
        <w:jc w:val="center"/>
        <w:outlineLvl w:val="2"/>
        <w:rPr>
          <w:rFonts w:ascii="Times New Roman" w:hAnsi="Times New Roman" w:eastAsia="方正楷体_GBK" w:cs="方正楷体_GBK"/>
          <w:color w:val="auto"/>
          <w:sz w:val="32"/>
          <w:szCs w:val="32"/>
          <w:highlight w:val="none"/>
        </w:rPr>
      </w:pPr>
      <w:r>
        <w:rPr>
          <w:rFonts w:hint="eastAsia" w:ascii="Times New Roman" w:hAnsi="Times New Roman" w:eastAsia="方正楷体_GBK" w:cs="方正楷体_GBK"/>
          <w:color w:val="auto"/>
          <w:sz w:val="32"/>
          <w:szCs w:val="32"/>
          <w:highlight w:val="none"/>
        </w:rPr>
        <w:t>第二节 培育概念验证及小试中试平台</w:t>
      </w:r>
      <w:bookmarkEnd w:id="144"/>
      <w:bookmarkEnd w:id="145"/>
      <w:bookmarkEnd w:id="146"/>
    </w:p>
    <w:p w14:paraId="5F7CA49B">
      <w:pPr>
        <w:adjustRightInd w:val="0"/>
        <w:snapToGrid w:val="0"/>
        <w:spacing w:line="600" w:lineRule="exact"/>
        <w:ind w:firstLine="640" w:firstLineChars="200"/>
        <w:textAlignment w:val="baseline"/>
        <w:rPr>
          <w:rFonts w:ascii="Times New Roman" w:hAnsi="Times New Roman" w:eastAsia="方正仿宋_GBK" w:cs="Times New Roman"/>
          <w:color w:val="auto"/>
          <w:sz w:val="32"/>
          <w:szCs w:val="32"/>
          <w:highlight w:val="none"/>
        </w:rPr>
      </w:pPr>
      <w:r>
        <w:rPr>
          <w:rFonts w:hint="eastAsia" w:ascii="方正仿宋_GBK" w:hAnsi="方正仿宋_GBK" w:eastAsia="方正仿宋_GBK" w:cs="方正仿宋_GBK"/>
          <w:color w:val="auto"/>
          <w:sz w:val="32"/>
          <w:szCs w:val="32"/>
          <w:highlight w:val="none"/>
        </w:rPr>
        <w:t>聚焦集成电路、新能源汽摩、生物医药等重点产业链，系统布局并升级一批概念验证中心，提供技术、产品、市场可行性验证分析，加速科技计划、创业想法走向样本环节，突破成果转化第一阶段。加快布局</w:t>
      </w:r>
      <w:r>
        <w:rPr>
          <w:rFonts w:ascii="方正仿宋_GBK" w:hAnsi="方正仿宋_GBK" w:eastAsia="方正仿宋_GBK" w:cs="方正仿宋_GBK"/>
          <w:color w:val="auto"/>
          <w:sz w:val="32"/>
          <w:szCs w:val="32"/>
          <w:highlight w:val="none"/>
        </w:rPr>
        <w:t>“</w:t>
      </w:r>
      <w:r>
        <w:rPr>
          <w:rFonts w:hint="eastAsia" w:ascii="方正仿宋_GBK" w:hAnsi="方正仿宋_GBK" w:eastAsia="方正仿宋_GBK" w:cs="方正仿宋_GBK"/>
          <w:color w:val="auto"/>
          <w:sz w:val="32"/>
          <w:szCs w:val="32"/>
          <w:highlight w:val="none"/>
        </w:rPr>
        <w:t>综合型+专业型</w:t>
      </w:r>
      <w:r>
        <w:rPr>
          <w:rFonts w:ascii="方正仿宋_GBK" w:hAnsi="方正仿宋_GBK" w:eastAsia="方正仿宋_GBK" w:cs="方正仿宋_GBK"/>
          <w:color w:val="auto"/>
          <w:sz w:val="32"/>
          <w:szCs w:val="32"/>
          <w:highlight w:val="none"/>
        </w:rPr>
        <w:t>”</w:t>
      </w:r>
      <w:r>
        <w:rPr>
          <w:rFonts w:hint="eastAsia" w:ascii="方正仿宋_GBK" w:hAnsi="方正仿宋_GBK" w:eastAsia="方正仿宋_GBK" w:cs="方正仿宋_GBK"/>
          <w:color w:val="auto"/>
          <w:sz w:val="32"/>
          <w:szCs w:val="32"/>
          <w:highlight w:val="none"/>
        </w:rPr>
        <w:t>小试中试平台体系，全面覆盖从技术熟化到产品定型的产业化关键环节，构筑科技成果从</w:t>
      </w:r>
      <w:r>
        <w:rPr>
          <w:rFonts w:ascii="方正仿宋_GBK" w:hAnsi="方正仿宋_GBK" w:eastAsia="方正仿宋_GBK" w:cs="方正仿宋_GBK"/>
          <w:color w:val="auto"/>
          <w:sz w:val="32"/>
          <w:szCs w:val="32"/>
          <w:highlight w:val="none"/>
        </w:rPr>
        <w:t>“</w:t>
      </w:r>
      <w:r>
        <w:rPr>
          <w:rFonts w:hint="eastAsia" w:ascii="方正仿宋_GBK" w:hAnsi="方正仿宋_GBK" w:eastAsia="方正仿宋_GBK" w:cs="方正仿宋_GBK"/>
          <w:color w:val="auto"/>
          <w:sz w:val="32"/>
          <w:szCs w:val="32"/>
          <w:highlight w:val="none"/>
        </w:rPr>
        <w:t>实验室</w:t>
      </w:r>
      <w:r>
        <w:rPr>
          <w:rFonts w:ascii="方正仿宋_GBK" w:hAnsi="方正仿宋_GBK" w:eastAsia="方正仿宋_GBK" w:cs="方正仿宋_GBK"/>
          <w:color w:val="auto"/>
          <w:sz w:val="32"/>
          <w:szCs w:val="32"/>
          <w:highlight w:val="none"/>
        </w:rPr>
        <w:t>”</w:t>
      </w:r>
      <w:r>
        <w:rPr>
          <w:rFonts w:hint="eastAsia" w:ascii="方正仿宋_GBK" w:hAnsi="方正仿宋_GBK" w:eastAsia="方正仿宋_GBK" w:cs="方正仿宋_GBK"/>
          <w:color w:val="auto"/>
          <w:sz w:val="32"/>
          <w:szCs w:val="32"/>
          <w:highlight w:val="none"/>
        </w:rPr>
        <w:t>走向</w:t>
      </w:r>
      <w:r>
        <w:rPr>
          <w:rFonts w:ascii="方正仿宋_GBK" w:hAnsi="方正仿宋_GBK" w:eastAsia="方正仿宋_GBK" w:cs="方正仿宋_GBK"/>
          <w:color w:val="auto"/>
          <w:sz w:val="32"/>
          <w:szCs w:val="32"/>
          <w:highlight w:val="none"/>
        </w:rPr>
        <w:t>“</w:t>
      </w:r>
      <w:r>
        <w:rPr>
          <w:rFonts w:hint="eastAsia" w:ascii="方正仿宋_GBK" w:hAnsi="方正仿宋_GBK" w:eastAsia="方正仿宋_GBK" w:cs="方正仿宋_GBK"/>
          <w:color w:val="auto"/>
          <w:sz w:val="32"/>
          <w:szCs w:val="32"/>
          <w:highlight w:val="none"/>
        </w:rPr>
        <w:t>生产线</w:t>
      </w:r>
      <w:r>
        <w:rPr>
          <w:rFonts w:ascii="方正仿宋_GBK" w:hAnsi="方正仿宋_GBK" w:eastAsia="方正仿宋_GBK" w:cs="方正仿宋_GBK"/>
          <w:color w:val="auto"/>
          <w:sz w:val="32"/>
          <w:szCs w:val="32"/>
          <w:highlight w:val="none"/>
        </w:rPr>
        <w:t>”</w:t>
      </w:r>
      <w:r>
        <w:rPr>
          <w:rFonts w:hint="eastAsia" w:ascii="方正仿宋_GBK" w:hAnsi="方正仿宋_GBK" w:eastAsia="方正仿宋_GBK" w:cs="方正仿宋_GBK"/>
          <w:color w:val="auto"/>
          <w:sz w:val="32"/>
          <w:szCs w:val="32"/>
          <w:highlight w:val="none"/>
        </w:rPr>
        <w:t>的全链条支撑体系，</w:t>
      </w:r>
      <w:r>
        <w:rPr>
          <w:rFonts w:hint="eastAsia" w:ascii="方正仿宋_GBK" w:hAnsi="方正仿宋_GBK" w:eastAsia="方正仿宋_GBK" w:cs="方正仿宋_GBK"/>
          <w:bCs/>
          <w:color w:val="auto"/>
          <w:sz w:val="32"/>
          <w:szCs w:val="40"/>
          <w:highlight w:val="none"/>
        </w:rPr>
        <w:t>为科技成果落地转化提供</w:t>
      </w:r>
      <w:r>
        <w:rPr>
          <w:rFonts w:ascii="方正仿宋_GBK" w:hAnsi="方正仿宋_GBK" w:eastAsia="方正仿宋_GBK" w:cs="方正仿宋_GBK"/>
          <w:color w:val="auto"/>
          <w:sz w:val="32"/>
          <w:szCs w:val="32"/>
          <w:highlight w:val="none"/>
        </w:rPr>
        <w:t>“</w:t>
      </w:r>
      <w:r>
        <w:rPr>
          <w:rFonts w:hint="eastAsia" w:ascii="方正仿宋_GBK" w:hAnsi="方正仿宋_GBK" w:eastAsia="方正仿宋_GBK" w:cs="方正仿宋_GBK"/>
          <w:bCs/>
          <w:color w:val="auto"/>
          <w:sz w:val="32"/>
          <w:szCs w:val="40"/>
          <w:highlight w:val="none"/>
        </w:rPr>
        <w:t>应用需求收集</w:t>
      </w:r>
      <w:r>
        <w:rPr>
          <w:rFonts w:hint="eastAsia" w:ascii="方正仿宋_GBK" w:hAnsi="方正仿宋_GBK" w:eastAsia="方正仿宋_GBK" w:cs="方正仿宋_GBK"/>
          <w:bCs/>
          <w:color w:val="auto"/>
          <w:sz w:val="32"/>
          <w:szCs w:val="40"/>
          <w:highlight w:val="none"/>
          <w:lang w:eastAsia="zh-CN"/>
        </w:rPr>
        <w:t>—</w:t>
      </w:r>
      <w:r>
        <w:rPr>
          <w:rFonts w:hint="eastAsia" w:ascii="方正仿宋_GBK" w:hAnsi="方正仿宋_GBK" w:eastAsia="方正仿宋_GBK" w:cs="方正仿宋_GBK"/>
          <w:bCs/>
          <w:color w:val="auto"/>
          <w:sz w:val="32"/>
          <w:szCs w:val="40"/>
          <w:highlight w:val="none"/>
        </w:rPr>
        <w:t>技术验证</w:t>
      </w:r>
      <w:r>
        <w:rPr>
          <w:rFonts w:hint="eastAsia" w:ascii="方正仿宋_GBK" w:hAnsi="方正仿宋_GBK" w:eastAsia="方正仿宋_GBK" w:cs="方正仿宋_GBK"/>
          <w:bCs/>
          <w:color w:val="auto"/>
          <w:sz w:val="32"/>
          <w:szCs w:val="40"/>
          <w:highlight w:val="none"/>
          <w:lang w:eastAsia="zh-CN"/>
        </w:rPr>
        <w:t>—</w:t>
      </w:r>
      <w:r>
        <w:rPr>
          <w:rFonts w:hint="eastAsia" w:ascii="方正仿宋_GBK" w:hAnsi="方正仿宋_GBK" w:eastAsia="方正仿宋_GBK" w:cs="方正仿宋_GBK"/>
          <w:bCs/>
          <w:color w:val="auto"/>
          <w:sz w:val="32"/>
          <w:szCs w:val="40"/>
          <w:highlight w:val="none"/>
        </w:rPr>
        <w:t>产业落地</w:t>
      </w:r>
      <w:r>
        <w:rPr>
          <w:rFonts w:ascii="方正仿宋_GBK" w:hAnsi="方正仿宋_GBK" w:eastAsia="方正仿宋_GBK" w:cs="方正仿宋_GBK"/>
          <w:color w:val="auto"/>
          <w:sz w:val="32"/>
          <w:szCs w:val="32"/>
          <w:highlight w:val="none"/>
        </w:rPr>
        <w:t>”</w:t>
      </w:r>
      <w:r>
        <w:rPr>
          <w:rFonts w:hint="eastAsia" w:ascii="方正仿宋_GBK" w:hAnsi="方正仿宋_GBK" w:eastAsia="方正仿宋_GBK" w:cs="方正仿宋_GBK"/>
          <w:bCs/>
          <w:color w:val="auto"/>
          <w:sz w:val="32"/>
          <w:szCs w:val="40"/>
          <w:highlight w:val="none"/>
        </w:rPr>
        <w:t>全流程一站式服务</w:t>
      </w:r>
      <w:r>
        <w:rPr>
          <w:rFonts w:hint="eastAsia" w:ascii="方正仿宋_GBK" w:hAnsi="方正仿宋_GBK" w:eastAsia="方正仿宋_GBK" w:cs="方正仿宋_GBK"/>
          <w:color w:val="auto"/>
          <w:sz w:val="32"/>
          <w:szCs w:val="32"/>
          <w:highlight w:val="none"/>
        </w:rPr>
        <w:t>。鼓励优质企业、高校围绕重庆高新区重点产业链发展需求，牵头创建概念验证中心、小试中试平台，提升技术成果概念验证、试验熟化能力。</w:t>
      </w:r>
      <w:r>
        <w:rPr>
          <w:rFonts w:hint="eastAsia" w:ascii="Times New Roman" w:hAnsi="Times New Roman" w:eastAsia="方正仿宋_GBK" w:cs="Times New Roman"/>
          <w:color w:val="auto"/>
          <w:sz w:val="32"/>
          <w:szCs w:val="32"/>
          <w:highlight w:val="none"/>
        </w:rPr>
        <w:t>到2030年，新建公共服务平台10个。</w:t>
      </w:r>
    </w:p>
    <w:p w14:paraId="58BCF202">
      <w:pPr>
        <w:overflowPunct w:val="0"/>
        <w:spacing w:line="600" w:lineRule="exact"/>
        <w:jc w:val="center"/>
        <w:outlineLvl w:val="2"/>
        <w:rPr>
          <w:rFonts w:ascii="Times New Roman" w:hAnsi="Times New Roman" w:eastAsia="方正楷体_GBK" w:cs="方正楷体_GBK"/>
          <w:color w:val="auto"/>
          <w:sz w:val="32"/>
          <w:szCs w:val="32"/>
          <w:highlight w:val="none"/>
        </w:rPr>
      </w:pPr>
      <w:bookmarkStart w:id="147" w:name="_Toc1450869183"/>
      <w:bookmarkStart w:id="148" w:name="_Toc12248"/>
      <w:bookmarkStart w:id="149" w:name="_Toc306475443"/>
      <w:r>
        <w:rPr>
          <w:rFonts w:hint="eastAsia" w:ascii="Times New Roman" w:hAnsi="Times New Roman" w:eastAsia="方正楷体_GBK" w:cs="方正楷体_GBK"/>
          <w:color w:val="auto"/>
          <w:sz w:val="32"/>
          <w:szCs w:val="32"/>
          <w:highlight w:val="none"/>
        </w:rPr>
        <w:t>第三节 完善科技金融服务体系</w:t>
      </w:r>
      <w:bookmarkEnd w:id="147"/>
      <w:bookmarkEnd w:id="148"/>
      <w:bookmarkEnd w:id="149"/>
    </w:p>
    <w:p w14:paraId="7E087D62">
      <w:pPr>
        <w:spacing w:line="600" w:lineRule="exact"/>
        <w:ind w:firstLine="640" w:firstLineChars="200"/>
        <w:textAlignment w:val="baseline"/>
        <w:rPr>
          <w:rFonts w:hint="eastAsia" w:ascii="Times New Roman" w:hAnsi="Times New Roman" w:eastAsia="方正仿宋_GBK" w:cs="Times New Roman"/>
          <w:color w:val="auto"/>
          <w:sz w:val="32"/>
          <w:szCs w:val="32"/>
          <w:highlight w:val="none"/>
          <w:lang w:val="en-US" w:eastAsia="zh-CN"/>
        </w:rPr>
      </w:pPr>
      <w:r>
        <w:rPr>
          <w:rFonts w:hint="eastAsia" w:ascii="方正仿宋_GBK" w:hAnsi="方正仿宋_GBK" w:eastAsia="方正仿宋_GBK" w:cs="方正仿宋_GBK"/>
          <w:b w:val="0"/>
          <w:bCs w:val="0"/>
          <w:sz w:val="32"/>
          <w:szCs w:val="32"/>
          <w:highlight w:val="none"/>
          <w:u w:val="none" w:color="auto"/>
          <w:lang w:val="en-US" w:eastAsia="zh-CN"/>
        </w:rPr>
        <w:t>鼓励金融机构推出契合科创企业特点、适配智能经济新形态的创新金融产品，大力集聚科技支行、科技保险等专营金融机构和国内外知名创投机构，推动科技并购贷、认股选择权先试先行。</w:t>
      </w:r>
      <w:r>
        <w:rPr>
          <w:rFonts w:ascii="Times New Roman" w:hAnsi="Times New Roman" w:eastAsia="方正仿宋_GBK" w:cs="Times New Roman"/>
          <w:color w:val="auto"/>
          <w:sz w:val="32"/>
          <w:szCs w:val="32"/>
          <w:highlight w:val="none"/>
        </w:rPr>
        <w:t>强化债权融资支持</w:t>
      </w:r>
      <w:r>
        <w:rPr>
          <w:rFonts w:hint="eastAsia" w:ascii="Times New Roman" w:hAnsi="Times New Roman" w:eastAsia="方正仿宋_GBK" w:cs="Times New Roman"/>
          <w:color w:val="auto"/>
          <w:sz w:val="32"/>
          <w:szCs w:val="32"/>
          <w:highlight w:val="none"/>
        </w:rPr>
        <w:t>，</w:t>
      </w:r>
      <w:r>
        <w:rPr>
          <w:rFonts w:ascii="Times New Roman" w:hAnsi="Times New Roman" w:eastAsia="方正仿宋_GBK" w:cs="Times New Roman"/>
          <w:color w:val="auto"/>
          <w:sz w:val="32"/>
          <w:szCs w:val="32"/>
          <w:highlight w:val="none"/>
        </w:rPr>
        <w:t>开展</w:t>
      </w:r>
      <w:r>
        <w:rPr>
          <w:rFonts w:hint="eastAsia" w:ascii="Times New Roman" w:hAnsi="Times New Roman" w:eastAsia="方正仿宋_GBK" w:cs="Times New Roman"/>
          <w:color w:val="auto"/>
          <w:sz w:val="32"/>
          <w:szCs w:val="32"/>
          <w:highlight w:val="none"/>
        </w:rPr>
        <w:t>“</w:t>
      </w:r>
      <w:r>
        <w:rPr>
          <w:rFonts w:ascii="Times New Roman" w:hAnsi="Times New Roman" w:eastAsia="方正仿宋_GBK" w:cs="Times New Roman"/>
          <w:color w:val="auto"/>
          <w:sz w:val="32"/>
          <w:szCs w:val="32"/>
          <w:highlight w:val="none"/>
        </w:rPr>
        <w:t>认股权+</w:t>
      </w:r>
      <w:r>
        <w:rPr>
          <w:rFonts w:hint="eastAsia" w:ascii="Times New Roman" w:hAnsi="Times New Roman" w:eastAsia="方正仿宋_GBK" w:cs="Times New Roman"/>
          <w:color w:val="auto"/>
          <w:sz w:val="32"/>
          <w:szCs w:val="32"/>
          <w:highlight w:val="none"/>
        </w:rPr>
        <w:t>”</w:t>
      </w:r>
      <w:r>
        <w:rPr>
          <w:rFonts w:ascii="Times New Roman" w:hAnsi="Times New Roman" w:eastAsia="方正仿宋_GBK" w:cs="Times New Roman"/>
          <w:color w:val="auto"/>
          <w:sz w:val="32"/>
          <w:szCs w:val="32"/>
          <w:highlight w:val="none"/>
        </w:rPr>
        <w:t>业务模式创新</w:t>
      </w:r>
      <w:r>
        <w:rPr>
          <w:rFonts w:hint="eastAsia" w:ascii="Times New Roman" w:hAnsi="Times New Roman" w:eastAsia="方正仿宋_GBK" w:cs="Times New Roman"/>
          <w:color w:val="auto"/>
          <w:sz w:val="32"/>
          <w:szCs w:val="32"/>
          <w:highlight w:val="none"/>
        </w:rPr>
        <w:t>，</w:t>
      </w:r>
      <w:r>
        <w:rPr>
          <w:rFonts w:ascii="Times New Roman" w:hAnsi="Times New Roman" w:eastAsia="方正仿宋_GBK" w:cs="Times New Roman"/>
          <w:color w:val="auto"/>
          <w:sz w:val="32"/>
          <w:szCs w:val="32"/>
          <w:highlight w:val="none"/>
        </w:rPr>
        <w:t>升级打造西部创投中心，</w:t>
      </w:r>
      <w:r>
        <w:rPr>
          <w:rFonts w:hint="eastAsia" w:ascii="方正仿宋_GBK" w:hAnsi="方正仿宋_GBK" w:eastAsia="方正仿宋_GBK" w:cs="方正仿宋_GBK"/>
          <w:color w:val="auto"/>
          <w:sz w:val="32"/>
          <w:szCs w:val="32"/>
          <w:highlight w:val="none"/>
        </w:rPr>
        <w:t>建立企业创新融资需求与金融机构、创投机构的信息对接机制</w:t>
      </w:r>
      <w:r>
        <w:rPr>
          <w:rFonts w:hint="eastAsia" w:ascii="Times New Roman" w:hAnsi="Times New Roman" w:eastAsia="方正仿宋_GBK" w:cs="Times New Roman"/>
          <w:color w:val="auto"/>
          <w:sz w:val="32"/>
          <w:szCs w:val="32"/>
          <w:highlight w:val="none"/>
        </w:rPr>
        <w:t>，</w:t>
      </w:r>
      <w:r>
        <w:rPr>
          <w:rFonts w:hint="eastAsia" w:ascii="方正仿宋_GBK" w:hAnsi="方正仿宋_GBK" w:eastAsia="方正仿宋_GBK" w:cs="方正仿宋_GBK"/>
          <w:color w:val="auto"/>
          <w:sz w:val="32"/>
          <w:szCs w:val="32"/>
          <w:highlight w:val="none"/>
        </w:rPr>
        <w:t>丰富科企梯度贷、知识价值信用贷、专利证券化等科技金融产品</w:t>
      </w:r>
      <w:r>
        <w:rPr>
          <w:rFonts w:hint="eastAsia"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构建符合市场规律的容错容亏机制，明确差异化风险容忍区间，</w:t>
      </w:r>
      <w:r>
        <w:rPr>
          <w:rFonts w:hint="eastAsia" w:ascii="Times New Roman" w:hAnsi="Times New Roman" w:eastAsia="方正仿宋_GBK" w:cs="Times New Roman"/>
          <w:color w:val="auto"/>
          <w:sz w:val="32"/>
          <w:szCs w:val="32"/>
          <w:highlight w:val="none"/>
          <w:lang w:val="en-US" w:eastAsia="zh-CN"/>
        </w:rPr>
        <w:t>允许“先投后股”“拨投结合”最高100%容亏率，种子基金、天使基金分别最高80%、60%容亏率。对国资创投机构按照整个基金生命周期进行考核，打造“政府引导、市场运作”的投资生态。</w:t>
      </w:r>
    </w:p>
    <w:p w14:paraId="7CEF5BBE">
      <w:pPr>
        <w:spacing w:line="600" w:lineRule="exact"/>
        <w:ind w:firstLine="640" w:firstLineChars="200"/>
        <w:textAlignment w:val="baseline"/>
        <w:rPr>
          <w:rFonts w:hint="eastAsia" w:ascii="Times New Roman" w:hAnsi="Times New Roman" w:eastAsia="方正仿宋_GBK" w:cs="Times New Roman"/>
          <w:color w:val="auto"/>
          <w:sz w:val="32"/>
          <w:szCs w:val="32"/>
          <w:highlight w:val="none"/>
          <w:lang w:val="en-US" w:eastAsia="zh-CN"/>
        </w:rPr>
      </w:pPr>
    </w:p>
    <w:p w14:paraId="7CCB304A">
      <w:pPr>
        <w:numPr>
          <w:ilvl w:val="-1"/>
          <w:numId w:val="0"/>
        </w:numPr>
        <w:overflowPunct w:val="0"/>
        <w:adjustRightInd w:val="0"/>
        <w:snapToGrid w:val="0"/>
        <w:spacing w:line="600" w:lineRule="exact"/>
        <w:ind w:leftChars="0"/>
        <w:jc w:val="center"/>
        <w:outlineLvl w:val="1"/>
        <w:rPr>
          <w:rFonts w:ascii="Times New Roman" w:hAnsi="Times New Roman" w:eastAsia="方正黑体_GBK" w:cs="方正黑体_GBK"/>
          <w:color w:val="auto"/>
          <w:spacing w:val="-20"/>
          <w:sz w:val="32"/>
          <w:szCs w:val="32"/>
          <w:highlight w:val="none"/>
        </w:rPr>
      </w:pPr>
      <w:bookmarkStart w:id="150" w:name="_Toc81546996"/>
      <w:bookmarkStart w:id="151" w:name="_Toc1266984995"/>
      <w:bookmarkStart w:id="152" w:name="_Toc2979"/>
      <w:r>
        <w:rPr>
          <w:rFonts w:hint="eastAsia" w:ascii="Times New Roman" w:hAnsi="Times New Roman" w:eastAsia="方正黑体_GBK" w:cs="方正黑体_GBK"/>
          <w:color w:val="auto"/>
          <w:spacing w:val="-20"/>
          <w:sz w:val="32"/>
          <w:szCs w:val="32"/>
          <w:highlight w:val="none"/>
          <w:lang w:val="en-US" w:eastAsia="zh-CN"/>
        </w:rPr>
        <w:t xml:space="preserve">第四章 </w:t>
      </w:r>
      <w:r>
        <w:rPr>
          <w:rFonts w:hint="eastAsia" w:ascii="Times New Roman" w:hAnsi="Times New Roman" w:eastAsia="方正黑体_GBK" w:cs="方正黑体_GBK"/>
          <w:color w:val="auto"/>
          <w:spacing w:val="-20"/>
          <w:sz w:val="32"/>
          <w:szCs w:val="32"/>
          <w:highlight w:val="none"/>
        </w:rPr>
        <w:t>探索大学城科学城融合为特色的教育科技人才</w:t>
      </w:r>
      <w:bookmarkEnd w:id="150"/>
      <w:bookmarkEnd w:id="151"/>
      <w:bookmarkStart w:id="153" w:name="_Toc1916450960"/>
      <w:bookmarkStart w:id="154" w:name="_Toc465794986"/>
      <w:r>
        <w:rPr>
          <w:rFonts w:hint="eastAsia" w:ascii="Times New Roman" w:hAnsi="Times New Roman" w:eastAsia="方正黑体_GBK" w:cs="方正黑体_GBK"/>
          <w:color w:val="auto"/>
          <w:spacing w:val="-20"/>
          <w:sz w:val="32"/>
          <w:szCs w:val="32"/>
          <w:highlight w:val="none"/>
        </w:rPr>
        <w:t>一体化改革示范</w:t>
      </w:r>
      <w:bookmarkEnd w:id="152"/>
      <w:bookmarkEnd w:id="153"/>
      <w:bookmarkEnd w:id="154"/>
    </w:p>
    <w:p w14:paraId="373747CE">
      <w:pPr>
        <w:spacing w:line="600" w:lineRule="exact"/>
        <w:ind w:firstLine="640" w:firstLineChars="200"/>
        <w:textAlignment w:val="baseline"/>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rPr>
        <w:t>统筹推进教育科技人才体制机制一体改革，</w:t>
      </w:r>
      <w:r>
        <w:rPr>
          <w:rFonts w:hint="eastAsia" w:ascii="Times New Roman" w:hAnsi="Times New Roman" w:eastAsia="方正仿宋_GBK" w:cs="Times New Roman"/>
          <w:color w:val="auto"/>
          <w:sz w:val="32"/>
          <w:szCs w:val="32"/>
          <w:highlight w:val="none"/>
          <w:u w:val="none" w:color="auto"/>
          <w:lang w:val="en-US" w:eastAsia="zh-CN" w:bidi="ar-SA"/>
        </w:rPr>
        <w:t>以大学城和科学城融合发展为特色，</w:t>
      </w:r>
      <w:r>
        <w:rPr>
          <w:rFonts w:hint="eastAsia" w:ascii="方正仿宋_GBK" w:hAnsi="方正仿宋_GBK" w:eastAsia="方正仿宋_GBK" w:cs="方正仿宋_GBK"/>
          <w:color w:val="auto"/>
          <w:sz w:val="32"/>
          <w:szCs w:val="32"/>
          <w:highlight w:val="none"/>
        </w:rPr>
        <w:t>构建“教育</w:t>
      </w:r>
      <w:r>
        <w:rPr>
          <w:rFonts w:hint="eastAsia" w:ascii="方正仿宋_GBK" w:hAnsi="方正仿宋_GBK" w:eastAsia="方正仿宋_GBK" w:cs="方正仿宋_GBK"/>
          <w:color w:val="auto"/>
          <w:sz w:val="32"/>
          <w:szCs w:val="32"/>
          <w:highlight w:val="none"/>
          <w:lang w:val="en-US" w:eastAsia="zh-CN"/>
        </w:rPr>
        <w:t>+</w:t>
      </w:r>
      <w:r>
        <w:rPr>
          <w:rFonts w:hint="eastAsia" w:ascii="方正仿宋_GBK" w:hAnsi="方正仿宋_GBK" w:eastAsia="方正仿宋_GBK" w:cs="方正仿宋_GBK"/>
          <w:color w:val="auto"/>
          <w:sz w:val="32"/>
          <w:szCs w:val="32"/>
          <w:highlight w:val="none"/>
        </w:rPr>
        <w:t>人才</w:t>
      </w:r>
      <w:r>
        <w:rPr>
          <w:rFonts w:hint="eastAsia" w:ascii="方正仿宋_GBK" w:hAnsi="方正仿宋_GBK" w:eastAsia="方正仿宋_GBK" w:cs="方正仿宋_GBK"/>
          <w:color w:val="auto"/>
          <w:sz w:val="32"/>
          <w:szCs w:val="32"/>
          <w:highlight w:val="none"/>
          <w:lang w:val="en-US" w:eastAsia="zh-CN"/>
        </w:rPr>
        <w:t>+</w:t>
      </w:r>
      <w:r>
        <w:rPr>
          <w:rFonts w:hint="eastAsia" w:ascii="方正仿宋_GBK" w:hAnsi="方正仿宋_GBK" w:eastAsia="方正仿宋_GBK" w:cs="方正仿宋_GBK"/>
          <w:color w:val="auto"/>
          <w:sz w:val="32"/>
          <w:szCs w:val="32"/>
          <w:highlight w:val="none"/>
        </w:rPr>
        <w:t>科创</w:t>
      </w:r>
      <w:r>
        <w:rPr>
          <w:rFonts w:hint="eastAsia" w:ascii="方正仿宋_GBK" w:hAnsi="方正仿宋_GBK" w:eastAsia="方正仿宋_GBK" w:cs="方正仿宋_GBK"/>
          <w:color w:val="auto"/>
          <w:sz w:val="32"/>
          <w:szCs w:val="32"/>
          <w:highlight w:val="none"/>
          <w:lang w:val="en-US" w:eastAsia="zh-CN"/>
        </w:rPr>
        <w:t>+</w:t>
      </w:r>
      <w:r>
        <w:rPr>
          <w:rFonts w:hint="eastAsia" w:ascii="方正仿宋_GBK" w:hAnsi="方正仿宋_GBK" w:eastAsia="方正仿宋_GBK" w:cs="方正仿宋_GBK"/>
          <w:color w:val="auto"/>
          <w:sz w:val="32"/>
          <w:szCs w:val="32"/>
          <w:highlight w:val="none"/>
        </w:rPr>
        <w:t>产业”创新生态，打造教育科技人才一体改革先行区。</w:t>
      </w:r>
    </w:p>
    <w:p w14:paraId="3D7F1C15">
      <w:pPr>
        <w:overflowPunct w:val="0"/>
        <w:spacing w:line="600" w:lineRule="exact"/>
        <w:jc w:val="center"/>
        <w:outlineLvl w:val="2"/>
        <w:rPr>
          <w:rFonts w:ascii="Times New Roman" w:hAnsi="Times New Roman" w:eastAsia="方正楷体_GBK" w:cs="方正楷体_GBK"/>
          <w:color w:val="auto"/>
          <w:sz w:val="32"/>
          <w:szCs w:val="32"/>
          <w:highlight w:val="none"/>
        </w:rPr>
      </w:pPr>
      <w:bookmarkStart w:id="155" w:name="_Toc1831547014"/>
      <w:bookmarkStart w:id="156" w:name="_Toc1038436387"/>
      <w:bookmarkStart w:id="157" w:name="_Toc12383"/>
      <w:r>
        <w:rPr>
          <w:rFonts w:hint="eastAsia" w:ascii="Times New Roman" w:hAnsi="Times New Roman" w:eastAsia="方正楷体_GBK" w:cs="方正楷体_GBK"/>
          <w:color w:val="auto"/>
          <w:sz w:val="32"/>
          <w:szCs w:val="32"/>
          <w:highlight w:val="none"/>
        </w:rPr>
        <w:t>第一节 支持高校深化产教融合</w:t>
      </w:r>
      <w:bookmarkEnd w:id="155"/>
      <w:bookmarkEnd w:id="156"/>
      <w:bookmarkEnd w:id="157"/>
    </w:p>
    <w:p w14:paraId="13A44281">
      <w:pPr>
        <w:widowControl/>
        <w:numPr>
          <w:ilvl w:val="255"/>
          <w:numId w:val="0"/>
        </w:numPr>
        <w:spacing w:line="600" w:lineRule="exact"/>
        <w:ind w:firstLine="640" w:firstLineChars="200"/>
        <w:textAlignment w:val="baseline"/>
        <w:rPr>
          <w:rFonts w:ascii="Times New Roman" w:hAnsi="Times New Roman" w:eastAsia="方正仿宋_GBK" w:cs="Times New Roman"/>
          <w:color w:val="auto"/>
          <w:sz w:val="32"/>
          <w:szCs w:val="32"/>
          <w:highlight w:val="none"/>
        </w:rPr>
      </w:pPr>
      <w:r>
        <w:rPr>
          <w:rFonts w:hint="eastAsia" w:ascii="方正仿宋_GBK" w:hAnsi="方正仿宋_GBK" w:eastAsia="方正仿宋_GBK" w:cs="方正仿宋_GBK"/>
          <w:color w:val="auto"/>
          <w:sz w:val="32"/>
          <w:szCs w:val="32"/>
          <w:highlight w:val="none"/>
        </w:rPr>
        <w:t>发挥教育部重庆高等研究院改革牵引作用，围绕产业需求匹配研究生培养指标，鼓励校企联动实施</w:t>
      </w:r>
      <w:r>
        <w:rPr>
          <w:rFonts w:ascii="方正仿宋_GBK" w:hAnsi="方正仿宋_GBK" w:eastAsia="方正仿宋_GBK" w:cs="方正仿宋_GBK"/>
          <w:color w:val="auto"/>
          <w:sz w:val="32"/>
          <w:szCs w:val="32"/>
          <w:highlight w:val="none"/>
        </w:rPr>
        <w:t>“</w:t>
      </w:r>
      <w:r>
        <w:rPr>
          <w:rFonts w:hint="eastAsia" w:ascii="方正仿宋_GBK" w:hAnsi="方正仿宋_GBK" w:eastAsia="方正仿宋_GBK" w:cs="方正仿宋_GBK"/>
          <w:color w:val="auto"/>
          <w:sz w:val="32"/>
          <w:szCs w:val="32"/>
          <w:highlight w:val="none"/>
        </w:rPr>
        <w:t>订单式</w:t>
      </w:r>
      <w:r>
        <w:rPr>
          <w:rFonts w:ascii="方正仿宋_GBK" w:hAnsi="方正仿宋_GBK" w:eastAsia="方正仿宋_GBK" w:cs="方正仿宋_GBK"/>
          <w:color w:val="auto"/>
          <w:sz w:val="32"/>
          <w:szCs w:val="32"/>
          <w:highlight w:val="none"/>
        </w:rPr>
        <w:t>”</w:t>
      </w:r>
      <w:r>
        <w:rPr>
          <w:rFonts w:hint="eastAsia" w:ascii="方正仿宋_GBK" w:hAnsi="方正仿宋_GBK" w:eastAsia="方正仿宋_GBK" w:cs="方正仿宋_GBK"/>
          <w:color w:val="auto"/>
          <w:sz w:val="32"/>
          <w:szCs w:val="32"/>
          <w:highlight w:val="none"/>
        </w:rPr>
        <w:t>人才培养。</w:t>
      </w:r>
      <w:r>
        <w:rPr>
          <w:rFonts w:hint="eastAsia" w:ascii="Times New Roman" w:hAnsi="Times New Roman" w:eastAsia="方正仿宋_GBK" w:cs="Times New Roman"/>
          <w:bCs/>
          <w:snapToGrid w:val="0"/>
          <w:color w:val="auto"/>
          <w:kern w:val="0"/>
          <w:sz w:val="32"/>
          <w:szCs w:val="32"/>
          <w:highlight w:val="none"/>
          <w:lang w:bidi="ar"/>
        </w:rPr>
        <w:t>鼓励</w:t>
      </w:r>
      <w:r>
        <w:rPr>
          <w:rFonts w:ascii="Times New Roman" w:hAnsi="Times New Roman" w:eastAsia="方正仿宋_GBK" w:cs="Times New Roman"/>
          <w:bCs/>
          <w:snapToGrid w:val="0"/>
          <w:color w:val="auto"/>
          <w:kern w:val="0"/>
          <w:sz w:val="32"/>
          <w:szCs w:val="32"/>
          <w:highlight w:val="none"/>
          <w:lang w:bidi="ar"/>
        </w:rPr>
        <w:t>高校结合产业发展动态优化调整学科，</w:t>
      </w:r>
      <w:r>
        <w:rPr>
          <w:rFonts w:hint="eastAsia" w:ascii="Times New Roman" w:hAnsi="Times New Roman" w:eastAsia="方正仿宋_GBK"/>
          <w:bCs/>
          <w:snapToGrid w:val="0"/>
          <w:color w:val="auto"/>
          <w:kern w:val="0"/>
          <w:sz w:val="32"/>
          <w:szCs w:val="32"/>
          <w:highlight w:val="none"/>
        </w:rPr>
        <w:t>支持重庆大学等高校围绕人工智能等新兴领域增列博士点、硕士点，创建一流学科，加强基础学科、新兴学科、交叉学科建设，鼓励高校联合引进创新资源共建科教协同育人联合体</w:t>
      </w:r>
      <w:r>
        <w:rPr>
          <w:rFonts w:hint="eastAsia" w:ascii="Times New Roman" w:hAnsi="Times New Roman" w:eastAsia="方正仿宋_GBK" w:cs="Times New Roman"/>
          <w:color w:val="auto"/>
          <w:sz w:val="32"/>
          <w:szCs w:val="32"/>
          <w:highlight w:val="none"/>
        </w:rPr>
        <w:t>。围绕教育科技人才一体化融合发展先行试验区建设，聘请高水平运营管理团队，建设概念验证、小试中试基地、共享实验室等专业技术服务平台，构建生态齐备的一体化创新创业孵化体系，打造“楼上孵化、楼间中试、楼下转化、区内规模化”科技成果转化新范式。</w:t>
      </w:r>
      <w:r>
        <w:rPr>
          <w:rFonts w:hint="eastAsia" w:ascii="方正仿宋_GBK" w:hAnsi="方正仿宋_GBK" w:eastAsia="方正仿宋_GBK" w:cs="方正仿宋_GBK"/>
          <w:color w:val="auto"/>
          <w:sz w:val="32"/>
          <w:szCs w:val="32"/>
          <w:highlight w:val="none"/>
        </w:rPr>
        <w:t>推动重庆大学智谷校区、重庆科技大学智慧创新中心建设，打造重庆医科大学西部数智医疗研究院等新型研发机构，布局建设重庆大学医学科技创新园、重庆医科大学医疗装备产业园、川美工业设计创谷等特色产业载体。拓展重庆大学、西南大学、重庆理工大学国家大学科技园项目合作，推动重庆医科大学、重庆科技大学争创国家大学科技园。</w:t>
      </w:r>
      <w:r>
        <w:rPr>
          <w:rFonts w:hint="eastAsia" w:ascii="Times New Roman" w:hAnsi="Times New Roman" w:eastAsia="方正仿宋_GBK" w:cs="Times New Roman"/>
          <w:color w:val="auto"/>
          <w:sz w:val="32"/>
          <w:szCs w:val="32"/>
          <w:highlight w:val="none"/>
        </w:rPr>
        <w:t>支持高校与企业共建产教联合体，拓展企业实训、项目制培养等多元育才路径。到2030年，</w:t>
      </w:r>
      <w:r>
        <w:rPr>
          <w:rFonts w:hint="eastAsia" w:ascii="方正仿宋_GBK" w:hAnsi="方正仿宋_GBK" w:eastAsia="方正仿宋_GBK" w:cs="方正仿宋_GBK"/>
          <w:b w:val="0"/>
          <w:bCs w:val="0"/>
          <w:color w:val="auto"/>
          <w:kern w:val="2"/>
          <w:sz w:val="32"/>
          <w:szCs w:val="32"/>
          <w:highlight w:val="none"/>
          <w:u w:val="none" w:color="auto"/>
          <w:lang w:val="en-US" w:eastAsia="zh-CN" w:bidi="ar-SA"/>
        </w:rPr>
        <w:t>大学城高校成果本地转化率提升至</w:t>
      </w:r>
      <w:r>
        <w:rPr>
          <w:rFonts w:hint="eastAsia" w:ascii="Times New Roman" w:hAnsi="Times New Roman" w:eastAsia="方正仿宋_GBK" w:cs="方正仿宋_GBK"/>
          <w:b w:val="0"/>
          <w:bCs w:val="0"/>
          <w:color w:val="auto"/>
          <w:kern w:val="2"/>
          <w:sz w:val="32"/>
          <w:szCs w:val="32"/>
          <w:highlight w:val="none"/>
          <w:u w:val="none" w:color="auto"/>
          <w:lang w:val="en-US" w:eastAsia="zh-CN" w:bidi="ar-SA"/>
        </w:rPr>
        <w:t>50%</w:t>
      </w:r>
      <w:r>
        <w:rPr>
          <w:rFonts w:hint="eastAsia" w:ascii="Times New Roman" w:hAnsi="Times New Roman" w:eastAsia="方正仿宋_GBK" w:cs="Times New Roman"/>
          <w:color w:val="auto"/>
          <w:sz w:val="32"/>
          <w:szCs w:val="32"/>
          <w:highlight w:val="none"/>
        </w:rPr>
        <w:t>。</w:t>
      </w:r>
    </w:p>
    <w:p w14:paraId="2D91BC7A">
      <w:pPr>
        <w:overflowPunct w:val="0"/>
        <w:spacing w:line="600" w:lineRule="exact"/>
        <w:jc w:val="center"/>
        <w:outlineLvl w:val="2"/>
        <w:rPr>
          <w:rFonts w:ascii="Times New Roman" w:hAnsi="Times New Roman" w:eastAsia="方正楷体_GBK" w:cs="方正楷体_GBK"/>
          <w:color w:val="auto"/>
          <w:sz w:val="32"/>
          <w:szCs w:val="32"/>
          <w:highlight w:val="none"/>
        </w:rPr>
      </w:pPr>
      <w:bookmarkStart w:id="158" w:name="_Toc780068200"/>
      <w:bookmarkStart w:id="159" w:name="_Toc400757140"/>
      <w:bookmarkStart w:id="160" w:name="_Toc27913"/>
      <w:r>
        <w:rPr>
          <w:rFonts w:hint="eastAsia" w:ascii="Times New Roman" w:hAnsi="Times New Roman" w:eastAsia="方正楷体_GBK" w:cs="方正楷体_GBK"/>
          <w:color w:val="auto"/>
          <w:sz w:val="32"/>
          <w:szCs w:val="32"/>
          <w:highlight w:val="none"/>
        </w:rPr>
        <w:t>第二节 支撑西部人才中心建设</w:t>
      </w:r>
      <w:bookmarkEnd w:id="158"/>
      <w:bookmarkEnd w:id="159"/>
      <w:bookmarkEnd w:id="160"/>
    </w:p>
    <w:p w14:paraId="644136A0">
      <w:pPr>
        <w:overflowPunct w:val="0"/>
        <w:spacing w:line="600" w:lineRule="exact"/>
        <w:ind w:firstLine="640" w:firstLineChars="200"/>
        <w:textAlignment w:val="baseline"/>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bCs/>
          <w:snapToGrid w:val="0"/>
          <w:color w:val="auto"/>
          <w:kern w:val="0"/>
          <w:sz w:val="32"/>
          <w:szCs w:val="32"/>
          <w:highlight w:val="none"/>
          <w:lang w:val="en-US" w:eastAsia="zh-CN" w:bidi="ar"/>
        </w:rPr>
        <w:t>实施引才育才机制改革。</w:t>
      </w:r>
      <w:r>
        <w:rPr>
          <w:rFonts w:hint="eastAsia" w:ascii="Times New Roman" w:hAnsi="Times New Roman" w:eastAsia="方正仿宋_GBK" w:cs="Times New Roman"/>
          <w:bCs/>
          <w:snapToGrid w:val="0"/>
          <w:color w:val="auto"/>
          <w:kern w:val="0"/>
          <w:sz w:val="32"/>
          <w:szCs w:val="32"/>
          <w:highlight w:val="none"/>
          <w:lang w:bidi="ar"/>
        </w:rPr>
        <w:t>用好“一行动一计划”，迭代</w:t>
      </w:r>
      <w:r>
        <w:rPr>
          <w:rFonts w:hint="eastAsia" w:ascii="Times New Roman" w:hAnsi="Times New Roman" w:eastAsia="方正仿宋_GBK" w:cs="Times New Roman"/>
          <w:bCs/>
          <w:snapToGrid w:val="0"/>
          <w:color w:val="auto"/>
          <w:kern w:val="0"/>
          <w:sz w:val="32"/>
          <w:szCs w:val="32"/>
          <w:highlight w:val="none"/>
          <w:lang w:eastAsia="zh-CN" w:bidi="ar"/>
        </w:rPr>
        <w:t>“</w:t>
      </w:r>
      <w:r>
        <w:rPr>
          <w:rFonts w:ascii="Times New Roman" w:hAnsi="Times New Roman" w:eastAsia="方正仿宋_GBK" w:cs="Times New Roman"/>
          <w:bCs/>
          <w:snapToGrid w:val="0"/>
          <w:color w:val="auto"/>
          <w:kern w:val="0"/>
          <w:sz w:val="32"/>
          <w:szCs w:val="32"/>
          <w:highlight w:val="none"/>
          <w:lang w:bidi="ar"/>
        </w:rPr>
        <w:t>金凤凰</w:t>
      </w:r>
      <w:r>
        <w:rPr>
          <w:rFonts w:hint="eastAsia" w:ascii="Times New Roman" w:hAnsi="Times New Roman" w:eastAsia="方正仿宋_GBK" w:cs="Times New Roman"/>
          <w:bCs/>
          <w:snapToGrid w:val="0"/>
          <w:color w:val="auto"/>
          <w:kern w:val="0"/>
          <w:sz w:val="32"/>
          <w:szCs w:val="32"/>
          <w:highlight w:val="none"/>
          <w:lang w:eastAsia="zh-CN" w:bidi="ar"/>
        </w:rPr>
        <w:t>”</w:t>
      </w:r>
      <w:r>
        <w:rPr>
          <w:rFonts w:hint="eastAsia" w:ascii="Times New Roman" w:hAnsi="Times New Roman" w:eastAsia="方正仿宋_GBK" w:cs="Times New Roman"/>
          <w:bCs/>
          <w:snapToGrid w:val="0"/>
          <w:color w:val="auto"/>
          <w:kern w:val="0"/>
          <w:sz w:val="32"/>
          <w:szCs w:val="32"/>
          <w:highlight w:val="none"/>
          <w:lang w:val="en-US" w:eastAsia="zh-CN" w:bidi="ar"/>
        </w:rPr>
        <w:t>系列</w:t>
      </w:r>
      <w:r>
        <w:rPr>
          <w:rFonts w:ascii="Times New Roman" w:hAnsi="Times New Roman" w:eastAsia="方正仿宋_GBK" w:cs="Times New Roman"/>
          <w:bCs/>
          <w:snapToGrid w:val="0"/>
          <w:color w:val="auto"/>
          <w:kern w:val="0"/>
          <w:sz w:val="32"/>
          <w:szCs w:val="32"/>
          <w:highlight w:val="none"/>
          <w:lang w:bidi="ar"/>
        </w:rPr>
        <w:t>人才政策，以</w:t>
      </w:r>
      <w:r>
        <w:rPr>
          <w:rFonts w:ascii="方正仿宋_GBK" w:hAnsi="方正仿宋_GBK" w:eastAsia="方正仿宋_GBK" w:cs="方正仿宋_GBK"/>
          <w:color w:val="auto"/>
          <w:sz w:val="32"/>
          <w:szCs w:val="32"/>
          <w:highlight w:val="none"/>
          <w:lang w:bidi="ar"/>
        </w:rPr>
        <w:t>“</w:t>
      </w:r>
      <w:r>
        <w:rPr>
          <w:rFonts w:ascii="Times New Roman" w:hAnsi="Times New Roman" w:eastAsia="方正仿宋_GBK" w:cs="Times New Roman"/>
          <w:bCs/>
          <w:snapToGrid w:val="0"/>
          <w:color w:val="auto"/>
          <w:kern w:val="0"/>
          <w:sz w:val="32"/>
          <w:szCs w:val="32"/>
          <w:highlight w:val="none"/>
          <w:lang w:bidi="ar"/>
        </w:rPr>
        <w:t>领军人才</w:t>
      </w:r>
      <w:r>
        <w:rPr>
          <w:rFonts w:hint="eastAsia" w:ascii="Times New Roman" w:hAnsi="Times New Roman" w:eastAsia="方正仿宋_GBK" w:cs="Times New Roman"/>
          <w:bCs/>
          <w:snapToGrid w:val="0"/>
          <w:color w:val="auto"/>
          <w:kern w:val="0"/>
          <w:sz w:val="32"/>
          <w:szCs w:val="32"/>
          <w:highlight w:val="none"/>
          <w:lang w:bidi="ar"/>
        </w:rPr>
        <w:t>+</w:t>
      </w:r>
      <w:r>
        <w:rPr>
          <w:rFonts w:ascii="Times New Roman" w:hAnsi="Times New Roman" w:eastAsia="方正仿宋_GBK" w:cs="Times New Roman"/>
          <w:bCs/>
          <w:snapToGrid w:val="0"/>
          <w:color w:val="auto"/>
          <w:kern w:val="0"/>
          <w:sz w:val="32"/>
          <w:szCs w:val="32"/>
          <w:highlight w:val="none"/>
          <w:lang w:bidi="ar"/>
        </w:rPr>
        <w:t>团队</w:t>
      </w:r>
      <w:r>
        <w:rPr>
          <w:rFonts w:hint="eastAsia" w:ascii="Times New Roman" w:hAnsi="Times New Roman" w:eastAsia="方正仿宋_GBK" w:cs="Times New Roman"/>
          <w:bCs/>
          <w:snapToGrid w:val="0"/>
          <w:color w:val="auto"/>
          <w:kern w:val="0"/>
          <w:sz w:val="32"/>
          <w:szCs w:val="32"/>
          <w:highlight w:val="none"/>
          <w:lang w:bidi="ar"/>
        </w:rPr>
        <w:t>+</w:t>
      </w:r>
      <w:r>
        <w:rPr>
          <w:rFonts w:ascii="Times New Roman" w:hAnsi="Times New Roman" w:eastAsia="方正仿宋_GBK" w:cs="Times New Roman"/>
          <w:bCs/>
          <w:snapToGrid w:val="0"/>
          <w:color w:val="auto"/>
          <w:kern w:val="0"/>
          <w:sz w:val="32"/>
          <w:szCs w:val="32"/>
          <w:highlight w:val="none"/>
          <w:lang w:bidi="ar"/>
        </w:rPr>
        <w:t>项目</w:t>
      </w:r>
      <w:r>
        <w:rPr>
          <w:rFonts w:hint="eastAsia" w:ascii="Times New Roman" w:hAnsi="Times New Roman" w:eastAsia="方正仿宋_GBK" w:cs="Times New Roman"/>
          <w:bCs/>
          <w:snapToGrid w:val="0"/>
          <w:color w:val="auto"/>
          <w:kern w:val="0"/>
          <w:sz w:val="32"/>
          <w:szCs w:val="32"/>
          <w:highlight w:val="none"/>
          <w:lang w:bidi="ar"/>
        </w:rPr>
        <w:t>+</w:t>
      </w:r>
      <w:r>
        <w:rPr>
          <w:rFonts w:ascii="Times New Roman" w:hAnsi="Times New Roman" w:eastAsia="方正仿宋_GBK" w:cs="Times New Roman"/>
          <w:bCs/>
          <w:snapToGrid w:val="0"/>
          <w:color w:val="auto"/>
          <w:kern w:val="0"/>
          <w:sz w:val="32"/>
          <w:szCs w:val="32"/>
          <w:highlight w:val="none"/>
          <w:lang w:bidi="ar"/>
        </w:rPr>
        <w:t>企</w:t>
      </w:r>
      <w:r>
        <w:rPr>
          <w:rFonts w:hint="eastAsia" w:ascii="Times New Roman" w:hAnsi="Times New Roman" w:eastAsia="方正仿宋_GBK" w:cs="Times New Roman"/>
          <w:bCs/>
          <w:snapToGrid w:val="0"/>
          <w:color w:val="auto"/>
          <w:kern w:val="0"/>
          <w:sz w:val="32"/>
          <w:szCs w:val="32"/>
          <w:highlight w:val="none"/>
          <w:lang w:bidi="ar"/>
        </w:rPr>
        <w:t>业+投资</w:t>
      </w:r>
      <w:r>
        <w:rPr>
          <w:rFonts w:ascii="方正仿宋_GBK" w:hAnsi="方正仿宋_GBK" w:eastAsia="方正仿宋_GBK" w:cs="方正仿宋_GBK"/>
          <w:color w:val="auto"/>
          <w:sz w:val="32"/>
          <w:szCs w:val="32"/>
          <w:highlight w:val="none"/>
          <w:lang w:bidi="ar"/>
        </w:rPr>
        <w:t>”</w:t>
      </w:r>
      <w:r>
        <w:rPr>
          <w:rFonts w:hint="eastAsia" w:ascii="Times New Roman" w:hAnsi="Times New Roman" w:eastAsia="方正仿宋_GBK" w:cs="Times New Roman"/>
          <w:bCs/>
          <w:snapToGrid w:val="0"/>
          <w:color w:val="auto"/>
          <w:kern w:val="0"/>
          <w:sz w:val="32"/>
          <w:szCs w:val="32"/>
          <w:highlight w:val="none"/>
          <w:lang w:bidi="ar"/>
        </w:rPr>
        <w:t>成建制招引</w:t>
      </w:r>
      <w:r>
        <w:rPr>
          <w:rFonts w:hint="eastAsia" w:ascii="Times New Roman" w:hAnsi="Times New Roman" w:eastAsia="方正仿宋_GBK" w:cs="Times New Roman"/>
          <w:bCs/>
          <w:snapToGrid w:val="0"/>
          <w:color w:val="auto"/>
          <w:kern w:val="0"/>
          <w:sz w:val="32"/>
          <w:szCs w:val="32"/>
          <w:highlight w:val="none"/>
          <w:lang w:val="en-US" w:eastAsia="zh-CN" w:bidi="ar"/>
        </w:rPr>
        <w:t>科技领军</w:t>
      </w:r>
      <w:r>
        <w:rPr>
          <w:rFonts w:hint="eastAsia" w:ascii="Times New Roman" w:hAnsi="Times New Roman" w:eastAsia="方正仿宋_GBK" w:cs="Times New Roman"/>
          <w:bCs/>
          <w:snapToGrid w:val="0"/>
          <w:color w:val="auto"/>
          <w:kern w:val="0"/>
          <w:sz w:val="32"/>
          <w:szCs w:val="32"/>
          <w:highlight w:val="none"/>
          <w:lang w:bidi="ar"/>
        </w:rPr>
        <w:t>团队。</w:t>
      </w:r>
      <w:r>
        <w:rPr>
          <w:rFonts w:hint="eastAsia" w:ascii="Times New Roman" w:hAnsi="Times New Roman" w:eastAsia="方正仿宋_GBK" w:cs="Times New Roman"/>
          <w:bCs/>
          <w:snapToGrid w:val="0"/>
          <w:color w:val="auto"/>
          <w:kern w:val="0"/>
          <w:sz w:val="32"/>
          <w:szCs w:val="32"/>
          <w:highlight w:val="none"/>
          <w:lang w:val="en-US" w:eastAsia="zh-CN" w:bidi="ar"/>
        </w:rPr>
        <w:t>探索实施“金凤凰”人才评价“四认制”，推行目录直认制，开展以贡献为核心、以实绩为依据的积分制，实施专家人才举荐认定制，</w:t>
      </w:r>
      <w:r>
        <w:rPr>
          <w:rFonts w:hint="eastAsia" w:ascii="Times New Roman" w:hAnsi="Times New Roman" w:eastAsia="方正仿宋_GBK" w:cs="Times New Roman"/>
          <w:bCs/>
          <w:snapToGrid w:val="0"/>
          <w:color w:val="auto"/>
          <w:kern w:val="0"/>
          <w:sz w:val="32"/>
          <w:szCs w:val="32"/>
          <w:highlight w:val="none"/>
          <w:lang w:bidi="ar"/>
        </w:rPr>
        <w:t>支持更多青年科技人才</w:t>
      </w:r>
      <w:r>
        <w:rPr>
          <w:rFonts w:ascii="方正仿宋_GBK" w:hAnsi="方正仿宋_GBK" w:eastAsia="方正仿宋_GBK" w:cs="方正仿宋_GBK"/>
          <w:color w:val="auto"/>
          <w:sz w:val="32"/>
          <w:szCs w:val="32"/>
          <w:highlight w:val="none"/>
          <w:lang w:bidi="ar"/>
        </w:rPr>
        <w:t>“</w:t>
      </w:r>
      <w:r>
        <w:rPr>
          <w:rFonts w:hint="eastAsia" w:ascii="Times New Roman" w:hAnsi="Times New Roman" w:eastAsia="方正仿宋_GBK" w:cs="Times New Roman"/>
          <w:bCs/>
          <w:snapToGrid w:val="0"/>
          <w:color w:val="auto"/>
          <w:kern w:val="0"/>
          <w:sz w:val="32"/>
          <w:szCs w:val="32"/>
          <w:highlight w:val="none"/>
          <w:lang w:bidi="ar"/>
        </w:rPr>
        <w:t>挑大梁、当主角</w:t>
      </w:r>
      <w:r>
        <w:rPr>
          <w:rFonts w:ascii="方正仿宋_GBK" w:hAnsi="方正仿宋_GBK" w:eastAsia="方正仿宋_GBK" w:cs="方正仿宋_GBK"/>
          <w:color w:val="auto"/>
          <w:sz w:val="32"/>
          <w:szCs w:val="32"/>
          <w:highlight w:val="none"/>
          <w:lang w:bidi="ar"/>
        </w:rPr>
        <w:t>”</w:t>
      </w:r>
      <w:r>
        <w:rPr>
          <w:rFonts w:hint="eastAsia" w:ascii="Times New Roman" w:hAnsi="Times New Roman" w:eastAsia="方正仿宋_GBK" w:cs="Times New Roman"/>
          <w:bCs/>
          <w:snapToGrid w:val="0"/>
          <w:color w:val="auto"/>
          <w:kern w:val="0"/>
          <w:sz w:val="32"/>
          <w:szCs w:val="32"/>
          <w:highlight w:val="none"/>
          <w:lang w:bidi="ar"/>
        </w:rPr>
        <w:t>。</w:t>
      </w:r>
      <w:r>
        <w:rPr>
          <w:rFonts w:hint="eastAsia" w:ascii="Times New Roman" w:hAnsi="Times New Roman" w:eastAsia="方正仿宋_GBK" w:cs="Times New Roman"/>
          <w:color w:val="auto"/>
          <w:sz w:val="32"/>
          <w:szCs w:val="32"/>
          <w:highlight w:val="none"/>
          <w:lang w:eastAsia="zh-CN"/>
        </w:rPr>
        <w:t>推行“工学一体化”技能人才培养模式，</w:t>
      </w:r>
      <w:r>
        <w:rPr>
          <w:rFonts w:hint="eastAsia" w:ascii="Times New Roman" w:hAnsi="Times New Roman" w:eastAsia="方正仿宋_GBK" w:cs="Times New Roman"/>
          <w:color w:val="auto"/>
          <w:sz w:val="32"/>
          <w:szCs w:val="32"/>
          <w:highlight w:val="none"/>
          <w:lang w:val="en-US" w:eastAsia="zh-CN"/>
        </w:rPr>
        <w:t>建设高技能人才培训基地、技能大师工作室，加强“数智工匠”培育，扩量提质技能人才队伍。</w:t>
      </w:r>
      <w:r>
        <w:rPr>
          <w:rFonts w:hint="eastAsia" w:ascii="Times New Roman" w:hAnsi="Times New Roman" w:eastAsia="方正仿宋_GBK" w:cs="Times New Roman"/>
          <w:bCs/>
          <w:snapToGrid w:val="0"/>
          <w:color w:val="auto"/>
          <w:kern w:val="0"/>
          <w:sz w:val="32"/>
          <w:szCs w:val="32"/>
          <w:highlight w:val="none"/>
          <w:lang w:bidi="ar"/>
        </w:rPr>
        <w:t>借力重庆国际人才交流大会等高层次人才对接活动平台，持续开展高新区引才专场活动，提升</w:t>
      </w:r>
      <w:r>
        <w:rPr>
          <w:rFonts w:hint="eastAsia" w:ascii="Times New Roman" w:hAnsi="Times New Roman" w:eastAsia="方正仿宋_GBK" w:cs="Times New Roman"/>
          <w:bCs/>
          <w:snapToGrid w:val="0"/>
          <w:color w:val="auto"/>
          <w:kern w:val="0"/>
          <w:sz w:val="32"/>
          <w:szCs w:val="32"/>
          <w:highlight w:val="none"/>
          <w:lang w:eastAsia="zh-CN" w:bidi="ar"/>
        </w:rPr>
        <w:t>“</w:t>
      </w:r>
      <w:r>
        <w:rPr>
          <w:rFonts w:hint="eastAsia" w:ascii="Times New Roman" w:hAnsi="Times New Roman" w:eastAsia="方正仿宋_GBK" w:cs="Times New Roman"/>
          <w:bCs/>
          <w:snapToGrid w:val="0"/>
          <w:color w:val="auto"/>
          <w:kern w:val="0"/>
          <w:sz w:val="32"/>
          <w:szCs w:val="32"/>
          <w:highlight w:val="none"/>
          <w:lang w:bidi="ar"/>
        </w:rPr>
        <w:t>金凤凰</w:t>
      </w:r>
      <w:r>
        <w:rPr>
          <w:rFonts w:hint="eastAsia" w:ascii="Times New Roman" w:hAnsi="Times New Roman" w:eastAsia="方正仿宋_GBK" w:cs="Times New Roman"/>
          <w:bCs/>
          <w:snapToGrid w:val="0"/>
          <w:color w:val="auto"/>
          <w:kern w:val="0"/>
          <w:sz w:val="32"/>
          <w:szCs w:val="32"/>
          <w:highlight w:val="none"/>
          <w:lang w:eastAsia="zh-CN" w:bidi="ar"/>
        </w:rPr>
        <w:t>”</w:t>
      </w:r>
      <w:r>
        <w:rPr>
          <w:rFonts w:hint="eastAsia" w:ascii="Times New Roman" w:hAnsi="Times New Roman" w:eastAsia="方正仿宋_GBK" w:cs="Times New Roman"/>
          <w:bCs/>
          <w:snapToGrid w:val="0"/>
          <w:color w:val="auto"/>
          <w:kern w:val="0"/>
          <w:sz w:val="32"/>
          <w:szCs w:val="32"/>
          <w:highlight w:val="none"/>
          <w:lang w:bidi="ar"/>
        </w:rPr>
        <w:t>人才系列活动品牌吸引力。</w:t>
      </w:r>
      <w:r>
        <w:rPr>
          <w:rFonts w:hint="eastAsia" w:ascii="方正仿宋_GBK" w:hAnsi="方正仿宋_GBK" w:eastAsia="方正仿宋_GBK" w:cs="方正仿宋_GBK"/>
          <w:color w:val="auto"/>
          <w:sz w:val="32"/>
          <w:szCs w:val="32"/>
          <w:highlight w:val="none"/>
          <w:lang w:val="en-US" w:eastAsia="zh-CN"/>
        </w:rPr>
        <w:t>高质量运营国际人才创新创业服务港，迭代升级“渝才荟”科学城国际人才港线上服务应用，完善人才创新创业全周期服务。</w:t>
      </w:r>
      <w:r>
        <w:rPr>
          <w:rFonts w:hint="eastAsia" w:ascii="Times New Roman" w:hAnsi="Times New Roman" w:eastAsia="方正仿宋_GBK" w:cs="Times New Roman"/>
          <w:bCs/>
          <w:snapToGrid w:val="0"/>
          <w:color w:val="auto"/>
          <w:kern w:val="0"/>
          <w:sz w:val="32"/>
          <w:szCs w:val="32"/>
          <w:highlight w:val="none"/>
          <w:lang w:bidi="ar"/>
        </w:rPr>
        <w:t>到2030年，</w:t>
      </w:r>
      <w:r>
        <w:rPr>
          <w:rFonts w:ascii="方正仿宋_GBK" w:hAnsi="方正仿宋_GBK" w:eastAsia="方正仿宋_GBK" w:cs="方正仿宋_GBK"/>
          <w:color w:val="auto"/>
          <w:sz w:val="32"/>
          <w:szCs w:val="32"/>
          <w:highlight w:val="none"/>
          <w:lang w:bidi="ar"/>
        </w:rPr>
        <w:t>“</w:t>
      </w:r>
      <w:r>
        <w:rPr>
          <w:rFonts w:hint="eastAsia" w:ascii="Times New Roman" w:hAnsi="Times New Roman" w:eastAsia="方正仿宋_GBK" w:cs="Times New Roman"/>
          <w:bCs/>
          <w:snapToGrid w:val="0"/>
          <w:color w:val="auto"/>
          <w:kern w:val="0"/>
          <w:sz w:val="32"/>
          <w:szCs w:val="32"/>
          <w:highlight w:val="none"/>
          <w:lang w:bidi="ar"/>
        </w:rPr>
        <w:t>金凤凰</w:t>
      </w:r>
      <w:r>
        <w:rPr>
          <w:rFonts w:ascii="方正仿宋_GBK" w:hAnsi="方正仿宋_GBK" w:eastAsia="方正仿宋_GBK" w:cs="方正仿宋_GBK"/>
          <w:color w:val="auto"/>
          <w:sz w:val="32"/>
          <w:szCs w:val="32"/>
          <w:highlight w:val="none"/>
          <w:lang w:bidi="ar"/>
        </w:rPr>
        <w:t>”</w:t>
      </w:r>
      <w:r>
        <w:rPr>
          <w:rFonts w:hint="eastAsia" w:ascii="Times New Roman" w:hAnsi="Times New Roman" w:eastAsia="方正仿宋_GBK" w:cs="Times New Roman"/>
          <w:bCs/>
          <w:snapToGrid w:val="0"/>
          <w:color w:val="auto"/>
          <w:kern w:val="0"/>
          <w:sz w:val="32"/>
          <w:szCs w:val="32"/>
          <w:highlight w:val="none"/>
          <w:lang w:bidi="ar"/>
        </w:rPr>
        <w:t>人才达1500人，培育高技能人才1万人</w:t>
      </w:r>
      <w:r>
        <w:rPr>
          <w:rFonts w:hint="eastAsia" w:ascii="Times New Roman" w:hAnsi="Times New Roman" w:eastAsia="方正仿宋_GBK" w:cs="Times New Roman"/>
          <w:bCs/>
          <w:snapToGrid w:val="0"/>
          <w:color w:val="auto"/>
          <w:kern w:val="0"/>
          <w:sz w:val="32"/>
          <w:szCs w:val="32"/>
          <w:highlight w:val="none"/>
          <w:lang w:eastAsia="zh-CN" w:bidi="ar"/>
        </w:rPr>
        <w:t>。</w:t>
      </w:r>
    </w:p>
    <w:p w14:paraId="6777CD8E">
      <w:pPr>
        <w:spacing w:line="600" w:lineRule="exact"/>
        <w:ind w:firstLine="640" w:firstLineChars="200"/>
        <w:textAlignment w:val="baseline"/>
        <w:rPr>
          <w:rFonts w:hint="eastAsia" w:ascii="Times New Roman" w:hAnsi="Times New Roman" w:eastAsia="方正楷体_GBK" w:cs="方正楷体_GBK"/>
          <w:color w:val="auto"/>
          <w:sz w:val="32"/>
          <w:szCs w:val="32"/>
          <w:highlight w:val="none"/>
        </w:rPr>
      </w:pPr>
      <w:r>
        <w:rPr>
          <w:rFonts w:hint="eastAsia" w:ascii="方正仿宋_GBK" w:hAnsi="方正仿宋_GBK" w:eastAsia="方正仿宋_GBK" w:cs="方正仿宋_GBK"/>
          <w:color w:val="auto"/>
          <w:sz w:val="32"/>
          <w:szCs w:val="32"/>
          <w:highlight w:val="none"/>
        </w:rPr>
        <w:t>做靓创新创业“陪跑人”改革品牌。建设重庆技术转移学院，构建“学历教育</w:t>
      </w:r>
      <w:r>
        <w:rPr>
          <w:rFonts w:hint="eastAsia" w:ascii="方正仿宋_GBK" w:hAnsi="方正仿宋_GBK" w:eastAsia="方正仿宋_GBK" w:cs="方正仿宋_GBK"/>
          <w:color w:val="auto"/>
          <w:sz w:val="32"/>
          <w:szCs w:val="32"/>
          <w:highlight w:val="none"/>
          <w:lang w:val="en-US" w:eastAsia="zh-CN"/>
        </w:rPr>
        <w:t>+</w:t>
      </w:r>
      <w:r>
        <w:rPr>
          <w:rFonts w:hint="eastAsia" w:ascii="方正仿宋_GBK" w:hAnsi="方正仿宋_GBK" w:eastAsia="方正仿宋_GBK" w:cs="方正仿宋_GBK"/>
          <w:color w:val="auto"/>
          <w:sz w:val="32"/>
          <w:szCs w:val="32"/>
          <w:highlight w:val="none"/>
        </w:rPr>
        <w:t>转化实践</w:t>
      </w:r>
      <w:r>
        <w:rPr>
          <w:rFonts w:hint="eastAsia" w:ascii="方正仿宋_GBK" w:hAnsi="方正仿宋_GBK" w:eastAsia="方正仿宋_GBK" w:cs="方正仿宋_GBK"/>
          <w:color w:val="auto"/>
          <w:sz w:val="32"/>
          <w:szCs w:val="32"/>
          <w:highlight w:val="none"/>
          <w:lang w:val="en-US" w:eastAsia="zh-CN"/>
        </w:rPr>
        <w:t>+</w:t>
      </w:r>
      <w:r>
        <w:rPr>
          <w:rFonts w:hint="eastAsia" w:ascii="方正仿宋_GBK" w:hAnsi="方正仿宋_GBK" w:eastAsia="方正仿宋_GBK" w:cs="方正仿宋_GBK"/>
          <w:color w:val="auto"/>
          <w:sz w:val="32"/>
          <w:szCs w:val="32"/>
          <w:highlight w:val="none"/>
        </w:rPr>
        <w:t>资质认证</w:t>
      </w:r>
      <w:r>
        <w:rPr>
          <w:rFonts w:hint="eastAsia" w:ascii="方正仿宋_GBK" w:hAnsi="方正仿宋_GBK" w:eastAsia="方正仿宋_GBK" w:cs="方正仿宋_GBK"/>
          <w:color w:val="auto"/>
          <w:sz w:val="32"/>
          <w:szCs w:val="32"/>
          <w:highlight w:val="none"/>
          <w:lang w:val="en-US" w:eastAsia="zh-CN"/>
        </w:rPr>
        <w:t>+</w:t>
      </w:r>
      <w:r>
        <w:rPr>
          <w:rFonts w:hint="eastAsia" w:ascii="方正仿宋_GBK" w:hAnsi="方正仿宋_GBK" w:eastAsia="方正仿宋_GBK" w:cs="方正仿宋_GBK"/>
          <w:color w:val="auto"/>
          <w:sz w:val="32"/>
          <w:szCs w:val="32"/>
          <w:highlight w:val="none"/>
        </w:rPr>
        <w:t>多元激励”的“陪跑人”培养模式。出台“陪跑人”激励政策，拓展陪跑服务场景、建设“陪跑人”社区、改革职称评价方式，激发创新创业活力。</w:t>
      </w:r>
      <w:r>
        <w:rPr>
          <w:rFonts w:hint="default" w:ascii="Times New Roman" w:hAnsi="Times New Roman" w:eastAsia="方正仿宋_GBK" w:cs="Times New Roman"/>
          <w:color w:val="auto"/>
          <w:sz w:val="32"/>
          <w:szCs w:val="32"/>
          <w:highlight w:val="none"/>
          <w:lang w:val="en-US" w:eastAsia="zh-CN"/>
        </w:rPr>
        <w:t>到2030年，</w:t>
      </w:r>
      <w:r>
        <w:rPr>
          <w:rFonts w:hint="eastAsia" w:ascii="Times New Roman" w:hAnsi="Times New Roman" w:eastAsia="方正仿宋_GBK" w:cs="Times New Roman"/>
          <w:bCs/>
          <w:snapToGrid w:val="0"/>
          <w:color w:val="auto"/>
          <w:kern w:val="0"/>
          <w:sz w:val="32"/>
          <w:szCs w:val="32"/>
          <w:highlight w:val="none"/>
          <w:lang w:eastAsia="zh-CN" w:bidi="ar"/>
        </w:rPr>
        <w:t>创新创业“陪跑人”队伍规模达</w:t>
      </w:r>
      <w:r>
        <w:rPr>
          <w:rFonts w:hint="eastAsia" w:ascii="Times New Roman" w:hAnsi="Times New Roman" w:eastAsia="方正仿宋_GBK" w:cs="Times New Roman"/>
          <w:bCs/>
          <w:snapToGrid w:val="0"/>
          <w:color w:val="auto"/>
          <w:kern w:val="0"/>
          <w:sz w:val="32"/>
          <w:szCs w:val="32"/>
          <w:highlight w:val="none"/>
          <w:lang w:val="en-US" w:eastAsia="zh-CN" w:bidi="ar"/>
        </w:rPr>
        <w:t>300</w:t>
      </w:r>
      <w:r>
        <w:rPr>
          <w:rFonts w:hint="eastAsia" w:ascii="Times New Roman" w:hAnsi="Times New Roman" w:eastAsia="方正仿宋_GBK" w:cs="Times New Roman"/>
          <w:bCs/>
          <w:snapToGrid w:val="0"/>
          <w:color w:val="auto"/>
          <w:kern w:val="0"/>
          <w:sz w:val="32"/>
          <w:szCs w:val="32"/>
          <w:highlight w:val="none"/>
          <w:lang w:eastAsia="zh-CN" w:bidi="ar"/>
        </w:rPr>
        <w:t>人，其中市级金牌陪跑人</w:t>
      </w:r>
      <w:r>
        <w:rPr>
          <w:rFonts w:hint="eastAsia" w:ascii="Times New Roman" w:hAnsi="Times New Roman" w:eastAsia="方正仿宋_GBK" w:cs="Times New Roman"/>
          <w:bCs/>
          <w:snapToGrid w:val="0"/>
          <w:color w:val="auto"/>
          <w:kern w:val="0"/>
          <w:sz w:val="32"/>
          <w:szCs w:val="32"/>
          <w:highlight w:val="none"/>
          <w:lang w:val="en-US" w:eastAsia="zh-CN" w:bidi="ar"/>
        </w:rPr>
        <w:t>5</w:t>
      </w:r>
      <w:r>
        <w:rPr>
          <w:rFonts w:hint="eastAsia" w:ascii="Times New Roman" w:hAnsi="Times New Roman" w:eastAsia="方正仿宋_GBK" w:cs="Times New Roman"/>
          <w:bCs/>
          <w:snapToGrid w:val="0"/>
          <w:color w:val="auto"/>
          <w:kern w:val="0"/>
          <w:sz w:val="32"/>
          <w:szCs w:val="32"/>
          <w:highlight w:val="none"/>
          <w:lang w:eastAsia="zh-CN" w:bidi="ar"/>
        </w:rPr>
        <w:t>0名。</w:t>
      </w:r>
      <w:bookmarkStart w:id="161" w:name="_Toc218572465"/>
      <w:bookmarkStart w:id="162" w:name="_Toc1016534988"/>
    </w:p>
    <w:p w14:paraId="0A73882A">
      <w:pPr>
        <w:overflowPunct w:val="0"/>
        <w:spacing w:line="600" w:lineRule="exact"/>
        <w:jc w:val="center"/>
        <w:outlineLvl w:val="2"/>
        <w:rPr>
          <w:rFonts w:ascii="Times New Roman" w:hAnsi="Times New Roman" w:eastAsia="方正楷体_GBK" w:cs="方正楷体_GBK"/>
          <w:color w:val="auto"/>
          <w:sz w:val="32"/>
          <w:szCs w:val="32"/>
          <w:highlight w:val="none"/>
        </w:rPr>
      </w:pPr>
      <w:bookmarkStart w:id="163" w:name="_Toc31965"/>
      <w:r>
        <w:rPr>
          <w:rFonts w:hint="eastAsia" w:ascii="Times New Roman" w:hAnsi="Times New Roman" w:eastAsia="方正楷体_GBK" w:cs="方正楷体_GBK"/>
          <w:color w:val="auto"/>
          <w:sz w:val="32"/>
          <w:szCs w:val="32"/>
          <w:highlight w:val="none"/>
        </w:rPr>
        <w:t>第三节 深化</w:t>
      </w:r>
      <w:r>
        <w:rPr>
          <w:rFonts w:ascii="Times New Roman" w:hAnsi="Times New Roman" w:eastAsia="方正楷体_GBK" w:cs="方正楷体_GBK"/>
          <w:color w:val="auto"/>
          <w:sz w:val="32"/>
          <w:szCs w:val="32"/>
          <w:highlight w:val="none"/>
        </w:rPr>
        <w:t>科技体制机制改革</w:t>
      </w:r>
      <w:bookmarkEnd w:id="161"/>
      <w:bookmarkEnd w:id="162"/>
      <w:bookmarkEnd w:id="163"/>
    </w:p>
    <w:p w14:paraId="64CD0BFE">
      <w:pPr>
        <w:widowControl/>
        <w:overflowPunct/>
        <w:spacing w:line="600" w:lineRule="exact"/>
        <w:ind w:firstLine="640" w:firstLineChars="200"/>
        <w:jc w:val="left"/>
        <w:textAlignment w:val="baseline"/>
        <w:rPr>
          <w:rFonts w:hint="eastAsia" w:ascii="Times New Roman" w:hAnsi="Times New Roman" w:eastAsia="方正黑体_GBK" w:cs="方正黑体_GBK"/>
          <w:color w:val="auto"/>
          <w:kern w:val="0"/>
          <w:sz w:val="32"/>
          <w:szCs w:val="32"/>
          <w:highlight w:val="none"/>
          <w:u w:val="none"/>
          <w:lang w:bidi="ar"/>
        </w:rPr>
      </w:pPr>
      <w:r>
        <w:rPr>
          <w:rFonts w:hint="eastAsia" w:ascii="方正仿宋_GBK" w:hAnsi="方正仿宋_GBK" w:eastAsia="方正仿宋_GBK" w:cs="方正仿宋_GBK"/>
          <w:color w:val="auto"/>
          <w:sz w:val="32"/>
          <w:szCs w:val="32"/>
          <w:highlight w:val="none"/>
        </w:rPr>
        <w:t>构建市、区、高校院所协同的科技成果转化激励约束和保障机制，</w:t>
      </w:r>
      <w:r>
        <w:rPr>
          <w:rFonts w:hint="eastAsia" w:ascii="方正仿宋_GBK" w:hAnsi="方正仿宋_GBK" w:eastAsia="方正仿宋_GBK" w:cs="方正仿宋_GBK"/>
          <w:color w:val="auto"/>
          <w:sz w:val="32"/>
          <w:szCs w:val="32"/>
          <w:highlight w:val="none"/>
          <w:lang w:bidi="ar"/>
        </w:rPr>
        <w:t>“</w:t>
      </w:r>
      <w:r>
        <w:rPr>
          <w:rFonts w:hint="eastAsia" w:ascii="方正仿宋_GBK" w:hAnsi="方正仿宋_GBK" w:eastAsia="方正仿宋_GBK" w:cs="方正仿宋_GBK"/>
          <w:color w:val="auto"/>
          <w:sz w:val="32"/>
          <w:szCs w:val="32"/>
          <w:highlight w:val="none"/>
        </w:rPr>
        <w:t>一校院一方案</w:t>
      </w:r>
      <w:r>
        <w:rPr>
          <w:rFonts w:hint="eastAsia" w:ascii="方正仿宋_GBK" w:hAnsi="方正仿宋_GBK" w:eastAsia="方正仿宋_GBK" w:cs="方正仿宋_GBK"/>
          <w:color w:val="auto"/>
          <w:sz w:val="32"/>
          <w:szCs w:val="32"/>
          <w:highlight w:val="none"/>
          <w:lang w:bidi="ar"/>
        </w:rPr>
        <w:t>”</w:t>
      </w:r>
      <w:r>
        <w:rPr>
          <w:rFonts w:hint="eastAsia" w:ascii="方正仿宋_GBK" w:hAnsi="方正仿宋_GBK" w:eastAsia="方正仿宋_GBK" w:cs="方正仿宋_GBK"/>
          <w:color w:val="auto"/>
          <w:sz w:val="32"/>
          <w:szCs w:val="32"/>
          <w:highlight w:val="none"/>
        </w:rPr>
        <w:t>引导高校院所深化科技成果资产单列管理、</w:t>
      </w:r>
      <w:r>
        <w:rPr>
          <w:rFonts w:hint="eastAsia" w:ascii="方正仿宋_GBK" w:hAnsi="方正仿宋_GBK" w:eastAsia="方正仿宋_GBK" w:cs="方正仿宋_GBK"/>
          <w:color w:val="auto"/>
          <w:sz w:val="32"/>
          <w:szCs w:val="32"/>
          <w:highlight w:val="none"/>
          <w:lang w:bidi="ar"/>
        </w:rPr>
        <w:t>“</w:t>
      </w:r>
      <w:r>
        <w:rPr>
          <w:rFonts w:hint="eastAsia" w:ascii="方正仿宋_GBK" w:hAnsi="方正仿宋_GBK" w:eastAsia="方正仿宋_GBK" w:cs="方正仿宋_GBK"/>
          <w:color w:val="auto"/>
          <w:sz w:val="32"/>
          <w:szCs w:val="32"/>
          <w:highlight w:val="none"/>
        </w:rPr>
        <w:t>先使用后付费</w:t>
      </w:r>
      <w:r>
        <w:rPr>
          <w:rFonts w:hint="eastAsia" w:ascii="方正仿宋_GBK" w:hAnsi="方正仿宋_GBK" w:eastAsia="方正仿宋_GBK" w:cs="方正仿宋_GBK"/>
          <w:color w:val="auto"/>
          <w:sz w:val="32"/>
          <w:szCs w:val="32"/>
          <w:highlight w:val="none"/>
          <w:lang w:bidi="ar"/>
        </w:rPr>
        <w:t>”“</w:t>
      </w:r>
      <w:r>
        <w:rPr>
          <w:rFonts w:hint="eastAsia" w:ascii="方正仿宋_GBK" w:hAnsi="方正仿宋_GBK" w:eastAsia="方正仿宋_GBK" w:cs="方正仿宋_GBK"/>
          <w:color w:val="auto"/>
          <w:sz w:val="32"/>
          <w:szCs w:val="32"/>
          <w:highlight w:val="none"/>
        </w:rPr>
        <w:t>先赋权后收益</w:t>
      </w:r>
      <w:r>
        <w:rPr>
          <w:rFonts w:hint="eastAsia" w:ascii="方正仿宋_GBK" w:hAnsi="方正仿宋_GBK" w:eastAsia="方正仿宋_GBK" w:cs="方正仿宋_GBK"/>
          <w:color w:val="auto"/>
          <w:sz w:val="32"/>
          <w:szCs w:val="32"/>
          <w:highlight w:val="none"/>
          <w:lang w:bidi="ar"/>
        </w:rPr>
        <w:t>”</w:t>
      </w:r>
      <w:r>
        <w:rPr>
          <w:rFonts w:hint="eastAsia" w:ascii="方正仿宋_GBK" w:hAnsi="方正仿宋_GBK" w:eastAsia="方正仿宋_GBK" w:cs="方正仿宋_GBK"/>
          <w:color w:val="auto"/>
          <w:sz w:val="32"/>
          <w:szCs w:val="32"/>
          <w:highlight w:val="none"/>
        </w:rPr>
        <w:t>等改革，完善科研人员分类考核制度，将转化成效和科研成果同等纳入评价标准予以考核。</w:t>
      </w:r>
      <w:r>
        <w:rPr>
          <w:rFonts w:hint="eastAsia" w:ascii="方正仿宋_GBK" w:hAnsi="方正仿宋_GBK" w:eastAsia="方正仿宋_GBK" w:cs="方正仿宋_GBK"/>
          <w:bCs w:val="0"/>
          <w:snapToGrid/>
          <w:color w:val="auto"/>
          <w:kern w:val="2"/>
          <w:sz w:val="32"/>
          <w:szCs w:val="32"/>
          <w:highlight w:val="none"/>
          <w:lang w:bidi="ar"/>
        </w:rPr>
        <w:t>畅通高校、科研院所、企业人才交流通道，探索</w:t>
      </w:r>
      <w:r>
        <w:rPr>
          <w:rFonts w:hint="eastAsia" w:ascii="方正仿宋_GBK" w:hAnsi="方正仿宋_GBK" w:eastAsia="方正仿宋_GBK" w:cs="方正仿宋_GBK"/>
          <w:color w:val="auto"/>
          <w:sz w:val="32"/>
          <w:szCs w:val="32"/>
          <w:highlight w:val="none"/>
          <w:lang w:bidi="ar"/>
        </w:rPr>
        <w:t>“</w:t>
      </w:r>
      <w:r>
        <w:rPr>
          <w:rFonts w:hint="eastAsia" w:ascii="方正仿宋_GBK" w:hAnsi="方正仿宋_GBK" w:eastAsia="方正仿宋_GBK" w:cs="方正仿宋_GBK"/>
          <w:bCs w:val="0"/>
          <w:snapToGrid/>
          <w:color w:val="auto"/>
          <w:kern w:val="2"/>
          <w:sz w:val="32"/>
          <w:szCs w:val="32"/>
          <w:highlight w:val="none"/>
          <w:lang w:bidi="ar"/>
        </w:rPr>
        <w:t>高校编制</w:t>
      </w:r>
      <w:r>
        <w:rPr>
          <w:rFonts w:hint="eastAsia" w:ascii="方正仿宋_GBK" w:hAnsi="方正仿宋_GBK" w:eastAsia="方正仿宋_GBK" w:cs="方正仿宋_GBK"/>
          <w:bCs w:val="0"/>
          <w:snapToGrid/>
          <w:color w:val="auto"/>
          <w:kern w:val="2"/>
          <w:sz w:val="32"/>
          <w:szCs w:val="32"/>
          <w:highlight w:val="none"/>
          <w:lang w:val="en-US" w:eastAsia="zh-CN" w:bidi="ar"/>
        </w:rPr>
        <w:t>+</w:t>
      </w:r>
      <w:r>
        <w:rPr>
          <w:rFonts w:hint="eastAsia" w:ascii="方正仿宋_GBK" w:hAnsi="方正仿宋_GBK" w:eastAsia="方正仿宋_GBK" w:cs="方正仿宋_GBK"/>
          <w:bCs w:val="0"/>
          <w:snapToGrid/>
          <w:color w:val="auto"/>
          <w:kern w:val="2"/>
          <w:sz w:val="32"/>
          <w:szCs w:val="32"/>
          <w:highlight w:val="none"/>
          <w:lang w:bidi="ar"/>
        </w:rPr>
        <w:t>协议薪资</w:t>
      </w:r>
      <w:r>
        <w:rPr>
          <w:rFonts w:hint="eastAsia" w:ascii="方正仿宋_GBK" w:hAnsi="方正仿宋_GBK" w:eastAsia="方正仿宋_GBK" w:cs="方正仿宋_GBK"/>
          <w:bCs w:val="0"/>
          <w:snapToGrid/>
          <w:color w:val="auto"/>
          <w:kern w:val="2"/>
          <w:sz w:val="32"/>
          <w:szCs w:val="32"/>
          <w:highlight w:val="none"/>
          <w:lang w:val="en-US" w:eastAsia="zh-CN" w:bidi="ar"/>
        </w:rPr>
        <w:t>+</w:t>
      </w:r>
      <w:r>
        <w:rPr>
          <w:rFonts w:hint="eastAsia" w:ascii="方正仿宋_GBK" w:hAnsi="方正仿宋_GBK" w:eastAsia="方正仿宋_GBK" w:cs="方正仿宋_GBK"/>
          <w:bCs w:val="0"/>
          <w:snapToGrid/>
          <w:color w:val="auto"/>
          <w:kern w:val="2"/>
          <w:sz w:val="32"/>
          <w:szCs w:val="32"/>
          <w:highlight w:val="none"/>
          <w:lang w:bidi="ar"/>
        </w:rPr>
        <w:t>双向选择</w:t>
      </w:r>
      <w:r>
        <w:rPr>
          <w:rFonts w:hint="eastAsia" w:ascii="方正仿宋_GBK" w:hAnsi="方正仿宋_GBK" w:eastAsia="方正仿宋_GBK" w:cs="方正仿宋_GBK"/>
          <w:color w:val="auto"/>
          <w:sz w:val="32"/>
          <w:szCs w:val="32"/>
          <w:highlight w:val="none"/>
          <w:lang w:bidi="ar"/>
        </w:rPr>
        <w:t>”</w:t>
      </w:r>
      <w:r>
        <w:rPr>
          <w:rFonts w:hint="eastAsia" w:ascii="方正仿宋_GBK" w:hAnsi="方正仿宋_GBK" w:eastAsia="方正仿宋_GBK" w:cs="方正仿宋_GBK"/>
          <w:bCs w:val="0"/>
          <w:snapToGrid/>
          <w:color w:val="auto"/>
          <w:kern w:val="2"/>
          <w:sz w:val="32"/>
          <w:szCs w:val="32"/>
          <w:highlight w:val="none"/>
          <w:lang w:bidi="ar"/>
        </w:rPr>
        <w:t>模式。</w:t>
      </w:r>
      <w:r>
        <w:rPr>
          <w:rFonts w:hint="eastAsia" w:ascii="方正仿宋_GBK" w:hAnsi="方正仿宋_GBK" w:eastAsia="方正仿宋_GBK" w:cs="方正仿宋_GBK"/>
          <w:color w:val="auto"/>
          <w:sz w:val="32"/>
          <w:szCs w:val="32"/>
          <w:highlight w:val="none"/>
        </w:rPr>
        <w:t>推进青年博士高校在读、在站科研、出站工作的连续</w:t>
      </w:r>
      <w:r>
        <w:rPr>
          <w:rFonts w:hint="eastAsia" w:ascii="方正仿宋_GBK" w:hAnsi="方正仿宋_GBK" w:eastAsia="方正仿宋_GBK" w:cs="方正仿宋_GBK"/>
          <w:color w:val="auto"/>
          <w:sz w:val="32"/>
          <w:szCs w:val="32"/>
          <w:highlight w:val="none"/>
          <w:lang w:val="en-US" w:eastAsia="zh-CN"/>
        </w:rPr>
        <w:t>培养</w:t>
      </w:r>
      <w:r>
        <w:rPr>
          <w:rFonts w:hint="eastAsia" w:ascii="方正仿宋_GBK" w:hAnsi="方正仿宋_GBK" w:eastAsia="方正仿宋_GBK" w:cs="方正仿宋_GBK"/>
          <w:color w:val="auto"/>
          <w:sz w:val="32"/>
          <w:szCs w:val="32"/>
          <w:highlight w:val="none"/>
        </w:rPr>
        <w:t>改革</w:t>
      </w:r>
      <w:r>
        <w:rPr>
          <w:rFonts w:hint="eastAsia" w:ascii="方正仿宋_GBK" w:hAnsi="方正仿宋_GBK" w:eastAsia="方正仿宋_GBK" w:cs="方正仿宋_GBK"/>
          <w:color w:val="auto"/>
          <w:sz w:val="32"/>
          <w:szCs w:val="32"/>
          <w:highlight w:val="none"/>
          <w:lang w:eastAsia="zh-CN"/>
        </w:rPr>
        <w:t>，推广“聘在高校、用在企业”的育才模式</w:t>
      </w:r>
      <w:r>
        <w:rPr>
          <w:rFonts w:hint="eastAsia" w:ascii="方正仿宋_GBK" w:hAnsi="方正仿宋_GBK" w:eastAsia="方正仿宋_GBK" w:cs="方正仿宋_GBK"/>
          <w:color w:val="auto"/>
          <w:sz w:val="32"/>
          <w:szCs w:val="32"/>
          <w:highlight w:val="none"/>
        </w:rPr>
        <w:t>。</w:t>
      </w:r>
      <w:r>
        <w:rPr>
          <w:rFonts w:hint="eastAsia" w:ascii="方正仿宋_GBK" w:hAnsi="方正仿宋_GBK" w:eastAsia="方正仿宋_GBK" w:cs="方正仿宋_GBK"/>
          <w:bCs w:val="0"/>
          <w:snapToGrid/>
          <w:color w:val="auto"/>
          <w:kern w:val="2"/>
          <w:sz w:val="32"/>
          <w:szCs w:val="32"/>
          <w:highlight w:val="none"/>
          <w:lang w:bidi="ar"/>
        </w:rPr>
        <w:t>持续深化</w:t>
      </w:r>
      <w:r>
        <w:rPr>
          <w:rFonts w:hint="eastAsia" w:ascii="方正仿宋_GBK" w:hAnsi="方正仿宋_GBK" w:eastAsia="方正仿宋_GBK" w:cs="方正仿宋_GBK"/>
          <w:color w:val="auto"/>
          <w:sz w:val="32"/>
          <w:szCs w:val="32"/>
          <w:highlight w:val="none"/>
          <w:lang w:bidi="ar"/>
        </w:rPr>
        <w:t>“</w:t>
      </w:r>
      <w:r>
        <w:rPr>
          <w:rFonts w:hint="eastAsia" w:ascii="方正仿宋_GBK" w:hAnsi="方正仿宋_GBK" w:eastAsia="方正仿宋_GBK" w:cs="方正仿宋_GBK"/>
          <w:bCs w:val="0"/>
          <w:snapToGrid/>
          <w:color w:val="auto"/>
          <w:kern w:val="2"/>
          <w:sz w:val="32"/>
          <w:szCs w:val="32"/>
          <w:highlight w:val="none"/>
          <w:lang w:bidi="ar"/>
        </w:rPr>
        <w:t>先投（研）后股</w:t>
      </w:r>
      <w:r>
        <w:rPr>
          <w:rFonts w:hint="eastAsia" w:ascii="方正仿宋_GBK" w:hAnsi="方正仿宋_GBK" w:eastAsia="方正仿宋_GBK" w:cs="方正仿宋_GBK"/>
          <w:color w:val="auto"/>
          <w:sz w:val="32"/>
          <w:szCs w:val="32"/>
          <w:highlight w:val="none"/>
          <w:lang w:bidi="ar"/>
        </w:rPr>
        <w:t>”“</w:t>
      </w:r>
      <w:r>
        <w:rPr>
          <w:rFonts w:hint="eastAsia" w:ascii="方正仿宋_GBK" w:hAnsi="方正仿宋_GBK" w:eastAsia="方正仿宋_GBK" w:cs="方正仿宋_GBK"/>
          <w:bCs w:val="0"/>
          <w:snapToGrid/>
          <w:color w:val="auto"/>
          <w:kern w:val="2"/>
          <w:sz w:val="32"/>
          <w:szCs w:val="32"/>
          <w:highlight w:val="none"/>
          <w:lang w:bidi="ar"/>
        </w:rPr>
        <w:t>拨投结合</w:t>
      </w:r>
      <w:r>
        <w:rPr>
          <w:rFonts w:hint="eastAsia" w:ascii="方正仿宋_GBK" w:hAnsi="方正仿宋_GBK" w:eastAsia="方正仿宋_GBK" w:cs="方正仿宋_GBK"/>
          <w:color w:val="auto"/>
          <w:sz w:val="32"/>
          <w:szCs w:val="32"/>
          <w:highlight w:val="none"/>
          <w:lang w:bidi="ar"/>
        </w:rPr>
        <w:t>”</w:t>
      </w:r>
      <w:r>
        <w:rPr>
          <w:rFonts w:hint="eastAsia" w:ascii="方正仿宋_GBK" w:hAnsi="方正仿宋_GBK" w:eastAsia="方正仿宋_GBK" w:cs="方正仿宋_GBK"/>
          <w:bCs w:val="0"/>
          <w:snapToGrid/>
          <w:color w:val="auto"/>
          <w:kern w:val="2"/>
          <w:sz w:val="32"/>
          <w:szCs w:val="32"/>
          <w:highlight w:val="none"/>
          <w:lang w:bidi="ar"/>
        </w:rPr>
        <w:t>支持科技成果转化改革，健全科技创新资金容亏容错机制。</w:t>
      </w:r>
      <w:bookmarkEnd w:id="102"/>
      <w:bookmarkEnd w:id="103"/>
      <w:bookmarkStart w:id="164" w:name="_Toc31053"/>
      <w:bookmarkStart w:id="165" w:name="_Toc25522"/>
      <w:bookmarkStart w:id="166" w:name="_Toc14824"/>
      <w:bookmarkStart w:id="167" w:name="_Toc19783"/>
      <w:bookmarkStart w:id="168" w:name="_Toc2941"/>
    </w:p>
    <w:p w14:paraId="6D1C68AC">
      <w:pPr>
        <w:widowControl/>
        <w:overflowPunct w:val="0"/>
        <w:spacing w:line="240" w:lineRule="auto"/>
        <w:ind w:firstLine="0" w:firstLineChars="0"/>
        <w:jc w:val="center"/>
        <w:textAlignment w:val="auto"/>
        <w:rPr>
          <w:rFonts w:hint="eastAsia" w:ascii="Times New Roman" w:hAnsi="Times New Roman" w:eastAsia="方正黑体_GBK" w:cs="方正黑体_GBK"/>
          <w:color w:val="auto"/>
          <w:kern w:val="0"/>
          <w:sz w:val="32"/>
          <w:szCs w:val="32"/>
          <w:highlight w:val="none"/>
          <w:u w:val="none"/>
          <w:lang w:bidi="ar"/>
        </w:rPr>
      </w:pPr>
      <w:r>
        <w:rPr>
          <w:rFonts w:hint="eastAsia" w:ascii="Times New Roman" w:hAnsi="Times New Roman" w:eastAsia="方正黑体_GBK" w:cs="方正黑体_GBK"/>
          <w:color w:val="auto"/>
          <w:kern w:val="0"/>
          <w:sz w:val="32"/>
          <w:szCs w:val="32"/>
          <w:highlight w:val="none"/>
          <w:u w:val="none"/>
          <w:lang w:bidi="ar"/>
        </w:rPr>
        <w:t>专栏</w:t>
      </w:r>
      <w:r>
        <w:rPr>
          <w:rFonts w:hint="eastAsia" w:ascii="Times New Roman" w:hAnsi="Times New Roman" w:eastAsia="方正黑体_GBK" w:cs="方正黑体_GBK"/>
          <w:color w:val="auto"/>
          <w:kern w:val="0"/>
          <w:sz w:val="32"/>
          <w:szCs w:val="32"/>
          <w:highlight w:val="none"/>
          <w:u w:val="none"/>
          <w:lang w:val="en-US" w:eastAsia="zh-CN" w:bidi="ar"/>
        </w:rPr>
        <w:t>7</w:t>
      </w:r>
      <w:r>
        <w:rPr>
          <w:rFonts w:hint="eastAsia" w:ascii="Times New Roman" w:hAnsi="Times New Roman" w:eastAsia="方正黑体_GBK" w:cs="方正黑体_GBK"/>
          <w:color w:val="auto"/>
          <w:kern w:val="0"/>
          <w:sz w:val="32"/>
          <w:szCs w:val="32"/>
          <w:highlight w:val="none"/>
          <w:u w:val="none"/>
          <w:lang w:bidi="ar"/>
        </w:rPr>
        <w:t xml:space="preserve"> 深化科技体制机制改革专项行动</w:t>
      </w:r>
    </w:p>
    <w:tbl>
      <w:tblPr>
        <w:tblStyle w:val="22"/>
        <w:tblW w:w="5000" w:type="pct"/>
        <w:tblInd w:w="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6423E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2359D0E8">
            <w:pPr>
              <w:pStyle w:val="19"/>
              <w:overflowPunct w:val="0"/>
              <w:snapToGrid w:val="0"/>
              <w:spacing w:beforeAutospacing="0" w:afterAutospacing="0" w:line="380" w:lineRule="exact"/>
              <w:ind w:firstLine="480" w:firstLineChars="200"/>
              <w:jc w:val="both"/>
              <w:rPr>
                <w:rFonts w:hint="eastAsia" w:ascii="Times New Roman" w:hAnsi="Times New Roman" w:eastAsia="方正书宋_GBK" w:cs="Times New Roman"/>
                <w:color w:val="auto"/>
                <w:highlight w:val="none"/>
                <w:u w:val="none"/>
              </w:rPr>
            </w:pPr>
            <w:r>
              <w:rPr>
                <w:rFonts w:hint="eastAsia" w:ascii="Times New Roman" w:hAnsi="Times New Roman" w:eastAsia="方正黑体_GBK" w:cs="方正黑体_GBK"/>
                <w:color w:val="auto"/>
                <w:highlight w:val="none"/>
                <w:u w:val="none"/>
              </w:rPr>
              <w:t>1</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highlight w:val="none"/>
                <w:u w:val="none"/>
              </w:rPr>
              <w:t>高校科技成果“先使用后付费”“先赋权后收益”改革试点。</w:t>
            </w:r>
            <w:r>
              <w:rPr>
                <w:rFonts w:hint="eastAsia" w:ascii="Times New Roman" w:hAnsi="Times New Roman" w:eastAsia="方正书宋_GBK" w:cs="Times New Roman"/>
                <w:color w:val="auto"/>
                <w:highlight w:val="none"/>
                <w:u w:val="none"/>
              </w:rPr>
              <w:t>支持高校、科研院所按照“先使用后付费”方式把科技成果许可给企业使用，使用期限及费用支付方式、时间等由双方商定。支持高校、科研院所开展科技成果“以权代股”试点，将科技成果使用权或所有权在一定期限内授权给成果完成人，加速成果增值培育。推动重庆大学、重庆科技大学等高校完善成果转化内部管理制度，提升成果转化收益。</w:t>
            </w:r>
          </w:p>
          <w:p w14:paraId="7038741B">
            <w:pPr>
              <w:pStyle w:val="19"/>
              <w:overflowPunct w:val="0"/>
              <w:snapToGrid w:val="0"/>
              <w:spacing w:beforeAutospacing="0" w:afterAutospacing="0" w:line="380" w:lineRule="exact"/>
              <w:ind w:firstLine="480" w:firstLineChars="200"/>
              <w:jc w:val="both"/>
              <w:rPr>
                <w:rFonts w:hint="eastAsia" w:ascii="Times New Roman" w:hAnsi="Times New Roman" w:eastAsia="方正书宋_GBK" w:cs="Times New Roman"/>
                <w:color w:val="auto"/>
                <w:highlight w:val="none"/>
                <w:u w:val="none"/>
              </w:rPr>
            </w:pPr>
            <w:r>
              <w:rPr>
                <w:rFonts w:hint="eastAsia" w:ascii="Times New Roman" w:hAnsi="Times New Roman" w:eastAsia="方正黑体_GBK" w:cs="方正黑体_GBK"/>
                <w:color w:val="auto"/>
                <w:highlight w:val="none"/>
                <w:u w:val="none"/>
              </w:rPr>
              <w:t>2</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highlight w:val="none"/>
                <w:u w:val="none"/>
              </w:rPr>
              <w:t>“高校编制+协议薪资+双向选择”模式。</w:t>
            </w:r>
            <w:r>
              <w:rPr>
                <w:rFonts w:hint="eastAsia" w:ascii="Times New Roman" w:hAnsi="Times New Roman" w:eastAsia="方正书宋_GBK" w:cs="Times New Roman"/>
                <w:color w:val="auto"/>
                <w:highlight w:val="none"/>
                <w:u w:val="none"/>
              </w:rPr>
              <w:t>建立“聘在高校，用在企业”的人才引进机制，统筹全市高校周转编制资源，率先实行人才“先引后聘”。通过市属高校提供周转编制、企业保障高薪待遇、政府提供专项人才政策支持等方式，形成“1+1+1&gt;3”的人才引育合力。加强周转编制管理，引进人才退出后，编制收回投放“周转池”循环使用。</w:t>
            </w:r>
          </w:p>
          <w:p w14:paraId="1D8D5ED3">
            <w:pPr>
              <w:pStyle w:val="19"/>
              <w:overflowPunct w:val="0"/>
              <w:snapToGrid w:val="0"/>
              <w:spacing w:beforeAutospacing="0" w:afterAutospacing="0" w:line="380" w:lineRule="exact"/>
              <w:ind w:firstLine="480" w:firstLineChars="200"/>
              <w:jc w:val="both"/>
              <w:rPr>
                <w:rFonts w:ascii="Times New Roman" w:hAnsi="Times New Roman"/>
                <w:color w:val="auto"/>
                <w:sz w:val="24"/>
                <w:szCs w:val="24"/>
                <w:highlight w:val="none"/>
              </w:rPr>
            </w:pPr>
            <w:r>
              <w:rPr>
                <w:rFonts w:hint="eastAsia" w:ascii="Times New Roman" w:hAnsi="Times New Roman" w:eastAsia="方正黑体_GBK" w:cs="方正黑体_GBK"/>
                <w:color w:val="auto"/>
                <w:highlight w:val="none"/>
                <w:u w:val="none"/>
              </w:rPr>
              <w:t>3</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highlight w:val="none"/>
                <w:u w:val="none"/>
              </w:rPr>
              <w:t>“先投（研）后股”“拨投结合”支持科技成果转化改革。</w:t>
            </w:r>
            <w:r>
              <w:rPr>
                <w:rFonts w:hint="eastAsia" w:ascii="Times New Roman" w:hAnsi="Times New Roman" w:eastAsia="方正书宋_GBK" w:cs="Times New Roman"/>
                <w:color w:val="auto"/>
                <w:highlight w:val="none"/>
                <w:u w:val="none"/>
              </w:rPr>
              <w:t>先投（研）后股在先投阶段以科研项目形式向企业投入资助资金，根据企业发展阶段分为种子期、初创期，给予企业精准支持，后股阶段则在被投企业完成约定的转股条件后，将已投入的财政资金转换为股权，并择机开展股权退出，实现财政资金的良性循环。</w:t>
            </w:r>
          </w:p>
        </w:tc>
      </w:tr>
      <w:bookmarkEnd w:id="164"/>
      <w:bookmarkEnd w:id="165"/>
      <w:bookmarkEnd w:id="166"/>
      <w:bookmarkEnd w:id="167"/>
      <w:bookmarkEnd w:id="168"/>
    </w:tbl>
    <w:p w14:paraId="0650DD32">
      <w:pPr>
        <w:spacing w:line="600" w:lineRule="exact"/>
        <w:ind w:firstLine="640" w:firstLineChars="200"/>
        <w:textAlignment w:val="baseline"/>
        <w:rPr>
          <w:rFonts w:hint="eastAsia" w:ascii="Times New Roman" w:hAnsi="Times New Roman" w:eastAsia="方正仿宋_GBK" w:cs="Times New Roman"/>
          <w:color w:val="auto"/>
          <w:sz w:val="32"/>
          <w:szCs w:val="32"/>
          <w:highlight w:val="none"/>
          <w:lang w:val="en-US" w:eastAsia="zh-CN"/>
        </w:rPr>
      </w:pPr>
      <w:bookmarkStart w:id="169" w:name="_Toc16460"/>
      <w:bookmarkStart w:id="170" w:name="_Toc1350382885"/>
      <w:bookmarkStart w:id="171" w:name="_Toc4995"/>
      <w:bookmarkStart w:id="172" w:name="_Toc20250"/>
      <w:bookmarkStart w:id="173" w:name="_Toc16724"/>
      <w:bookmarkStart w:id="174" w:name="_Toc3497"/>
      <w:bookmarkStart w:id="175" w:name="_Toc1671131431"/>
      <w:bookmarkStart w:id="176" w:name="_Toc30865"/>
      <w:bookmarkStart w:id="177" w:name="_Toc26776"/>
      <w:bookmarkStart w:id="178" w:name="_Toc9971"/>
      <w:bookmarkStart w:id="179" w:name="_Toc25771"/>
    </w:p>
    <w:p w14:paraId="164C9E28">
      <w:pPr>
        <w:numPr>
          <w:ilvl w:val="255"/>
          <w:numId w:val="0"/>
        </w:numPr>
        <w:overflowPunct w:val="0"/>
        <w:spacing w:line="600" w:lineRule="exact"/>
        <w:jc w:val="center"/>
        <w:outlineLvl w:val="1"/>
        <w:rPr>
          <w:rFonts w:ascii="Times New Roman" w:hAnsi="Times New Roman" w:eastAsia="方正黑体_GBK" w:cs="方正黑体_GBK"/>
          <w:color w:val="auto"/>
          <w:sz w:val="32"/>
          <w:szCs w:val="32"/>
          <w:highlight w:val="none"/>
        </w:rPr>
      </w:pPr>
      <w:r>
        <w:rPr>
          <w:rFonts w:hint="eastAsia" w:ascii="Times New Roman" w:hAnsi="Times New Roman" w:eastAsia="方正黑体_GBK" w:cs="方正黑体_GBK"/>
          <w:color w:val="auto"/>
          <w:sz w:val="32"/>
          <w:szCs w:val="32"/>
          <w:highlight w:val="none"/>
        </w:rPr>
        <w:t>第五章 升级打造五大科创空间</w:t>
      </w:r>
      <w:bookmarkEnd w:id="169"/>
      <w:bookmarkEnd w:id="170"/>
      <w:bookmarkEnd w:id="171"/>
      <w:bookmarkEnd w:id="172"/>
      <w:bookmarkEnd w:id="173"/>
      <w:bookmarkEnd w:id="174"/>
      <w:bookmarkEnd w:id="175"/>
      <w:bookmarkEnd w:id="176"/>
      <w:bookmarkEnd w:id="177"/>
      <w:bookmarkEnd w:id="178"/>
      <w:bookmarkEnd w:id="179"/>
    </w:p>
    <w:p w14:paraId="42CF5B22">
      <w:pPr>
        <w:adjustRightInd w:val="0"/>
        <w:snapToGrid w:val="0"/>
        <w:spacing w:line="600" w:lineRule="exact"/>
        <w:ind w:firstLine="640" w:firstLineChars="200"/>
        <w:textAlignment w:val="baseline"/>
        <w:rPr>
          <w:rFonts w:ascii="Times New Roman" w:hAnsi="Times New Roman" w:eastAsia="方正仿宋_GBK" w:cs="Times New Roman"/>
          <w:bCs/>
          <w:snapToGrid w:val="0"/>
          <w:color w:val="auto"/>
          <w:kern w:val="0"/>
          <w:sz w:val="32"/>
          <w:szCs w:val="32"/>
          <w:highlight w:val="none"/>
          <w:lang w:bidi="ar"/>
        </w:rPr>
      </w:pPr>
      <w:r>
        <w:rPr>
          <w:rFonts w:hint="eastAsia" w:ascii="Times New Roman" w:hAnsi="Times New Roman" w:eastAsia="方正仿宋_GBK" w:cs="Times New Roman"/>
          <w:bCs/>
          <w:snapToGrid w:val="0"/>
          <w:color w:val="auto"/>
          <w:kern w:val="0"/>
          <w:sz w:val="32"/>
          <w:szCs w:val="32"/>
          <w:highlight w:val="none"/>
          <w:lang w:bidi="ar"/>
        </w:rPr>
        <w:t>优化科技创新资源空间布局，升级打造大学城、科研港、科学谷、生命岛、微电园</w:t>
      </w:r>
      <w:r>
        <w:rPr>
          <w:rFonts w:ascii="方正仿宋_GBK" w:hAnsi="方正仿宋_GBK" w:eastAsia="方正仿宋_GBK" w:cs="方正仿宋_GBK"/>
          <w:color w:val="auto"/>
          <w:sz w:val="32"/>
          <w:szCs w:val="32"/>
          <w:highlight w:val="none"/>
          <w:lang w:bidi="ar"/>
        </w:rPr>
        <w:t>“</w:t>
      </w:r>
      <w:r>
        <w:rPr>
          <w:rFonts w:hint="eastAsia" w:ascii="Times New Roman" w:hAnsi="Times New Roman" w:eastAsia="方正仿宋_GBK" w:cs="Times New Roman"/>
          <w:bCs/>
          <w:snapToGrid w:val="0"/>
          <w:color w:val="auto"/>
          <w:kern w:val="0"/>
          <w:sz w:val="32"/>
          <w:szCs w:val="32"/>
          <w:highlight w:val="none"/>
          <w:lang w:bidi="ar"/>
        </w:rPr>
        <w:t>五大科创空间</w:t>
      </w:r>
      <w:r>
        <w:rPr>
          <w:rFonts w:ascii="方正仿宋_GBK" w:hAnsi="方正仿宋_GBK" w:eastAsia="方正仿宋_GBK" w:cs="方正仿宋_GBK"/>
          <w:color w:val="auto"/>
          <w:sz w:val="32"/>
          <w:szCs w:val="32"/>
          <w:highlight w:val="none"/>
          <w:lang w:bidi="ar"/>
        </w:rPr>
        <w:t>”</w:t>
      </w:r>
      <w:r>
        <w:rPr>
          <w:rFonts w:hint="eastAsia" w:ascii="Times New Roman" w:hAnsi="Times New Roman" w:eastAsia="方正仿宋_GBK" w:cs="Times New Roman"/>
          <w:bCs/>
          <w:snapToGrid w:val="0"/>
          <w:color w:val="auto"/>
          <w:kern w:val="0"/>
          <w:sz w:val="32"/>
          <w:szCs w:val="32"/>
          <w:highlight w:val="none"/>
          <w:lang w:bidi="ar"/>
        </w:rPr>
        <w:t>，构建</w:t>
      </w:r>
      <w:r>
        <w:rPr>
          <w:rFonts w:hint="eastAsia" w:ascii="Times New Roman" w:hAnsi="Times New Roman" w:eastAsia="方正仿宋_GBK" w:cs="方正仿宋_GBK"/>
          <w:color w:val="auto"/>
          <w:sz w:val="32"/>
          <w:szCs w:val="32"/>
          <w:highlight w:val="none"/>
        </w:rPr>
        <w:t>空间集中、资源集聚、产业集群、创新集成的创新发展格局</w:t>
      </w:r>
      <w:r>
        <w:rPr>
          <w:rFonts w:hint="eastAsia" w:ascii="Times New Roman" w:hAnsi="Times New Roman" w:eastAsia="方正仿宋_GBK" w:cs="Times New Roman"/>
          <w:bCs/>
          <w:snapToGrid w:val="0"/>
          <w:color w:val="auto"/>
          <w:kern w:val="0"/>
          <w:sz w:val="32"/>
          <w:szCs w:val="32"/>
          <w:highlight w:val="none"/>
          <w:lang w:bidi="ar"/>
        </w:rPr>
        <w:t>。</w:t>
      </w:r>
    </w:p>
    <w:p w14:paraId="1E7E9F77">
      <w:pPr>
        <w:adjustRightInd w:val="0"/>
        <w:snapToGrid w:val="0"/>
        <w:spacing w:line="600" w:lineRule="exact"/>
        <w:ind w:firstLine="640" w:firstLineChars="200"/>
        <w:textAlignment w:val="baseline"/>
        <w:rPr>
          <w:rFonts w:ascii="Times New Roman" w:hAnsi="Times New Roman" w:eastAsia="方正仿宋_GBK" w:cs="Times New Roman"/>
          <w:bCs/>
          <w:snapToGrid w:val="0"/>
          <w:color w:val="auto"/>
          <w:kern w:val="0"/>
          <w:sz w:val="32"/>
          <w:szCs w:val="32"/>
          <w:highlight w:val="none"/>
          <w:lang w:bidi="ar"/>
        </w:rPr>
      </w:pPr>
      <w:r>
        <w:rPr>
          <w:rFonts w:hint="eastAsia" w:ascii="Times New Roman" w:hAnsi="Times New Roman" w:eastAsia="方正仿宋_GBK" w:cs="Times New Roman"/>
          <w:bCs/>
          <w:snapToGrid w:val="0"/>
          <w:color w:val="auto"/>
          <w:kern w:val="0"/>
          <w:sz w:val="32"/>
          <w:szCs w:val="32"/>
          <w:highlight w:val="none"/>
          <w:lang w:bidi="ar"/>
        </w:rPr>
        <w:t>大学城重点围绕软件</w:t>
      </w:r>
      <w:r>
        <w:rPr>
          <w:rFonts w:hint="eastAsia" w:ascii="Times New Roman" w:hAnsi="Times New Roman" w:eastAsia="方正仿宋_GBK" w:cs="Times New Roman"/>
          <w:bCs/>
          <w:snapToGrid w:val="0"/>
          <w:color w:val="auto"/>
          <w:kern w:val="0"/>
          <w:sz w:val="32"/>
          <w:szCs w:val="32"/>
          <w:highlight w:val="none"/>
          <w:lang w:val="en-US" w:eastAsia="zh-CN" w:bidi="ar"/>
        </w:rPr>
        <w:t>和</w:t>
      </w:r>
      <w:r>
        <w:rPr>
          <w:rFonts w:hint="eastAsia" w:ascii="Times New Roman" w:hAnsi="Times New Roman" w:eastAsia="方正仿宋_GBK" w:cs="Times New Roman"/>
          <w:bCs/>
          <w:snapToGrid w:val="0"/>
          <w:color w:val="auto"/>
          <w:kern w:val="0"/>
          <w:sz w:val="32"/>
          <w:szCs w:val="32"/>
          <w:highlight w:val="none"/>
          <w:lang w:bidi="ar"/>
        </w:rPr>
        <w:t>信息服务、科技服务、商贸服务等产业链研发创新和人才培养需求，做强高校协同创新、创新创业、孵化转化等功能，打造金凤软件园（虎溪</w:t>
      </w:r>
      <w:r>
        <w:rPr>
          <w:rFonts w:hint="eastAsia" w:ascii="Times New Roman" w:hAnsi="Times New Roman" w:eastAsia="方正仿宋_GBK" w:cs="Times New Roman"/>
          <w:bCs/>
          <w:snapToGrid w:val="0"/>
          <w:color w:val="auto"/>
          <w:kern w:val="0"/>
          <w:sz w:val="32"/>
          <w:szCs w:val="32"/>
          <w:highlight w:val="none"/>
          <w:lang w:val="en-US" w:eastAsia="zh-CN" w:bidi="ar"/>
        </w:rPr>
        <w:t>园</w:t>
      </w:r>
      <w:r>
        <w:rPr>
          <w:rFonts w:hint="eastAsia" w:ascii="Times New Roman" w:hAnsi="Times New Roman" w:eastAsia="方正仿宋_GBK" w:cs="Times New Roman"/>
          <w:bCs/>
          <w:snapToGrid w:val="0"/>
          <w:color w:val="auto"/>
          <w:kern w:val="0"/>
          <w:sz w:val="32"/>
          <w:szCs w:val="32"/>
          <w:highlight w:val="none"/>
          <w:lang w:bidi="ar"/>
        </w:rPr>
        <w:t>）、国际创谷等核心载体，建设活力迸发、人才辈出、成果涌现的环大学</w:t>
      </w:r>
      <w:r>
        <w:rPr>
          <w:rFonts w:hint="eastAsia" w:ascii="Times New Roman" w:hAnsi="Times New Roman" w:eastAsia="方正仿宋_GBK" w:cs="Times New Roman"/>
          <w:bCs/>
          <w:snapToGrid w:val="0"/>
          <w:color w:val="auto"/>
          <w:kern w:val="0"/>
          <w:sz w:val="32"/>
          <w:szCs w:val="32"/>
          <w:highlight w:val="none"/>
          <w:lang w:eastAsia="zh-CN" w:bidi="ar"/>
        </w:rPr>
        <w:t>城</w:t>
      </w:r>
      <w:r>
        <w:rPr>
          <w:rFonts w:hint="eastAsia" w:ascii="Times New Roman" w:hAnsi="Times New Roman" w:eastAsia="方正仿宋_GBK" w:cs="Times New Roman"/>
          <w:bCs/>
          <w:snapToGrid w:val="0"/>
          <w:color w:val="auto"/>
          <w:kern w:val="0"/>
          <w:sz w:val="32"/>
          <w:szCs w:val="32"/>
          <w:highlight w:val="none"/>
          <w:lang w:bidi="ar"/>
        </w:rPr>
        <w:t>创新生态圈。</w:t>
      </w:r>
    </w:p>
    <w:p w14:paraId="2D048BFE">
      <w:pPr>
        <w:adjustRightInd w:val="0"/>
        <w:snapToGrid w:val="0"/>
        <w:spacing w:line="600" w:lineRule="exact"/>
        <w:ind w:firstLine="640" w:firstLineChars="200"/>
        <w:textAlignment w:val="baseline"/>
        <w:rPr>
          <w:rFonts w:ascii="Times New Roman" w:hAnsi="Times New Roman" w:eastAsia="方正仿宋_GBK" w:cs="Times New Roman"/>
          <w:bCs/>
          <w:snapToGrid w:val="0"/>
          <w:color w:val="auto"/>
          <w:kern w:val="0"/>
          <w:sz w:val="32"/>
          <w:szCs w:val="32"/>
          <w:highlight w:val="none"/>
          <w:lang w:bidi="ar"/>
        </w:rPr>
      </w:pPr>
      <w:r>
        <w:rPr>
          <w:rFonts w:hint="eastAsia" w:ascii="Times New Roman" w:hAnsi="Times New Roman" w:eastAsia="方正仿宋_GBK" w:cs="Times New Roman"/>
          <w:bCs/>
          <w:snapToGrid w:val="0"/>
          <w:color w:val="auto"/>
          <w:kern w:val="0"/>
          <w:sz w:val="32"/>
          <w:szCs w:val="32"/>
          <w:highlight w:val="none"/>
          <w:lang w:bidi="ar"/>
        </w:rPr>
        <w:t>科研港围绕高端制造、前沿材料、生物医药等前沿领域，集中布局嘉陵江实验室、超瞬态实验装置、重庆大学（智谷校区）等</w:t>
      </w:r>
      <w:r>
        <w:rPr>
          <w:rFonts w:hint="eastAsia" w:ascii="Times New Roman" w:hAnsi="Times New Roman" w:eastAsia="方正仿宋_GBK" w:cs="Times New Roman"/>
          <w:bCs/>
          <w:snapToGrid w:val="0"/>
          <w:color w:val="auto"/>
          <w:kern w:val="0"/>
          <w:sz w:val="32"/>
          <w:szCs w:val="32"/>
          <w:highlight w:val="none"/>
          <w:lang w:val="en-US" w:eastAsia="zh-CN" w:bidi="ar"/>
        </w:rPr>
        <w:t>重大科研载体及科技交流平台，服务国家战略需求，解决重大科学问题，</w:t>
      </w:r>
      <w:r>
        <w:rPr>
          <w:rFonts w:hint="eastAsia" w:ascii="Times New Roman" w:hAnsi="Times New Roman" w:eastAsia="方正仿宋_GBK" w:cs="Times New Roman"/>
          <w:bCs/>
          <w:snapToGrid w:val="0"/>
          <w:color w:val="auto"/>
          <w:kern w:val="0"/>
          <w:sz w:val="32"/>
          <w:szCs w:val="32"/>
          <w:highlight w:val="none"/>
          <w:lang w:bidi="ar"/>
        </w:rPr>
        <w:t>助力</w:t>
      </w:r>
      <w:r>
        <w:rPr>
          <w:rFonts w:hint="eastAsia" w:ascii="Times New Roman" w:hAnsi="Times New Roman" w:eastAsia="方正仿宋_GBK" w:cs="Times New Roman"/>
          <w:bCs/>
          <w:snapToGrid w:val="0"/>
          <w:color w:val="auto"/>
          <w:kern w:val="0"/>
          <w:sz w:val="32"/>
          <w:szCs w:val="32"/>
          <w:highlight w:val="none"/>
          <w:lang w:val="en-US" w:eastAsia="zh-CN" w:bidi="ar"/>
        </w:rPr>
        <w:t>实现“从0到1”的原创性突破</w:t>
      </w:r>
      <w:r>
        <w:rPr>
          <w:rFonts w:hint="eastAsia" w:ascii="Times New Roman" w:hAnsi="Times New Roman" w:eastAsia="方正仿宋_GBK" w:cs="Times New Roman"/>
          <w:bCs/>
          <w:snapToGrid w:val="0"/>
          <w:color w:val="auto"/>
          <w:kern w:val="0"/>
          <w:sz w:val="32"/>
          <w:szCs w:val="32"/>
          <w:highlight w:val="none"/>
          <w:lang w:bidi="ar"/>
        </w:rPr>
        <w:t>，夯实高新区创新策源底座。</w:t>
      </w:r>
    </w:p>
    <w:p w14:paraId="2F672381">
      <w:pPr>
        <w:adjustRightInd w:val="0"/>
        <w:snapToGrid w:val="0"/>
        <w:spacing w:line="600" w:lineRule="exact"/>
        <w:ind w:firstLine="640" w:firstLineChars="200"/>
        <w:textAlignment w:val="baseline"/>
        <w:rPr>
          <w:rFonts w:ascii="Times New Roman" w:hAnsi="Times New Roman" w:eastAsia="方正仿宋_GBK" w:cs="Times New Roman"/>
          <w:bCs/>
          <w:snapToGrid w:val="0"/>
          <w:color w:val="auto"/>
          <w:kern w:val="0"/>
          <w:sz w:val="32"/>
          <w:szCs w:val="32"/>
          <w:highlight w:val="none"/>
          <w:lang w:bidi="ar"/>
        </w:rPr>
      </w:pPr>
      <w:r>
        <w:rPr>
          <w:rFonts w:hint="eastAsia" w:ascii="Times New Roman" w:hAnsi="Times New Roman" w:eastAsia="方正仿宋_GBK" w:cs="Times New Roman"/>
          <w:bCs/>
          <w:snapToGrid w:val="0"/>
          <w:color w:val="auto"/>
          <w:kern w:val="0"/>
          <w:sz w:val="32"/>
          <w:szCs w:val="32"/>
          <w:highlight w:val="none"/>
          <w:lang w:bidi="ar"/>
        </w:rPr>
        <w:t>科学谷重点围绕新能源汽摩、未来产业等产业链，打造科学谷数智科创园，集聚北京大学重庆大数据研究院、沪渝人工智能研究院等新型研发机构，</w:t>
      </w:r>
      <w:r>
        <w:rPr>
          <w:rFonts w:hint="eastAsia" w:ascii="Times New Roman" w:hAnsi="Times New Roman" w:eastAsia="方正仿宋_GBK" w:cs="Times New Roman"/>
          <w:bCs/>
          <w:snapToGrid w:val="0"/>
          <w:color w:val="auto"/>
          <w:kern w:val="0"/>
          <w:sz w:val="32"/>
          <w:szCs w:val="32"/>
          <w:highlight w:val="none"/>
          <w:lang w:val="en-US" w:eastAsia="zh-CN" w:bidi="ar"/>
        </w:rPr>
        <w:t>完善创新中心、交叉研究平台、孵化器、加速器、企业研发总部基地等功能，打造中轻资产、高附加值产业集群</w:t>
      </w:r>
      <w:r>
        <w:rPr>
          <w:rFonts w:hint="eastAsia" w:ascii="Times New Roman" w:hAnsi="Times New Roman" w:eastAsia="方正仿宋_GBK" w:cs="Times New Roman"/>
          <w:bCs/>
          <w:snapToGrid w:val="0"/>
          <w:color w:val="auto"/>
          <w:kern w:val="0"/>
          <w:sz w:val="32"/>
          <w:szCs w:val="32"/>
          <w:highlight w:val="none"/>
          <w:lang w:bidi="ar"/>
        </w:rPr>
        <w:t>。</w:t>
      </w:r>
    </w:p>
    <w:p w14:paraId="5781B44D">
      <w:pPr>
        <w:adjustRightInd w:val="0"/>
        <w:snapToGrid w:val="0"/>
        <w:spacing w:line="600" w:lineRule="exact"/>
        <w:ind w:firstLine="640" w:firstLineChars="200"/>
        <w:textAlignment w:val="baseline"/>
        <w:rPr>
          <w:rFonts w:ascii="Times New Roman" w:hAnsi="Times New Roman" w:eastAsia="方正仿宋_GBK" w:cs="Times New Roman"/>
          <w:bCs/>
          <w:snapToGrid w:val="0"/>
          <w:color w:val="auto"/>
          <w:kern w:val="0"/>
          <w:sz w:val="32"/>
          <w:szCs w:val="32"/>
          <w:highlight w:val="none"/>
          <w:lang w:bidi="ar"/>
        </w:rPr>
      </w:pPr>
      <w:r>
        <w:rPr>
          <w:rFonts w:hint="eastAsia" w:ascii="Times New Roman" w:hAnsi="Times New Roman" w:eastAsia="方正仿宋_GBK" w:cs="Times New Roman"/>
          <w:bCs/>
          <w:snapToGrid w:val="0"/>
          <w:color w:val="auto"/>
          <w:kern w:val="0"/>
          <w:sz w:val="32"/>
          <w:szCs w:val="32"/>
          <w:highlight w:val="none"/>
          <w:lang w:bidi="ar"/>
        </w:rPr>
        <w:t>生命岛重点围绕精准诊疗、医疗器械等领域，大力打造金凤实验室、国家健康战略资源中心、凤麟核等核心平台，</w:t>
      </w:r>
      <w:r>
        <w:rPr>
          <w:rFonts w:hint="eastAsia" w:ascii="Times New Roman" w:hAnsi="Times New Roman" w:eastAsia="方正仿宋_GBK" w:cs="Times New Roman"/>
          <w:bCs/>
          <w:snapToGrid w:val="0"/>
          <w:color w:val="auto"/>
          <w:kern w:val="0"/>
          <w:sz w:val="32"/>
          <w:szCs w:val="32"/>
          <w:highlight w:val="none"/>
          <w:lang w:val="en-US" w:eastAsia="zh-CN" w:bidi="ar"/>
        </w:rPr>
        <w:t>集中布局高水平实验室、新型研发机构、公共技术服务平台，</w:t>
      </w:r>
      <w:r>
        <w:rPr>
          <w:rFonts w:hint="eastAsia" w:ascii="Times New Roman" w:hAnsi="Times New Roman" w:eastAsia="方正仿宋_GBK" w:cs="Times New Roman"/>
          <w:bCs/>
          <w:snapToGrid w:val="0"/>
          <w:color w:val="auto"/>
          <w:kern w:val="0"/>
          <w:sz w:val="32"/>
          <w:szCs w:val="32"/>
          <w:highlight w:val="none"/>
          <w:lang w:bidi="ar"/>
        </w:rPr>
        <w:t>提升生命健康创新策源能力。</w:t>
      </w:r>
    </w:p>
    <w:p w14:paraId="6EA74D55">
      <w:pPr>
        <w:widowControl/>
        <w:adjustRightInd w:val="0"/>
        <w:snapToGrid w:val="0"/>
        <w:spacing w:line="600" w:lineRule="exact"/>
        <w:ind w:firstLine="640" w:firstLineChars="200"/>
        <w:jc w:val="left"/>
        <w:textAlignment w:val="baseline"/>
        <w:rPr>
          <w:rFonts w:hint="eastAsia" w:ascii="Times New Roman" w:hAnsi="Times New Roman" w:eastAsia="方正仿宋_GBK" w:cs="Times New Roman"/>
          <w:bCs/>
          <w:snapToGrid w:val="0"/>
          <w:color w:val="auto"/>
          <w:kern w:val="0"/>
          <w:sz w:val="32"/>
          <w:szCs w:val="32"/>
          <w:highlight w:val="none"/>
          <w:lang w:bidi="ar"/>
        </w:rPr>
      </w:pPr>
      <w:r>
        <w:rPr>
          <w:rFonts w:hint="eastAsia" w:ascii="Times New Roman" w:hAnsi="Times New Roman" w:eastAsia="方正仿宋_GBK" w:cs="Times New Roman"/>
          <w:bCs/>
          <w:snapToGrid w:val="0"/>
          <w:color w:val="auto"/>
          <w:kern w:val="0"/>
          <w:sz w:val="32"/>
          <w:szCs w:val="32"/>
          <w:highlight w:val="none"/>
          <w:lang w:bidi="ar"/>
        </w:rPr>
        <w:t>微电园围绕集成电路等产业链，打造金凤软件园（西永</w:t>
      </w:r>
      <w:r>
        <w:rPr>
          <w:rFonts w:hint="eastAsia" w:ascii="Times New Roman" w:hAnsi="Times New Roman" w:eastAsia="方正仿宋_GBK" w:cs="Times New Roman"/>
          <w:bCs/>
          <w:snapToGrid w:val="0"/>
          <w:color w:val="auto"/>
          <w:kern w:val="0"/>
          <w:sz w:val="32"/>
          <w:szCs w:val="32"/>
          <w:highlight w:val="none"/>
          <w:lang w:val="en-US" w:eastAsia="zh-CN" w:bidi="ar"/>
        </w:rPr>
        <w:t>园</w:t>
      </w:r>
      <w:r>
        <w:rPr>
          <w:rFonts w:hint="eastAsia" w:ascii="Times New Roman" w:hAnsi="Times New Roman" w:eastAsia="方正仿宋_GBK" w:cs="Times New Roman"/>
          <w:bCs/>
          <w:snapToGrid w:val="0"/>
          <w:color w:val="auto"/>
          <w:kern w:val="0"/>
          <w:sz w:val="32"/>
          <w:szCs w:val="32"/>
          <w:highlight w:val="none"/>
          <w:lang w:bidi="ar"/>
        </w:rPr>
        <w:t>）等重点载体，集聚北京大学重庆碳基集成电路研究院、北京理工大学重庆微电子研究院等新型</w:t>
      </w:r>
      <w:r>
        <w:rPr>
          <w:rFonts w:hint="eastAsia" w:ascii="Times New Roman" w:hAnsi="Times New Roman" w:eastAsia="方正仿宋_GBK" w:cs="Times New Roman"/>
          <w:bCs/>
          <w:snapToGrid w:val="0"/>
          <w:color w:val="auto"/>
          <w:kern w:val="0"/>
          <w:sz w:val="32"/>
          <w:szCs w:val="32"/>
          <w:highlight w:val="none"/>
          <w:lang w:val="en-US" w:eastAsia="zh-CN" w:bidi="ar"/>
        </w:rPr>
        <w:t>研发</w:t>
      </w:r>
      <w:r>
        <w:rPr>
          <w:rFonts w:hint="eastAsia" w:ascii="Times New Roman" w:hAnsi="Times New Roman" w:eastAsia="方正仿宋_GBK" w:cs="Times New Roman"/>
          <w:bCs/>
          <w:snapToGrid w:val="0"/>
          <w:color w:val="auto"/>
          <w:kern w:val="0"/>
          <w:sz w:val="32"/>
          <w:szCs w:val="32"/>
          <w:highlight w:val="none"/>
          <w:lang w:bidi="ar"/>
        </w:rPr>
        <w:t>机构，打造</w:t>
      </w:r>
      <w:r>
        <w:rPr>
          <w:rFonts w:hint="eastAsia" w:ascii="Times New Roman" w:hAnsi="Times New Roman" w:eastAsia="方正仿宋_GBK" w:cs="Times New Roman"/>
          <w:bCs/>
          <w:snapToGrid w:val="0"/>
          <w:color w:val="auto"/>
          <w:kern w:val="0"/>
          <w:sz w:val="32"/>
          <w:szCs w:val="32"/>
          <w:highlight w:val="none"/>
          <w:lang w:val="en-US" w:eastAsia="zh-CN" w:bidi="ar"/>
        </w:rPr>
        <w:t>集总部研发、创新创业、商务办公、科技研发等功能于一体的</w:t>
      </w:r>
      <w:r>
        <w:rPr>
          <w:rFonts w:hint="eastAsia" w:ascii="Times New Roman" w:hAnsi="Times New Roman" w:eastAsia="方正仿宋_GBK" w:cs="Times New Roman"/>
          <w:bCs/>
          <w:snapToGrid w:val="0"/>
          <w:color w:val="auto"/>
          <w:kern w:val="0"/>
          <w:sz w:val="32"/>
          <w:szCs w:val="32"/>
          <w:highlight w:val="none"/>
          <w:lang w:bidi="ar"/>
        </w:rPr>
        <w:t>微电子产业创新高地。</w:t>
      </w:r>
    </w:p>
    <w:p w14:paraId="66A1E338">
      <w:pPr>
        <w:widowControl/>
        <w:overflowPunct/>
        <w:jc w:val="left"/>
        <w:rPr>
          <w:rFonts w:hint="eastAsia" w:ascii="Times New Roman" w:hAnsi="Times New Roman" w:eastAsia="方正黑体_GBK" w:cs="方正黑体_GBK"/>
          <w:color w:val="auto"/>
          <w:kern w:val="0"/>
          <w:sz w:val="32"/>
          <w:szCs w:val="32"/>
          <w:highlight w:val="none"/>
          <w:u w:val="none"/>
          <w:lang w:bidi="ar"/>
        </w:rPr>
      </w:pPr>
      <w:r>
        <w:rPr>
          <w:rFonts w:hint="eastAsia" w:ascii="Times New Roman" w:hAnsi="Times New Roman" w:eastAsia="方正黑体_GBK" w:cs="方正黑体_GBK"/>
          <w:color w:val="auto"/>
          <w:kern w:val="0"/>
          <w:sz w:val="32"/>
          <w:szCs w:val="32"/>
          <w:highlight w:val="none"/>
          <w:u w:val="none"/>
          <w:lang w:bidi="ar"/>
        </w:rPr>
        <w:br w:type="page"/>
      </w:r>
    </w:p>
    <w:p w14:paraId="33B5C270">
      <w:pPr>
        <w:widowControl/>
        <w:overflowPunct w:val="0"/>
        <w:jc w:val="center"/>
        <w:rPr>
          <w:rFonts w:hint="eastAsia" w:ascii="Times New Roman" w:hAnsi="Times New Roman" w:eastAsia="方正黑体_GBK" w:cs="方正黑体_GBK"/>
          <w:color w:val="auto"/>
          <w:kern w:val="0"/>
          <w:sz w:val="32"/>
          <w:szCs w:val="32"/>
          <w:highlight w:val="none"/>
          <w:u w:val="none"/>
          <w:lang w:bidi="ar"/>
        </w:rPr>
      </w:pPr>
      <w:r>
        <w:rPr>
          <w:rFonts w:hint="eastAsia" w:ascii="Times New Roman" w:hAnsi="Times New Roman" w:eastAsia="方正黑体_GBK" w:cs="方正黑体_GBK"/>
          <w:color w:val="auto"/>
          <w:kern w:val="0"/>
          <w:sz w:val="32"/>
          <w:szCs w:val="32"/>
          <w:highlight w:val="none"/>
          <w:u w:val="none"/>
          <w:lang w:bidi="ar"/>
        </w:rPr>
        <w:t>图</w:t>
      </w:r>
      <w:r>
        <w:rPr>
          <w:rFonts w:hint="eastAsia" w:ascii="Times New Roman" w:hAnsi="Times New Roman" w:eastAsia="方正黑体_GBK" w:cs="方正黑体_GBK"/>
          <w:color w:val="auto"/>
          <w:kern w:val="0"/>
          <w:sz w:val="32"/>
          <w:szCs w:val="32"/>
          <w:highlight w:val="none"/>
          <w:u w:val="none"/>
          <w:lang w:val="en-US" w:eastAsia="zh-CN" w:bidi="ar"/>
        </w:rPr>
        <w:t>1</w:t>
      </w:r>
      <w:r>
        <w:rPr>
          <w:rFonts w:hint="eastAsia" w:ascii="Times New Roman" w:hAnsi="Times New Roman" w:eastAsia="方正黑体_GBK" w:cs="方正黑体_GBK"/>
          <w:color w:val="auto"/>
          <w:kern w:val="0"/>
          <w:sz w:val="32"/>
          <w:szCs w:val="32"/>
          <w:highlight w:val="none"/>
          <w:u w:val="none"/>
          <w:lang w:bidi="ar"/>
        </w:rPr>
        <w:t xml:space="preserve"> 科创空间总体布局</w:t>
      </w:r>
    </w:p>
    <w:tbl>
      <w:tblPr>
        <w:tblStyle w:val="22"/>
        <w:tblW w:w="9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0"/>
      </w:tblGrid>
      <w:tr w14:paraId="08E15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7" w:hRule="atLeast"/>
          <w:jc w:val="center"/>
        </w:trPr>
        <w:tc>
          <w:tcPr>
            <w:tcW w:w="9190" w:type="dxa"/>
          </w:tcPr>
          <w:p w14:paraId="70829BA9">
            <w:pPr>
              <w:widowControl/>
              <w:overflowPunct w:val="0"/>
              <w:snapToGrid w:val="0"/>
              <w:ind w:firstLine="0" w:firstLineChars="0"/>
              <w:jc w:val="center"/>
              <w:rPr>
                <w:rFonts w:hint="eastAsia" w:ascii="Times New Roman" w:hAnsi="Times New Roman" w:cs="Times New Roman" w:eastAsiaTheme="minorEastAsia"/>
                <w:color w:val="auto"/>
                <w:sz w:val="24"/>
                <w:szCs w:val="24"/>
                <w:highlight w:val="none"/>
                <w:lang w:eastAsia="zh-CN"/>
              </w:rPr>
            </w:pPr>
            <w:r>
              <w:rPr>
                <w:rFonts w:hint="eastAsia" w:ascii="Times New Roman" w:hAnsi="Times New Roman" w:cs="Times New Roman" w:eastAsiaTheme="minorEastAsia"/>
                <w:color w:val="auto"/>
                <w:sz w:val="24"/>
                <w:szCs w:val="24"/>
                <w:highlight w:val="none"/>
                <w:lang w:eastAsia="zh-CN"/>
              </w:rPr>
              <w:drawing>
                <wp:inline distT="0" distB="0" distL="114300" distR="114300">
                  <wp:extent cx="4871720" cy="7527290"/>
                  <wp:effectExtent l="0" t="0" r="5080" b="16510"/>
                  <wp:docPr id="5" name="图片 5" descr="公开件图片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公开件图片_01"/>
                          <pic:cNvPicPr>
                            <a:picLocks noChangeAspect="1"/>
                          </pic:cNvPicPr>
                        </pic:nvPicPr>
                        <pic:blipFill>
                          <a:blip r:embed="rId10"/>
                          <a:stretch>
                            <a:fillRect/>
                          </a:stretch>
                        </pic:blipFill>
                        <pic:spPr>
                          <a:xfrm>
                            <a:off x="0" y="0"/>
                            <a:ext cx="4871720" cy="7527290"/>
                          </a:xfrm>
                          <a:prstGeom prst="rect">
                            <a:avLst/>
                          </a:prstGeom>
                        </pic:spPr>
                      </pic:pic>
                    </a:graphicData>
                  </a:graphic>
                </wp:inline>
              </w:drawing>
            </w:r>
          </w:p>
        </w:tc>
      </w:tr>
    </w:tbl>
    <w:p w14:paraId="76D02315">
      <w:pPr>
        <w:widowControl/>
        <w:jc w:val="center"/>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br w:type="page"/>
      </w:r>
    </w:p>
    <w:bookmarkEnd w:id="104"/>
    <w:p w14:paraId="2E6304BD">
      <w:pPr>
        <w:overflowPunct w:val="0"/>
        <w:adjustRightInd w:val="0"/>
        <w:snapToGrid w:val="0"/>
        <w:spacing w:line="600" w:lineRule="exact"/>
        <w:jc w:val="center"/>
        <w:outlineLvl w:val="0"/>
        <w:rPr>
          <w:rFonts w:ascii="Times New Roman" w:hAnsi="Times New Roman" w:eastAsia="方正黑体_GBK" w:cs="方正黑体_GBK"/>
          <w:color w:val="auto"/>
          <w:sz w:val="32"/>
          <w:szCs w:val="32"/>
          <w:highlight w:val="none"/>
        </w:rPr>
      </w:pPr>
      <w:bookmarkStart w:id="180" w:name="_Toc19893"/>
      <w:r>
        <w:rPr>
          <w:rFonts w:hint="eastAsia" w:ascii="Times New Roman" w:hAnsi="Times New Roman" w:eastAsia="方正黑体_GBK" w:cs="方正黑体_GBK"/>
          <w:color w:val="auto"/>
          <w:sz w:val="32"/>
          <w:szCs w:val="32"/>
          <w:highlight w:val="none"/>
        </w:rPr>
        <w:t>第</w:t>
      </w:r>
      <w:r>
        <w:rPr>
          <w:rFonts w:hint="eastAsia" w:ascii="Times New Roman" w:hAnsi="Times New Roman" w:eastAsia="方正黑体_GBK" w:cs="方正黑体_GBK"/>
          <w:color w:val="auto"/>
          <w:sz w:val="32"/>
          <w:szCs w:val="32"/>
          <w:highlight w:val="none"/>
          <w:lang w:val="en-US" w:eastAsia="zh-CN"/>
        </w:rPr>
        <w:t>三</w:t>
      </w:r>
      <w:r>
        <w:rPr>
          <w:rFonts w:hint="eastAsia" w:ascii="Times New Roman" w:hAnsi="Times New Roman" w:eastAsia="方正黑体_GBK" w:cs="方正黑体_GBK"/>
          <w:color w:val="auto"/>
          <w:sz w:val="32"/>
          <w:szCs w:val="32"/>
          <w:highlight w:val="none"/>
        </w:rPr>
        <w:t>篇 建设</w:t>
      </w:r>
      <w:bookmarkEnd w:id="105"/>
      <w:bookmarkEnd w:id="106"/>
      <w:r>
        <w:rPr>
          <w:rFonts w:hint="eastAsia" w:ascii="Times New Roman" w:hAnsi="Times New Roman" w:eastAsia="方正黑体_GBK" w:cs="方正黑体_GBK"/>
          <w:color w:val="auto"/>
          <w:sz w:val="32"/>
          <w:szCs w:val="32"/>
          <w:highlight w:val="none"/>
        </w:rPr>
        <w:t>全国领先、西部一流的高新技术产业园区</w:t>
      </w:r>
      <w:bookmarkEnd w:id="107"/>
      <w:bookmarkEnd w:id="108"/>
      <w:bookmarkEnd w:id="180"/>
    </w:p>
    <w:p w14:paraId="744F40BF">
      <w:pPr>
        <w:pStyle w:val="19"/>
        <w:overflowPunct w:val="0"/>
        <w:adjustRightInd w:val="0"/>
        <w:snapToGrid w:val="0"/>
        <w:spacing w:beforeAutospacing="0" w:afterAutospacing="0" w:line="600" w:lineRule="exact"/>
        <w:ind w:firstLine="640" w:firstLineChars="200"/>
        <w:jc w:val="both"/>
        <w:rPr>
          <w:rFonts w:ascii="Times New Roman" w:hAnsi="Times New Roman" w:eastAsia="方正仿宋_GBK" w:cs="方正仿宋_GBK"/>
          <w:color w:val="auto"/>
          <w:sz w:val="32"/>
          <w:szCs w:val="32"/>
          <w:highlight w:val="none"/>
        </w:rPr>
      </w:pPr>
      <w:bookmarkStart w:id="181" w:name="_Toc4756"/>
      <w:bookmarkStart w:id="182" w:name="_Toc10334"/>
      <w:bookmarkStart w:id="183" w:name="_Toc2081"/>
      <w:bookmarkStart w:id="184" w:name="_Toc29928"/>
    </w:p>
    <w:p w14:paraId="28B9B405">
      <w:pPr>
        <w:pStyle w:val="19"/>
        <w:overflowPunct w:val="0"/>
        <w:adjustRightInd w:val="0"/>
        <w:snapToGrid w:val="0"/>
        <w:spacing w:beforeAutospacing="0" w:afterAutospacing="0" w:line="600" w:lineRule="exact"/>
        <w:ind w:firstLine="640" w:firstLineChars="200"/>
        <w:jc w:val="both"/>
        <w:rPr>
          <w:rFonts w:ascii="Times New Roman" w:hAnsi="Times New Roman" w:eastAsia="方正仿宋_GBK" w:cs="方正仿宋_GBK"/>
          <w:color w:val="auto"/>
          <w:sz w:val="32"/>
          <w:szCs w:val="32"/>
          <w:highlight w:val="none"/>
        </w:rPr>
      </w:pPr>
      <w:bookmarkStart w:id="185" w:name="_Toc20556"/>
      <w:bookmarkStart w:id="186" w:name="_Toc29980"/>
      <w:r>
        <w:rPr>
          <w:rFonts w:hint="eastAsia" w:ascii="Times New Roman" w:hAnsi="Times New Roman" w:eastAsia="方正仿宋_GBK" w:cs="方正仿宋_GBK"/>
          <w:color w:val="auto"/>
          <w:sz w:val="32"/>
          <w:szCs w:val="32"/>
          <w:highlight w:val="none"/>
        </w:rPr>
        <w:t>坚持把发展经济的着力点放在实体经济上，坚持智能化、绿色化、融合化发展，深化实施</w:t>
      </w:r>
      <w:r>
        <w:rPr>
          <w:rFonts w:hint="eastAsia" w:ascii="Times New Roman" w:hAnsi="Times New Roman" w:eastAsia="方正仿宋_GBK"/>
          <w:color w:val="auto"/>
          <w:sz w:val="32"/>
          <w:szCs w:val="32"/>
          <w:highlight w:val="none"/>
        </w:rPr>
        <w:t>产业链“链长制”改革</w:t>
      </w:r>
      <w:r>
        <w:rPr>
          <w:rFonts w:hint="eastAsia" w:ascii="Times New Roman" w:hAnsi="Times New Roman" w:eastAsia="方正仿宋_GBK" w:cs="方正仿宋_GBK"/>
          <w:color w:val="auto"/>
          <w:sz w:val="32"/>
          <w:szCs w:val="32"/>
          <w:highlight w:val="none"/>
        </w:rPr>
        <w:t>攻坚行动，聚焦集成电路、新型智能终端、新能源汽摩、生物医药、未来产业5条</w:t>
      </w:r>
      <w:r>
        <w:rPr>
          <w:rFonts w:hint="eastAsia" w:ascii="Times New Roman" w:hAnsi="Times New Roman" w:eastAsia="方正仿宋_GBK" w:cs="方正仿宋_GBK"/>
          <w:color w:val="auto"/>
          <w:sz w:val="32"/>
          <w:szCs w:val="32"/>
          <w:highlight w:val="none"/>
          <w:lang w:val="en-US" w:eastAsia="zh-CN"/>
        </w:rPr>
        <w:t>现代</w:t>
      </w:r>
      <w:r>
        <w:rPr>
          <w:rFonts w:hint="eastAsia" w:ascii="Times New Roman" w:hAnsi="Times New Roman" w:eastAsia="方正仿宋_GBK" w:cs="方正仿宋_GBK"/>
          <w:color w:val="auto"/>
          <w:sz w:val="32"/>
          <w:szCs w:val="32"/>
          <w:highlight w:val="none"/>
        </w:rPr>
        <w:t>制造业和软件和信息服务、科技服务、金融服务、跨境电商、商贸服务5条现代服务业产业链，健全“招、投、服”一体化闭环推进体系，</w:t>
      </w:r>
      <w:r>
        <w:rPr>
          <w:rFonts w:hint="eastAsia" w:ascii="Times New Roman" w:hAnsi="Times New Roman" w:eastAsia="方正仿宋_GBK"/>
          <w:color w:val="auto"/>
          <w:sz w:val="32"/>
          <w:szCs w:val="32"/>
          <w:highlight w:val="none"/>
        </w:rPr>
        <w:t>以“产业大脑+未来工厂”新模式牵引“四侧”协同、促进“四链”融合，完善关键产业链“空间布局—产业规模—龙头企业—拳头产品—目标预期”体系，</w:t>
      </w:r>
      <w:r>
        <w:rPr>
          <w:rFonts w:hint="eastAsia" w:ascii="方正仿宋_GBK" w:hAnsi="Calibri" w:eastAsia="方正仿宋_GBK" w:cs="Times New Roman"/>
          <w:bCs/>
          <w:sz w:val="32"/>
          <w:szCs w:val="32"/>
          <w:highlight w:val="none"/>
          <w:u w:val="none" w:color="auto"/>
          <w:lang w:val="en-US" w:eastAsia="zh-CN"/>
        </w:rPr>
        <w:t>加快构建创新引领、多点支撑的高新技术产业格局，千</w:t>
      </w:r>
      <w:r>
        <w:rPr>
          <w:rFonts w:hint="eastAsia" w:ascii="方正仿宋_GBK" w:hAnsi="Calibri" w:eastAsia="方正仿宋_GBK" w:cs="Times New Roman"/>
          <w:bCs/>
          <w:sz w:val="32"/>
          <w:szCs w:val="32"/>
          <w:u w:val="none" w:color="auto"/>
          <w:lang w:val="en-US" w:eastAsia="zh-CN"/>
        </w:rPr>
        <w:t>方百计提升高新技术产业发展能级</w:t>
      </w:r>
      <w:r>
        <w:rPr>
          <w:rFonts w:hint="eastAsia" w:ascii="Times New Roman" w:hAnsi="Times New Roman" w:eastAsia="方正仿宋_GBK" w:cs="方正仿宋_GBK"/>
          <w:color w:val="auto"/>
          <w:sz w:val="32"/>
          <w:szCs w:val="32"/>
          <w:highlight w:val="none"/>
        </w:rPr>
        <w:t>。</w:t>
      </w:r>
    </w:p>
    <w:p w14:paraId="761893C5">
      <w:pPr>
        <w:pStyle w:val="19"/>
        <w:overflowPunct w:val="0"/>
        <w:adjustRightInd w:val="0"/>
        <w:snapToGrid w:val="0"/>
        <w:spacing w:beforeAutospacing="0" w:afterAutospacing="0" w:line="600" w:lineRule="exact"/>
        <w:ind w:firstLine="640" w:firstLineChars="200"/>
        <w:jc w:val="both"/>
        <w:rPr>
          <w:rFonts w:ascii="Times New Roman" w:hAnsi="Times New Roman" w:eastAsia="方正仿宋_GBK" w:cs="方正仿宋_GBK"/>
          <w:color w:val="auto"/>
          <w:sz w:val="32"/>
          <w:szCs w:val="32"/>
          <w:highlight w:val="none"/>
        </w:rPr>
      </w:pPr>
    </w:p>
    <w:bookmarkEnd w:id="181"/>
    <w:bookmarkEnd w:id="182"/>
    <w:bookmarkEnd w:id="183"/>
    <w:bookmarkEnd w:id="184"/>
    <w:bookmarkEnd w:id="185"/>
    <w:bookmarkEnd w:id="186"/>
    <w:p w14:paraId="39850D2C">
      <w:pPr>
        <w:overflowPunct w:val="0"/>
        <w:adjustRightInd w:val="0"/>
        <w:snapToGrid w:val="0"/>
        <w:spacing w:line="600" w:lineRule="exact"/>
        <w:jc w:val="center"/>
        <w:outlineLvl w:val="1"/>
        <w:rPr>
          <w:rFonts w:ascii="Times New Roman" w:hAnsi="Times New Roman" w:eastAsia="方正黑体_GBK" w:cs="方正黑体_GBK"/>
          <w:color w:val="auto"/>
          <w:sz w:val="32"/>
          <w:szCs w:val="32"/>
          <w:highlight w:val="none"/>
        </w:rPr>
      </w:pPr>
      <w:bookmarkStart w:id="187" w:name="_Toc30626"/>
      <w:bookmarkStart w:id="188" w:name="_Toc30860"/>
      <w:bookmarkStart w:id="189" w:name="_Toc635390228"/>
      <w:bookmarkStart w:id="190" w:name="_Toc31917"/>
      <w:bookmarkStart w:id="191" w:name="_Toc1176117988"/>
      <w:bookmarkStart w:id="192" w:name="_Toc5984"/>
      <w:bookmarkStart w:id="193" w:name="_Toc4087"/>
      <w:bookmarkStart w:id="194" w:name="_Toc18274"/>
      <w:bookmarkStart w:id="195" w:name="_Toc26341"/>
      <w:bookmarkStart w:id="196" w:name="_Toc26750"/>
      <w:bookmarkStart w:id="197" w:name="_Toc2108"/>
      <w:bookmarkStart w:id="198" w:name="_Toc21660"/>
      <w:bookmarkStart w:id="199" w:name="_Toc5982"/>
      <w:r>
        <w:rPr>
          <w:rFonts w:hint="eastAsia" w:ascii="Times New Roman" w:hAnsi="Times New Roman" w:eastAsia="方正黑体_GBK" w:cs="方正黑体_GBK"/>
          <w:color w:val="auto"/>
          <w:sz w:val="32"/>
          <w:szCs w:val="32"/>
          <w:highlight w:val="none"/>
        </w:rPr>
        <w:t>第一章 巩固提升</w:t>
      </w:r>
      <w:r>
        <w:rPr>
          <w:rFonts w:hint="eastAsia" w:ascii="Times New Roman" w:hAnsi="Times New Roman" w:eastAsia="方正黑体_GBK" w:cs="方正黑体_GBK"/>
          <w:color w:val="auto"/>
          <w:sz w:val="32"/>
          <w:szCs w:val="32"/>
          <w:highlight w:val="none"/>
          <w:lang w:val="en-US" w:eastAsia="zh-CN"/>
        </w:rPr>
        <w:t>现代</w:t>
      </w:r>
      <w:r>
        <w:rPr>
          <w:rFonts w:hint="eastAsia" w:ascii="Times New Roman" w:hAnsi="Times New Roman" w:eastAsia="方正黑体_GBK" w:cs="方正黑体_GBK"/>
          <w:color w:val="auto"/>
          <w:sz w:val="32"/>
          <w:szCs w:val="32"/>
          <w:highlight w:val="none"/>
        </w:rPr>
        <w:t>制造业集群优势</w:t>
      </w:r>
      <w:bookmarkEnd w:id="187"/>
      <w:bookmarkEnd w:id="188"/>
      <w:bookmarkEnd w:id="189"/>
      <w:bookmarkEnd w:id="190"/>
      <w:bookmarkEnd w:id="191"/>
    </w:p>
    <w:p w14:paraId="4A5885B1">
      <w:pPr>
        <w:pStyle w:val="19"/>
        <w:adjustRightInd w:val="0"/>
        <w:snapToGrid w:val="0"/>
        <w:spacing w:beforeAutospacing="0" w:afterAutospacing="0" w:line="600" w:lineRule="exact"/>
        <w:ind w:firstLine="640" w:firstLineChars="200"/>
        <w:rPr>
          <w:rFonts w:ascii="Times New Roman" w:hAnsi="Times New Roman" w:eastAsia="方正仿宋_GBK"/>
          <w:color w:val="auto"/>
          <w:sz w:val="32"/>
          <w:szCs w:val="32"/>
          <w:highlight w:val="none"/>
        </w:rPr>
      </w:pPr>
      <w:r>
        <w:rPr>
          <w:rFonts w:hint="eastAsia" w:ascii="方正仿宋_GBK" w:hAnsi="Calibri" w:eastAsia="方正仿宋_GBK" w:cs="Times New Roman"/>
          <w:bCs/>
          <w:sz w:val="32"/>
          <w:szCs w:val="32"/>
          <w:u w:val="none" w:color="auto"/>
          <w:lang w:val="en-US" w:eastAsia="zh-CN"/>
        </w:rPr>
        <w:t>聚焦“国家战略有需求、重庆发展有基础、自身资源有支撑”的集成电路、新能源汽摩等主攻方向</w:t>
      </w:r>
      <w:r>
        <w:rPr>
          <w:rFonts w:hint="eastAsia" w:ascii="Times New Roman" w:hAnsi="Times New Roman" w:eastAsia="方正仿宋_GBK"/>
          <w:color w:val="auto"/>
          <w:sz w:val="32"/>
          <w:szCs w:val="32"/>
          <w:highlight w:val="none"/>
        </w:rPr>
        <w:t>，</w:t>
      </w:r>
      <w:r>
        <w:rPr>
          <w:rFonts w:hint="eastAsia" w:ascii="Times New Roman" w:hAnsi="Times New Roman" w:eastAsia="方正仿宋_GBK" w:cs="方正仿宋_GBK"/>
          <w:color w:val="auto"/>
          <w:sz w:val="32"/>
          <w:szCs w:val="32"/>
          <w:highlight w:val="none"/>
        </w:rPr>
        <w:t>全面提升“高新制造”竞争力，</w:t>
      </w:r>
      <w:r>
        <w:rPr>
          <w:rFonts w:hint="eastAsia" w:ascii="Times New Roman" w:hAnsi="Times New Roman" w:eastAsia="方正仿宋_GBK"/>
          <w:color w:val="auto"/>
          <w:sz w:val="32"/>
          <w:szCs w:val="32"/>
          <w:highlight w:val="none"/>
        </w:rPr>
        <w:t>到2030年，</w:t>
      </w:r>
      <w:r>
        <w:rPr>
          <w:rFonts w:hint="eastAsia" w:ascii="Times New Roman" w:hAnsi="Times New Roman" w:eastAsia="方正仿宋_GBK" w:cs="方正仿宋_GBK"/>
          <w:color w:val="auto"/>
          <w:sz w:val="32"/>
          <w:szCs w:val="32"/>
          <w:highlight w:val="none"/>
        </w:rPr>
        <w:t>制造业增加值占地区生产总值比重稳定在30%左右</w:t>
      </w:r>
      <w:r>
        <w:rPr>
          <w:rFonts w:hint="eastAsia" w:ascii="Times New Roman" w:hAnsi="Times New Roman" w:eastAsia="方正仿宋_GBK"/>
          <w:color w:val="auto"/>
          <w:sz w:val="32"/>
          <w:szCs w:val="32"/>
          <w:highlight w:val="none"/>
        </w:rPr>
        <w:t>。</w:t>
      </w:r>
    </w:p>
    <w:p w14:paraId="06F59C26">
      <w:pPr>
        <w:numPr>
          <w:ilvl w:val="-1"/>
          <w:numId w:val="0"/>
        </w:numPr>
        <w:overflowPunct w:val="0"/>
        <w:adjustRightInd w:val="0"/>
        <w:snapToGrid w:val="0"/>
        <w:spacing w:line="600" w:lineRule="exact"/>
        <w:jc w:val="center"/>
        <w:outlineLvl w:val="2"/>
        <w:rPr>
          <w:rFonts w:hint="eastAsia" w:ascii="Times New Roman" w:hAnsi="Times New Roman" w:eastAsia="方正楷体_GBK" w:cs="方正楷体_GBK"/>
          <w:color w:val="auto"/>
          <w:spacing w:val="-11"/>
          <w:sz w:val="32"/>
          <w:szCs w:val="32"/>
          <w:highlight w:val="none"/>
        </w:rPr>
      </w:pPr>
      <w:bookmarkStart w:id="200" w:name="_Toc1714869112"/>
      <w:bookmarkStart w:id="201" w:name="_Toc7902"/>
      <w:bookmarkStart w:id="202" w:name="_Toc9671"/>
      <w:bookmarkStart w:id="203" w:name="_Toc22134"/>
      <w:bookmarkStart w:id="204" w:name="_Toc1575537328"/>
      <w:bookmarkStart w:id="205" w:name="_Toc14208"/>
      <w:bookmarkStart w:id="206" w:name="_Toc11217"/>
      <w:bookmarkStart w:id="207" w:name="_Toc15930"/>
      <w:bookmarkStart w:id="208" w:name="_Toc16566"/>
      <w:bookmarkStart w:id="209" w:name="_Toc19868"/>
      <w:r>
        <w:rPr>
          <w:rFonts w:hint="eastAsia" w:ascii="Times New Roman" w:hAnsi="Times New Roman" w:eastAsia="方正楷体_GBK" w:cs="方正楷体_GBK"/>
          <w:color w:val="auto"/>
          <w:spacing w:val="-11"/>
          <w:sz w:val="32"/>
          <w:szCs w:val="32"/>
          <w:highlight w:val="none"/>
          <w:lang w:val="en-US" w:eastAsia="zh-CN"/>
        </w:rPr>
        <w:t xml:space="preserve">第一节 </w:t>
      </w:r>
      <w:r>
        <w:rPr>
          <w:rFonts w:hint="eastAsia" w:ascii="Times New Roman" w:hAnsi="Times New Roman" w:eastAsia="方正楷体_GBK" w:cs="方正楷体_GBK"/>
          <w:color w:val="auto"/>
          <w:spacing w:val="-11"/>
          <w:sz w:val="32"/>
          <w:szCs w:val="32"/>
          <w:highlight w:val="none"/>
        </w:rPr>
        <w:t>全力打造全市集成电路产业主要集聚地</w:t>
      </w:r>
      <w:bookmarkEnd w:id="200"/>
      <w:bookmarkEnd w:id="201"/>
      <w:bookmarkEnd w:id="202"/>
      <w:bookmarkEnd w:id="203"/>
      <w:bookmarkEnd w:id="204"/>
      <w:bookmarkEnd w:id="205"/>
      <w:bookmarkEnd w:id="206"/>
      <w:bookmarkEnd w:id="207"/>
      <w:bookmarkEnd w:id="208"/>
      <w:bookmarkEnd w:id="209"/>
    </w:p>
    <w:p w14:paraId="4B10C662">
      <w:pPr>
        <w:pStyle w:val="19"/>
        <w:overflowPunct w:val="0"/>
        <w:adjustRightInd w:val="0"/>
        <w:snapToGrid w:val="0"/>
        <w:spacing w:beforeAutospacing="0" w:afterAutospacing="0" w:line="600" w:lineRule="exact"/>
        <w:ind w:firstLine="640" w:firstLineChars="200"/>
        <w:jc w:val="both"/>
        <w:rPr>
          <w:rFonts w:hint="default" w:ascii="Times New Roman" w:hAnsi="Times New Roman" w:eastAsia="方正仿宋_GBK" w:cs="方正仿宋_GBK"/>
          <w:color w:val="auto"/>
          <w:sz w:val="32"/>
          <w:szCs w:val="32"/>
          <w:highlight w:val="none"/>
          <w:lang w:val="en-US" w:eastAsia="zh-CN"/>
        </w:rPr>
      </w:pPr>
      <w:r>
        <w:rPr>
          <w:rFonts w:hint="eastAsia" w:ascii="Times New Roman" w:hAnsi="Times New Roman" w:eastAsia="方正仿宋_GBK" w:cs="方正仿宋_GBK"/>
          <w:color w:val="auto"/>
          <w:sz w:val="32"/>
          <w:szCs w:val="32"/>
          <w:highlight w:val="none"/>
        </w:rPr>
        <w:t>发挥产业链体系较为完备优势</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锚定功率半导体、模拟与数模混合芯片、化合物半导体、车规级芯片等重点方向，按照“以中间带两端”思路，采取超常规手段建立健全“芯片设计—晶圆制造—封测模组—材料设备”集成电路全产业链生态</w:t>
      </w:r>
      <w:r>
        <w:rPr>
          <w:rFonts w:hint="eastAsia" w:ascii="Times New Roman" w:hAnsi="Times New Roman" w:eastAsia="方正仿宋_GBK" w:cs="方正仿宋_GBK"/>
          <w:color w:val="auto"/>
          <w:sz w:val="32"/>
          <w:szCs w:val="32"/>
          <w:highlight w:val="none"/>
          <w:lang w:eastAsia="zh-CN"/>
        </w:rPr>
        <w:t>，打造国内具有功率半导体和特色工艺辨识度的集成电路产业主要集聚地</w:t>
      </w:r>
      <w:r>
        <w:rPr>
          <w:rFonts w:hint="eastAsia" w:ascii="Times New Roman" w:hAnsi="Times New Roman" w:eastAsia="方正仿宋_GBK" w:cs="方正仿宋_GBK"/>
          <w:color w:val="auto"/>
          <w:sz w:val="32"/>
          <w:szCs w:val="32"/>
          <w:highlight w:val="none"/>
        </w:rPr>
        <w:t>。大力发展汽车芯片。加快模拟</w:t>
      </w:r>
      <w:r>
        <w:rPr>
          <w:rFonts w:hint="eastAsia" w:ascii="Times New Roman" w:hAnsi="Times New Roman" w:eastAsia="方正仿宋_GBK" w:cs="方正仿宋_GBK"/>
          <w:color w:val="auto"/>
          <w:sz w:val="32"/>
          <w:szCs w:val="32"/>
          <w:highlight w:val="none"/>
          <w:lang w:val="en-US" w:eastAsia="zh-CN"/>
        </w:rPr>
        <w:t>芯片、</w:t>
      </w:r>
      <w:r>
        <w:rPr>
          <w:rFonts w:hint="eastAsia" w:ascii="Times New Roman" w:hAnsi="Times New Roman" w:eastAsia="方正仿宋_GBK" w:cs="方正仿宋_GBK"/>
          <w:color w:val="auto"/>
          <w:sz w:val="32"/>
          <w:szCs w:val="32"/>
          <w:highlight w:val="none"/>
        </w:rPr>
        <w:t>功率</w:t>
      </w:r>
      <w:r>
        <w:rPr>
          <w:rFonts w:hint="eastAsia" w:ascii="Times New Roman" w:hAnsi="Times New Roman" w:eastAsia="方正仿宋_GBK" w:cs="方正仿宋_GBK"/>
          <w:color w:val="auto"/>
          <w:sz w:val="32"/>
          <w:szCs w:val="32"/>
          <w:highlight w:val="none"/>
          <w:lang w:val="en-US" w:eastAsia="zh-CN"/>
        </w:rPr>
        <w:t>芯片</w:t>
      </w:r>
      <w:r>
        <w:rPr>
          <w:rFonts w:hint="eastAsia" w:ascii="Times New Roman" w:hAnsi="Times New Roman" w:eastAsia="方正仿宋_GBK" w:cs="方正仿宋_GBK"/>
          <w:color w:val="auto"/>
          <w:sz w:val="32"/>
          <w:szCs w:val="32"/>
          <w:highlight w:val="none"/>
        </w:rPr>
        <w:t>、计算控制</w:t>
      </w:r>
      <w:r>
        <w:rPr>
          <w:rFonts w:hint="eastAsia" w:ascii="Times New Roman" w:hAnsi="Times New Roman" w:eastAsia="方正仿宋_GBK" w:cs="方正仿宋_GBK"/>
          <w:color w:val="auto"/>
          <w:sz w:val="32"/>
          <w:szCs w:val="32"/>
          <w:highlight w:val="none"/>
          <w:lang w:val="en-US" w:eastAsia="zh-CN"/>
        </w:rPr>
        <w:t>芯片</w:t>
      </w:r>
      <w:r>
        <w:rPr>
          <w:rFonts w:hint="eastAsia" w:ascii="Times New Roman" w:hAnsi="Times New Roman" w:eastAsia="方正仿宋_GBK" w:cs="方正仿宋_GBK"/>
          <w:color w:val="auto"/>
          <w:sz w:val="32"/>
          <w:szCs w:val="32"/>
          <w:highlight w:val="none"/>
        </w:rPr>
        <w:t>、传感器等车规级芯片研发生产、检验认证、上车应用，</w:t>
      </w:r>
      <w:r>
        <w:rPr>
          <w:rFonts w:hint="eastAsia" w:ascii="Times New Roman" w:hAnsi="Times New Roman" w:eastAsia="方正仿宋_GBK" w:cs="方正仿宋_GBK"/>
          <w:color w:val="auto"/>
          <w:sz w:val="32"/>
          <w:szCs w:val="32"/>
          <w:highlight w:val="none"/>
          <w:lang w:val="en-US" w:eastAsia="zh-CN"/>
        </w:rPr>
        <w:t>鼓励各类</w:t>
      </w:r>
      <w:r>
        <w:rPr>
          <w:rFonts w:hint="eastAsia" w:ascii="方正仿宋_GBK" w:hAnsi="方正仿宋_GBK" w:eastAsia="方正仿宋_GBK" w:cs="方正仿宋_GBK"/>
          <w:color w:val="000000"/>
          <w:kern w:val="2"/>
          <w:sz w:val="32"/>
          <w:szCs w:val="32"/>
          <w:u w:val="none" w:color="auto"/>
          <w:lang w:val="en-US" w:eastAsia="zh-CN" w:bidi="ar"/>
        </w:rPr>
        <w:t>创新服务平台、芯片检测认证公共服务平台申报重庆市汽车芯片产业创新平台</w:t>
      </w:r>
      <w:r>
        <w:rPr>
          <w:rFonts w:hint="eastAsia" w:ascii="Times New Roman" w:hAnsi="Times New Roman" w:eastAsia="方正仿宋_GBK" w:cs="方正仿宋_GBK"/>
          <w:color w:val="auto"/>
          <w:sz w:val="32"/>
          <w:szCs w:val="32"/>
          <w:highlight w:val="none"/>
        </w:rPr>
        <w:t>，打造中西部特色车规级集成电路特色工艺制造基地。</w:t>
      </w:r>
      <w:r>
        <w:rPr>
          <w:rFonts w:hint="default" w:ascii="Times New Roman" w:hAnsi="Times New Roman" w:eastAsia="方正仿宋_GBK" w:cs="方正仿宋_GBK"/>
          <w:color w:val="auto"/>
          <w:sz w:val="32"/>
          <w:szCs w:val="32"/>
          <w:highlight w:val="none"/>
          <w:lang w:val="en-US"/>
        </w:rPr>
        <w:t>夯实晶圆制造</w:t>
      </w:r>
      <w:r>
        <w:rPr>
          <w:rFonts w:hint="eastAsia" w:ascii="Times New Roman" w:hAnsi="Times New Roman" w:eastAsia="方正仿宋_GBK" w:cs="方正仿宋_GBK"/>
          <w:color w:val="auto"/>
          <w:sz w:val="32"/>
          <w:szCs w:val="32"/>
          <w:highlight w:val="none"/>
        </w:rPr>
        <w:t>。推动提升8吋、12吋功率半导体晶圆制造能力，加快重点项目提产上量，布局车规级成熟制程</w:t>
      </w:r>
      <w:r>
        <w:rPr>
          <w:rFonts w:hint="eastAsia" w:ascii="Times New Roman" w:hAnsi="Times New Roman" w:eastAsia="方正仿宋_GBK" w:cs="方正仿宋_GBK"/>
          <w:color w:val="auto"/>
          <w:sz w:val="32"/>
          <w:szCs w:val="32"/>
          <w:highlight w:val="none"/>
          <w:lang w:eastAsia="zh-CN"/>
        </w:rPr>
        <w:t>，</w:t>
      </w:r>
      <w:r>
        <w:rPr>
          <w:rFonts w:hint="eastAsia" w:ascii="方正仿宋_GBK" w:hAnsi="方正仿宋_GBK" w:eastAsia="方正仿宋_GBK" w:cs="方正仿宋_GBK"/>
          <w:b w:val="0"/>
          <w:bCs w:val="0"/>
          <w:color w:val="000000"/>
          <w:kern w:val="2"/>
          <w:sz w:val="32"/>
          <w:szCs w:val="32"/>
          <w:u w:val="none" w:color="auto"/>
          <w:lang w:val="en-US" w:eastAsia="zh-CN" w:bidi="ar"/>
        </w:rPr>
        <w:t>打造全国领先的功率半导体全产业链平台基地、车规级化合物半导体制造基地</w:t>
      </w:r>
      <w:r>
        <w:rPr>
          <w:rFonts w:hint="eastAsia" w:ascii="Times New Roman" w:hAnsi="Times New Roman" w:eastAsia="方正仿宋_GBK" w:cs="方正仿宋_GBK"/>
          <w:color w:val="auto"/>
          <w:sz w:val="32"/>
          <w:szCs w:val="32"/>
          <w:highlight w:val="none"/>
        </w:rPr>
        <w:t>。培育芯片设计。重点发展硅光产业链，建设硅光工艺中试平台，孵化光通信、光传感、光计算等硅光电子芯片设计企业。推动整车与芯片和模组产业协同发展，搭建“芯片设计—整车/终端”供需对接平台，发展本地定制开发、流片服务。提质建设集成电路公共设计服务平台、汽车芯片EDA创新服务平台</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建成西部地区最大的汽车芯片、模拟芯片设计中心</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强化封测模组。推动</w:t>
      </w:r>
      <w:r>
        <w:rPr>
          <w:rFonts w:hint="eastAsia" w:ascii="Times New Roman" w:hAnsi="Times New Roman" w:eastAsia="方正仿宋_GBK" w:cs="方正仿宋_GBK"/>
          <w:color w:val="auto"/>
          <w:sz w:val="32"/>
          <w:szCs w:val="32"/>
          <w:highlight w:val="none"/>
          <w:lang w:val="en-US" w:eastAsia="zh-CN"/>
        </w:rPr>
        <w:t>企业</w:t>
      </w:r>
      <w:r>
        <w:rPr>
          <w:rFonts w:hint="eastAsia" w:ascii="Times New Roman" w:hAnsi="Times New Roman" w:eastAsia="方正仿宋_GBK" w:cs="方正仿宋_GBK"/>
          <w:color w:val="auto"/>
          <w:sz w:val="32"/>
          <w:szCs w:val="32"/>
          <w:highlight w:val="none"/>
        </w:rPr>
        <w:t>产品转型、扩大封装类型和规模</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协调争取更多订单落地，推动首期IGBT功率模块产线提前达产</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二期IPM功率模块产线</w:t>
      </w:r>
      <w:r>
        <w:rPr>
          <w:rFonts w:hint="eastAsia" w:ascii="Times New Roman" w:hAnsi="Times New Roman" w:eastAsia="方正仿宋_GBK" w:cs="方正仿宋_GBK"/>
          <w:color w:val="auto"/>
          <w:sz w:val="32"/>
          <w:szCs w:val="32"/>
          <w:highlight w:val="none"/>
          <w:lang w:val="en-US" w:eastAsia="zh-CN"/>
        </w:rPr>
        <w:t>启动</w:t>
      </w:r>
      <w:r>
        <w:rPr>
          <w:rFonts w:hint="eastAsia" w:ascii="Times New Roman" w:hAnsi="Times New Roman" w:eastAsia="方正仿宋_GBK" w:cs="方正仿宋_GBK"/>
          <w:color w:val="auto"/>
          <w:sz w:val="32"/>
          <w:szCs w:val="32"/>
          <w:highlight w:val="none"/>
        </w:rPr>
        <w:t>建设，引导</w:t>
      </w:r>
      <w:r>
        <w:rPr>
          <w:rFonts w:hint="eastAsia" w:ascii="Times New Roman" w:hAnsi="Times New Roman" w:eastAsia="方正仿宋_GBK" w:cs="方正仿宋_GBK"/>
          <w:color w:val="auto"/>
          <w:sz w:val="32"/>
          <w:szCs w:val="32"/>
          <w:highlight w:val="none"/>
          <w:lang w:val="en-US" w:eastAsia="zh-CN"/>
        </w:rPr>
        <w:t>封测企业</w:t>
      </w:r>
      <w:r>
        <w:rPr>
          <w:rFonts w:hint="eastAsia" w:ascii="Times New Roman" w:hAnsi="Times New Roman" w:eastAsia="方正仿宋_GBK" w:cs="方正仿宋_GBK"/>
          <w:color w:val="auto"/>
          <w:sz w:val="32"/>
          <w:szCs w:val="32"/>
          <w:highlight w:val="none"/>
        </w:rPr>
        <w:t>与</w:t>
      </w:r>
      <w:r>
        <w:rPr>
          <w:rFonts w:hint="eastAsia" w:ascii="Times New Roman" w:hAnsi="Times New Roman" w:eastAsia="方正仿宋_GBK" w:cs="方正仿宋_GBK"/>
          <w:color w:val="auto"/>
          <w:sz w:val="32"/>
          <w:szCs w:val="32"/>
          <w:highlight w:val="none"/>
          <w:lang w:val="en-US" w:eastAsia="zh-CN"/>
        </w:rPr>
        <w:t>车企</w:t>
      </w:r>
      <w:r>
        <w:rPr>
          <w:rFonts w:hint="eastAsia" w:ascii="Times New Roman" w:hAnsi="Times New Roman" w:eastAsia="方正仿宋_GBK" w:cs="方正仿宋_GBK"/>
          <w:color w:val="auto"/>
          <w:sz w:val="32"/>
          <w:szCs w:val="32"/>
          <w:highlight w:val="none"/>
        </w:rPr>
        <w:t>合作，布局</w:t>
      </w:r>
      <w:r>
        <w:rPr>
          <w:rFonts w:ascii="Times New Roman" w:hAnsi="Times New Roman" w:eastAsia="方正仿宋_GBK" w:cs="方正仿宋_GBK"/>
          <w:color w:val="auto"/>
          <w:sz w:val="32"/>
          <w:szCs w:val="32"/>
          <w:highlight w:val="none"/>
        </w:rPr>
        <w:t>车规级</w:t>
      </w:r>
      <w:r>
        <w:rPr>
          <w:rFonts w:hint="eastAsia" w:ascii="Times New Roman" w:hAnsi="Times New Roman" w:eastAsia="方正仿宋_GBK" w:cs="方正仿宋_GBK"/>
          <w:color w:val="auto"/>
          <w:sz w:val="32"/>
          <w:szCs w:val="32"/>
          <w:highlight w:val="none"/>
        </w:rPr>
        <w:t>封测</w:t>
      </w:r>
      <w:r>
        <w:rPr>
          <w:rFonts w:hint="eastAsia" w:ascii="Times New Roman" w:hAnsi="Times New Roman" w:eastAsia="方正仿宋_GBK" w:cs="方正仿宋_GBK"/>
          <w:color w:val="auto"/>
          <w:sz w:val="32"/>
          <w:szCs w:val="32"/>
          <w:highlight w:val="none"/>
          <w:lang w:eastAsia="zh-CN"/>
        </w:rPr>
        <w:t>，</w:t>
      </w:r>
      <w:r>
        <w:rPr>
          <w:rFonts w:hint="eastAsia" w:ascii="方正仿宋_GBK" w:hAnsi="方正仿宋_GBK" w:eastAsia="方正仿宋_GBK" w:cs="方正仿宋_GBK"/>
          <w:b w:val="0"/>
          <w:bCs w:val="0"/>
          <w:color w:val="000000"/>
          <w:kern w:val="2"/>
          <w:sz w:val="32"/>
          <w:szCs w:val="32"/>
          <w:u w:val="none" w:color="auto"/>
          <w:lang w:val="en-US" w:eastAsia="zh-CN" w:bidi="ar"/>
        </w:rPr>
        <w:t>建成重庆首个先进封装基地、西部首个集成电路全产业链检测基地</w:t>
      </w:r>
      <w:r>
        <w:rPr>
          <w:rFonts w:hint="eastAsia" w:ascii="Times New Roman" w:hAnsi="Times New Roman" w:eastAsia="方正仿宋_GBK" w:cs="方正仿宋_GBK"/>
          <w:color w:val="auto"/>
          <w:sz w:val="32"/>
          <w:szCs w:val="32"/>
          <w:highlight w:val="none"/>
        </w:rPr>
        <w:t>。补齐材料设备。</w:t>
      </w:r>
      <w:r>
        <w:rPr>
          <w:rFonts w:hint="eastAsia" w:ascii="Times New Roman" w:hAnsi="Times New Roman" w:eastAsia="方正仿宋_GBK" w:cs="方正仿宋_GBK"/>
          <w:color w:val="auto"/>
          <w:sz w:val="32"/>
          <w:szCs w:val="32"/>
          <w:highlight w:val="none"/>
          <w:lang w:val="en-US" w:eastAsia="zh-CN"/>
        </w:rPr>
        <w:t>推动</w:t>
      </w:r>
      <w:r>
        <w:rPr>
          <w:rFonts w:hint="eastAsia" w:ascii="Times New Roman" w:hAnsi="Times New Roman" w:eastAsia="方正仿宋_GBK" w:cs="方正仿宋_GBK"/>
          <w:color w:val="auto"/>
          <w:sz w:val="32"/>
          <w:szCs w:val="32"/>
          <w:highlight w:val="none"/>
        </w:rPr>
        <w:t>集成电路设备、零部件企业落地成熟型号产品量产线至高新区，深化“沿海中心城市研发+重庆量产”两地分工发展模式。持续关注企业增量业务，组建新工艺团队、开发新工艺产品。打造半导体设备零部件及原材料公共服务平台，依托嘉陵江实验室、欧洲科学院中国中心等科研平台攻关核心技术、推动成果转化。</w:t>
      </w:r>
      <w:r>
        <w:rPr>
          <w:rFonts w:ascii="Times New Roman" w:hAnsi="Times New Roman" w:eastAsia="方正仿宋_GBK" w:cs="方正仿宋_GBK"/>
          <w:color w:val="auto"/>
          <w:sz w:val="32"/>
          <w:szCs w:val="32"/>
          <w:highlight w:val="none"/>
        </w:rPr>
        <w:t>到2030年</w:t>
      </w:r>
      <w:r>
        <w:rPr>
          <w:rFonts w:hint="eastAsia" w:ascii="Times New Roman" w:hAnsi="Times New Roman" w:eastAsia="方正仿宋_GBK" w:cs="方正仿宋_GBK"/>
          <w:color w:val="auto"/>
          <w:sz w:val="32"/>
          <w:szCs w:val="32"/>
          <w:highlight w:val="none"/>
        </w:rPr>
        <w:t>，</w:t>
      </w:r>
      <w:r>
        <w:rPr>
          <w:rFonts w:ascii="Times New Roman" w:hAnsi="Times New Roman" w:eastAsia="方正仿宋_GBK" w:cs="方正仿宋_GBK"/>
          <w:color w:val="auto"/>
          <w:sz w:val="32"/>
          <w:szCs w:val="32"/>
          <w:highlight w:val="none"/>
        </w:rPr>
        <w:t>集成电路产业</w:t>
      </w:r>
      <w:r>
        <w:rPr>
          <w:rFonts w:hint="eastAsia" w:ascii="Times New Roman" w:hAnsi="Times New Roman" w:eastAsia="方正仿宋_GBK" w:cs="方正仿宋_GBK"/>
          <w:color w:val="auto"/>
          <w:sz w:val="32"/>
          <w:szCs w:val="32"/>
          <w:highlight w:val="none"/>
        </w:rPr>
        <w:t>规模达到</w:t>
      </w:r>
      <w:r>
        <w:rPr>
          <w:rFonts w:ascii="Times New Roman" w:hAnsi="Times New Roman" w:eastAsia="方正仿宋_GBK" w:cs="方正仿宋_GBK"/>
          <w:color w:val="auto"/>
          <w:sz w:val="32"/>
          <w:szCs w:val="32"/>
          <w:highlight w:val="none"/>
        </w:rPr>
        <w:t>600亿元</w:t>
      </w:r>
      <w:r>
        <w:rPr>
          <w:rFonts w:hint="eastAsia" w:ascii="Times New Roman" w:hAnsi="Times New Roman" w:eastAsia="方正仿宋_GBK" w:cs="方正仿宋_GBK"/>
          <w:color w:val="auto"/>
          <w:sz w:val="32"/>
          <w:szCs w:val="32"/>
          <w:highlight w:val="none"/>
          <w:lang w:eastAsia="zh-CN"/>
        </w:rPr>
        <w:t>，</w:t>
      </w:r>
      <w:r>
        <w:rPr>
          <w:rFonts w:hint="default" w:ascii="Times New Roman" w:hAnsi="Times New Roman" w:eastAsia="方正仿宋_GBK" w:cs="Times New Roman"/>
          <w:color w:val="000000"/>
          <w:kern w:val="2"/>
          <w:sz w:val="32"/>
          <w:szCs w:val="32"/>
          <w:u w:val="none" w:color="auto"/>
          <w:lang w:val="en-US" w:eastAsia="zh-CN" w:bidi="ar"/>
        </w:rPr>
        <w:t>新增集成电路专业人才4000</w:t>
      </w:r>
      <w:r>
        <w:rPr>
          <w:rFonts w:hint="eastAsia" w:ascii="Times New Roman" w:hAnsi="Times New Roman" w:eastAsia="方正仿宋_GBK" w:cs="Times New Roman"/>
          <w:color w:val="000000"/>
          <w:kern w:val="2"/>
          <w:sz w:val="32"/>
          <w:szCs w:val="32"/>
          <w:u w:val="none" w:color="auto"/>
          <w:lang w:val="en-US" w:eastAsia="zh-CN" w:bidi="ar"/>
        </w:rPr>
        <w:t>人</w:t>
      </w:r>
      <w:r>
        <w:rPr>
          <w:rFonts w:hint="eastAsia" w:ascii="Times New Roman" w:hAnsi="Times New Roman" w:eastAsia="方正仿宋_GBK" w:cs="方正仿宋_GBK"/>
          <w:color w:val="auto"/>
          <w:sz w:val="32"/>
          <w:szCs w:val="32"/>
          <w:highlight w:val="none"/>
          <w:lang w:eastAsia="zh-CN"/>
        </w:rPr>
        <w:t>。</w:t>
      </w:r>
    </w:p>
    <w:p w14:paraId="682732B2">
      <w:pPr>
        <w:overflowPunct/>
        <w:adjustRightInd w:val="0"/>
        <w:spacing w:line="312" w:lineRule="atLeast"/>
        <w:jc w:val="center"/>
        <w:textAlignment w:val="baseline"/>
        <w:rPr>
          <w:rFonts w:hint="eastAsia" w:ascii="Times New Roman" w:hAnsi="Times New Roman" w:eastAsia="方正黑体_GBK" w:cs="方正黑体_GBK"/>
          <w:color w:val="auto"/>
          <w:kern w:val="0"/>
          <w:sz w:val="32"/>
          <w:szCs w:val="32"/>
          <w:highlight w:val="none"/>
          <w:u w:val="none"/>
        </w:rPr>
      </w:pPr>
      <w:r>
        <w:rPr>
          <w:rFonts w:hint="eastAsia" w:ascii="Times New Roman" w:hAnsi="Times New Roman" w:eastAsia="方正黑体_GBK" w:cs="方正黑体_GBK"/>
          <w:color w:val="auto"/>
          <w:kern w:val="0"/>
          <w:sz w:val="32"/>
          <w:szCs w:val="32"/>
          <w:highlight w:val="none"/>
          <w:u w:val="none"/>
        </w:rPr>
        <w:t>专栏</w:t>
      </w:r>
      <w:r>
        <w:rPr>
          <w:rFonts w:hint="eastAsia" w:ascii="Times New Roman" w:hAnsi="Times New Roman" w:eastAsia="方正黑体_GBK" w:cs="方正黑体_GBK"/>
          <w:color w:val="auto"/>
          <w:kern w:val="0"/>
          <w:sz w:val="32"/>
          <w:szCs w:val="32"/>
          <w:highlight w:val="none"/>
          <w:u w:val="none"/>
          <w:lang w:val="en-US" w:eastAsia="zh-CN"/>
        </w:rPr>
        <w:t>8</w:t>
      </w:r>
      <w:r>
        <w:rPr>
          <w:rFonts w:hint="eastAsia" w:ascii="Times New Roman" w:hAnsi="Times New Roman" w:eastAsia="方正黑体_GBK" w:cs="方正黑体_GBK"/>
          <w:color w:val="auto"/>
          <w:kern w:val="0"/>
          <w:sz w:val="32"/>
          <w:szCs w:val="32"/>
          <w:highlight w:val="none"/>
          <w:u w:val="none"/>
        </w:rPr>
        <w:t xml:space="preserve"> 集成电路产业重点领域</w:t>
      </w:r>
    </w:p>
    <w:tbl>
      <w:tblPr>
        <w:tblStyle w:val="22"/>
        <w:tblW w:w="9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0"/>
      </w:tblGrid>
      <w:tr w14:paraId="7D9A8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90" w:type="dxa"/>
          </w:tcPr>
          <w:p w14:paraId="21B56EB9">
            <w:pPr>
              <w:pStyle w:val="19"/>
              <w:keepNext w:val="0"/>
              <w:keepLines w:val="0"/>
              <w:pageBreakBefore w:val="0"/>
              <w:widowControl w:val="0"/>
              <w:kinsoku/>
              <w:wordWrap/>
              <w:overflowPunct w:val="0"/>
              <w:topLinePunct w:val="0"/>
              <w:autoSpaceDE/>
              <w:autoSpaceDN/>
              <w:bidi w:val="0"/>
              <w:adjustRightInd/>
              <w:snapToGrid w:val="0"/>
              <w:spacing w:beforeAutospacing="0" w:afterAutospacing="0" w:line="380" w:lineRule="exact"/>
              <w:ind w:firstLine="480" w:firstLineChars="200"/>
              <w:jc w:val="both"/>
              <w:textAlignment w:val="auto"/>
              <w:rPr>
                <w:rFonts w:hint="eastAsia" w:ascii="Times New Roman" w:hAnsi="Times New Roman" w:eastAsia="方正书宋_GBK" w:cs="Times New Roman"/>
                <w:color w:val="auto"/>
                <w:kern w:val="0"/>
                <w:highlight w:val="none"/>
                <w:u w:val="none"/>
              </w:rPr>
            </w:pPr>
            <w:r>
              <w:rPr>
                <w:rFonts w:hint="eastAsia" w:ascii="Times New Roman" w:hAnsi="Times New Roman" w:eastAsia="方正黑体_GBK" w:cs="方正黑体_GBK"/>
                <w:color w:val="auto"/>
                <w:highlight w:val="none"/>
                <w:u w:val="none"/>
              </w:rPr>
              <w:t>1</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highlight w:val="none"/>
                <w:u w:val="none"/>
              </w:rPr>
              <w:t>芯片设计。</w:t>
            </w:r>
            <w:r>
              <w:rPr>
                <w:rFonts w:hint="eastAsia" w:ascii="Times New Roman" w:hAnsi="Times New Roman" w:eastAsia="方正书宋_GBK" w:cs="Times New Roman"/>
                <w:color w:val="auto"/>
                <w:highlight w:val="none"/>
                <w:u w:val="none"/>
              </w:rPr>
              <w:t>重点发展车用MCU芯片、高端电源管理芯片、RF-SOI射频芯片等，</w:t>
            </w:r>
            <w:r>
              <w:rPr>
                <w:rFonts w:hint="eastAsia" w:ascii="Times New Roman" w:hAnsi="Times New Roman" w:eastAsia="方正书宋_GBK" w:cs="Times New Roman"/>
                <w:color w:val="auto"/>
                <w:highlight w:val="none"/>
                <w:u w:val="none"/>
                <w:lang w:val="en-US" w:eastAsia="zh-CN"/>
              </w:rPr>
              <w:t>布局硅光产业链，</w:t>
            </w:r>
            <w:r>
              <w:rPr>
                <w:rFonts w:hint="eastAsia" w:ascii="Times New Roman" w:hAnsi="Times New Roman" w:eastAsia="方正书宋_GBK" w:cs="Times New Roman"/>
                <w:color w:val="auto"/>
                <w:highlight w:val="none"/>
                <w:u w:val="none"/>
              </w:rPr>
              <w:t>构建</w:t>
            </w:r>
            <w:r>
              <w:rPr>
                <w:rFonts w:hint="eastAsia" w:ascii="Times New Roman" w:hAnsi="Times New Roman" w:eastAsia="方正书宋_GBK" w:cs="Times New Roman"/>
                <w:color w:val="auto"/>
                <w:kern w:val="0"/>
                <w:highlight w:val="none"/>
                <w:u w:val="none"/>
                <w:lang w:bidi="ar-SA"/>
              </w:rPr>
              <w:t>完善</w:t>
            </w:r>
            <w:r>
              <w:rPr>
                <w:rFonts w:hint="eastAsia" w:ascii="Times New Roman" w:hAnsi="Times New Roman" w:eastAsia="方正书宋_GBK"/>
                <w:color w:val="auto"/>
                <w:kern w:val="0"/>
                <w:highlight w:val="none"/>
                <w:u w:val="none"/>
                <w:lang w:bidi="ar-SA"/>
              </w:rPr>
              <w:t>RISC-V</w:t>
            </w:r>
            <w:r>
              <w:rPr>
                <w:rFonts w:hint="eastAsia" w:ascii="Times New Roman" w:hAnsi="Times New Roman" w:eastAsia="方正书宋_GBK" w:cs="Times New Roman"/>
                <w:color w:val="auto"/>
                <w:kern w:val="0"/>
                <w:highlight w:val="none"/>
                <w:u w:val="none"/>
                <w:lang w:bidi="ar-SA"/>
              </w:rPr>
              <w:t>产业链体系。培育发展光通信、光传感、光计算等领域硅光电子芯片设计，加快</w:t>
            </w:r>
            <w:r>
              <w:rPr>
                <w:rFonts w:hint="eastAsia" w:ascii="Times New Roman" w:hAnsi="Times New Roman" w:eastAsia="方正书宋_GBK" w:cs="Times New Roman"/>
                <w:color w:val="auto"/>
                <w:kern w:val="0"/>
                <w:highlight w:val="none"/>
                <w:u w:val="none"/>
              </w:rPr>
              <w:t>红外芯片、激光雷达、光陀螺等产品产业化。</w:t>
            </w:r>
          </w:p>
          <w:p w14:paraId="4882941F">
            <w:pPr>
              <w:pStyle w:val="19"/>
              <w:keepNext w:val="0"/>
              <w:keepLines w:val="0"/>
              <w:pageBreakBefore w:val="0"/>
              <w:widowControl w:val="0"/>
              <w:kinsoku/>
              <w:wordWrap/>
              <w:overflowPunct w:val="0"/>
              <w:topLinePunct w:val="0"/>
              <w:autoSpaceDE/>
              <w:autoSpaceDN/>
              <w:bidi w:val="0"/>
              <w:adjustRightInd/>
              <w:snapToGrid w:val="0"/>
              <w:spacing w:beforeAutospacing="0" w:afterAutospacing="0" w:line="380" w:lineRule="exact"/>
              <w:ind w:firstLine="480" w:firstLineChars="200"/>
              <w:jc w:val="both"/>
              <w:textAlignment w:val="auto"/>
              <w:rPr>
                <w:rFonts w:hint="eastAsia" w:ascii="Times New Roman" w:hAnsi="Times New Roman" w:eastAsia="方正书宋_GBK" w:cs="Times New Roman"/>
                <w:color w:val="auto"/>
                <w:kern w:val="0"/>
                <w:highlight w:val="none"/>
                <w:u w:val="none"/>
              </w:rPr>
            </w:pPr>
            <w:r>
              <w:rPr>
                <w:rFonts w:hint="eastAsia" w:ascii="Times New Roman" w:hAnsi="Times New Roman" w:eastAsia="方正黑体_GBK" w:cs="方正黑体_GBK"/>
                <w:color w:val="auto"/>
                <w:highlight w:val="none"/>
                <w:u w:val="none"/>
              </w:rPr>
              <w:t>2</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highlight w:val="none"/>
                <w:u w:val="none"/>
              </w:rPr>
              <w:t>晶圆制造。</w:t>
            </w:r>
            <w:r>
              <w:rPr>
                <w:rFonts w:hint="eastAsia" w:ascii="Times New Roman" w:hAnsi="Times New Roman" w:eastAsia="方正书宋_GBK" w:cs="Times New Roman"/>
                <w:color w:val="auto"/>
                <w:highlight w:val="none"/>
                <w:u w:val="none"/>
              </w:rPr>
              <w:t>重点发展第三代化合物半导体（碳化硅SiC）、硅基功率半导体、MEMS与传感器、高端特色工艺、硅基光电子与光集成、车规级晶圆制造等领域。</w:t>
            </w:r>
          </w:p>
          <w:p w14:paraId="16BC93CF">
            <w:pPr>
              <w:pStyle w:val="19"/>
              <w:keepNext w:val="0"/>
              <w:keepLines w:val="0"/>
              <w:pageBreakBefore w:val="0"/>
              <w:widowControl w:val="0"/>
              <w:kinsoku/>
              <w:wordWrap/>
              <w:overflowPunct w:val="0"/>
              <w:topLinePunct w:val="0"/>
              <w:autoSpaceDE/>
              <w:autoSpaceDN/>
              <w:bidi w:val="0"/>
              <w:adjustRightInd/>
              <w:snapToGrid w:val="0"/>
              <w:spacing w:beforeAutospacing="0" w:afterAutospacing="0" w:line="380" w:lineRule="exact"/>
              <w:ind w:firstLine="480" w:firstLineChars="200"/>
              <w:jc w:val="both"/>
              <w:textAlignment w:val="auto"/>
              <w:rPr>
                <w:rFonts w:hint="eastAsia" w:ascii="Times New Roman" w:hAnsi="Times New Roman" w:eastAsia="方正书宋_GBK" w:cs="Times New Roman"/>
                <w:color w:val="auto"/>
                <w:highlight w:val="none"/>
                <w:u w:val="none"/>
              </w:rPr>
            </w:pPr>
            <w:r>
              <w:rPr>
                <w:rFonts w:hint="eastAsia" w:ascii="Times New Roman" w:hAnsi="Times New Roman" w:eastAsia="方正黑体_GBK" w:cs="方正黑体_GBK"/>
                <w:color w:val="auto"/>
                <w:highlight w:val="none"/>
                <w:u w:val="none"/>
              </w:rPr>
              <w:t>3</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highlight w:val="none"/>
                <w:u w:val="none"/>
              </w:rPr>
              <w:t>封测模组。</w:t>
            </w:r>
            <w:r>
              <w:rPr>
                <w:rFonts w:hint="eastAsia" w:ascii="Times New Roman" w:hAnsi="Times New Roman" w:eastAsia="方正书宋_GBK" w:cs="Times New Roman"/>
                <w:color w:val="auto"/>
                <w:highlight w:val="none"/>
                <w:u w:val="none"/>
              </w:rPr>
              <w:t>重点发展IGBT、MOSFET、SiC功率器件等车规级功率器件封测，发展Fan-out、Bumping、WLP、2.5D/3D先进封装与系统集成。面向汽车电控、工业变频、光伏储能，主攻IPM智能功率模块、SiC功率模块、传感器SiP模组。覆盖MEMS惯性、压力、气体传感器以及硅光芯片、射频与模拟芯片的封测与老化测试。</w:t>
            </w:r>
          </w:p>
          <w:p w14:paraId="71F05EEC">
            <w:pPr>
              <w:pStyle w:val="19"/>
              <w:keepNext w:val="0"/>
              <w:keepLines w:val="0"/>
              <w:pageBreakBefore w:val="0"/>
              <w:widowControl w:val="0"/>
              <w:kinsoku/>
              <w:wordWrap/>
              <w:overflowPunct w:val="0"/>
              <w:topLinePunct w:val="0"/>
              <w:autoSpaceDE/>
              <w:autoSpaceDN/>
              <w:bidi w:val="0"/>
              <w:adjustRightInd/>
              <w:snapToGrid w:val="0"/>
              <w:spacing w:beforeAutospacing="0" w:afterAutospacing="0" w:line="380" w:lineRule="exact"/>
              <w:ind w:firstLine="480" w:firstLineChars="200"/>
              <w:jc w:val="both"/>
              <w:textAlignment w:val="auto"/>
              <w:rPr>
                <w:rFonts w:ascii="Times New Roman" w:hAnsi="Times New Roman" w:eastAsia="方正仿宋_GBK" w:cs="Times New Roman"/>
                <w:color w:val="auto"/>
                <w:sz w:val="32"/>
                <w:szCs w:val="32"/>
                <w:highlight w:val="none"/>
              </w:rPr>
            </w:pPr>
            <w:r>
              <w:rPr>
                <w:rFonts w:hint="eastAsia" w:ascii="Times New Roman" w:hAnsi="Times New Roman" w:eastAsia="方正黑体_GBK" w:cs="方正黑体_GBK"/>
                <w:color w:val="auto"/>
                <w:highlight w:val="none"/>
                <w:u w:val="none"/>
              </w:rPr>
              <w:t>4</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highlight w:val="none"/>
                <w:u w:val="none"/>
              </w:rPr>
              <w:t>材料设备。</w:t>
            </w:r>
            <w:r>
              <w:rPr>
                <w:rFonts w:hint="eastAsia" w:ascii="Times New Roman" w:hAnsi="Times New Roman" w:eastAsia="方正书宋_GBK" w:cs="Times New Roman"/>
                <w:color w:val="auto"/>
                <w:kern w:val="0"/>
                <w:highlight w:val="none"/>
                <w:u w:val="none"/>
                <w:lang w:bidi="ar-SA"/>
              </w:rPr>
              <w:t>重点</w:t>
            </w:r>
            <w:r>
              <w:rPr>
                <w:rFonts w:hint="eastAsia" w:ascii="Times New Roman" w:hAnsi="Times New Roman" w:eastAsia="方正书宋_GBK" w:cs="Times New Roman"/>
                <w:color w:val="auto"/>
                <w:highlight w:val="none"/>
                <w:u w:val="none"/>
              </w:rPr>
              <w:t>发展氮化镓外延、氧化镓外延、金刚石衬底、蓝宝石衬底等领域。协调石英、陶瓷、</w:t>
            </w:r>
            <w:r>
              <w:rPr>
                <w:rFonts w:hint="default" w:ascii="Times New Roman" w:hAnsi="Times New Roman" w:eastAsia="方正书宋_GBK" w:cs="Times New Roman"/>
                <w:color w:val="auto"/>
                <w:highlight w:val="none"/>
                <w:u w:val="none"/>
                <w:lang w:val="en-US"/>
              </w:rPr>
              <w:t>石墨</w:t>
            </w:r>
            <w:r>
              <w:rPr>
                <w:rFonts w:hint="eastAsia" w:ascii="Times New Roman" w:hAnsi="Times New Roman" w:eastAsia="方正书宋_GBK" w:cs="Times New Roman"/>
                <w:color w:val="auto"/>
                <w:highlight w:val="none"/>
                <w:u w:val="none"/>
              </w:rPr>
              <w:t>等零部件材料进入本地产线验证和</w:t>
            </w:r>
            <w:r>
              <w:rPr>
                <w:rFonts w:hint="eastAsia" w:ascii="Times New Roman" w:hAnsi="Times New Roman" w:eastAsia="方正书宋_GBK" w:cs="Times New Roman"/>
                <w:color w:val="auto"/>
                <w:kern w:val="0"/>
                <w:highlight w:val="none"/>
                <w:u w:val="none"/>
              </w:rPr>
              <w:t>上量，</w:t>
            </w:r>
            <w:r>
              <w:rPr>
                <w:rFonts w:hint="eastAsia" w:ascii="Times New Roman" w:hAnsi="Times New Roman" w:eastAsia="方正书宋_GBK" w:cs="Times New Roman"/>
                <w:color w:val="auto"/>
                <w:highlight w:val="none"/>
                <w:u w:val="none"/>
              </w:rPr>
              <w:t>打造集研发、生产、维保、贸易于一体的半导体设备零部件及原材料公共服务平台。</w:t>
            </w:r>
          </w:p>
        </w:tc>
      </w:tr>
    </w:tbl>
    <w:p w14:paraId="345D9CB3">
      <w:pPr>
        <w:overflowPunct w:val="0"/>
        <w:adjustRightInd w:val="0"/>
        <w:snapToGrid w:val="0"/>
        <w:spacing w:line="600" w:lineRule="exact"/>
        <w:jc w:val="center"/>
        <w:outlineLvl w:val="2"/>
        <w:rPr>
          <w:rFonts w:ascii="Times New Roman" w:hAnsi="Times New Roman" w:eastAsia="方正楷体_GBK" w:cs="方正楷体_GBK"/>
          <w:color w:val="auto"/>
          <w:spacing w:val="-11"/>
          <w:sz w:val="32"/>
          <w:szCs w:val="32"/>
          <w:highlight w:val="none"/>
        </w:rPr>
      </w:pPr>
      <w:bookmarkStart w:id="210" w:name="_Toc12044"/>
      <w:bookmarkStart w:id="211" w:name="_Toc30180"/>
      <w:bookmarkStart w:id="212" w:name="_Toc31438"/>
      <w:bookmarkStart w:id="213" w:name="_Toc1582504186"/>
      <w:bookmarkStart w:id="214" w:name="_Toc427138997"/>
      <w:r>
        <w:rPr>
          <w:rFonts w:hint="eastAsia" w:ascii="Times New Roman" w:hAnsi="Times New Roman" w:eastAsia="方正楷体_GBK" w:cs="方正楷体_GBK"/>
          <w:color w:val="auto"/>
          <w:spacing w:val="-11"/>
          <w:sz w:val="32"/>
          <w:szCs w:val="32"/>
          <w:highlight w:val="none"/>
        </w:rPr>
        <w:t xml:space="preserve">第二节 </w:t>
      </w:r>
      <w:bookmarkStart w:id="215" w:name="_Toc31087"/>
      <w:bookmarkStart w:id="216" w:name="_Toc11611"/>
      <w:bookmarkStart w:id="217" w:name="_Toc9974"/>
      <w:bookmarkStart w:id="218" w:name="_Toc5259"/>
      <w:bookmarkStart w:id="219" w:name="_Toc13244"/>
      <w:r>
        <w:rPr>
          <w:rFonts w:hint="eastAsia" w:ascii="Times New Roman" w:hAnsi="Times New Roman" w:eastAsia="方正楷体_GBK" w:cs="方正楷体_GBK"/>
          <w:color w:val="auto"/>
          <w:spacing w:val="-11"/>
          <w:sz w:val="32"/>
          <w:szCs w:val="32"/>
          <w:highlight w:val="none"/>
        </w:rPr>
        <w:t>支撑建设</w:t>
      </w:r>
      <w:r>
        <w:rPr>
          <w:rFonts w:ascii="Times New Roman" w:hAnsi="Times New Roman" w:eastAsia="方正楷体_GBK" w:cs="方正楷体_GBK"/>
          <w:color w:val="auto"/>
          <w:spacing w:val="-11"/>
          <w:sz w:val="32"/>
          <w:szCs w:val="32"/>
          <w:highlight w:val="none"/>
        </w:rPr>
        <w:t>智能网联新能源汽车及世界级摩托车产业之都</w:t>
      </w:r>
      <w:bookmarkEnd w:id="210"/>
      <w:bookmarkEnd w:id="211"/>
      <w:bookmarkEnd w:id="212"/>
      <w:bookmarkEnd w:id="213"/>
      <w:bookmarkEnd w:id="214"/>
      <w:bookmarkEnd w:id="215"/>
      <w:bookmarkEnd w:id="216"/>
      <w:bookmarkEnd w:id="217"/>
      <w:bookmarkEnd w:id="218"/>
      <w:bookmarkEnd w:id="219"/>
    </w:p>
    <w:p w14:paraId="6353181E">
      <w:pPr>
        <w:overflowPunct w:val="0"/>
        <w:adjustRightInd w:val="0"/>
        <w:snapToGrid w:val="0"/>
        <w:spacing w:line="600" w:lineRule="exact"/>
        <w:ind w:firstLine="640" w:firstLineChars="200"/>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智能网联新能源汽车领域。全力推动</w:t>
      </w:r>
      <w:r>
        <w:rPr>
          <w:rFonts w:hint="eastAsia" w:ascii="Times New Roman" w:hAnsi="Times New Roman" w:eastAsia="方正仿宋_GBK" w:cs="Times New Roman"/>
          <w:color w:val="auto"/>
          <w:sz w:val="32"/>
          <w:szCs w:val="32"/>
          <w:highlight w:val="none"/>
          <w:lang w:val="en-US" w:eastAsia="zh-CN"/>
        </w:rPr>
        <w:t>商用车产能</w:t>
      </w:r>
      <w:r>
        <w:rPr>
          <w:rFonts w:hint="eastAsia" w:ascii="Times New Roman" w:hAnsi="Times New Roman" w:eastAsia="方正仿宋_GBK" w:cs="Times New Roman"/>
          <w:color w:val="auto"/>
          <w:sz w:val="32"/>
          <w:szCs w:val="32"/>
          <w:highlight w:val="none"/>
        </w:rPr>
        <w:t>升级，做大定制化、改装专用车产业规模。</w:t>
      </w:r>
      <w:r>
        <w:rPr>
          <w:rFonts w:hint="eastAsia" w:ascii="Times New Roman" w:hAnsi="Times New Roman" w:eastAsia="方正仿宋_GBK" w:cs="Times New Roman"/>
          <w:color w:val="auto"/>
          <w:sz w:val="32"/>
          <w:szCs w:val="32"/>
          <w:highlight w:val="none"/>
          <w:lang w:val="en-US" w:eastAsia="zh-CN"/>
        </w:rPr>
        <w:t>鼓励企业</w:t>
      </w:r>
      <w:r>
        <w:rPr>
          <w:rFonts w:hint="eastAsia" w:ascii="Times New Roman" w:hAnsi="Times New Roman" w:eastAsia="方正仿宋_GBK" w:cs="Times New Roman"/>
          <w:color w:val="auto"/>
          <w:sz w:val="32"/>
          <w:szCs w:val="32"/>
          <w:highlight w:val="none"/>
        </w:rPr>
        <w:t>加大研发投入，推进新能源商用车全栈技术研发，促成</w:t>
      </w:r>
      <w:r>
        <w:rPr>
          <w:rFonts w:hint="eastAsia" w:ascii="Times New Roman" w:hAnsi="Times New Roman" w:eastAsia="方正仿宋_GBK" w:cs="Times New Roman"/>
          <w:color w:val="auto"/>
          <w:sz w:val="32"/>
          <w:szCs w:val="32"/>
          <w:highlight w:val="none"/>
          <w:lang w:val="en-US" w:eastAsia="zh-CN"/>
        </w:rPr>
        <w:t>企业间</w:t>
      </w:r>
      <w:r>
        <w:rPr>
          <w:rFonts w:hint="eastAsia" w:ascii="Times New Roman" w:hAnsi="Times New Roman" w:eastAsia="方正仿宋_GBK" w:cs="Times New Roman"/>
          <w:color w:val="auto"/>
          <w:sz w:val="32"/>
          <w:szCs w:val="32"/>
          <w:highlight w:val="none"/>
        </w:rPr>
        <w:t>代工生产长效机制</w:t>
      </w:r>
      <w:r>
        <w:rPr>
          <w:rFonts w:hint="eastAsia" w:ascii="Times New Roman" w:hAnsi="Times New Roman" w:eastAsia="方正仿宋_GBK" w:cs="Times New Roman"/>
          <w:color w:val="auto"/>
          <w:sz w:val="32"/>
          <w:szCs w:val="32"/>
          <w:highlight w:val="none"/>
          <w:lang w:eastAsia="zh-CN"/>
        </w:rPr>
        <w:t>，打造智电商用车定制产业集聚区</w:t>
      </w:r>
      <w:r>
        <w:rPr>
          <w:rFonts w:hint="eastAsia" w:ascii="Times New Roman" w:hAnsi="Times New Roman" w:eastAsia="方正仿宋_GBK" w:cs="Times New Roman"/>
          <w:color w:val="auto"/>
          <w:sz w:val="32"/>
          <w:szCs w:val="32"/>
          <w:highlight w:val="none"/>
        </w:rPr>
        <w:t>。紧抓城市物流电动化与“最后一公里”无人配送转型机遇，通过开放特定区域路权、策划示范运营线路</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rPr>
        <w:t>加速无人物流车规模化生产与智慧运营落地。强化“车路云一体化”场景培育和开放，加快建设智能网联汽车示范运营区。集聚</w:t>
      </w:r>
      <w:r>
        <w:rPr>
          <w:rFonts w:hint="eastAsia" w:ascii="Times New Roman" w:hAnsi="Times New Roman" w:eastAsia="方正仿宋_GBK" w:cs="方正仿宋_GBK"/>
          <w:color w:val="auto"/>
          <w:kern w:val="0"/>
          <w:sz w:val="32"/>
          <w:szCs w:val="32"/>
          <w:highlight w:val="none"/>
        </w:rPr>
        <w:t>汽车零部件企业，</w:t>
      </w:r>
      <w:r>
        <w:rPr>
          <w:rFonts w:hint="eastAsia" w:ascii="Times New Roman" w:hAnsi="Times New Roman" w:eastAsia="方正仿宋_GBK" w:cs="Times New Roman"/>
          <w:color w:val="auto"/>
          <w:sz w:val="32"/>
          <w:szCs w:val="32"/>
          <w:highlight w:val="none"/>
        </w:rPr>
        <w:t>重点招引具备国产化替代产品及多主机厂配套能力的汽车零部件项目，</w:t>
      </w:r>
      <w:r>
        <w:rPr>
          <w:rFonts w:hint="eastAsia" w:ascii="Times New Roman" w:hAnsi="Times New Roman" w:eastAsia="方正仿宋_GBK" w:cs="方正仿宋_GBK"/>
          <w:color w:val="auto"/>
          <w:sz w:val="32"/>
          <w:szCs w:val="32"/>
          <w:highlight w:val="none"/>
        </w:rPr>
        <w:t>提升核心零部件配套能力。</w:t>
      </w:r>
    </w:p>
    <w:p w14:paraId="77830A17">
      <w:pPr>
        <w:overflowPunct w:val="0"/>
        <w:adjustRightInd w:val="0"/>
        <w:snapToGrid w:val="0"/>
        <w:spacing w:line="600" w:lineRule="exact"/>
        <w:ind w:firstLine="640" w:firstLineChars="200"/>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高端摩托车领域。全力推动宗申隆鑫业务整合项目落地，推进摩托车研发、制造、销售及出口等全链条业务板块留驻重庆高新区。</w:t>
      </w:r>
      <w:r>
        <w:rPr>
          <w:rFonts w:hint="eastAsia" w:ascii="Times New Roman" w:hAnsi="Times New Roman" w:eastAsia="方正仿宋_GBK" w:cs="Times New Roman"/>
          <w:color w:val="auto"/>
          <w:sz w:val="32"/>
          <w:szCs w:val="32"/>
          <w:highlight w:val="none"/>
          <w:lang w:val="en-US" w:eastAsia="zh-CN"/>
        </w:rPr>
        <w:t>鼓励</w:t>
      </w:r>
      <w:r>
        <w:rPr>
          <w:rFonts w:hint="eastAsia" w:ascii="Times New Roman" w:hAnsi="Times New Roman" w:eastAsia="方正仿宋_GBK" w:cs="Times New Roman"/>
          <w:color w:val="auto"/>
          <w:sz w:val="32"/>
          <w:szCs w:val="32"/>
          <w:highlight w:val="none"/>
        </w:rPr>
        <w:t>企业加大产品开发和市场拓展，布局更多全新产品矩阵、创建新品牌。通过“整机牵引+零部件入园”模式，积极招引更多主机厂项目落地生产</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rPr>
        <w:t>推动主机厂带动本地配套率提升。</w:t>
      </w:r>
      <w:r>
        <w:rPr>
          <w:rFonts w:hint="eastAsia" w:ascii="Times New Roman" w:hAnsi="Times New Roman" w:eastAsia="方正仿宋_GBK" w:cs="方正仿宋_GBK"/>
          <w:color w:val="auto"/>
          <w:kern w:val="0"/>
          <w:sz w:val="32"/>
          <w:szCs w:val="32"/>
          <w:highlight w:val="none"/>
        </w:rPr>
        <w:t>发展汽摩主题文旅业态，</w:t>
      </w:r>
      <w:r>
        <w:rPr>
          <w:rFonts w:hint="eastAsia" w:ascii="Times New Roman" w:hAnsi="Times New Roman" w:eastAsia="方正仿宋_GBK" w:cs="Times New Roman"/>
          <w:color w:val="auto"/>
          <w:sz w:val="32"/>
          <w:szCs w:val="32"/>
          <w:highlight w:val="none"/>
        </w:rPr>
        <w:t>树立“制造+服务+文化+赛事+旅游”大产业观，高标准建设汽摩赛娱检综合服务平台，构建摩托车一站式国际认证服务，加快“机车小镇”成型成势，逐步建成涵盖越野、山地、竞速等多种赛事场地，规划打造机车天街等标志性特色文旅目的地。</w:t>
      </w:r>
    </w:p>
    <w:p w14:paraId="707C8471">
      <w:pPr>
        <w:overflowPunct w:val="0"/>
        <w:adjustRightInd w:val="0"/>
        <w:snapToGrid w:val="0"/>
        <w:spacing w:line="600" w:lineRule="exact"/>
        <w:ind w:firstLine="640" w:firstLineChars="200"/>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新能源与储能领域。</w:t>
      </w:r>
      <w:r>
        <w:rPr>
          <w:rFonts w:ascii="Times New Roman" w:hAnsi="Times New Roman" w:eastAsia="方正仿宋_GBK" w:cs="Times New Roman"/>
          <w:color w:val="auto"/>
          <w:sz w:val="32"/>
          <w:szCs w:val="32"/>
          <w:highlight w:val="none"/>
        </w:rPr>
        <w:t>建设新型储能技术研发中心、储能安全重点实验室等创新平台，开展新型储能系统的技术研发与成果转化。</w:t>
      </w:r>
      <w:r>
        <w:rPr>
          <w:rFonts w:hint="eastAsia" w:ascii="Times New Roman" w:hAnsi="Times New Roman" w:eastAsia="方正仿宋_GBK" w:cs="Times New Roman"/>
          <w:color w:val="auto"/>
          <w:sz w:val="32"/>
          <w:szCs w:val="32"/>
          <w:highlight w:val="none"/>
        </w:rPr>
        <w:t>落实全市储能产业“5+N”空间布局，引进储能电池组装、逆变器等关键部件制造企业，打造高新区“电子+储能”特色融合产业带，构建</w:t>
      </w:r>
      <w:r>
        <w:rPr>
          <w:rFonts w:hint="eastAsia" w:ascii="Times New Roman" w:hAnsi="Times New Roman" w:eastAsia="方正仿宋_GBK" w:cs="Times New Roman"/>
          <w:color w:val="auto"/>
          <w:sz w:val="32"/>
          <w:szCs w:val="32"/>
          <w:highlight w:val="none"/>
          <w:lang w:val="en-US" w:eastAsia="zh-CN"/>
        </w:rPr>
        <w:t>从</w:t>
      </w:r>
      <w:r>
        <w:rPr>
          <w:rFonts w:hint="eastAsia" w:ascii="Times New Roman" w:hAnsi="Times New Roman" w:eastAsia="方正仿宋_GBK" w:cs="Times New Roman"/>
          <w:color w:val="auto"/>
          <w:sz w:val="32"/>
          <w:szCs w:val="32"/>
          <w:highlight w:val="none"/>
        </w:rPr>
        <w:t>电芯到系统的完整安全防护网。深化“源网荷储”一体化互动的绿色低碳示范场景建设，在科学谷、金凤实验室、数据中心等关键节点推进建设“光储充放”一体化微电网示范区，全域布局集高效补能、智能检测、换电服务于一体的智慧能源场站。依托清安储能自研虚拟电厂平台，以负荷聚合商身份聚合分布式光伏、储能及充电桩等分散资源，参与全市电力辅助服务与现货交易。</w:t>
      </w:r>
    </w:p>
    <w:p w14:paraId="28E22739">
      <w:pPr>
        <w:overflowPunct w:val="0"/>
        <w:adjustRightInd w:val="0"/>
        <w:snapToGrid w:val="0"/>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到2030年，</w:t>
      </w:r>
      <w:r>
        <w:rPr>
          <w:rFonts w:hint="eastAsia" w:ascii="Times New Roman" w:hAnsi="Times New Roman" w:eastAsia="方正仿宋_GBK" w:cs="Times New Roman"/>
          <w:color w:val="auto"/>
          <w:sz w:val="32"/>
          <w:szCs w:val="32"/>
          <w:highlight w:val="none"/>
        </w:rPr>
        <w:t>逐步建成智能网联新能源汽车和</w:t>
      </w:r>
      <w:r>
        <w:rPr>
          <w:rFonts w:ascii="Times New Roman" w:hAnsi="Times New Roman" w:eastAsia="方正仿宋_GBK" w:cs="Times New Roman"/>
          <w:color w:val="auto"/>
          <w:sz w:val="32"/>
          <w:szCs w:val="32"/>
          <w:highlight w:val="none"/>
        </w:rPr>
        <w:t>高端摩托车产业集群</w:t>
      </w:r>
      <w:r>
        <w:rPr>
          <w:rFonts w:hint="eastAsia" w:ascii="Times New Roman" w:hAnsi="Times New Roman" w:eastAsia="方正仿宋_GBK" w:cs="Times New Roman"/>
          <w:color w:val="auto"/>
          <w:sz w:val="32"/>
          <w:szCs w:val="32"/>
          <w:highlight w:val="none"/>
        </w:rPr>
        <w:t>重要</w:t>
      </w:r>
      <w:r>
        <w:rPr>
          <w:rFonts w:ascii="Times New Roman" w:hAnsi="Times New Roman" w:eastAsia="方正仿宋_GBK" w:cs="Times New Roman"/>
          <w:color w:val="auto"/>
          <w:sz w:val="32"/>
          <w:szCs w:val="32"/>
          <w:highlight w:val="none"/>
        </w:rPr>
        <w:t>承载地，</w:t>
      </w:r>
      <w:r>
        <w:rPr>
          <w:rFonts w:hint="eastAsia" w:ascii="Times New Roman" w:hAnsi="Times New Roman" w:eastAsia="方正仿宋_GBK" w:cs="Times New Roman"/>
          <w:color w:val="auto"/>
          <w:sz w:val="32"/>
          <w:szCs w:val="32"/>
          <w:highlight w:val="none"/>
          <w:lang w:val="en-US" w:eastAsia="zh-CN"/>
        </w:rPr>
        <w:t>培育城市级智慧能碳创新产业集群，</w:t>
      </w:r>
      <w:r>
        <w:rPr>
          <w:rFonts w:ascii="Times New Roman" w:hAnsi="Times New Roman" w:eastAsia="方正仿宋_GBK" w:cs="Times New Roman"/>
          <w:color w:val="auto"/>
          <w:sz w:val="32"/>
          <w:szCs w:val="32"/>
          <w:highlight w:val="none"/>
        </w:rPr>
        <w:t>新能源汽摩产业规模</w:t>
      </w:r>
      <w:r>
        <w:rPr>
          <w:rFonts w:hint="eastAsia" w:ascii="Times New Roman" w:hAnsi="Times New Roman" w:eastAsia="方正仿宋_GBK" w:cs="Times New Roman"/>
          <w:color w:val="auto"/>
          <w:sz w:val="32"/>
          <w:szCs w:val="32"/>
          <w:highlight w:val="none"/>
        </w:rPr>
        <w:t>达到</w:t>
      </w:r>
      <w:r>
        <w:rPr>
          <w:rFonts w:ascii="Times New Roman" w:hAnsi="Times New Roman" w:eastAsia="方正仿宋_GBK" w:cs="Times New Roman"/>
          <w:color w:val="auto"/>
          <w:sz w:val="32"/>
          <w:szCs w:val="32"/>
          <w:highlight w:val="none"/>
        </w:rPr>
        <w:t>600亿元</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kern w:val="2"/>
          <w:sz w:val="32"/>
          <w:szCs w:val="32"/>
          <w:u w:val="none" w:color="auto"/>
          <w:lang w:val="en-US" w:eastAsia="zh-CN" w:bidi="ar"/>
        </w:rPr>
        <w:t>新能源商用车、摩托车产销量分别达到20万台、300万台</w:t>
      </w:r>
      <w:r>
        <w:rPr>
          <w:rFonts w:ascii="Times New Roman" w:hAnsi="Times New Roman" w:eastAsia="方正仿宋_GBK" w:cs="Times New Roman"/>
          <w:color w:val="auto"/>
          <w:sz w:val="32"/>
          <w:szCs w:val="32"/>
          <w:highlight w:val="none"/>
        </w:rPr>
        <w:t>。</w:t>
      </w:r>
    </w:p>
    <w:p w14:paraId="6761C05D">
      <w:pPr>
        <w:overflowPunct/>
        <w:adjustRightInd w:val="0"/>
        <w:spacing w:line="312" w:lineRule="atLeast"/>
        <w:jc w:val="center"/>
        <w:textAlignment w:val="baseline"/>
        <w:rPr>
          <w:rFonts w:hint="eastAsia" w:ascii="Times New Roman" w:hAnsi="Times New Roman" w:eastAsia="方正黑体_GBK" w:cs="方正黑体_GBK"/>
          <w:color w:val="auto"/>
          <w:kern w:val="0"/>
          <w:sz w:val="32"/>
          <w:szCs w:val="32"/>
          <w:highlight w:val="none"/>
          <w:u w:val="none"/>
        </w:rPr>
      </w:pPr>
      <w:bookmarkStart w:id="220" w:name="_Toc27712"/>
      <w:r>
        <w:rPr>
          <w:rFonts w:hint="eastAsia" w:ascii="Times New Roman" w:hAnsi="Times New Roman" w:eastAsia="方正黑体_GBK" w:cs="方正黑体_GBK"/>
          <w:color w:val="auto"/>
          <w:kern w:val="0"/>
          <w:sz w:val="32"/>
          <w:szCs w:val="32"/>
          <w:highlight w:val="none"/>
          <w:u w:val="none"/>
        </w:rPr>
        <w:t>专栏</w:t>
      </w:r>
      <w:r>
        <w:rPr>
          <w:rFonts w:hint="eastAsia" w:ascii="Times New Roman" w:hAnsi="Times New Roman" w:eastAsia="方正黑体_GBK" w:cs="方正黑体_GBK"/>
          <w:color w:val="auto"/>
          <w:kern w:val="0"/>
          <w:sz w:val="32"/>
          <w:szCs w:val="32"/>
          <w:highlight w:val="none"/>
          <w:u w:val="none"/>
          <w:lang w:val="en-US" w:eastAsia="zh-CN"/>
        </w:rPr>
        <w:t>9</w:t>
      </w:r>
      <w:r>
        <w:rPr>
          <w:rFonts w:hint="eastAsia" w:ascii="Times New Roman" w:hAnsi="Times New Roman" w:eastAsia="方正黑体_GBK" w:cs="方正黑体_GBK"/>
          <w:color w:val="auto"/>
          <w:kern w:val="0"/>
          <w:sz w:val="32"/>
          <w:szCs w:val="32"/>
          <w:highlight w:val="none"/>
          <w:u w:val="none"/>
        </w:rPr>
        <w:t xml:space="preserve"> 新能源汽摩产业重点领域</w:t>
      </w:r>
    </w:p>
    <w:tbl>
      <w:tblPr>
        <w:tblStyle w:val="22"/>
        <w:tblW w:w="9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0"/>
      </w:tblGrid>
      <w:tr w14:paraId="72BFA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0" w:type="dxa"/>
          </w:tcPr>
          <w:p w14:paraId="14373479">
            <w:pPr>
              <w:keepNext w:val="0"/>
              <w:keepLines w:val="0"/>
              <w:pageBreakBefore w:val="0"/>
              <w:widowControl/>
              <w:kinsoku/>
              <w:wordWrap/>
              <w:overflowPunct w:val="0"/>
              <w:topLinePunct w:val="0"/>
              <w:autoSpaceDE/>
              <w:autoSpaceDN/>
              <w:bidi w:val="0"/>
              <w:adjustRightInd/>
              <w:snapToGrid w:val="0"/>
              <w:spacing w:line="380" w:lineRule="exact"/>
              <w:ind w:firstLine="480" w:firstLineChars="200"/>
              <w:jc w:val="left"/>
              <w:textAlignment w:val="auto"/>
              <w:rPr>
                <w:rFonts w:hint="eastAsia" w:ascii="Times New Roman" w:hAnsi="Times New Roman" w:eastAsia="方正书宋_GBK" w:cs="Times New Roman"/>
                <w:color w:val="auto"/>
                <w:kern w:val="0"/>
                <w:sz w:val="24"/>
                <w:highlight w:val="none"/>
                <w:u w:val="none"/>
                <w:lang w:bidi="ar"/>
              </w:rPr>
            </w:pPr>
            <w:r>
              <w:rPr>
                <w:rFonts w:hint="eastAsia" w:ascii="Times New Roman" w:hAnsi="Times New Roman" w:eastAsia="方正黑体_GBK" w:cs="方正黑体_GBK"/>
                <w:color w:val="auto"/>
                <w:kern w:val="0"/>
                <w:sz w:val="24"/>
                <w:highlight w:val="none"/>
                <w:u w:val="none"/>
                <w:lang w:bidi="ar-SA"/>
              </w:rPr>
              <w:t>1</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智能网联新能源汽车。</w:t>
            </w:r>
            <w:r>
              <w:rPr>
                <w:rFonts w:hint="eastAsia" w:ascii="Times New Roman" w:hAnsi="Times New Roman" w:eastAsia="方正书宋_GBK" w:cs="Times New Roman"/>
                <w:color w:val="auto"/>
                <w:kern w:val="0"/>
                <w:sz w:val="24"/>
                <w:highlight w:val="none"/>
                <w:u w:val="none"/>
                <w:lang w:bidi="ar"/>
              </w:rPr>
              <w:t>整车领域，以新能源商用车研发、生产及运营为核心，重点拓展特种专用车、无人配送车等高附加值细分领域，做大定制化、改装专用车产业规模，推进无人配送商用车规模化量产。智能网联领域，</w:t>
            </w:r>
            <w:r>
              <w:rPr>
                <w:rFonts w:hint="eastAsia" w:ascii="Times New Roman" w:hAnsi="Times New Roman" w:eastAsia="方正书宋_GBK" w:cs="Times New Roman"/>
                <w:color w:val="auto"/>
                <w:kern w:val="0"/>
                <w:sz w:val="24"/>
                <w:highlight w:val="none"/>
                <w:u w:val="none"/>
                <w:shd w:val="clear" w:color="auto" w:fill="auto"/>
                <w:lang w:bidi="ar"/>
              </w:rPr>
              <w:t>构建涵盖末端配送、环卫清扫、出行服务等多元场景的“研发—测试—制造—运营”全产业链闭环体系。</w:t>
            </w:r>
            <w:r>
              <w:rPr>
                <w:rFonts w:hint="eastAsia" w:ascii="Times New Roman" w:hAnsi="Times New Roman" w:eastAsia="方正书宋_GBK" w:cs="Times New Roman"/>
                <w:color w:val="auto"/>
                <w:kern w:val="0"/>
                <w:sz w:val="24"/>
                <w:highlight w:val="none"/>
                <w:u w:val="none"/>
                <w:lang w:bidi="ar"/>
              </w:rPr>
              <w:t>汽车零部件领域，重点强化车规级芯片与模组、智能座舱人机交互模组、车载传感器与感知融合单元、域控制器底层硬件与区域控制器等配套能力，</w:t>
            </w:r>
            <w:r>
              <w:rPr>
                <w:rFonts w:hint="eastAsia" w:ascii="Times New Roman" w:hAnsi="Times New Roman" w:eastAsia="方正书宋_GBK" w:cs="Times New Roman"/>
                <w:color w:val="auto"/>
                <w:kern w:val="0"/>
                <w:sz w:val="24"/>
                <w:highlight w:val="none"/>
                <w:u w:val="none"/>
                <w:shd w:val="clear" w:color="auto" w:fill="auto"/>
                <w:lang w:bidi="ar"/>
              </w:rPr>
              <w:t>推动“芯屏算网”深度融合</w:t>
            </w:r>
            <w:r>
              <w:rPr>
                <w:rFonts w:hint="eastAsia" w:ascii="Times New Roman" w:hAnsi="Times New Roman" w:eastAsia="方正书宋_GBK" w:cs="Times New Roman"/>
                <w:color w:val="auto"/>
                <w:kern w:val="0"/>
                <w:sz w:val="24"/>
                <w:highlight w:val="none"/>
                <w:u w:val="none"/>
                <w:lang w:bidi="ar"/>
              </w:rPr>
              <w:t>。</w:t>
            </w:r>
          </w:p>
          <w:p w14:paraId="6565841D">
            <w:pPr>
              <w:keepNext w:val="0"/>
              <w:keepLines w:val="0"/>
              <w:pageBreakBefore w:val="0"/>
              <w:widowControl/>
              <w:kinsoku/>
              <w:wordWrap/>
              <w:overflowPunct w:val="0"/>
              <w:topLinePunct w:val="0"/>
              <w:autoSpaceDE/>
              <w:autoSpaceDN/>
              <w:bidi w:val="0"/>
              <w:adjustRightInd/>
              <w:snapToGrid w:val="0"/>
              <w:spacing w:line="380" w:lineRule="exact"/>
              <w:ind w:firstLine="480" w:firstLineChars="200"/>
              <w:jc w:val="left"/>
              <w:textAlignment w:val="auto"/>
              <w:rPr>
                <w:rFonts w:hint="eastAsia" w:ascii="Times New Roman" w:hAnsi="Times New Roman" w:eastAsia="方正书宋_GBK" w:cs="Times New Roman"/>
                <w:color w:val="auto"/>
                <w:kern w:val="0"/>
                <w:sz w:val="24"/>
                <w:highlight w:val="none"/>
                <w:u w:val="none"/>
              </w:rPr>
            </w:pPr>
            <w:r>
              <w:rPr>
                <w:rFonts w:hint="eastAsia" w:ascii="Times New Roman" w:hAnsi="Times New Roman" w:eastAsia="方正黑体_GBK" w:cs="方正黑体_GBK"/>
                <w:color w:val="auto"/>
                <w:kern w:val="0"/>
                <w:sz w:val="24"/>
                <w:highlight w:val="none"/>
                <w:u w:val="none"/>
                <w:lang w:bidi="ar-SA"/>
              </w:rPr>
              <w:t>2</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高端摩托车。</w:t>
            </w:r>
            <w:r>
              <w:rPr>
                <w:rFonts w:hint="eastAsia" w:ascii="Times New Roman" w:hAnsi="Times New Roman" w:eastAsia="方正书宋_GBK" w:cs="Times New Roman"/>
                <w:color w:val="auto"/>
                <w:kern w:val="0"/>
                <w:sz w:val="24"/>
                <w:highlight w:val="none"/>
                <w:u w:val="none"/>
                <w:lang w:bidi="ar"/>
              </w:rPr>
              <w:t>整车领域，</w:t>
            </w:r>
            <w:r>
              <w:rPr>
                <w:rFonts w:hint="eastAsia" w:ascii="Times New Roman" w:hAnsi="Times New Roman" w:eastAsia="方正书宋_GBK" w:cs="Times New Roman"/>
                <w:color w:val="auto"/>
                <w:kern w:val="0"/>
                <w:sz w:val="24"/>
                <w:highlight w:val="none"/>
                <w:u w:val="none"/>
                <w:shd w:val="clear" w:color="auto" w:fill="auto"/>
                <w:lang w:bidi="ar"/>
              </w:rPr>
              <w:t>聚焦</w:t>
            </w:r>
            <w:r>
              <w:rPr>
                <w:rFonts w:hint="eastAsia" w:ascii="Times New Roman" w:hAnsi="Times New Roman" w:eastAsia="方正书宋_GBK" w:cs="Times New Roman"/>
                <w:color w:val="auto"/>
                <w:kern w:val="0"/>
                <w:sz w:val="24"/>
                <w:highlight w:val="none"/>
                <w:u w:val="none"/>
                <w:lang w:bidi="ar"/>
              </w:rPr>
              <w:t>补强250CC及以上中大排量燃油车、电动摩托车等高端领域，加速布局高性能电动摩托车及ATV/UTV全地形车。摩托车零部件领域，突破</w:t>
            </w:r>
            <w:r>
              <w:rPr>
                <w:rFonts w:hint="eastAsia" w:ascii="Times New Roman" w:hAnsi="Times New Roman" w:eastAsia="方正书宋_GBK" w:cs="Times New Roman"/>
                <w:color w:val="auto"/>
                <w:kern w:val="0"/>
                <w:sz w:val="24"/>
                <w:highlight w:val="none"/>
                <w:u w:val="none"/>
              </w:rPr>
              <w:t>高性能发动机</w:t>
            </w:r>
            <w:r>
              <w:rPr>
                <w:rFonts w:hint="eastAsia" w:ascii="Times New Roman" w:hAnsi="Times New Roman" w:eastAsia="方正书宋_GBK" w:cs="Times New Roman"/>
                <w:color w:val="auto"/>
                <w:kern w:val="0"/>
                <w:sz w:val="24"/>
                <w:highlight w:val="none"/>
                <w:u w:val="none"/>
                <w:lang w:val="en-US" w:eastAsia="zh-CN"/>
              </w:rPr>
              <w:t>管理</w:t>
            </w:r>
            <w:r>
              <w:rPr>
                <w:rFonts w:hint="eastAsia" w:ascii="Times New Roman" w:hAnsi="Times New Roman" w:eastAsia="方正书宋_GBK" w:cs="Times New Roman"/>
                <w:color w:val="auto"/>
                <w:kern w:val="0"/>
                <w:sz w:val="24"/>
                <w:highlight w:val="none"/>
                <w:u w:val="none"/>
              </w:rPr>
              <w:t>系统（EMS）与电喷系统、电动摩托车动力总成、智能仪表与车联网终端模组、轻量化结构件等细分领域，前瞻布局智能环境感知技术、智能安全驾驶技术和智能人机交互技术。</w:t>
            </w:r>
          </w:p>
          <w:p w14:paraId="2DB60379">
            <w:pPr>
              <w:keepNext w:val="0"/>
              <w:keepLines w:val="0"/>
              <w:pageBreakBefore w:val="0"/>
              <w:widowControl/>
              <w:kinsoku/>
              <w:wordWrap/>
              <w:overflowPunct w:val="0"/>
              <w:topLinePunct w:val="0"/>
              <w:autoSpaceDE/>
              <w:autoSpaceDN/>
              <w:bidi w:val="0"/>
              <w:adjustRightInd/>
              <w:snapToGrid w:val="0"/>
              <w:spacing w:line="380" w:lineRule="exact"/>
              <w:ind w:firstLine="480" w:firstLineChars="200"/>
              <w:jc w:val="left"/>
              <w:textAlignment w:val="auto"/>
              <w:rPr>
                <w:rFonts w:ascii="Times New Roman" w:hAnsi="Times New Roman" w:eastAsia="方正仿宋_GBK" w:cs="Times New Roman"/>
                <w:color w:val="auto"/>
                <w:sz w:val="32"/>
                <w:szCs w:val="32"/>
                <w:highlight w:val="none"/>
              </w:rPr>
            </w:pPr>
            <w:r>
              <w:rPr>
                <w:rFonts w:hint="eastAsia" w:ascii="Times New Roman" w:hAnsi="Times New Roman" w:eastAsia="方正黑体_GBK" w:cs="方正黑体_GBK"/>
                <w:color w:val="auto"/>
                <w:kern w:val="0"/>
                <w:sz w:val="24"/>
                <w:highlight w:val="none"/>
                <w:u w:val="none"/>
              </w:rPr>
              <w:t>3</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highlight w:val="none"/>
                <w:u w:val="none"/>
              </w:rPr>
              <w:t>新型储能。</w:t>
            </w:r>
            <w:r>
              <w:rPr>
                <w:rFonts w:hint="eastAsia" w:ascii="Times New Roman" w:hAnsi="Times New Roman" w:eastAsia="方正书宋_GBK" w:cs="Times New Roman"/>
                <w:color w:val="auto"/>
                <w:kern w:val="0"/>
                <w:sz w:val="24"/>
                <w:highlight w:val="none"/>
                <w:u w:val="none"/>
                <w:shd w:val="clear" w:color="auto" w:fill="auto"/>
                <w:lang w:bidi="ar"/>
              </w:rPr>
              <w:t>依托科创资源与“电子</w:t>
            </w:r>
            <w:r>
              <w:rPr>
                <w:rFonts w:hint="eastAsia" w:ascii="Times New Roman" w:hAnsi="Times New Roman" w:eastAsia="方正书宋_GBK" w:cs="Times New Roman"/>
                <w:color w:val="auto"/>
                <w:kern w:val="0"/>
                <w:sz w:val="24"/>
                <w:highlight w:val="none"/>
                <w:u w:val="none"/>
                <w:shd w:val="clear" w:color="auto" w:fill="auto"/>
                <w:lang w:val="en-US" w:eastAsia="zh-CN" w:bidi="ar"/>
              </w:rPr>
              <w:t>+</w:t>
            </w:r>
            <w:r>
              <w:rPr>
                <w:rFonts w:hint="eastAsia" w:ascii="Times New Roman" w:hAnsi="Times New Roman" w:eastAsia="方正书宋_GBK" w:cs="Times New Roman"/>
                <w:color w:val="auto"/>
                <w:kern w:val="0"/>
                <w:sz w:val="24"/>
                <w:highlight w:val="none"/>
                <w:u w:val="none"/>
                <w:shd w:val="clear" w:color="auto" w:fill="auto"/>
                <w:lang w:bidi="ar"/>
              </w:rPr>
              <w:t>储能”融合优势</w:t>
            </w:r>
            <w:r>
              <w:rPr>
                <w:rFonts w:hint="eastAsia" w:ascii="Times New Roman" w:hAnsi="Times New Roman" w:eastAsia="方正书宋_GBK" w:cs="Times New Roman"/>
                <w:color w:val="auto"/>
                <w:kern w:val="0"/>
                <w:sz w:val="24"/>
                <w:highlight w:val="none"/>
                <w:u w:val="none"/>
                <w:shd w:val="clear" w:color="auto" w:fill="auto"/>
                <w:lang w:eastAsia="zh-CN" w:bidi="ar"/>
              </w:rPr>
              <w:t>，</w:t>
            </w:r>
            <w:r>
              <w:rPr>
                <w:rFonts w:hint="eastAsia" w:ascii="Times New Roman" w:hAnsi="Times New Roman" w:eastAsia="方正书宋_GBK" w:cs="Times New Roman"/>
                <w:color w:val="auto"/>
                <w:kern w:val="0"/>
                <w:sz w:val="24"/>
                <w:highlight w:val="none"/>
                <w:u w:val="none"/>
                <w:shd w:val="clear" w:color="auto" w:fill="auto"/>
                <w:lang w:bidi="ar"/>
              </w:rPr>
              <w:t>前瞻布局新型电池技术，</w:t>
            </w:r>
            <w:r>
              <w:rPr>
                <w:rFonts w:hint="eastAsia" w:ascii="Times New Roman" w:hAnsi="Times New Roman" w:eastAsia="方正书宋_GBK" w:cs="Times New Roman"/>
                <w:color w:val="auto"/>
                <w:kern w:val="0"/>
                <w:sz w:val="24"/>
                <w:highlight w:val="none"/>
                <w:u w:val="none"/>
                <w:lang w:bidi="ar"/>
              </w:rPr>
              <w:t>加快固态电池、钠离子电池、</w:t>
            </w:r>
            <w:r>
              <w:rPr>
                <w:rFonts w:hint="eastAsia" w:ascii="Times New Roman" w:hAnsi="Times New Roman" w:eastAsia="方正书宋_GBK" w:cs="Times New Roman"/>
                <w:color w:val="auto"/>
                <w:kern w:val="0"/>
                <w:sz w:val="24"/>
                <w:highlight w:val="none"/>
                <w:u w:val="none"/>
              </w:rPr>
              <w:t>液流电池、钙钛矿</w:t>
            </w:r>
            <w:r>
              <w:rPr>
                <w:rFonts w:hint="eastAsia" w:ascii="Times New Roman" w:hAnsi="Times New Roman" w:eastAsia="方正书宋_GBK" w:cs="Times New Roman"/>
                <w:color w:val="auto"/>
                <w:kern w:val="0"/>
                <w:sz w:val="24"/>
                <w:highlight w:val="none"/>
                <w:u w:val="none"/>
                <w:lang w:bidi="ar"/>
              </w:rPr>
              <w:t>等前沿技术中试与产业化，完善电芯、模组PACK、系统集成等产业环节。做强储能及关键零部件，聚焦储能专用功率半导体（IGBT/SiC）、储能电池组装、储能变流器（PCS）、电池管理系统（BMS）、EMS及高压液冷系统等核心环节，</w:t>
            </w:r>
            <w:r>
              <w:rPr>
                <w:rFonts w:hint="eastAsia" w:ascii="Times New Roman" w:hAnsi="Times New Roman" w:eastAsia="方正书宋_GBK" w:cs="Times New Roman"/>
                <w:color w:val="auto"/>
                <w:kern w:val="0"/>
                <w:sz w:val="24"/>
                <w:highlight w:val="none"/>
                <w:u w:val="none"/>
                <w:shd w:val="clear" w:color="auto" w:fill="auto"/>
                <w:lang w:bidi="ar"/>
              </w:rPr>
              <w:t>培育发展液冷温控、消防抑制领域</w:t>
            </w:r>
            <w:r>
              <w:rPr>
                <w:rFonts w:hint="eastAsia" w:ascii="Times New Roman" w:hAnsi="Times New Roman" w:eastAsia="方正书宋_GBK" w:cs="Times New Roman"/>
                <w:color w:val="auto"/>
                <w:kern w:val="0"/>
                <w:sz w:val="24"/>
                <w:highlight w:val="none"/>
                <w:u w:val="none"/>
                <w:lang w:bidi="ar"/>
              </w:rPr>
              <w:t>。</w:t>
            </w:r>
            <w:r>
              <w:rPr>
                <w:rFonts w:hint="eastAsia" w:ascii="Times New Roman" w:hAnsi="Times New Roman" w:eastAsia="方正书宋_GBK" w:cs="Times New Roman"/>
                <w:color w:val="auto"/>
                <w:kern w:val="0"/>
                <w:sz w:val="24"/>
                <w:highlight w:val="none"/>
                <w:u w:val="none"/>
              </w:rPr>
              <w:t>探索建筑光伏一体化（BIPV）、虚拟电厂、电力交易等行业新方向。</w:t>
            </w:r>
          </w:p>
        </w:tc>
      </w:tr>
    </w:tbl>
    <w:p w14:paraId="076F8DBE">
      <w:pPr>
        <w:overflowPunct w:val="0"/>
        <w:adjustRightInd w:val="0"/>
        <w:snapToGrid w:val="0"/>
        <w:spacing w:line="600" w:lineRule="exact"/>
        <w:jc w:val="center"/>
        <w:outlineLvl w:val="2"/>
        <w:rPr>
          <w:rFonts w:ascii="Times New Roman" w:hAnsi="Times New Roman" w:eastAsia="方正楷体_GBK" w:cs="方正楷体_GBK"/>
          <w:color w:val="auto"/>
          <w:sz w:val="32"/>
          <w:szCs w:val="32"/>
          <w:highlight w:val="none"/>
        </w:rPr>
      </w:pPr>
      <w:bookmarkStart w:id="221" w:name="_Toc2034774305"/>
      <w:bookmarkStart w:id="222" w:name="_Toc16205"/>
      <w:bookmarkStart w:id="223" w:name="_Toc25157"/>
      <w:bookmarkStart w:id="224" w:name="_Toc562886007"/>
      <w:bookmarkStart w:id="225" w:name="_Toc26932"/>
      <w:r>
        <w:rPr>
          <w:rFonts w:hint="eastAsia" w:ascii="Times New Roman" w:hAnsi="Times New Roman" w:eastAsia="方正楷体_GBK" w:cs="方正楷体_GBK"/>
          <w:color w:val="auto"/>
          <w:sz w:val="32"/>
          <w:szCs w:val="32"/>
          <w:highlight w:val="none"/>
        </w:rPr>
        <w:t>第三节 推动新型智能终端产业稳量提质</w:t>
      </w:r>
      <w:bookmarkEnd w:id="220"/>
      <w:bookmarkEnd w:id="221"/>
      <w:bookmarkEnd w:id="222"/>
      <w:bookmarkEnd w:id="223"/>
      <w:bookmarkEnd w:id="224"/>
      <w:bookmarkEnd w:id="225"/>
    </w:p>
    <w:p w14:paraId="7F37B4A7">
      <w:pPr>
        <w:overflowPunct w:val="0"/>
        <w:adjustRightInd w:val="0"/>
        <w:snapToGrid w:val="0"/>
        <w:spacing w:line="600" w:lineRule="exact"/>
        <w:ind w:firstLine="640" w:firstLineChars="200"/>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充分发挥笔电企业带动作用，持续巩固全球重要的智能终端设备制造基地优势。</w:t>
      </w:r>
      <w:r>
        <w:rPr>
          <w:rFonts w:hint="eastAsia" w:ascii="Times New Roman" w:hAnsi="Times New Roman" w:eastAsia="方正仿宋_GBK" w:cs="方正仿宋_GBK"/>
          <w:color w:val="auto"/>
          <w:kern w:val="0"/>
          <w:sz w:val="32"/>
          <w:szCs w:val="32"/>
          <w:highlight w:val="none"/>
        </w:rPr>
        <w:t>全力稳存量，</w:t>
      </w:r>
      <w:r>
        <w:rPr>
          <w:rFonts w:hint="eastAsia" w:ascii="Times New Roman" w:hAnsi="Times New Roman" w:eastAsia="方正仿宋_GBK" w:cs="Times New Roman"/>
          <w:color w:val="auto"/>
          <w:sz w:val="32"/>
          <w:szCs w:val="32"/>
          <w:highlight w:val="none"/>
          <w:lang w:val="en-US" w:eastAsia="zh-CN"/>
        </w:rPr>
        <w:t>推动</w:t>
      </w:r>
      <w:r>
        <w:rPr>
          <w:rFonts w:hint="eastAsia" w:ascii="Times New Roman" w:hAnsi="Times New Roman" w:eastAsia="方正仿宋_GBK" w:cs="Times New Roman"/>
          <w:color w:val="auto"/>
          <w:sz w:val="32"/>
          <w:szCs w:val="32"/>
          <w:highlight w:val="none"/>
        </w:rPr>
        <w:t>笔电代工</w:t>
      </w:r>
      <w:r>
        <w:rPr>
          <w:rFonts w:hint="eastAsia" w:ascii="Times New Roman" w:hAnsi="Times New Roman" w:eastAsia="方正仿宋_GBK" w:cs="Times New Roman"/>
          <w:color w:val="auto"/>
          <w:sz w:val="32"/>
          <w:szCs w:val="32"/>
          <w:highlight w:val="none"/>
          <w:lang w:val="en-US" w:eastAsia="zh-CN"/>
        </w:rPr>
        <w:t>企业</w:t>
      </w:r>
      <w:r>
        <w:rPr>
          <w:rFonts w:hint="eastAsia" w:ascii="Times New Roman" w:hAnsi="Times New Roman" w:eastAsia="方正仿宋_GBK" w:cs="Times New Roman"/>
          <w:color w:val="auto"/>
          <w:sz w:val="32"/>
          <w:szCs w:val="32"/>
          <w:highlight w:val="none"/>
        </w:rPr>
        <w:t>布局AI</w:t>
      </w:r>
      <w:r>
        <w:rPr>
          <w:rFonts w:hint="eastAsia" w:ascii="Times New Roman" w:hAnsi="Times New Roman" w:eastAsia="方正仿宋_GBK" w:cs="Times New Roman"/>
          <w:color w:val="auto"/>
          <w:sz w:val="32"/>
          <w:szCs w:val="32"/>
          <w:highlight w:val="none"/>
          <w:lang w:val="en-US" w:eastAsia="zh-CN"/>
        </w:rPr>
        <w:t xml:space="preserve"> </w:t>
      </w:r>
      <w:r>
        <w:rPr>
          <w:rFonts w:hint="eastAsia" w:ascii="Times New Roman" w:hAnsi="Times New Roman" w:eastAsia="方正仿宋_GBK" w:cs="Times New Roman"/>
          <w:color w:val="auto"/>
          <w:sz w:val="32"/>
          <w:szCs w:val="32"/>
          <w:highlight w:val="none"/>
        </w:rPr>
        <w:t>PC、高端电竞游戏本、信创PC等领域，鼓励企业加强与</w:t>
      </w:r>
      <w:r>
        <w:rPr>
          <w:rFonts w:hint="eastAsia" w:ascii="Times New Roman" w:hAnsi="Times New Roman" w:eastAsia="方正仿宋_GBK" w:cs="Times New Roman"/>
          <w:color w:val="auto"/>
          <w:sz w:val="32"/>
          <w:szCs w:val="32"/>
          <w:highlight w:val="none"/>
          <w:lang w:val="en-US" w:eastAsia="zh-CN"/>
        </w:rPr>
        <w:t>智能网联汽车</w:t>
      </w:r>
      <w:r>
        <w:rPr>
          <w:rFonts w:hint="eastAsia" w:ascii="Times New Roman" w:hAnsi="Times New Roman" w:eastAsia="方正仿宋_GBK" w:cs="Times New Roman"/>
          <w:color w:val="auto"/>
          <w:sz w:val="32"/>
          <w:szCs w:val="32"/>
          <w:highlight w:val="none"/>
        </w:rPr>
        <w:t>企业合作，延伸布局汽车电子、人工智能终端等高附加值产品。</w:t>
      </w:r>
      <w:r>
        <w:rPr>
          <w:rFonts w:hint="eastAsia" w:ascii="Times New Roman" w:hAnsi="Times New Roman" w:eastAsia="方正仿宋_GBK" w:cs="方正仿宋_GBK"/>
          <w:color w:val="auto"/>
          <w:kern w:val="0"/>
          <w:sz w:val="32"/>
          <w:szCs w:val="32"/>
          <w:highlight w:val="none"/>
        </w:rPr>
        <w:t>大力育新品，</w:t>
      </w:r>
      <w:r>
        <w:rPr>
          <w:rFonts w:hint="eastAsia" w:ascii="Times New Roman" w:hAnsi="Times New Roman" w:eastAsia="方正仿宋_GBK" w:cs="Times New Roman"/>
          <w:color w:val="auto"/>
          <w:sz w:val="32"/>
          <w:szCs w:val="32"/>
          <w:highlight w:val="none"/>
        </w:rPr>
        <w:t>抢抓“疆算入渝”窗口机遇期，推动拓维、浪潮服务器等项目产能爬坡、达产增收，持续做大信创服务器、AI服务器、能源专用服务器等领域增量规模。加大智能穿戴设备、特色装备、智能机器人等新赛道新领域布局</w:t>
      </w:r>
      <w:r>
        <w:rPr>
          <w:rFonts w:hint="eastAsia" w:ascii="Times New Roman" w:hAnsi="Times New Roman" w:eastAsia="方正仿宋_GBK" w:cs="Times New Roman"/>
          <w:color w:val="auto"/>
          <w:sz w:val="32"/>
          <w:szCs w:val="32"/>
          <w:highlight w:val="none"/>
          <w:lang w:val="en-US" w:eastAsia="zh-CN"/>
        </w:rPr>
        <w:t>力度</w:t>
      </w:r>
      <w:r>
        <w:rPr>
          <w:rFonts w:hint="eastAsia" w:ascii="Times New Roman" w:hAnsi="Times New Roman" w:eastAsia="方正仿宋_GBK" w:cs="Times New Roman"/>
          <w:color w:val="auto"/>
          <w:sz w:val="32"/>
          <w:szCs w:val="32"/>
          <w:highlight w:val="none"/>
        </w:rPr>
        <w:t>，创建面向未来的智能终端创新中心。到2030年，新型智能终端产业规模达到1900亿元。</w:t>
      </w:r>
    </w:p>
    <w:p w14:paraId="77794E1E">
      <w:pPr>
        <w:overflowPunct/>
        <w:adjustRightInd w:val="0"/>
        <w:spacing w:line="312" w:lineRule="atLeast"/>
        <w:jc w:val="center"/>
        <w:textAlignment w:val="baseline"/>
        <w:rPr>
          <w:rFonts w:hint="eastAsia" w:ascii="Times New Roman" w:hAnsi="Times New Roman" w:eastAsia="方正黑体_GBK" w:cs="方正黑体_GBK"/>
          <w:color w:val="auto"/>
          <w:kern w:val="0"/>
          <w:sz w:val="32"/>
          <w:szCs w:val="32"/>
          <w:highlight w:val="none"/>
          <w:u w:val="none"/>
          <w:lang w:bidi="ar"/>
        </w:rPr>
      </w:pPr>
      <w:r>
        <w:rPr>
          <w:rFonts w:hint="eastAsia" w:ascii="Times New Roman" w:hAnsi="Times New Roman" w:eastAsia="方正黑体_GBK" w:cs="方正黑体_GBK"/>
          <w:color w:val="auto"/>
          <w:kern w:val="0"/>
          <w:sz w:val="32"/>
          <w:szCs w:val="32"/>
          <w:highlight w:val="none"/>
          <w:u w:val="none"/>
          <w:lang w:bidi="ar"/>
        </w:rPr>
        <w:t>专栏</w:t>
      </w:r>
      <w:r>
        <w:rPr>
          <w:rFonts w:hint="eastAsia" w:ascii="Times New Roman" w:hAnsi="Times New Roman" w:eastAsia="方正黑体_GBK" w:cs="方正黑体_GBK"/>
          <w:color w:val="auto"/>
          <w:kern w:val="0"/>
          <w:sz w:val="32"/>
          <w:szCs w:val="32"/>
          <w:highlight w:val="none"/>
          <w:u w:val="none"/>
          <w:lang w:val="en-US" w:eastAsia="zh-CN" w:bidi="ar"/>
        </w:rPr>
        <w:t>10</w:t>
      </w:r>
      <w:r>
        <w:rPr>
          <w:rFonts w:hint="eastAsia" w:ascii="Times New Roman" w:hAnsi="Times New Roman" w:eastAsia="方正黑体_GBK" w:cs="方正黑体_GBK"/>
          <w:color w:val="auto"/>
          <w:kern w:val="0"/>
          <w:sz w:val="32"/>
          <w:szCs w:val="32"/>
          <w:highlight w:val="none"/>
          <w:u w:val="none"/>
          <w:lang w:bidi="ar"/>
        </w:rPr>
        <w:t xml:space="preserve"> 新型智能终端产业重点领域</w:t>
      </w:r>
    </w:p>
    <w:tbl>
      <w:tblPr>
        <w:tblStyle w:val="22"/>
        <w:tblW w:w="9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0"/>
      </w:tblGrid>
      <w:tr w14:paraId="23C5F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0" w:type="dxa"/>
          </w:tcPr>
          <w:p w14:paraId="29CF05C4">
            <w:pPr>
              <w:keepNext w:val="0"/>
              <w:keepLines w:val="0"/>
              <w:pageBreakBefore w:val="0"/>
              <w:widowControl/>
              <w:kinsoku/>
              <w:wordWrap/>
              <w:overflowPunct w:val="0"/>
              <w:topLinePunct w:val="0"/>
              <w:autoSpaceDE/>
              <w:autoSpaceDN/>
              <w:bidi w:val="0"/>
              <w:adjustRightInd/>
              <w:snapToGrid w:val="0"/>
              <w:spacing w:line="380" w:lineRule="exact"/>
              <w:ind w:firstLine="480" w:firstLineChars="200"/>
              <w:jc w:val="left"/>
              <w:textAlignment w:val="auto"/>
              <w:rPr>
                <w:rFonts w:hint="eastAsia" w:ascii="Times New Roman" w:hAnsi="Times New Roman" w:eastAsia="方正书宋_GBK" w:cs="Times New Roman"/>
                <w:color w:val="auto"/>
                <w:kern w:val="0"/>
                <w:sz w:val="24"/>
                <w:highlight w:val="none"/>
                <w:u w:val="none"/>
                <w:lang w:bidi="ar"/>
              </w:rPr>
            </w:pPr>
            <w:r>
              <w:rPr>
                <w:rFonts w:hint="eastAsia" w:ascii="Times New Roman" w:hAnsi="Times New Roman" w:eastAsia="方正黑体_GBK" w:cs="方正黑体_GBK"/>
                <w:color w:val="auto"/>
                <w:kern w:val="0"/>
                <w:sz w:val="24"/>
                <w:highlight w:val="none"/>
                <w:u w:val="none"/>
                <w:lang w:bidi="ar-SA"/>
              </w:rPr>
              <w:t>1</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笔电代工。</w:t>
            </w:r>
            <w:r>
              <w:rPr>
                <w:rFonts w:hint="eastAsia" w:ascii="Times New Roman" w:hAnsi="Times New Roman" w:eastAsia="方正书宋_GBK" w:cs="Times New Roman"/>
                <w:color w:val="auto"/>
                <w:kern w:val="0"/>
                <w:sz w:val="24"/>
                <w:highlight w:val="none"/>
                <w:u w:val="none"/>
                <w:lang w:bidi="ar"/>
              </w:rPr>
              <w:t>转型布局高端笔电、台式机、高阶游戏笔电、AI</w:t>
            </w:r>
            <w:r>
              <w:rPr>
                <w:rFonts w:hint="eastAsia" w:ascii="Times New Roman" w:hAnsi="Times New Roman" w:eastAsia="方正书宋_GBK" w:cs="Times New Roman"/>
                <w:color w:val="auto"/>
                <w:kern w:val="0"/>
                <w:sz w:val="24"/>
                <w:highlight w:val="none"/>
                <w:u w:val="none"/>
                <w:lang w:val="en-US" w:eastAsia="zh-CN" w:bidi="ar"/>
              </w:rPr>
              <w:t xml:space="preserve"> </w:t>
            </w:r>
            <w:r>
              <w:rPr>
                <w:rFonts w:hint="eastAsia" w:ascii="Times New Roman" w:hAnsi="Times New Roman" w:eastAsia="方正书宋_GBK" w:cs="Times New Roman"/>
                <w:color w:val="auto"/>
                <w:kern w:val="0"/>
                <w:sz w:val="24"/>
                <w:highlight w:val="none"/>
                <w:u w:val="none"/>
                <w:lang w:bidi="ar"/>
              </w:rPr>
              <w:t>PC、KD件加工及服务器、车载T-box等终端产品。</w:t>
            </w:r>
          </w:p>
          <w:p w14:paraId="14202C57">
            <w:pPr>
              <w:keepNext w:val="0"/>
              <w:keepLines w:val="0"/>
              <w:pageBreakBefore w:val="0"/>
              <w:widowControl/>
              <w:kinsoku/>
              <w:wordWrap/>
              <w:overflowPunct w:val="0"/>
              <w:topLinePunct w:val="0"/>
              <w:autoSpaceDE/>
              <w:autoSpaceDN/>
              <w:bidi w:val="0"/>
              <w:adjustRightInd/>
              <w:snapToGrid w:val="0"/>
              <w:spacing w:line="380" w:lineRule="exact"/>
              <w:ind w:firstLine="480" w:firstLineChars="200"/>
              <w:jc w:val="left"/>
              <w:textAlignment w:val="auto"/>
              <w:rPr>
                <w:rFonts w:hint="eastAsia" w:ascii="Times New Roman" w:hAnsi="Times New Roman" w:eastAsia="方正书宋_GBK" w:cs="Times New Roman"/>
                <w:color w:val="auto"/>
                <w:kern w:val="0"/>
                <w:sz w:val="24"/>
                <w:highlight w:val="none"/>
                <w:u w:val="none"/>
                <w:lang w:bidi="ar"/>
              </w:rPr>
            </w:pPr>
            <w:r>
              <w:rPr>
                <w:rFonts w:hint="eastAsia" w:ascii="Times New Roman" w:hAnsi="Times New Roman" w:eastAsia="方正黑体_GBK" w:cs="方正黑体_GBK"/>
                <w:color w:val="auto"/>
                <w:kern w:val="0"/>
                <w:sz w:val="24"/>
                <w:highlight w:val="none"/>
                <w:u w:val="none"/>
                <w:lang w:bidi="ar-SA"/>
              </w:rPr>
              <w:t>2</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服务器。</w:t>
            </w:r>
            <w:r>
              <w:rPr>
                <w:rFonts w:hint="eastAsia" w:ascii="Times New Roman" w:hAnsi="Times New Roman" w:eastAsia="方正书宋_GBK" w:cs="Times New Roman"/>
                <w:color w:val="auto"/>
                <w:kern w:val="0"/>
                <w:sz w:val="24"/>
                <w:highlight w:val="none"/>
                <w:u w:val="none"/>
                <w:lang w:bidi="ar"/>
              </w:rPr>
              <w:t>锚定国产服务器阵营，聚焦信创服务器、AI服务器、能源专用服务器等</w:t>
            </w:r>
            <w:r>
              <w:rPr>
                <w:rFonts w:hint="eastAsia" w:ascii="Times New Roman" w:hAnsi="Times New Roman" w:eastAsia="方正书宋_GBK" w:cs="Times New Roman"/>
                <w:color w:val="auto"/>
                <w:kern w:val="0"/>
                <w:sz w:val="24"/>
                <w:highlight w:val="none"/>
                <w:u w:val="none"/>
                <w:lang w:val="en-US" w:eastAsia="zh-CN" w:bidi="ar"/>
              </w:rPr>
              <w:t>高价值环节，</w:t>
            </w:r>
            <w:r>
              <w:rPr>
                <w:rFonts w:hint="eastAsia" w:ascii="Times New Roman" w:hAnsi="Times New Roman" w:eastAsia="方正书宋_GBK" w:cs="Times New Roman"/>
                <w:color w:val="auto"/>
                <w:kern w:val="0"/>
                <w:sz w:val="24"/>
                <w:highlight w:val="none"/>
                <w:u w:val="none"/>
                <w:lang w:bidi="ar"/>
              </w:rPr>
              <w:t>强化本土配套能力。</w:t>
            </w:r>
          </w:p>
          <w:p w14:paraId="655DC1D7">
            <w:pPr>
              <w:keepNext w:val="0"/>
              <w:keepLines w:val="0"/>
              <w:pageBreakBefore w:val="0"/>
              <w:widowControl/>
              <w:kinsoku/>
              <w:wordWrap/>
              <w:overflowPunct w:val="0"/>
              <w:topLinePunct w:val="0"/>
              <w:autoSpaceDE/>
              <w:autoSpaceDN/>
              <w:bidi w:val="0"/>
              <w:adjustRightInd/>
              <w:snapToGrid w:val="0"/>
              <w:spacing w:line="380" w:lineRule="exact"/>
              <w:ind w:firstLine="480" w:firstLineChars="200"/>
              <w:jc w:val="left"/>
              <w:textAlignment w:val="auto"/>
              <w:rPr>
                <w:rFonts w:hint="eastAsia" w:ascii="Times New Roman" w:hAnsi="Times New Roman" w:eastAsia="方正书宋_GBK" w:cs="Times New Roman"/>
                <w:color w:val="auto"/>
                <w:kern w:val="0"/>
                <w:sz w:val="24"/>
                <w:highlight w:val="none"/>
                <w:u w:val="none"/>
                <w:lang w:bidi="ar"/>
              </w:rPr>
            </w:pPr>
            <w:r>
              <w:rPr>
                <w:rFonts w:hint="eastAsia" w:ascii="Times New Roman" w:hAnsi="Times New Roman" w:eastAsia="方正黑体_GBK" w:cs="方正黑体_GBK"/>
                <w:color w:val="auto"/>
                <w:kern w:val="0"/>
                <w:sz w:val="24"/>
                <w:highlight w:val="none"/>
                <w:u w:val="none"/>
                <w:lang w:bidi="ar-SA"/>
              </w:rPr>
              <w:t>3</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智能穿戴设备。</w:t>
            </w:r>
            <w:r>
              <w:rPr>
                <w:rFonts w:hint="eastAsia" w:ascii="Times New Roman" w:hAnsi="Times New Roman" w:eastAsia="方正书宋_GBK" w:cs="Times New Roman"/>
                <w:color w:val="auto"/>
                <w:kern w:val="0"/>
                <w:sz w:val="24"/>
                <w:highlight w:val="none"/>
                <w:u w:val="none"/>
                <w:lang w:bidi="ar"/>
              </w:rPr>
              <w:t>重点发展运动健康设备、智能养老设备、医疗级监测设备等领域，前瞻布局智能眼镜等细分赛道。</w:t>
            </w:r>
          </w:p>
          <w:p w14:paraId="24645CFE">
            <w:pPr>
              <w:keepNext w:val="0"/>
              <w:keepLines w:val="0"/>
              <w:pageBreakBefore w:val="0"/>
              <w:widowControl/>
              <w:kinsoku/>
              <w:wordWrap/>
              <w:overflowPunct w:val="0"/>
              <w:topLinePunct w:val="0"/>
              <w:autoSpaceDE/>
              <w:autoSpaceDN/>
              <w:bidi w:val="0"/>
              <w:adjustRightInd/>
              <w:snapToGrid w:val="0"/>
              <w:spacing w:line="380" w:lineRule="exact"/>
              <w:ind w:firstLine="480" w:firstLineChars="200"/>
              <w:jc w:val="left"/>
              <w:textAlignment w:val="auto"/>
              <w:rPr>
                <w:rFonts w:hint="eastAsia" w:ascii="Times New Roman" w:hAnsi="Times New Roman" w:eastAsia="方正书宋_GBK" w:cs="Times New Roman"/>
                <w:color w:val="auto"/>
                <w:kern w:val="0"/>
                <w:sz w:val="24"/>
                <w:highlight w:val="none"/>
                <w:u w:val="none"/>
                <w:lang w:bidi="ar"/>
              </w:rPr>
            </w:pPr>
            <w:r>
              <w:rPr>
                <w:rFonts w:hint="eastAsia" w:ascii="Times New Roman" w:hAnsi="Times New Roman" w:eastAsia="方正黑体_GBK" w:cs="方正黑体_GBK"/>
                <w:color w:val="auto"/>
                <w:kern w:val="0"/>
                <w:sz w:val="24"/>
                <w:highlight w:val="none"/>
                <w:u w:val="none"/>
                <w:lang w:bidi="ar-SA"/>
              </w:rPr>
              <w:t>4</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特色装备。</w:t>
            </w:r>
            <w:r>
              <w:rPr>
                <w:rFonts w:hint="eastAsia" w:ascii="Times New Roman" w:hAnsi="Times New Roman" w:eastAsia="方正书宋_GBK" w:cs="Times New Roman"/>
                <w:color w:val="auto"/>
                <w:kern w:val="0"/>
                <w:sz w:val="24"/>
                <w:highlight w:val="none"/>
                <w:u w:val="none"/>
                <w:lang w:bidi="ar"/>
              </w:rPr>
              <w:t>重点发展特种行业装备、海洋声呐装备等领域，拓展应用场景与生态合作，加速本地产业协同。完善微晶玻璃产业链，聚焦超薄UTG玻璃前沿领域，增强智能终端国产核心配套能力。</w:t>
            </w:r>
          </w:p>
          <w:p w14:paraId="2CE5AB9B">
            <w:pPr>
              <w:keepNext w:val="0"/>
              <w:keepLines w:val="0"/>
              <w:pageBreakBefore w:val="0"/>
              <w:widowControl/>
              <w:kinsoku/>
              <w:wordWrap/>
              <w:overflowPunct w:val="0"/>
              <w:topLinePunct w:val="0"/>
              <w:autoSpaceDE/>
              <w:autoSpaceDN/>
              <w:bidi w:val="0"/>
              <w:adjustRightInd/>
              <w:snapToGrid w:val="0"/>
              <w:spacing w:line="380" w:lineRule="exact"/>
              <w:ind w:firstLine="480" w:firstLineChars="200"/>
              <w:jc w:val="left"/>
              <w:textAlignment w:val="auto"/>
              <w:rPr>
                <w:rFonts w:ascii="Times New Roman" w:hAnsi="Times New Roman" w:eastAsia="方正仿宋_GBK" w:cs="Times New Roman"/>
                <w:color w:val="auto"/>
                <w:sz w:val="32"/>
                <w:szCs w:val="32"/>
                <w:highlight w:val="none"/>
              </w:rPr>
            </w:pPr>
            <w:r>
              <w:rPr>
                <w:rFonts w:hint="eastAsia" w:ascii="Times New Roman" w:hAnsi="Times New Roman" w:eastAsia="方正黑体_GBK" w:cs="方正黑体_GBK"/>
                <w:color w:val="auto"/>
                <w:kern w:val="0"/>
                <w:sz w:val="24"/>
                <w:highlight w:val="none"/>
                <w:u w:val="none"/>
                <w:lang w:bidi="ar-SA"/>
              </w:rPr>
              <w:t>5</w:t>
            </w:r>
            <w:r>
              <w:rPr>
                <w:rFonts w:hint="eastAsia" w:ascii="Times New Roman" w:hAnsi="Times New Roman" w:eastAsia="方正黑体_GBK" w:cs="方正黑体_GBK"/>
                <w:color w:val="auto"/>
                <w:kern w:val="0"/>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智能机器人。</w:t>
            </w:r>
            <w:r>
              <w:rPr>
                <w:rFonts w:hint="eastAsia" w:ascii="Times New Roman" w:hAnsi="Times New Roman" w:eastAsia="方正书宋_GBK" w:cs="Times New Roman"/>
                <w:color w:val="auto"/>
                <w:kern w:val="0"/>
                <w:sz w:val="24"/>
                <w:highlight w:val="none"/>
                <w:u w:val="none"/>
                <w:lang w:bidi="ar"/>
              </w:rPr>
              <w:t>聚焦工业机器人、服务机器人、智能搬运巡检机器人、医疗康复机器人四类机器人，引进整机与系统集成企业，深化行业应用示范。</w:t>
            </w:r>
          </w:p>
        </w:tc>
      </w:tr>
    </w:tbl>
    <w:p w14:paraId="14028EBB">
      <w:pPr>
        <w:overflowPunct w:val="0"/>
        <w:adjustRightInd w:val="0"/>
        <w:snapToGrid w:val="0"/>
        <w:spacing w:line="600" w:lineRule="exact"/>
        <w:jc w:val="center"/>
        <w:outlineLvl w:val="2"/>
        <w:rPr>
          <w:rFonts w:ascii="Times New Roman" w:hAnsi="Times New Roman" w:eastAsia="方正楷体_GBK" w:cs="方正楷体_GBK"/>
          <w:color w:val="auto"/>
          <w:sz w:val="32"/>
          <w:szCs w:val="32"/>
          <w:highlight w:val="none"/>
        </w:rPr>
      </w:pPr>
      <w:bookmarkStart w:id="226" w:name="_Toc19905"/>
      <w:bookmarkStart w:id="227" w:name="_Toc1922149307"/>
      <w:bookmarkStart w:id="228" w:name="_Toc22037"/>
      <w:bookmarkStart w:id="229" w:name="_Toc759654614"/>
      <w:bookmarkStart w:id="230" w:name="_Toc16946"/>
      <w:r>
        <w:rPr>
          <w:rFonts w:hint="eastAsia" w:ascii="Times New Roman" w:hAnsi="Times New Roman" w:eastAsia="方正楷体_GBK" w:cs="方正楷体_GBK"/>
          <w:color w:val="auto"/>
          <w:sz w:val="32"/>
          <w:szCs w:val="32"/>
          <w:highlight w:val="none"/>
        </w:rPr>
        <w:t xml:space="preserve">第四节 </w:t>
      </w:r>
      <w:bookmarkStart w:id="231" w:name="_Toc31392"/>
      <w:bookmarkStart w:id="232" w:name="_Toc13250"/>
      <w:bookmarkStart w:id="233" w:name="_Toc17810"/>
      <w:bookmarkStart w:id="234" w:name="_Toc25320"/>
      <w:bookmarkStart w:id="235" w:name="_Toc29001"/>
      <w:r>
        <w:rPr>
          <w:rFonts w:hint="eastAsia" w:ascii="Times New Roman" w:hAnsi="Times New Roman" w:eastAsia="方正楷体_GBK" w:cs="方正楷体_GBK"/>
          <w:color w:val="auto"/>
          <w:sz w:val="32"/>
          <w:szCs w:val="32"/>
          <w:highlight w:val="none"/>
          <w:lang w:eastAsia="zh-CN"/>
        </w:rPr>
        <w:t>打造西部药械创新转化加速区</w:t>
      </w:r>
      <w:bookmarkEnd w:id="226"/>
      <w:bookmarkEnd w:id="227"/>
      <w:bookmarkEnd w:id="228"/>
      <w:bookmarkEnd w:id="229"/>
      <w:bookmarkEnd w:id="230"/>
      <w:bookmarkEnd w:id="231"/>
      <w:bookmarkEnd w:id="232"/>
      <w:bookmarkEnd w:id="233"/>
      <w:bookmarkEnd w:id="234"/>
      <w:bookmarkEnd w:id="235"/>
    </w:p>
    <w:p w14:paraId="37A19B26">
      <w:pPr>
        <w:overflowPunct w:val="0"/>
        <w:adjustRightInd w:val="0"/>
        <w:snapToGrid w:val="0"/>
        <w:spacing w:line="600" w:lineRule="exact"/>
        <w:ind w:firstLine="640" w:firstLineChars="200"/>
        <w:jc w:val="left"/>
        <w:textAlignment w:val="auto"/>
        <w:rPr>
          <w:rFonts w:hint="eastAsia" w:ascii="Times New Roman" w:hAnsi="Times New Roman" w:eastAsia="方正黑体_GBK" w:cs="方正黑体_GBK"/>
          <w:color w:val="auto"/>
          <w:kern w:val="0"/>
          <w:sz w:val="32"/>
          <w:szCs w:val="32"/>
          <w:highlight w:val="none"/>
          <w:u w:val="none"/>
          <w:lang w:bidi="ar"/>
        </w:rPr>
      </w:pPr>
      <w:r>
        <w:rPr>
          <w:rFonts w:hint="eastAsia" w:ascii="Times New Roman" w:hAnsi="Times New Roman" w:eastAsia="方正仿宋_GBK" w:cs="Times New Roman"/>
          <w:color w:val="auto"/>
          <w:sz w:val="32"/>
          <w:szCs w:val="32"/>
          <w:highlight w:val="none"/>
        </w:rPr>
        <w:t>倍增国家药械审评检查西南分中心产业“磁芯”效应，通过前移“审评”服务关口，加速产品上市进程，推动监管能力转化为产业吸附力、政策红利转化为发展动能，汇聚西南五省药械创新产品</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rPr>
        <w:t>加快建成西部药械创新转化加速区。生物药领域</w:t>
      </w:r>
      <w:r>
        <w:rPr>
          <w:rFonts w:hint="eastAsia" w:ascii="Times New Roman" w:hAnsi="Times New Roman" w:eastAsia="方正仿宋_GBK" w:cs="Times New Roman"/>
          <w:color w:val="auto"/>
          <w:sz w:val="32"/>
          <w:szCs w:val="32"/>
          <w:highlight w:val="none"/>
          <w:lang w:eastAsia="zh-CN"/>
        </w:rPr>
        <w:t>。</w:t>
      </w:r>
      <w:r>
        <w:rPr>
          <w:rFonts w:hint="eastAsia" w:ascii="方正仿宋_GBK" w:hAnsi="方正仿宋_GBK" w:eastAsia="方正仿宋_GBK" w:cs="方正仿宋_GBK"/>
          <w:b w:val="0"/>
          <w:bCs/>
          <w:kern w:val="2"/>
          <w:sz w:val="32"/>
          <w:szCs w:val="32"/>
          <w:highlight w:val="none"/>
          <w:u w:val="none" w:color="auto"/>
        </w:rPr>
        <w:t>依托金凤实验室、高校及三甲医院科研资源，</w:t>
      </w:r>
      <w:r>
        <w:rPr>
          <w:rFonts w:hint="eastAsia" w:ascii="方正仿宋_GBK" w:hAnsi="方正仿宋_GBK" w:eastAsia="方正仿宋_GBK" w:cs="方正仿宋_GBK"/>
          <w:bCs/>
          <w:kern w:val="2"/>
          <w:sz w:val="32"/>
          <w:szCs w:val="32"/>
          <w:highlight w:val="none"/>
          <w:u w:val="none" w:color="auto"/>
        </w:rPr>
        <w:t>重点引入华大细胞等干细胞品种</w:t>
      </w:r>
      <w:r>
        <w:rPr>
          <w:rFonts w:hint="eastAsia" w:ascii="方正仿宋_GBK" w:hAnsi="方正仿宋_GBK" w:eastAsia="方正仿宋_GBK" w:cs="方正仿宋_GBK"/>
          <w:bCs/>
          <w:kern w:val="2"/>
          <w:sz w:val="32"/>
          <w:szCs w:val="32"/>
          <w:highlight w:val="none"/>
          <w:u w:val="none" w:color="auto"/>
          <w:lang w:eastAsia="zh-CN"/>
        </w:rPr>
        <w:t>，</w:t>
      </w:r>
      <w:r>
        <w:rPr>
          <w:rFonts w:hint="eastAsia" w:ascii="Times New Roman" w:hAnsi="Times New Roman" w:eastAsia="方正仿宋_GBK" w:cs="Times New Roman"/>
          <w:color w:val="auto"/>
          <w:sz w:val="32"/>
          <w:szCs w:val="32"/>
          <w:highlight w:val="none"/>
        </w:rPr>
        <w:t>加快推动思拓凡生物药、亦度疫苗、精准生物生产基地建设，实现</w:t>
      </w:r>
      <w:r>
        <w:rPr>
          <w:rFonts w:ascii="Times New Roman" w:hAnsi="Times New Roman" w:eastAsia="方正仿宋_GBK" w:cs="Times New Roman"/>
          <w:color w:val="auto"/>
          <w:sz w:val="32"/>
          <w:szCs w:val="32"/>
          <w:highlight w:val="none"/>
        </w:rPr>
        <w:t>昂戈瑞西单抗</w:t>
      </w:r>
      <w:r>
        <w:rPr>
          <w:rFonts w:hint="eastAsia" w:ascii="Times New Roman" w:hAnsi="Times New Roman" w:eastAsia="方正仿宋_GBK" w:cs="Times New Roman"/>
          <w:color w:val="auto"/>
          <w:sz w:val="32"/>
          <w:szCs w:val="32"/>
          <w:highlight w:val="none"/>
        </w:rPr>
        <w:t>、地舒单抗、普基奥仑赛注射液等品种规模化量产</w:t>
      </w:r>
      <w:r>
        <w:rPr>
          <w:rFonts w:hint="eastAsia" w:ascii="Times New Roman" w:hAnsi="Times New Roman" w:eastAsia="方正仿宋_GBK" w:cs="Times New Roman"/>
          <w:color w:val="auto"/>
          <w:sz w:val="32"/>
          <w:szCs w:val="32"/>
          <w:highlight w:val="none"/>
          <w:lang w:eastAsia="zh-CN"/>
        </w:rPr>
        <w:t>，</w:t>
      </w:r>
      <w:r>
        <w:rPr>
          <w:rFonts w:hint="eastAsia" w:ascii="方正仿宋_GBK" w:hAnsi="方正仿宋_GBK" w:eastAsia="方正仿宋_GBK" w:cs="方正仿宋_GBK"/>
          <w:bCs/>
          <w:kern w:val="2"/>
          <w:sz w:val="32"/>
          <w:szCs w:val="32"/>
          <w:highlight w:val="none"/>
          <w:u w:val="none" w:color="auto"/>
        </w:rPr>
        <w:t>建成细胞与基因治疗临床应用示范区</w:t>
      </w:r>
      <w:r>
        <w:rPr>
          <w:rFonts w:hint="eastAsia" w:ascii="Times New Roman" w:hAnsi="Times New Roman" w:eastAsia="方正仿宋_GBK" w:cs="Times New Roman"/>
          <w:color w:val="auto"/>
          <w:sz w:val="32"/>
          <w:szCs w:val="32"/>
          <w:highlight w:val="none"/>
        </w:rPr>
        <w:t>。</w:t>
      </w:r>
      <w:r>
        <w:rPr>
          <w:rFonts w:hint="eastAsia" w:ascii="Times New Roman" w:hAnsi="Times New Roman" w:eastAsia="方正仿宋_GBK" w:cs="Times New Roman"/>
          <w:color w:val="auto"/>
          <w:sz w:val="32"/>
          <w:szCs w:val="32"/>
          <w:highlight w:val="none"/>
          <w:lang w:val="en-US" w:eastAsia="zh-CN"/>
        </w:rPr>
        <w:t>化药</w:t>
      </w:r>
      <w:r>
        <w:rPr>
          <w:rFonts w:hint="eastAsia" w:ascii="Times New Roman" w:hAnsi="Times New Roman" w:eastAsia="方正仿宋_GBK" w:cs="Times New Roman"/>
          <w:color w:val="auto"/>
          <w:sz w:val="32"/>
          <w:szCs w:val="32"/>
          <w:highlight w:val="none"/>
        </w:rPr>
        <w:t>领域</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rPr>
        <w:t>引入同位素诊断及治疗药物研发生产企业，加快建设中子源大科学装置，推动医院开展核医学科建设，构建核医药产业上下游链条。持续培育</w:t>
      </w:r>
      <w:r>
        <w:rPr>
          <w:rFonts w:hint="eastAsia" w:ascii="Times New Roman" w:hAnsi="Times New Roman" w:eastAsia="方正仿宋_GBK" w:cs="Times New Roman"/>
          <w:color w:val="auto"/>
          <w:sz w:val="32"/>
          <w:szCs w:val="32"/>
          <w:highlight w:val="none"/>
          <w:lang w:val="en-US" w:eastAsia="zh-CN"/>
        </w:rPr>
        <w:t>化药</w:t>
      </w:r>
      <w:r>
        <w:rPr>
          <w:rFonts w:hint="eastAsia" w:ascii="Times New Roman" w:hAnsi="Times New Roman" w:eastAsia="方正仿宋_GBK" w:cs="Times New Roman"/>
          <w:color w:val="auto"/>
          <w:sz w:val="32"/>
          <w:szCs w:val="32"/>
          <w:highlight w:val="none"/>
        </w:rPr>
        <w:t>企业，加快化药新管线研发上市。</w:t>
      </w:r>
      <w:r>
        <w:rPr>
          <w:rFonts w:hint="eastAsia" w:ascii="Times New Roman" w:hAnsi="Times New Roman" w:eastAsia="方正仿宋_GBK" w:cs="Times New Roman"/>
          <w:color w:val="auto"/>
          <w:sz w:val="32"/>
          <w:szCs w:val="32"/>
          <w:highlight w:val="none"/>
          <w:lang w:val="en-US" w:eastAsia="zh-CN"/>
        </w:rPr>
        <w:t>高端医用材料领域。</w:t>
      </w:r>
      <w:r>
        <w:rPr>
          <w:rFonts w:hint="eastAsia" w:ascii="方正仿宋_GBK" w:hAnsi="方正仿宋_GBK" w:eastAsia="方正仿宋_GBK" w:cs="方正仿宋_GBK"/>
          <w:b w:val="0"/>
          <w:bCs/>
          <w:kern w:val="2"/>
          <w:sz w:val="32"/>
          <w:szCs w:val="32"/>
          <w:highlight w:val="none"/>
          <w:u w:val="none" w:color="auto"/>
        </w:rPr>
        <w:t>依托智能制造优势，布局</w:t>
      </w:r>
      <w:r>
        <w:rPr>
          <w:rFonts w:hint="eastAsia" w:ascii="方正仿宋_GBK" w:hAnsi="方正仿宋_GBK" w:eastAsia="方正仿宋_GBK" w:cs="方正仿宋_GBK"/>
          <w:bCs/>
          <w:kern w:val="2"/>
          <w:sz w:val="32"/>
          <w:szCs w:val="32"/>
          <w:highlight w:val="none"/>
          <w:u w:val="none" w:color="auto"/>
        </w:rPr>
        <w:t>高端医用生物材料等赛道，聚焦合成生物学等新技术培育本土</w:t>
      </w:r>
      <w:r>
        <w:rPr>
          <w:rFonts w:hint="eastAsia" w:ascii="方正仿宋_GBK" w:hAnsi="方正仿宋_GBK" w:eastAsia="方正仿宋_GBK" w:cs="方正仿宋_GBK"/>
          <w:bCs/>
          <w:kern w:val="2"/>
          <w:sz w:val="32"/>
          <w:szCs w:val="32"/>
          <w:highlight w:val="none"/>
          <w:u w:val="none" w:color="auto"/>
          <w:lang w:val="en-US" w:eastAsia="zh-CN"/>
        </w:rPr>
        <w:t>企业</w:t>
      </w:r>
      <w:r>
        <w:rPr>
          <w:rFonts w:hint="eastAsia" w:ascii="方正仿宋_GBK" w:hAnsi="方正仿宋_GBK" w:eastAsia="方正仿宋_GBK" w:cs="方正仿宋_GBK"/>
          <w:bCs/>
          <w:kern w:val="2"/>
          <w:sz w:val="32"/>
          <w:szCs w:val="32"/>
          <w:highlight w:val="none"/>
          <w:u w:val="none" w:color="auto"/>
        </w:rPr>
        <w:t>，推动动物源胶原蛋白等产品上市放量。</w:t>
      </w:r>
      <w:r>
        <w:rPr>
          <w:rFonts w:hint="eastAsia" w:ascii="Times New Roman" w:hAnsi="Times New Roman" w:eastAsia="方正仿宋_GBK" w:cs="Times New Roman"/>
          <w:color w:val="auto"/>
          <w:sz w:val="32"/>
          <w:szCs w:val="32"/>
          <w:highlight w:val="none"/>
        </w:rPr>
        <w:t>高端医药器械领域</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rPr>
        <w:t>联合金凤实验室</w:t>
      </w:r>
      <w:r>
        <w:rPr>
          <w:rFonts w:hint="eastAsia" w:ascii="Times New Roman" w:hAnsi="Times New Roman" w:eastAsia="方正仿宋_GBK" w:cs="Times New Roman"/>
          <w:color w:val="auto"/>
          <w:sz w:val="32"/>
          <w:szCs w:val="32"/>
          <w:highlight w:val="none"/>
          <w:lang w:val="en-US" w:eastAsia="zh-CN"/>
        </w:rPr>
        <w:t>与</w:t>
      </w:r>
      <w:r>
        <w:rPr>
          <w:rFonts w:hint="eastAsia" w:ascii="Times New Roman" w:hAnsi="Times New Roman" w:eastAsia="方正仿宋_GBK" w:cs="Times New Roman"/>
          <w:color w:val="auto"/>
          <w:sz w:val="32"/>
          <w:szCs w:val="32"/>
          <w:highlight w:val="none"/>
        </w:rPr>
        <w:t>重庆大学、重庆医科大学等高校院所推进建设智慧医疗器械创新引领区，</w:t>
      </w:r>
      <w:r>
        <w:rPr>
          <w:rFonts w:hint="eastAsia" w:ascii="Times New Roman" w:hAnsi="Times New Roman" w:eastAsia="方正仿宋_GBK" w:cs="Times New Roman"/>
          <w:color w:val="auto"/>
          <w:sz w:val="32"/>
          <w:szCs w:val="32"/>
          <w:highlight w:val="none"/>
          <w:lang w:val="en-US" w:eastAsia="zh-CN"/>
        </w:rPr>
        <w:t>鼓励</w:t>
      </w:r>
      <w:r>
        <w:rPr>
          <w:rFonts w:hint="eastAsia" w:ascii="Times New Roman" w:hAnsi="Times New Roman" w:eastAsia="方正仿宋_GBK" w:cs="Times New Roman"/>
          <w:color w:val="auto"/>
          <w:sz w:val="32"/>
          <w:szCs w:val="32"/>
          <w:highlight w:val="none"/>
        </w:rPr>
        <w:t>高端医疗器械生产企业产品出国出海。中药领域，建设数字化、智能化的中药煎煮工厂，推动传统饮片炮制与煎煮工艺标准化、现代化升级。到2030年，生物医药产业规模达到200亿元</w:t>
      </w:r>
      <w:r>
        <w:rPr>
          <w:rFonts w:hint="eastAsia" w:ascii="Times New Roman" w:hAnsi="Times New Roman" w:eastAsia="方正仿宋_GBK" w:cs="Times New Roman"/>
          <w:color w:val="auto"/>
          <w:sz w:val="32"/>
          <w:szCs w:val="32"/>
          <w:highlight w:val="none"/>
          <w:lang w:eastAsia="zh-CN"/>
        </w:rPr>
        <w:t>，累计获批或落地创新药品种5个，培育产值规模上10亿元的生物药或化药品种2—3个，建成西部最大的医用同位素生产基地</w:t>
      </w:r>
      <w:r>
        <w:rPr>
          <w:rFonts w:hint="eastAsia" w:ascii="Times New Roman" w:hAnsi="Times New Roman" w:eastAsia="方正仿宋_GBK" w:cs="Times New Roman"/>
          <w:color w:val="auto"/>
          <w:sz w:val="32"/>
          <w:szCs w:val="32"/>
          <w:highlight w:val="none"/>
        </w:rPr>
        <w:t>。</w:t>
      </w:r>
    </w:p>
    <w:p w14:paraId="3C8761F6">
      <w:pPr>
        <w:overflowPunct/>
        <w:adjustRightInd w:val="0"/>
        <w:spacing w:line="312" w:lineRule="atLeast"/>
        <w:jc w:val="center"/>
        <w:textAlignment w:val="baseline"/>
        <w:rPr>
          <w:rFonts w:hint="eastAsia" w:ascii="Times New Roman" w:hAnsi="Times New Roman" w:eastAsia="方正黑体_GBK" w:cs="方正黑体_GBK"/>
          <w:color w:val="auto"/>
          <w:kern w:val="0"/>
          <w:sz w:val="32"/>
          <w:szCs w:val="32"/>
          <w:highlight w:val="none"/>
          <w:u w:val="none"/>
          <w:lang w:bidi="ar"/>
        </w:rPr>
      </w:pPr>
      <w:r>
        <w:rPr>
          <w:rFonts w:hint="eastAsia" w:ascii="Times New Roman" w:hAnsi="Times New Roman" w:eastAsia="方正黑体_GBK" w:cs="方正黑体_GBK"/>
          <w:color w:val="auto"/>
          <w:kern w:val="0"/>
          <w:sz w:val="32"/>
          <w:szCs w:val="32"/>
          <w:highlight w:val="none"/>
          <w:u w:val="none"/>
          <w:lang w:bidi="ar"/>
        </w:rPr>
        <w:t>专栏</w:t>
      </w:r>
      <w:r>
        <w:rPr>
          <w:rFonts w:hint="eastAsia" w:ascii="Times New Roman" w:hAnsi="Times New Roman" w:eastAsia="方正黑体_GBK" w:cs="方正黑体_GBK"/>
          <w:color w:val="auto"/>
          <w:kern w:val="0"/>
          <w:sz w:val="32"/>
          <w:szCs w:val="32"/>
          <w:highlight w:val="none"/>
          <w:u w:val="none"/>
          <w:lang w:val="en-US" w:eastAsia="zh-CN" w:bidi="ar"/>
        </w:rPr>
        <w:t>11</w:t>
      </w:r>
      <w:r>
        <w:rPr>
          <w:rFonts w:hint="eastAsia" w:ascii="Times New Roman" w:hAnsi="Times New Roman" w:eastAsia="方正黑体_GBK" w:cs="方正黑体_GBK"/>
          <w:color w:val="auto"/>
          <w:kern w:val="0"/>
          <w:sz w:val="32"/>
          <w:szCs w:val="32"/>
          <w:highlight w:val="none"/>
          <w:u w:val="none"/>
          <w:lang w:bidi="ar"/>
        </w:rPr>
        <w:t xml:space="preserve"> 生物医药产业重点领域</w:t>
      </w:r>
    </w:p>
    <w:tbl>
      <w:tblPr>
        <w:tblStyle w:val="22"/>
        <w:tblW w:w="9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0"/>
      </w:tblGrid>
      <w:tr w14:paraId="3FAC3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0" w:type="dxa"/>
          </w:tcPr>
          <w:p w14:paraId="5E122B6D">
            <w:pPr>
              <w:keepNext w:val="0"/>
              <w:keepLines w:val="0"/>
              <w:pageBreakBefore w:val="0"/>
              <w:widowControl/>
              <w:numPr>
                <w:ilvl w:val="-1"/>
                <w:numId w:val="0"/>
              </w:numPr>
              <w:kinsoku/>
              <w:wordWrap/>
              <w:overflowPunct w:val="0"/>
              <w:topLinePunct w:val="0"/>
              <w:autoSpaceDE/>
              <w:autoSpaceDN/>
              <w:bidi w:val="0"/>
              <w:adjustRightInd/>
              <w:snapToGrid w:val="0"/>
              <w:spacing w:line="380" w:lineRule="exact"/>
              <w:ind w:firstLine="480" w:firstLineChars="200"/>
              <w:jc w:val="left"/>
              <w:textAlignment w:val="auto"/>
              <w:rPr>
                <w:rFonts w:hint="eastAsia" w:ascii="Times New Roman" w:hAnsi="Times New Roman" w:eastAsia="方正书宋_GBK" w:cs="Times New Roman"/>
                <w:color w:val="auto"/>
                <w:kern w:val="0"/>
                <w:sz w:val="24"/>
                <w:highlight w:val="none"/>
                <w:u w:val="none"/>
                <w:lang w:bidi="ar-SA"/>
              </w:rPr>
            </w:pPr>
            <w:r>
              <w:rPr>
                <w:rFonts w:hint="eastAsia" w:ascii="Times New Roman" w:hAnsi="Times New Roman" w:eastAsia="方正黑体_GBK" w:cs="方正黑体_GBK"/>
                <w:color w:val="auto"/>
                <w:kern w:val="0"/>
                <w:sz w:val="24"/>
                <w:highlight w:val="none"/>
                <w:u w:val="none"/>
                <w:lang w:bidi="ar-SA"/>
              </w:rPr>
              <w:t>1</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sz w:val="24"/>
                <w:szCs w:val="24"/>
                <w:highlight w:val="none"/>
                <w:u w:val="none"/>
                <w:lang w:val="en-US" w:eastAsia="zh-CN"/>
              </w:rPr>
              <w:t>以细胞及基因治疗为重点的</w:t>
            </w:r>
            <w:r>
              <w:rPr>
                <w:rFonts w:hint="eastAsia" w:ascii="Times New Roman" w:hAnsi="Times New Roman" w:eastAsia="方正黑体_GBK" w:cs="方正黑体_GBK"/>
                <w:color w:val="auto"/>
                <w:kern w:val="0"/>
                <w:sz w:val="24"/>
                <w:highlight w:val="none"/>
                <w:u w:val="none"/>
                <w:lang w:bidi="ar-SA"/>
              </w:rPr>
              <w:t>生物药</w:t>
            </w:r>
            <w:r>
              <w:rPr>
                <w:rFonts w:hint="eastAsia" w:ascii="Times New Roman" w:hAnsi="Times New Roman" w:eastAsia="方正黑体_GBK" w:cs="方正黑体_GBK"/>
                <w:color w:val="auto"/>
                <w:kern w:val="0"/>
                <w:sz w:val="24"/>
                <w:highlight w:val="none"/>
                <w:u w:val="none"/>
                <w:lang w:val="en-US" w:eastAsia="zh-CN" w:bidi="ar-SA"/>
              </w:rPr>
              <w:t>领域</w:t>
            </w:r>
            <w:r>
              <w:rPr>
                <w:rFonts w:hint="eastAsia" w:ascii="Times New Roman" w:hAnsi="Times New Roman" w:eastAsia="方正黑体_GBK" w:cs="方正黑体_GBK"/>
                <w:color w:val="auto"/>
                <w:kern w:val="0"/>
                <w:sz w:val="24"/>
                <w:highlight w:val="none"/>
                <w:u w:val="none"/>
                <w:lang w:bidi="ar-SA"/>
              </w:rPr>
              <w:t>。</w:t>
            </w:r>
            <w:r>
              <w:rPr>
                <w:rFonts w:hint="eastAsia" w:ascii="Times New Roman" w:hAnsi="Times New Roman" w:eastAsia="方正书宋_GBK" w:cs="Times New Roman"/>
                <w:color w:val="auto"/>
                <w:kern w:val="0"/>
                <w:sz w:val="24"/>
                <w:highlight w:val="none"/>
                <w:u w:val="none"/>
                <w:lang w:bidi="ar-SA"/>
              </w:rPr>
              <w:t>重点发展靶点发现与验证、药物设计与筛选等临床前研究，布局干细胞外泌体、重组多肽蛋白等技术路线，推动昂</w:t>
            </w:r>
            <w:r>
              <w:rPr>
                <w:rFonts w:hint="eastAsia" w:ascii="Times New Roman" w:hAnsi="Times New Roman" w:eastAsia="方正书宋_GBK" w:cs="Times New Roman"/>
                <w:color w:val="auto"/>
                <w:kern w:val="0"/>
                <w:sz w:val="24"/>
                <w:highlight w:val="none"/>
                <w:u w:val="none"/>
              </w:rPr>
              <w:t>戈</w:t>
            </w:r>
            <w:r>
              <w:rPr>
                <w:rFonts w:hint="eastAsia" w:ascii="Times New Roman" w:hAnsi="Times New Roman" w:eastAsia="方正书宋_GBK" w:cs="Times New Roman"/>
                <w:color w:val="auto"/>
                <w:kern w:val="0"/>
                <w:sz w:val="24"/>
                <w:highlight w:val="none"/>
                <w:u w:val="none"/>
                <w:lang w:bidi="ar-SA"/>
              </w:rPr>
              <w:t>瑞西单抗、地舒单抗、普基奥仑赛注射液等品种规模化量产，引入雷珠单抗等优势品种，推动CAR-T治疗实体瘤技术创新药上市获批。重点发展干细胞治疗、基因治疗等医学新技术临床研究和临床研究应用，推动干细胞治疗等医学新技术规范化应用。</w:t>
            </w:r>
          </w:p>
          <w:p w14:paraId="46FE3378">
            <w:pPr>
              <w:keepNext w:val="0"/>
              <w:keepLines w:val="0"/>
              <w:pageBreakBefore w:val="0"/>
              <w:widowControl/>
              <w:numPr>
                <w:ilvl w:val="-1"/>
                <w:numId w:val="0"/>
              </w:numPr>
              <w:kinsoku/>
              <w:wordWrap/>
              <w:overflowPunct w:val="0"/>
              <w:topLinePunct w:val="0"/>
              <w:autoSpaceDE/>
              <w:autoSpaceDN/>
              <w:bidi w:val="0"/>
              <w:adjustRightInd/>
              <w:snapToGrid w:val="0"/>
              <w:spacing w:line="380" w:lineRule="exact"/>
              <w:ind w:firstLine="480" w:firstLineChars="200"/>
              <w:jc w:val="left"/>
              <w:textAlignment w:val="auto"/>
              <w:rPr>
                <w:rFonts w:hint="eastAsia" w:ascii="Times New Roman" w:hAnsi="Times New Roman" w:eastAsia="方正书宋_GBK" w:cs="Times New Roman"/>
                <w:color w:val="auto"/>
                <w:kern w:val="0"/>
                <w:sz w:val="24"/>
                <w:highlight w:val="none"/>
                <w:u w:val="none"/>
                <w:lang w:bidi="ar-SA"/>
              </w:rPr>
            </w:pPr>
            <w:r>
              <w:rPr>
                <w:rFonts w:hint="eastAsia" w:ascii="Times New Roman" w:hAnsi="Times New Roman" w:eastAsia="方正黑体_GBK" w:cs="方正黑体_GBK"/>
                <w:color w:val="auto"/>
                <w:kern w:val="0"/>
                <w:sz w:val="24"/>
                <w:highlight w:val="none"/>
                <w:u w:val="none"/>
                <w:lang w:val="en-US" w:eastAsia="zh-CN" w:bidi="ar-SA"/>
              </w:rPr>
              <w:t>2</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sz w:val="24"/>
                <w:szCs w:val="24"/>
                <w:highlight w:val="none"/>
                <w:u w:val="none"/>
                <w:lang w:val="en-US" w:eastAsia="zh-CN"/>
              </w:rPr>
              <w:t>以核医药为特色的</w:t>
            </w:r>
            <w:r>
              <w:rPr>
                <w:rFonts w:hint="eastAsia" w:ascii="Times New Roman" w:hAnsi="Times New Roman" w:eastAsia="方正黑体_GBK" w:cs="方正黑体_GBK"/>
                <w:color w:val="auto"/>
                <w:kern w:val="0"/>
                <w:sz w:val="24"/>
                <w:highlight w:val="none"/>
                <w:u w:val="none"/>
                <w:lang w:bidi="ar-SA"/>
              </w:rPr>
              <w:t>化药</w:t>
            </w:r>
            <w:r>
              <w:rPr>
                <w:rFonts w:hint="eastAsia" w:ascii="Times New Roman" w:hAnsi="Times New Roman" w:eastAsia="方正黑体_GBK" w:cs="方正黑体_GBK"/>
                <w:color w:val="auto"/>
                <w:kern w:val="0"/>
                <w:sz w:val="24"/>
                <w:highlight w:val="none"/>
                <w:u w:val="none"/>
                <w:lang w:val="en-US" w:eastAsia="zh-CN" w:bidi="ar-SA"/>
              </w:rPr>
              <w:t>领域</w:t>
            </w:r>
            <w:r>
              <w:rPr>
                <w:rFonts w:hint="eastAsia" w:ascii="Times New Roman" w:hAnsi="Times New Roman" w:eastAsia="方正黑体_GBK" w:cs="方正黑体_GBK"/>
                <w:color w:val="auto"/>
                <w:kern w:val="0"/>
                <w:sz w:val="24"/>
                <w:highlight w:val="none"/>
                <w:u w:val="none"/>
                <w:lang w:bidi="ar-SA"/>
              </w:rPr>
              <w:t>。</w:t>
            </w:r>
            <w:r>
              <w:rPr>
                <w:rFonts w:hint="eastAsia" w:ascii="Times New Roman" w:hAnsi="Times New Roman" w:eastAsia="方正书宋_GBK" w:cs="Times New Roman"/>
                <w:color w:val="auto"/>
                <w:kern w:val="0"/>
                <w:sz w:val="24"/>
                <w:highlight w:val="none"/>
                <w:u w:val="none"/>
                <w:lang w:bidi="ar-SA"/>
              </w:rPr>
              <w:t>重点布局同位素诊断及治疗药物研发生产环节，推动医院开展核医学科建设，构建核医药产业上下游链条。加快布局化药新管线。</w:t>
            </w:r>
          </w:p>
          <w:p w14:paraId="658D19B3">
            <w:pPr>
              <w:keepNext w:val="0"/>
              <w:keepLines w:val="0"/>
              <w:pageBreakBefore w:val="0"/>
              <w:widowControl/>
              <w:numPr>
                <w:ilvl w:val="-1"/>
                <w:numId w:val="0"/>
              </w:numPr>
              <w:kinsoku/>
              <w:wordWrap/>
              <w:overflowPunct w:val="0"/>
              <w:topLinePunct w:val="0"/>
              <w:autoSpaceDE/>
              <w:autoSpaceDN/>
              <w:bidi w:val="0"/>
              <w:adjustRightInd/>
              <w:snapToGrid w:val="0"/>
              <w:spacing w:line="380" w:lineRule="exact"/>
              <w:ind w:firstLine="480" w:firstLineChars="200"/>
              <w:jc w:val="left"/>
              <w:textAlignment w:val="auto"/>
              <w:rPr>
                <w:rFonts w:hint="default" w:ascii="Times New Roman" w:hAnsi="Times New Roman" w:eastAsia="方正黑体_GBK" w:cs="方正黑体_GBK"/>
                <w:color w:val="auto"/>
                <w:kern w:val="2"/>
                <w:sz w:val="24"/>
                <w:highlight w:val="none"/>
                <w:u w:val="none"/>
                <w:lang w:val="en-US" w:eastAsia="zh-CN" w:bidi="ar-SA"/>
              </w:rPr>
            </w:pPr>
            <w:r>
              <w:rPr>
                <w:rFonts w:hint="eastAsia" w:ascii="Times New Roman" w:hAnsi="Times New Roman" w:eastAsia="方正黑体_GBK" w:cs="方正黑体_GBK"/>
                <w:color w:val="auto"/>
                <w:kern w:val="2"/>
                <w:sz w:val="24"/>
                <w:highlight w:val="none"/>
                <w:u w:val="none"/>
                <w:lang w:val="en-US" w:eastAsia="zh-CN" w:bidi="ar-SA"/>
              </w:rPr>
              <w:t>3</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2"/>
                <w:sz w:val="24"/>
                <w:highlight w:val="none"/>
                <w:u w:val="none"/>
                <w:lang w:val="en-US" w:eastAsia="zh-CN" w:bidi="ar-SA"/>
              </w:rPr>
              <w:t>以高端医用材料为核心的生物制造领域。</w:t>
            </w:r>
            <w:r>
              <w:rPr>
                <w:rFonts w:hint="eastAsia" w:ascii="Times New Roman" w:hAnsi="Times New Roman" w:eastAsia="方正书宋_GBK" w:cs="Times New Roman"/>
                <w:color w:val="auto"/>
                <w:kern w:val="0"/>
                <w:sz w:val="24"/>
                <w:highlight w:val="none"/>
                <w:u w:val="none"/>
                <w:lang w:val="en-US" w:eastAsia="zh-CN" w:bidi="ar-SA"/>
              </w:rPr>
              <w:t>重点布局高端医用生物材料，攻关合成生物学技术，加快动物源胶原蛋白等产品上市。</w:t>
            </w:r>
          </w:p>
          <w:p w14:paraId="7DC8F655">
            <w:pPr>
              <w:keepNext w:val="0"/>
              <w:keepLines w:val="0"/>
              <w:pageBreakBefore w:val="0"/>
              <w:widowControl/>
              <w:kinsoku/>
              <w:wordWrap/>
              <w:overflowPunct w:val="0"/>
              <w:topLinePunct w:val="0"/>
              <w:autoSpaceDE/>
              <w:autoSpaceDN/>
              <w:bidi w:val="0"/>
              <w:adjustRightInd/>
              <w:snapToGrid w:val="0"/>
              <w:spacing w:line="380" w:lineRule="exact"/>
              <w:ind w:firstLine="480" w:firstLineChars="200"/>
              <w:jc w:val="left"/>
              <w:textAlignment w:val="auto"/>
              <w:rPr>
                <w:rFonts w:hint="eastAsia" w:ascii="Times New Roman" w:hAnsi="Times New Roman" w:eastAsia="方正书宋_GBK" w:cs="Times New Roman"/>
                <w:color w:val="auto"/>
                <w:kern w:val="0"/>
                <w:sz w:val="24"/>
                <w:highlight w:val="none"/>
                <w:u w:val="none"/>
                <w:lang w:bidi="ar-SA"/>
              </w:rPr>
            </w:pPr>
            <w:r>
              <w:rPr>
                <w:rFonts w:hint="eastAsia" w:ascii="Times New Roman" w:hAnsi="Times New Roman" w:eastAsia="方正黑体_GBK" w:cs="方正黑体_GBK"/>
                <w:color w:val="auto"/>
                <w:kern w:val="0"/>
                <w:sz w:val="24"/>
                <w:highlight w:val="none"/>
                <w:u w:val="none"/>
                <w:lang w:val="en-US" w:eastAsia="zh-CN" w:bidi="ar-SA"/>
              </w:rPr>
              <w:t>4</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高端医疗器械</w:t>
            </w:r>
            <w:r>
              <w:rPr>
                <w:rFonts w:hint="eastAsia" w:ascii="Times New Roman" w:hAnsi="Times New Roman" w:eastAsia="方正黑体_GBK" w:cs="方正黑体_GBK"/>
                <w:color w:val="auto"/>
                <w:kern w:val="0"/>
                <w:sz w:val="24"/>
                <w:highlight w:val="none"/>
                <w:u w:val="none"/>
                <w:lang w:val="en-US" w:eastAsia="zh-CN" w:bidi="ar-SA"/>
              </w:rPr>
              <w:t>领域</w:t>
            </w:r>
            <w:r>
              <w:rPr>
                <w:rFonts w:hint="eastAsia" w:ascii="Times New Roman" w:hAnsi="Times New Roman" w:eastAsia="方正黑体_GBK" w:cs="方正黑体_GBK"/>
                <w:color w:val="auto"/>
                <w:kern w:val="0"/>
                <w:sz w:val="24"/>
                <w:highlight w:val="none"/>
                <w:u w:val="none"/>
                <w:lang w:bidi="ar-SA"/>
              </w:rPr>
              <w:t>。</w:t>
            </w:r>
            <w:r>
              <w:rPr>
                <w:rFonts w:hint="eastAsia" w:ascii="Times New Roman" w:hAnsi="Times New Roman" w:eastAsia="方正书宋_GBK" w:cs="Times New Roman"/>
                <w:color w:val="auto"/>
                <w:kern w:val="0"/>
                <w:sz w:val="24"/>
                <w:highlight w:val="none"/>
                <w:u w:val="none"/>
                <w:lang w:bidi="ar-SA"/>
              </w:rPr>
              <w:t>重点发展智慧病理、运动医学、高值耗材和智慧医疗装备，推动AI+诊断、AI+医疗器械发展与应用。</w:t>
            </w:r>
          </w:p>
          <w:p w14:paraId="45C510B8">
            <w:pPr>
              <w:keepNext w:val="0"/>
              <w:keepLines w:val="0"/>
              <w:pageBreakBefore w:val="0"/>
              <w:widowControl/>
              <w:kinsoku/>
              <w:wordWrap/>
              <w:overflowPunct w:val="0"/>
              <w:topLinePunct w:val="0"/>
              <w:autoSpaceDE/>
              <w:autoSpaceDN/>
              <w:bidi w:val="0"/>
              <w:adjustRightInd/>
              <w:snapToGrid w:val="0"/>
              <w:spacing w:line="380" w:lineRule="exact"/>
              <w:ind w:firstLine="480" w:firstLineChars="200"/>
              <w:jc w:val="left"/>
              <w:textAlignment w:val="auto"/>
              <w:rPr>
                <w:rFonts w:ascii="Times New Roman" w:hAnsi="Times New Roman" w:eastAsia="方正仿宋_GBK" w:cs="Times New Roman"/>
                <w:color w:val="auto"/>
                <w:sz w:val="32"/>
                <w:szCs w:val="32"/>
                <w:highlight w:val="none"/>
              </w:rPr>
            </w:pPr>
            <w:r>
              <w:rPr>
                <w:rFonts w:hint="eastAsia" w:ascii="Times New Roman" w:hAnsi="Times New Roman" w:eastAsia="方正黑体_GBK" w:cs="方正黑体_GBK"/>
                <w:color w:val="auto"/>
                <w:kern w:val="0"/>
                <w:sz w:val="24"/>
                <w:highlight w:val="none"/>
                <w:u w:val="none"/>
                <w:lang w:val="en-US" w:eastAsia="zh-CN" w:bidi="ar-SA"/>
              </w:rPr>
              <w:t>5</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中药</w:t>
            </w:r>
            <w:r>
              <w:rPr>
                <w:rFonts w:hint="eastAsia" w:ascii="Times New Roman" w:hAnsi="Times New Roman" w:eastAsia="方正黑体_GBK" w:cs="方正黑体_GBK"/>
                <w:color w:val="auto"/>
                <w:kern w:val="2"/>
                <w:sz w:val="24"/>
                <w:highlight w:val="none"/>
                <w:u w:val="none"/>
                <w:lang w:val="en-US" w:eastAsia="zh-CN" w:bidi="ar-SA"/>
              </w:rPr>
              <w:t>领域</w:t>
            </w:r>
            <w:r>
              <w:rPr>
                <w:rFonts w:hint="eastAsia" w:ascii="Times New Roman" w:hAnsi="Times New Roman" w:eastAsia="方正黑体_GBK" w:cs="方正黑体_GBK"/>
                <w:color w:val="auto"/>
                <w:kern w:val="0"/>
                <w:sz w:val="24"/>
                <w:highlight w:val="none"/>
                <w:u w:val="none"/>
                <w:lang w:bidi="ar-SA"/>
              </w:rPr>
              <w:t>。</w:t>
            </w:r>
            <w:r>
              <w:rPr>
                <w:rFonts w:hint="eastAsia" w:ascii="Times New Roman" w:hAnsi="Times New Roman" w:eastAsia="方正书宋_GBK" w:cs="Times New Roman"/>
                <w:color w:val="auto"/>
                <w:kern w:val="0"/>
                <w:sz w:val="24"/>
                <w:highlight w:val="none"/>
                <w:u w:val="none"/>
                <w:lang w:bidi="ar-SA"/>
              </w:rPr>
              <w:t>重点发展院内制剂、中药饮片、中药创新药，基于经典名方、临床经验方，利用现代药理学和制剂技术，推动中药创新药研发与临床应用，提升现代中药传承创新与成果转化能力。</w:t>
            </w:r>
          </w:p>
        </w:tc>
      </w:tr>
      <w:bookmarkEnd w:id="192"/>
      <w:bookmarkEnd w:id="193"/>
      <w:bookmarkEnd w:id="194"/>
      <w:bookmarkEnd w:id="195"/>
      <w:bookmarkEnd w:id="196"/>
      <w:bookmarkEnd w:id="197"/>
      <w:bookmarkEnd w:id="198"/>
      <w:bookmarkEnd w:id="199"/>
    </w:tbl>
    <w:p w14:paraId="4079254A">
      <w:pPr>
        <w:overflowPunct w:val="0"/>
        <w:adjustRightInd w:val="0"/>
        <w:snapToGrid w:val="0"/>
        <w:spacing w:line="600" w:lineRule="exact"/>
        <w:jc w:val="center"/>
        <w:outlineLvl w:val="1"/>
        <w:rPr>
          <w:rFonts w:ascii="Times New Roman" w:hAnsi="Times New Roman" w:eastAsia="方正黑体_GBK" w:cs="方正黑体_GBK"/>
          <w:color w:val="auto"/>
          <w:sz w:val="32"/>
          <w:szCs w:val="32"/>
          <w:highlight w:val="none"/>
        </w:rPr>
      </w:pPr>
      <w:bookmarkStart w:id="236" w:name="_Toc17254"/>
      <w:bookmarkStart w:id="237" w:name="_Toc966900928"/>
      <w:bookmarkStart w:id="238" w:name="_Toc16800"/>
      <w:bookmarkStart w:id="239" w:name="_Toc724816083"/>
      <w:bookmarkStart w:id="240" w:name="_Toc26440"/>
      <w:bookmarkStart w:id="241" w:name="_Toc10268"/>
      <w:bookmarkStart w:id="242" w:name="_Toc11542"/>
      <w:bookmarkStart w:id="243" w:name="_Toc19167"/>
      <w:bookmarkStart w:id="244" w:name="_Toc17515"/>
      <w:bookmarkStart w:id="245" w:name="_Toc20900"/>
      <w:r>
        <w:rPr>
          <w:rFonts w:hint="eastAsia" w:ascii="Times New Roman" w:hAnsi="Times New Roman" w:eastAsia="方正黑体_GBK" w:cs="方正黑体_GBK"/>
          <w:color w:val="auto"/>
          <w:sz w:val="32"/>
          <w:szCs w:val="32"/>
          <w:highlight w:val="none"/>
        </w:rPr>
        <w:t>第二章 前瞻布局未来产业</w:t>
      </w:r>
      <w:bookmarkEnd w:id="236"/>
      <w:bookmarkEnd w:id="237"/>
      <w:bookmarkEnd w:id="238"/>
      <w:bookmarkEnd w:id="239"/>
    </w:p>
    <w:p w14:paraId="0D0144C5">
      <w:pPr>
        <w:overflowPunct w:val="0"/>
        <w:adjustRightInd w:val="0"/>
        <w:snapToGrid w:val="0"/>
        <w:spacing w:line="600" w:lineRule="exact"/>
        <w:ind w:firstLine="640" w:firstLineChars="200"/>
        <w:jc w:val="left"/>
        <w:outlineLvl w:val="9"/>
        <w:rPr>
          <w:rFonts w:hint="eastAsia" w:ascii="Times New Roman" w:hAnsi="Times New Roman" w:eastAsia="方正楷体_GBK" w:cs="方正楷体_GBK"/>
          <w:color w:val="auto"/>
          <w:sz w:val="32"/>
          <w:szCs w:val="32"/>
          <w:highlight w:val="none"/>
        </w:rPr>
      </w:pPr>
      <w:bookmarkStart w:id="246" w:name="_Toc17271"/>
      <w:bookmarkStart w:id="247" w:name="_Toc2395"/>
      <w:bookmarkStart w:id="248" w:name="_Toc4397"/>
      <w:r>
        <w:rPr>
          <w:rFonts w:hint="eastAsia" w:ascii="Times New Roman" w:hAnsi="Times New Roman" w:eastAsia="方正仿宋_GBK" w:cs="Times New Roman"/>
          <w:color w:val="auto"/>
          <w:sz w:val="32"/>
          <w:szCs w:val="32"/>
          <w:highlight w:val="none"/>
        </w:rPr>
        <w:t>强化源头技术供给，</w:t>
      </w:r>
      <w:r>
        <w:rPr>
          <w:rFonts w:hint="eastAsia" w:ascii="Times New Roman" w:hAnsi="Times New Roman" w:eastAsia="方正仿宋_GBK" w:cs="Times New Roman"/>
          <w:color w:val="auto"/>
          <w:sz w:val="32"/>
          <w:szCs w:val="32"/>
          <w:highlight w:val="none"/>
          <w:lang w:val="en-US" w:eastAsia="zh-CN"/>
        </w:rPr>
        <w:t>以“未来制造”为主攻方向，推进未来技术产业化和现有产业未来化，聚焦优势特色领域加快技术攻关与产品创新，</w:t>
      </w:r>
      <w:r>
        <w:rPr>
          <w:rFonts w:hint="default" w:ascii="Times New Roman" w:hAnsi="Times New Roman" w:eastAsia="方正仿宋_GBK" w:cs="Times New Roman"/>
          <w:color w:val="auto"/>
          <w:sz w:val="32"/>
          <w:szCs w:val="32"/>
          <w:highlight w:val="none"/>
          <w:lang w:val="en-US"/>
        </w:rPr>
        <w:t>构建应用场景和生态体系</w:t>
      </w:r>
      <w:r>
        <w:rPr>
          <w:rFonts w:hint="eastAsia" w:ascii="Times New Roman" w:hAnsi="Times New Roman" w:eastAsia="方正仿宋_GBK" w:cs="Times New Roman"/>
          <w:color w:val="auto"/>
          <w:sz w:val="32"/>
          <w:szCs w:val="32"/>
          <w:highlight w:val="none"/>
        </w:rPr>
        <w:t>，建立未来产业投入增长和风险分担机制，推动未来产业成为新经济增长点，高水平创建未来产业先导区。到2030年，未来产业规模达到200亿元。</w:t>
      </w:r>
      <w:bookmarkStart w:id="249" w:name="_Toc1456661197"/>
      <w:bookmarkStart w:id="250" w:name="_Toc32543"/>
      <w:bookmarkStart w:id="251" w:name="_Toc24798"/>
      <w:bookmarkStart w:id="252" w:name="_Toc695140047"/>
      <w:bookmarkStart w:id="253" w:name="_Toc1645"/>
    </w:p>
    <w:p w14:paraId="79A2B522">
      <w:pPr>
        <w:overflowPunct w:val="0"/>
        <w:adjustRightInd w:val="0"/>
        <w:snapToGrid w:val="0"/>
        <w:spacing w:line="600" w:lineRule="exact"/>
        <w:jc w:val="center"/>
        <w:outlineLvl w:val="2"/>
        <w:rPr>
          <w:rFonts w:ascii="Times New Roman" w:hAnsi="Times New Roman" w:eastAsia="方正楷体_GBK" w:cs="方正楷体_GBK"/>
          <w:color w:val="auto"/>
          <w:sz w:val="32"/>
          <w:szCs w:val="32"/>
          <w:highlight w:val="none"/>
        </w:rPr>
      </w:pPr>
      <w:r>
        <w:rPr>
          <w:rFonts w:hint="eastAsia" w:ascii="Times New Roman" w:hAnsi="Times New Roman" w:eastAsia="方正楷体_GBK" w:cs="方正楷体_GBK"/>
          <w:color w:val="auto"/>
          <w:sz w:val="32"/>
          <w:szCs w:val="32"/>
          <w:highlight w:val="none"/>
        </w:rPr>
        <w:t xml:space="preserve">第一节 </w:t>
      </w:r>
      <w:bookmarkEnd w:id="246"/>
      <w:bookmarkEnd w:id="247"/>
      <w:bookmarkEnd w:id="248"/>
      <w:r>
        <w:rPr>
          <w:rFonts w:hint="eastAsia" w:ascii="Times New Roman" w:hAnsi="Times New Roman" w:eastAsia="方正楷体_GBK" w:cs="方正楷体_GBK"/>
          <w:color w:val="auto"/>
          <w:sz w:val="32"/>
          <w:szCs w:val="32"/>
          <w:highlight w:val="none"/>
        </w:rPr>
        <w:t>大力发展空天信息及低空经济产业</w:t>
      </w:r>
      <w:bookmarkEnd w:id="249"/>
      <w:bookmarkEnd w:id="250"/>
      <w:bookmarkEnd w:id="251"/>
      <w:bookmarkEnd w:id="252"/>
      <w:bookmarkEnd w:id="253"/>
    </w:p>
    <w:p w14:paraId="6C483EEB">
      <w:pPr>
        <w:pStyle w:val="19"/>
        <w:overflowPunct w:val="0"/>
        <w:adjustRightInd w:val="0"/>
        <w:snapToGrid w:val="0"/>
        <w:spacing w:beforeAutospacing="0" w:afterAutospacing="0" w:line="600" w:lineRule="exact"/>
        <w:ind w:firstLine="640" w:firstLineChars="200"/>
        <w:jc w:val="both"/>
        <w:rPr>
          <w:rFonts w:ascii="Times New Roman" w:hAnsi="Times New Roman" w:eastAsia="方正仿宋_GBK"/>
          <w:color w:val="auto"/>
          <w:sz w:val="32"/>
          <w:szCs w:val="32"/>
          <w:highlight w:val="none"/>
          <w:lang w:bidi="ar"/>
        </w:rPr>
      </w:pPr>
      <w:r>
        <w:rPr>
          <w:rFonts w:hint="eastAsia" w:ascii="Times New Roman" w:hAnsi="Times New Roman" w:eastAsia="方正仿宋_GBK"/>
          <w:color w:val="auto"/>
          <w:sz w:val="32"/>
          <w:szCs w:val="32"/>
          <w:highlight w:val="none"/>
          <w:lang w:bidi="ar"/>
        </w:rPr>
        <w:t>空天信息领域。依托西永微电园规划建设卫星互联网产业园，推进空天信息研发创新平台、星载AI计算实验室、卫星检测认证公共服务平台建设。依托集成电路产业优势</w:t>
      </w:r>
      <w:r>
        <w:rPr>
          <w:rFonts w:hint="eastAsia" w:ascii="Times New Roman" w:hAnsi="Times New Roman" w:eastAsia="方正仿宋_GBK"/>
          <w:color w:val="auto"/>
          <w:sz w:val="32"/>
          <w:szCs w:val="32"/>
          <w:highlight w:val="none"/>
          <w:lang w:eastAsia="zh-CN" w:bidi="ar"/>
        </w:rPr>
        <w:t>，</w:t>
      </w:r>
      <w:r>
        <w:rPr>
          <w:rFonts w:hint="eastAsia" w:ascii="Times New Roman" w:hAnsi="Times New Roman" w:eastAsia="方正仿宋_GBK"/>
          <w:color w:val="auto"/>
          <w:sz w:val="32"/>
          <w:szCs w:val="32"/>
          <w:highlight w:val="none"/>
          <w:lang w:bidi="ar"/>
        </w:rPr>
        <w:t>重点突破卫星载荷芯片等关键元器件技术瓶颈，实现核心部件自主可控。</w:t>
      </w:r>
      <w:r>
        <w:rPr>
          <w:rFonts w:hint="eastAsia" w:ascii="Times New Roman" w:hAnsi="Times New Roman" w:eastAsia="方正仿宋_GBK"/>
          <w:color w:val="auto"/>
          <w:sz w:val="32"/>
          <w:szCs w:val="32"/>
          <w:highlight w:val="none"/>
          <w:lang w:val="en-US" w:eastAsia="zh-CN" w:bidi="ar"/>
        </w:rPr>
        <w:t>推动</w:t>
      </w:r>
      <w:r>
        <w:rPr>
          <w:rFonts w:hint="eastAsia" w:ascii="Times New Roman" w:hAnsi="Times New Roman" w:eastAsia="方正仿宋_GBK"/>
          <w:color w:val="auto"/>
          <w:sz w:val="32"/>
          <w:szCs w:val="32"/>
          <w:highlight w:val="none"/>
          <w:lang w:bidi="ar"/>
        </w:rPr>
        <w:t>打造空天地一体化通信网络与遥感数据应用中心</w:t>
      </w:r>
      <w:r>
        <w:rPr>
          <w:rFonts w:hint="eastAsia" w:ascii="Times New Roman" w:hAnsi="Times New Roman" w:eastAsia="方正仿宋_GBK"/>
          <w:color w:val="auto"/>
          <w:sz w:val="32"/>
          <w:szCs w:val="32"/>
          <w:highlight w:val="none"/>
          <w:lang w:val="en-US" w:eastAsia="zh-CN" w:bidi="ar"/>
        </w:rPr>
        <w:t>。</w:t>
      </w:r>
    </w:p>
    <w:p w14:paraId="0343D086">
      <w:pPr>
        <w:overflowPunct w:val="0"/>
        <w:adjustRightInd w:val="0"/>
        <w:snapToGrid w:val="0"/>
        <w:spacing w:line="600" w:lineRule="exact"/>
        <w:ind w:firstLine="640" w:firstLineChars="200"/>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lang w:bidi="ar"/>
        </w:rPr>
        <w:t>低空经济领域。</w:t>
      </w:r>
      <w:r>
        <w:rPr>
          <w:rFonts w:hint="eastAsia" w:ascii="Times New Roman" w:hAnsi="Times New Roman" w:eastAsia="方正仿宋_GBK" w:cs="Times New Roman"/>
          <w:color w:val="auto"/>
          <w:sz w:val="32"/>
          <w:szCs w:val="32"/>
          <w:highlight w:val="none"/>
          <w:lang w:val="en-US" w:eastAsia="zh-CN" w:bidi="ar"/>
        </w:rPr>
        <w:t>统筹利用</w:t>
      </w:r>
      <w:r>
        <w:rPr>
          <w:rFonts w:hint="eastAsia" w:ascii="Times New Roman" w:hAnsi="Times New Roman" w:eastAsia="方正仿宋_GBK" w:cs="Times New Roman"/>
          <w:color w:val="auto"/>
          <w:sz w:val="32"/>
          <w:szCs w:val="32"/>
          <w:highlight w:val="none"/>
          <w:lang w:bidi="ar"/>
        </w:rPr>
        <w:t>白市驿机场</w:t>
      </w:r>
      <w:r>
        <w:rPr>
          <w:rFonts w:hint="eastAsia" w:ascii="Times New Roman" w:hAnsi="Times New Roman" w:eastAsia="方正仿宋_GBK" w:cs="Times New Roman"/>
          <w:color w:val="auto"/>
          <w:sz w:val="32"/>
          <w:szCs w:val="32"/>
          <w:highlight w:val="none"/>
          <w:lang w:val="en-US" w:eastAsia="zh-CN" w:bidi="ar"/>
        </w:rPr>
        <w:t>既有</w:t>
      </w:r>
      <w:r>
        <w:rPr>
          <w:rFonts w:hint="eastAsia" w:ascii="Times New Roman" w:hAnsi="Times New Roman" w:eastAsia="方正仿宋_GBK" w:cs="Times New Roman"/>
          <w:color w:val="auto"/>
          <w:sz w:val="32"/>
          <w:szCs w:val="32"/>
          <w:highlight w:val="none"/>
          <w:lang w:bidi="ar"/>
        </w:rPr>
        <w:t>基础设施</w:t>
      </w:r>
      <w:r>
        <w:rPr>
          <w:rFonts w:hint="eastAsia" w:ascii="Times New Roman" w:hAnsi="Times New Roman" w:eastAsia="方正仿宋_GBK" w:cs="Times New Roman"/>
          <w:color w:val="auto"/>
          <w:sz w:val="32"/>
          <w:szCs w:val="32"/>
          <w:highlight w:val="none"/>
          <w:lang w:val="en-US" w:eastAsia="zh-CN" w:bidi="ar"/>
        </w:rPr>
        <w:t>和</w:t>
      </w:r>
      <w:r>
        <w:rPr>
          <w:rFonts w:hint="eastAsia" w:ascii="Times New Roman" w:hAnsi="Times New Roman" w:eastAsia="方正仿宋_GBK" w:cs="Times New Roman"/>
          <w:color w:val="auto"/>
          <w:sz w:val="32"/>
          <w:szCs w:val="32"/>
          <w:highlight w:val="none"/>
          <w:lang w:bidi="ar"/>
        </w:rPr>
        <w:t>相关空域</w:t>
      </w:r>
      <w:r>
        <w:rPr>
          <w:rFonts w:hint="eastAsia" w:ascii="Times New Roman" w:hAnsi="Times New Roman" w:eastAsia="方正仿宋_GBK" w:cs="Times New Roman"/>
          <w:color w:val="auto"/>
          <w:sz w:val="32"/>
          <w:szCs w:val="32"/>
          <w:highlight w:val="none"/>
          <w:lang w:val="en-US" w:eastAsia="zh-CN" w:bidi="ar"/>
        </w:rPr>
        <w:t>资源，适时</w:t>
      </w:r>
      <w:r>
        <w:rPr>
          <w:rFonts w:hint="eastAsia" w:ascii="Times New Roman" w:hAnsi="Times New Roman" w:eastAsia="方正仿宋_GBK" w:cs="Times New Roman"/>
          <w:color w:val="auto"/>
          <w:sz w:val="32"/>
          <w:szCs w:val="32"/>
          <w:highlight w:val="none"/>
          <w:lang w:bidi="ar"/>
        </w:rPr>
        <w:t>推进通用机场申报，</w:t>
      </w:r>
      <w:r>
        <w:rPr>
          <w:rFonts w:hint="default" w:ascii="Times New Roman" w:hAnsi="Times New Roman" w:eastAsia="方正仿宋_GBK" w:cs="Times New Roman"/>
          <w:color w:val="auto"/>
          <w:sz w:val="32"/>
          <w:szCs w:val="32"/>
          <w:highlight w:val="none"/>
          <w:lang w:val="en-US" w:bidi="ar"/>
        </w:rPr>
        <w:t>高标准</w:t>
      </w:r>
      <w:r>
        <w:rPr>
          <w:rFonts w:hint="eastAsia" w:ascii="Times New Roman" w:hAnsi="Times New Roman" w:eastAsia="方正仿宋_GBK" w:cs="Times New Roman"/>
          <w:color w:val="auto"/>
          <w:sz w:val="32"/>
          <w:szCs w:val="32"/>
          <w:highlight w:val="none"/>
          <w:lang w:val="en-US" w:eastAsia="zh-CN" w:bidi="ar"/>
        </w:rPr>
        <w:t>规划</w:t>
      </w:r>
      <w:r>
        <w:rPr>
          <w:rFonts w:hint="default" w:ascii="Times New Roman" w:hAnsi="Times New Roman" w:eastAsia="方正仿宋_GBK" w:cs="Times New Roman"/>
          <w:color w:val="auto"/>
          <w:sz w:val="32"/>
          <w:szCs w:val="32"/>
          <w:highlight w:val="none"/>
          <w:lang w:val="en-US" w:bidi="ar"/>
        </w:rPr>
        <w:t>建设</w:t>
      </w:r>
      <w:r>
        <w:rPr>
          <w:rFonts w:hint="eastAsia" w:ascii="Times New Roman" w:hAnsi="Times New Roman" w:eastAsia="方正仿宋_GBK" w:cs="Times New Roman"/>
          <w:color w:val="auto"/>
          <w:sz w:val="32"/>
          <w:szCs w:val="32"/>
          <w:highlight w:val="none"/>
          <w:lang w:bidi="ar"/>
        </w:rPr>
        <w:t>低空智能垂直起降点、低空通信机房等基础设施，</w:t>
      </w:r>
      <w:r>
        <w:rPr>
          <w:rFonts w:hint="eastAsia" w:ascii="Times New Roman" w:hAnsi="Times New Roman" w:eastAsia="方正仿宋_GBK" w:cs="Times New Roman"/>
          <w:color w:val="auto"/>
          <w:sz w:val="32"/>
          <w:szCs w:val="32"/>
          <w:highlight w:val="none"/>
          <w:lang w:val="en-US" w:eastAsia="zh-CN" w:bidi="ar"/>
        </w:rPr>
        <w:t>围绕</w:t>
      </w:r>
      <w:r>
        <w:rPr>
          <w:rFonts w:hint="eastAsia" w:ascii="Times New Roman" w:hAnsi="Times New Roman" w:eastAsia="方正仿宋_GBK" w:cs="Times New Roman"/>
          <w:color w:val="auto"/>
          <w:sz w:val="32"/>
          <w:szCs w:val="32"/>
          <w:highlight w:val="none"/>
          <w:lang w:bidi="ar"/>
        </w:rPr>
        <w:t>低空试飞测试</w:t>
      </w:r>
      <w:r>
        <w:rPr>
          <w:rFonts w:hint="eastAsia" w:ascii="Times New Roman" w:hAnsi="Times New Roman" w:eastAsia="方正仿宋_GBK" w:cs="Times New Roman"/>
          <w:color w:val="auto"/>
          <w:sz w:val="32"/>
          <w:szCs w:val="32"/>
          <w:highlight w:val="none"/>
          <w:lang w:val="en-US" w:eastAsia="zh-CN" w:bidi="ar"/>
        </w:rPr>
        <w:t>功能，谋划</w:t>
      </w:r>
      <w:r>
        <w:rPr>
          <w:rFonts w:hint="eastAsia" w:ascii="Times New Roman" w:hAnsi="Times New Roman" w:eastAsia="方正仿宋_GBK" w:cs="Times New Roman"/>
          <w:color w:val="auto"/>
          <w:sz w:val="32"/>
          <w:szCs w:val="32"/>
          <w:highlight w:val="none"/>
          <w:lang w:bidi="ar"/>
        </w:rPr>
        <w:t>吸引低空飞行器及零部件制造项目落地，</w:t>
      </w:r>
      <w:r>
        <w:rPr>
          <w:rFonts w:hint="eastAsia" w:ascii="Times New Roman" w:hAnsi="Times New Roman" w:eastAsia="方正仿宋_GBK" w:cs="Times New Roman"/>
          <w:color w:val="auto"/>
          <w:sz w:val="32"/>
          <w:szCs w:val="32"/>
          <w:highlight w:val="none"/>
          <w:lang w:val="en-US" w:eastAsia="zh-CN" w:bidi="ar"/>
        </w:rPr>
        <w:t>积极探索</w:t>
      </w:r>
      <w:r>
        <w:rPr>
          <w:rFonts w:hint="eastAsia" w:ascii="Times New Roman" w:hAnsi="Times New Roman" w:eastAsia="方正仿宋_GBK" w:cs="Times New Roman"/>
          <w:color w:val="auto"/>
          <w:sz w:val="32"/>
          <w:szCs w:val="32"/>
          <w:highlight w:val="none"/>
          <w:lang w:bidi="ar"/>
        </w:rPr>
        <w:t>低空物流、低空出行等示范性运营场景。加快方大海航航空发动机维修基地项目二期建成投用，推动航天科工、星辰空间等优质存量项目扩产升级。</w:t>
      </w:r>
    </w:p>
    <w:p w14:paraId="2E3608B2">
      <w:pPr>
        <w:overflowPunct w:val="0"/>
        <w:adjustRightInd w:val="0"/>
        <w:snapToGrid w:val="0"/>
        <w:spacing w:line="600" w:lineRule="exact"/>
        <w:jc w:val="center"/>
        <w:outlineLvl w:val="2"/>
        <w:rPr>
          <w:rFonts w:ascii="Times New Roman" w:hAnsi="Times New Roman" w:eastAsia="方正楷体_GBK" w:cs="方正楷体_GBK"/>
          <w:color w:val="auto"/>
          <w:sz w:val="32"/>
          <w:szCs w:val="32"/>
          <w:highlight w:val="none"/>
        </w:rPr>
      </w:pPr>
      <w:bookmarkStart w:id="254" w:name="_Toc18640"/>
      <w:bookmarkStart w:id="255" w:name="_Toc907730249"/>
      <w:bookmarkStart w:id="256" w:name="_Toc1784"/>
      <w:bookmarkStart w:id="257" w:name="_Toc1518"/>
      <w:bookmarkStart w:id="258" w:name="_Toc31896"/>
      <w:bookmarkStart w:id="259" w:name="_Toc791162179"/>
      <w:bookmarkStart w:id="260" w:name="_Toc14981"/>
      <w:bookmarkStart w:id="261" w:name="_Toc15105"/>
      <w:bookmarkStart w:id="262" w:name="_Toc24179"/>
      <w:r>
        <w:rPr>
          <w:rFonts w:hint="eastAsia" w:ascii="Times New Roman" w:hAnsi="Times New Roman" w:eastAsia="方正楷体_GBK" w:cs="方正楷体_GBK"/>
          <w:color w:val="auto"/>
          <w:sz w:val="32"/>
          <w:szCs w:val="32"/>
          <w:highlight w:val="none"/>
        </w:rPr>
        <w:t xml:space="preserve">第二节 </w:t>
      </w:r>
      <w:r>
        <w:rPr>
          <w:rFonts w:hint="eastAsia" w:ascii="Times New Roman" w:hAnsi="Times New Roman" w:eastAsia="方正楷体_GBK" w:cs="方正楷体_GBK"/>
          <w:color w:val="auto"/>
          <w:sz w:val="32"/>
          <w:szCs w:val="32"/>
          <w:highlight w:val="none"/>
          <w:lang w:val="en-US" w:eastAsia="zh-CN"/>
        </w:rPr>
        <w:t>创新</w:t>
      </w:r>
      <w:r>
        <w:rPr>
          <w:rFonts w:hint="eastAsia" w:ascii="Times New Roman" w:hAnsi="Times New Roman" w:eastAsia="方正楷体_GBK" w:cs="方正楷体_GBK"/>
          <w:color w:val="auto"/>
          <w:sz w:val="32"/>
          <w:szCs w:val="32"/>
          <w:highlight w:val="none"/>
        </w:rPr>
        <w:t>发展</w:t>
      </w:r>
      <w:r>
        <w:rPr>
          <w:rFonts w:hint="eastAsia" w:ascii="Times New Roman" w:hAnsi="Times New Roman" w:eastAsia="方正楷体_GBK" w:cs="方正楷体_GBK"/>
          <w:color w:val="auto"/>
          <w:sz w:val="32"/>
          <w:szCs w:val="32"/>
          <w:highlight w:val="none"/>
          <w:lang w:val="en-US" w:eastAsia="zh-CN"/>
        </w:rPr>
        <w:t>人工</w:t>
      </w:r>
      <w:r>
        <w:rPr>
          <w:rFonts w:hint="eastAsia" w:ascii="Times New Roman" w:hAnsi="Times New Roman" w:eastAsia="方正楷体_GBK" w:cs="方正楷体_GBK"/>
          <w:color w:val="auto"/>
          <w:sz w:val="32"/>
          <w:szCs w:val="32"/>
          <w:highlight w:val="none"/>
        </w:rPr>
        <w:t>智能产业</w:t>
      </w:r>
      <w:bookmarkEnd w:id="254"/>
      <w:bookmarkEnd w:id="255"/>
      <w:bookmarkEnd w:id="256"/>
      <w:bookmarkEnd w:id="257"/>
      <w:bookmarkEnd w:id="258"/>
      <w:bookmarkEnd w:id="259"/>
      <w:bookmarkEnd w:id="260"/>
      <w:bookmarkEnd w:id="261"/>
      <w:bookmarkEnd w:id="262"/>
    </w:p>
    <w:p w14:paraId="33588A83">
      <w:pPr>
        <w:overflowPunct w:val="0"/>
        <w:adjustRightInd w:val="0"/>
        <w:snapToGrid w:val="0"/>
        <w:spacing w:line="600" w:lineRule="exact"/>
        <w:ind w:firstLine="640" w:firstLineChars="200"/>
        <w:rPr>
          <w:rFonts w:hint="eastAsia"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color w:val="auto"/>
          <w:sz w:val="32"/>
          <w:szCs w:val="32"/>
          <w:highlight w:val="none"/>
        </w:rPr>
        <w:t>夯实人工智能基础设施底座</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深度参与“疆算入渝”，提升重庆人工智能创新中心服务能力。建设面向智能装备、智能网联等领域模型训练的高质量行业数据集和语料库，打造重点行业可信数据空间和高质量数据标注及模型训练基地。加速形成人工智能产业生态</w:t>
      </w:r>
      <w:r>
        <w:rPr>
          <w:rFonts w:hint="eastAsia" w:ascii="Times New Roman" w:hAnsi="Times New Roman" w:eastAsia="方正仿宋_GBK" w:cs="方正仿宋_GBK"/>
          <w:color w:val="auto"/>
          <w:sz w:val="32"/>
          <w:szCs w:val="32"/>
          <w:highlight w:val="none"/>
          <w:lang w:eastAsia="zh-CN"/>
        </w:rPr>
        <w:t>，聚焦</w:t>
      </w:r>
      <w:r>
        <w:rPr>
          <w:rFonts w:hint="eastAsia" w:ascii="Times New Roman" w:hAnsi="Times New Roman" w:eastAsia="方正仿宋_GBK" w:cs="方正仿宋_GBK"/>
          <w:color w:val="auto"/>
          <w:sz w:val="32"/>
          <w:szCs w:val="32"/>
          <w:highlight w:val="none"/>
          <w:lang w:val="en-US" w:eastAsia="zh-CN"/>
        </w:rPr>
        <w:t>具身智能等核心领域，</w:t>
      </w:r>
      <w:r>
        <w:rPr>
          <w:rFonts w:hint="eastAsia" w:ascii="Times New Roman" w:hAnsi="Times New Roman" w:eastAsia="方正仿宋_GBK" w:cs="方正仿宋_GBK"/>
          <w:color w:val="auto"/>
          <w:sz w:val="32"/>
          <w:szCs w:val="32"/>
          <w:highlight w:val="none"/>
        </w:rPr>
        <w:t>依托</w:t>
      </w:r>
      <w:r>
        <w:rPr>
          <w:rFonts w:hint="eastAsia" w:ascii="Times New Roman" w:hAnsi="Times New Roman" w:eastAsia="方正仿宋_GBK" w:cs="Times New Roman"/>
          <w:color w:val="auto"/>
          <w:sz w:val="32"/>
          <w:szCs w:val="32"/>
          <w:highlight w:val="none"/>
        </w:rPr>
        <w:t>嘉陵江实验室</w:t>
      </w:r>
      <w:r>
        <w:rPr>
          <w:rFonts w:hint="eastAsia" w:ascii="Times New Roman" w:hAnsi="Times New Roman" w:eastAsia="方正仿宋_GBK" w:cs="方正仿宋_GBK"/>
          <w:color w:val="auto"/>
          <w:sz w:val="32"/>
          <w:szCs w:val="32"/>
          <w:highlight w:val="none"/>
        </w:rPr>
        <w:t>科创平台优势，积极攻关具身智能软件算法与智能系统，突破核心部件与关键材料，推进人形机器人、高级别自动驾驶、智能飞行器等整机制造与装备集成</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加快企业数智化转型，打造人工智能高水平开源生态。推动人工智能赋能千行百业</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方正仿宋_GBK"/>
          <w:color w:val="auto"/>
          <w:sz w:val="32"/>
          <w:szCs w:val="32"/>
          <w:highlight w:val="none"/>
        </w:rPr>
        <w:t>聚焦科学研究等重点领域，布局人工智能应用中试基地，</w:t>
      </w:r>
      <w:r>
        <w:rPr>
          <w:rFonts w:hint="eastAsia" w:ascii="Times New Roman" w:hAnsi="Times New Roman" w:eastAsia="方正仿宋_GBK" w:cs="方正仿宋_GBK"/>
          <w:color w:val="auto"/>
          <w:sz w:val="32"/>
          <w:szCs w:val="32"/>
          <w:highlight w:val="none"/>
          <w:lang w:val="en-US" w:eastAsia="zh-CN"/>
        </w:rPr>
        <w:t>鼓励</w:t>
      </w:r>
      <w:r>
        <w:rPr>
          <w:rFonts w:hint="eastAsia" w:ascii="Times New Roman" w:hAnsi="Times New Roman" w:eastAsia="方正仿宋_GBK" w:cs="方正仿宋_GBK"/>
          <w:color w:val="auto"/>
          <w:sz w:val="32"/>
          <w:szCs w:val="32"/>
          <w:highlight w:val="none"/>
        </w:rPr>
        <w:t>企业建设行业赋能中心，健全人工智能应用场景开放机制，促进人工智能技术转化应用。</w:t>
      </w:r>
    </w:p>
    <w:p w14:paraId="5DEA42C8">
      <w:pPr>
        <w:overflowPunct/>
        <w:adjustRightInd/>
        <w:snapToGrid/>
        <w:spacing w:line="240" w:lineRule="auto"/>
        <w:ind w:firstLine="0" w:firstLineChars="0"/>
        <w:rPr>
          <w:rFonts w:hint="eastAsia"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color w:val="auto"/>
          <w:sz w:val="32"/>
          <w:szCs w:val="32"/>
          <w:highlight w:val="none"/>
        </w:rPr>
        <w:br w:type="page"/>
      </w:r>
    </w:p>
    <w:p w14:paraId="332C2795">
      <w:pPr>
        <w:overflowPunct w:val="0"/>
        <w:adjustRightInd w:val="0"/>
        <w:snapToGrid w:val="0"/>
        <w:spacing w:line="600" w:lineRule="exact"/>
        <w:jc w:val="center"/>
        <w:outlineLvl w:val="2"/>
        <w:rPr>
          <w:rFonts w:ascii="Times New Roman" w:hAnsi="Times New Roman" w:eastAsia="方正楷体_GBK" w:cs="方正楷体_GBK"/>
          <w:color w:val="auto"/>
          <w:sz w:val="32"/>
          <w:szCs w:val="32"/>
          <w:highlight w:val="none"/>
        </w:rPr>
      </w:pPr>
      <w:bookmarkStart w:id="263" w:name="_Toc1991483876"/>
      <w:bookmarkStart w:id="264" w:name="_Toc31683"/>
      <w:bookmarkStart w:id="265" w:name="_Toc498466655"/>
      <w:r>
        <w:rPr>
          <w:rFonts w:hint="eastAsia" w:ascii="Times New Roman" w:hAnsi="Times New Roman" w:eastAsia="方正楷体_GBK" w:cs="方正楷体_GBK"/>
          <w:color w:val="auto"/>
          <w:sz w:val="32"/>
          <w:szCs w:val="32"/>
          <w:highlight w:val="none"/>
        </w:rPr>
        <w:t>第三节 培育发展新材料产业</w:t>
      </w:r>
      <w:bookmarkEnd w:id="263"/>
      <w:bookmarkEnd w:id="264"/>
      <w:bookmarkEnd w:id="265"/>
    </w:p>
    <w:p w14:paraId="21186B7D">
      <w:pPr>
        <w:overflowPunct w:val="0"/>
        <w:adjustRightInd w:val="0"/>
        <w:snapToGrid w:val="0"/>
        <w:spacing w:line="600" w:lineRule="exact"/>
        <w:ind w:firstLine="640" w:firstLineChars="200"/>
        <w:rPr>
          <w:rFonts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color w:val="auto"/>
          <w:sz w:val="32"/>
          <w:szCs w:val="32"/>
          <w:highlight w:val="none"/>
        </w:rPr>
        <w:t>立足成渝地区双城经济圈新材料产业协同布局，重点发展服务于智能网联新能源汽车的轻量化合金、车用复合材料等先进车用新材料，积极培育服务于电子信息产业的半导体封装材料、显示材料等关键材料，协同发展新型轻合金及石墨烯等前沿材料。依托重庆大学、重庆科技大学等科研力量，攻关轻量化材料制备、半导体封装技术、显示材料制备等“卡脖子”环节，推动新材料在新能源汽车、电子信息、高端装备等领域的规模化应用。前瞻布局新型轻合金及石墨烯等前沿材料，拓展在空天信息及低空经济、电子信息等领域应用场景，探索纳米及原子级制造新领域。强化绿色低碳导向，发展循环再生材料，推动全生命周期碳足迹管理。以“人工智能+新材料”赋能产业发展，培育新能源材料、特种功能材料、新一代信息技术材料、生物材料等新增长点。</w:t>
      </w:r>
    </w:p>
    <w:p w14:paraId="4E1DB304">
      <w:pPr>
        <w:overflowPunct w:val="0"/>
        <w:jc w:val="center"/>
        <w:rPr>
          <w:rFonts w:hint="eastAsia" w:ascii="Times New Roman" w:hAnsi="Times New Roman" w:eastAsia="方正黑体_GBK" w:cs="方正黑体_GBK"/>
          <w:color w:val="auto"/>
          <w:kern w:val="0"/>
          <w:sz w:val="32"/>
          <w:szCs w:val="32"/>
          <w:highlight w:val="none"/>
          <w:u w:val="none"/>
          <w:lang w:bidi="ar"/>
        </w:rPr>
      </w:pPr>
      <w:r>
        <w:rPr>
          <w:rFonts w:hint="eastAsia" w:ascii="Times New Roman" w:hAnsi="Times New Roman" w:eastAsia="方正黑体_GBK" w:cs="方正黑体_GBK"/>
          <w:color w:val="auto"/>
          <w:kern w:val="0"/>
          <w:sz w:val="32"/>
          <w:szCs w:val="32"/>
          <w:highlight w:val="none"/>
          <w:u w:val="none"/>
          <w:lang w:bidi="ar"/>
        </w:rPr>
        <w:t>专栏</w:t>
      </w:r>
      <w:r>
        <w:rPr>
          <w:rFonts w:hint="eastAsia" w:ascii="Times New Roman" w:hAnsi="Times New Roman" w:eastAsia="方正黑体_GBK" w:cs="方正黑体_GBK"/>
          <w:color w:val="auto"/>
          <w:kern w:val="0"/>
          <w:sz w:val="32"/>
          <w:szCs w:val="32"/>
          <w:highlight w:val="none"/>
          <w:u w:val="none"/>
          <w:lang w:val="en-US" w:eastAsia="zh-CN" w:bidi="ar"/>
        </w:rPr>
        <w:t>12</w:t>
      </w:r>
      <w:r>
        <w:rPr>
          <w:rFonts w:hint="eastAsia" w:ascii="Times New Roman" w:hAnsi="Times New Roman" w:eastAsia="方正黑体_GBK" w:cs="方正黑体_GBK"/>
          <w:color w:val="auto"/>
          <w:kern w:val="0"/>
          <w:sz w:val="32"/>
          <w:szCs w:val="32"/>
          <w:highlight w:val="none"/>
          <w:u w:val="none"/>
          <w:lang w:bidi="ar"/>
        </w:rPr>
        <w:t xml:space="preserve"> 国家级未来产业先导区创建行动重点方向</w:t>
      </w:r>
    </w:p>
    <w:tbl>
      <w:tblPr>
        <w:tblStyle w:val="22"/>
        <w:tblW w:w="9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0"/>
      </w:tblGrid>
      <w:tr w14:paraId="34EB7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0" w:type="dxa"/>
          </w:tcPr>
          <w:p w14:paraId="6C0FFE7C">
            <w:pPr>
              <w:widowControl/>
              <w:numPr>
                <w:ilvl w:val="-1"/>
                <w:numId w:val="0"/>
              </w:numPr>
              <w:overflowPunct w:val="0"/>
              <w:snapToGrid w:val="0"/>
              <w:spacing w:line="380" w:lineRule="exact"/>
              <w:ind w:firstLine="480" w:firstLineChars="200"/>
              <w:jc w:val="left"/>
              <w:rPr>
                <w:rFonts w:hint="eastAsia" w:ascii="Times New Roman" w:hAnsi="Times New Roman" w:eastAsia="方正书宋_GBK" w:cs="Times New Roman"/>
                <w:color w:val="auto"/>
                <w:kern w:val="0"/>
                <w:sz w:val="24"/>
                <w:highlight w:val="none"/>
                <w:u w:val="none"/>
                <w:lang w:val="en-US" w:eastAsia="zh-CN" w:bidi="ar-SA"/>
              </w:rPr>
            </w:pPr>
            <w:r>
              <w:rPr>
                <w:rFonts w:hint="eastAsia" w:ascii="Times New Roman" w:hAnsi="Times New Roman" w:eastAsia="方正黑体_GBK" w:cs="方正黑体_GBK"/>
                <w:color w:val="auto"/>
                <w:kern w:val="0"/>
                <w:sz w:val="24"/>
                <w:highlight w:val="none"/>
                <w:u w:val="none"/>
                <w:lang w:bidi="ar-SA"/>
              </w:rPr>
              <w:t>1</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空天</w:t>
            </w:r>
            <w:r>
              <w:rPr>
                <w:rFonts w:hint="eastAsia" w:ascii="Times New Roman" w:hAnsi="Times New Roman" w:eastAsia="方正黑体_GBK" w:cs="方正黑体_GBK"/>
                <w:color w:val="auto"/>
                <w:kern w:val="0"/>
                <w:sz w:val="24"/>
                <w:highlight w:val="none"/>
                <w:u w:val="none"/>
                <w:lang w:val="en-US" w:eastAsia="zh-CN" w:bidi="ar-SA"/>
              </w:rPr>
              <w:t>信息及低空经济</w:t>
            </w:r>
            <w:r>
              <w:rPr>
                <w:rFonts w:hint="eastAsia" w:ascii="Times New Roman" w:hAnsi="Times New Roman" w:eastAsia="方正黑体_GBK" w:cs="方正黑体_GBK"/>
                <w:color w:val="auto"/>
                <w:kern w:val="0"/>
                <w:sz w:val="24"/>
                <w:highlight w:val="none"/>
                <w:u w:val="none"/>
                <w:lang w:bidi="ar-SA"/>
              </w:rPr>
              <w:t>产业。</w:t>
            </w:r>
            <w:r>
              <w:rPr>
                <w:rFonts w:hint="eastAsia" w:ascii="Times New Roman" w:hAnsi="Times New Roman" w:eastAsia="方正书宋_GBK" w:cs="Times New Roman"/>
                <w:color w:val="auto"/>
                <w:kern w:val="0"/>
                <w:sz w:val="24"/>
                <w:highlight w:val="none"/>
                <w:u w:val="none"/>
                <w:lang w:bidi="ar-SA"/>
              </w:rPr>
              <w:t>重点布局航空发动机维修、低空飞行器关键零部件生产及系统集成等领域，打造无人货运、低空运营、通航运营、飞行服务、航空文旅等运营场景，完善“飞机维修—飞机拆解—航材制造/再制造—航材贸易”完整产业链条。</w:t>
            </w:r>
          </w:p>
          <w:p w14:paraId="4D66CBB4">
            <w:pPr>
              <w:widowControl/>
              <w:numPr>
                <w:ilvl w:val="-1"/>
                <w:numId w:val="0"/>
              </w:numPr>
              <w:overflowPunct w:val="0"/>
              <w:snapToGrid w:val="0"/>
              <w:spacing w:line="380" w:lineRule="exact"/>
              <w:ind w:firstLine="480" w:firstLineChars="200"/>
              <w:jc w:val="left"/>
              <w:rPr>
                <w:rFonts w:hint="eastAsia" w:ascii="Times New Roman" w:hAnsi="Times New Roman" w:eastAsia="方正书宋_GBK" w:cs="Times New Roman"/>
                <w:color w:val="auto"/>
                <w:kern w:val="0"/>
                <w:sz w:val="24"/>
                <w:highlight w:val="none"/>
                <w:u w:val="none"/>
                <w:lang w:bidi="ar-SA"/>
              </w:rPr>
            </w:pPr>
            <w:r>
              <w:rPr>
                <w:rFonts w:hint="eastAsia" w:ascii="Times New Roman" w:hAnsi="Times New Roman" w:eastAsia="方正黑体_GBK" w:cs="方正黑体_GBK"/>
                <w:color w:val="auto"/>
                <w:kern w:val="0"/>
                <w:sz w:val="24"/>
                <w:highlight w:val="none"/>
                <w:u w:val="none"/>
                <w:lang w:bidi="ar-SA"/>
              </w:rPr>
              <w:t>2</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highlight w:val="none"/>
                <w:u w:val="none"/>
                <w:lang w:val="en-US" w:eastAsia="zh-CN" w:bidi="ar-SA"/>
              </w:rPr>
              <w:t>人工</w:t>
            </w:r>
            <w:r>
              <w:rPr>
                <w:rFonts w:hint="eastAsia" w:ascii="Times New Roman" w:hAnsi="Times New Roman" w:eastAsia="方正黑体_GBK" w:cs="方正黑体_GBK"/>
                <w:color w:val="auto"/>
                <w:kern w:val="0"/>
                <w:sz w:val="24"/>
                <w:highlight w:val="none"/>
                <w:u w:val="none"/>
                <w:lang w:bidi="ar-SA"/>
              </w:rPr>
              <w:t>智能产业。</w:t>
            </w:r>
            <w:r>
              <w:rPr>
                <w:rFonts w:hint="eastAsia" w:ascii="Times New Roman" w:hAnsi="Times New Roman" w:eastAsia="方正书宋_GBK" w:cs="Times New Roman"/>
                <w:color w:val="auto"/>
                <w:kern w:val="0"/>
                <w:sz w:val="24"/>
                <w:highlight w:val="none"/>
                <w:u w:val="none"/>
                <w:lang w:val="en-US" w:eastAsia="zh-CN" w:bidi="ar-SA"/>
              </w:rPr>
              <w:t>人工智能基础设施领域，</w:t>
            </w:r>
            <w:r>
              <w:rPr>
                <w:rFonts w:hint="eastAsia" w:ascii="Times New Roman" w:hAnsi="Times New Roman" w:eastAsia="方正书宋_GBK" w:cs="Times New Roman"/>
                <w:color w:val="auto"/>
                <w:kern w:val="0"/>
                <w:sz w:val="24"/>
                <w:highlight w:val="none"/>
                <w:u w:val="none"/>
                <w:lang w:bidi="ar-SA"/>
              </w:rPr>
              <w:t>打造公共智算算力及交通、病理、政务等高质量数据集，</w:t>
            </w:r>
            <w:r>
              <w:rPr>
                <w:rFonts w:hint="eastAsia" w:ascii="Times New Roman" w:hAnsi="Times New Roman" w:eastAsia="方正书宋_GBK" w:cs="Times New Roman"/>
                <w:color w:val="auto"/>
                <w:kern w:val="0"/>
                <w:sz w:val="24"/>
                <w:highlight w:val="none"/>
                <w:u w:val="none"/>
                <w:lang w:val="en-US" w:eastAsia="zh-CN" w:bidi="ar-SA"/>
              </w:rPr>
              <w:t>推进</w:t>
            </w:r>
            <w:r>
              <w:rPr>
                <w:rFonts w:hint="eastAsia" w:ascii="Times New Roman" w:hAnsi="Times New Roman" w:eastAsia="方正书宋_GBK" w:cs="Times New Roman"/>
                <w:color w:val="auto"/>
                <w:kern w:val="0"/>
                <w:sz w:val="24"/>
                <w:highlight w:val="none"/>
                <w:u w:val="none"/>
                <w:lang w:bidi="ar-SA"/>
              </w:rPr>
              <w:t>可信数据空间等基础设施及平台</w:t>
            </w:r>
            <w:r>
              <w:rPr>
                <w:rFonts w:hint="eastAsia" w:ascii="Times New Roman" w:hAnsi="Times New Roman" w:eastAsia="方正书宋_GBK" w:cs="Times New Roman"/>
                <w:color w:val="auto"/>
                <w:kern w:val="0"/>
                <w:sz w:val="24"/>
                <w:highlight w:val="none"/>
                <w:u w:val="none"/>
                <w:lang w:val="en-US" w:eastAsia="zh-CN" w:bidi="ar-SA"/>
              </w:rPr>
              <w:t>建设</w:t>
            </w:r>
            <w:r>
              <w:rPr>
                <w:rFonts w:hint="eastAsia" w:ascii="Times New Roman" w:hAnsi="Times New Roman" w:eastAsia="方正书宋_GBK" w:cs="Times New Roman"/>
                <w:color w:val="auto"/>
                <w:kern w:val="0"/>
                <w:sz w:val="24"/>
                <w:highlight w:val="none"/>
                <w:u w:val="none"/>
                <w:lang w:bidi="ar-SA"/>
              </w:rPr>
              <w:t>，</w:t>
            </w:r>
            <w:r>
              <w:rPr>
                <w:rFonts w:hint="eastAsia" w:ascii="Times New Roman" w:hAnsi="Times New Roman" w:eastAsia="方正书宋_GBK" w:cs="Times New Roman"/>
                <w:color w:val="auto"/>
                <w:kern w:val="0"/>
                <w:sz w:val="24"/>
                <w:highlight w:val="none"/>
                <w:u w:val="none"/>
                <w:lang w:val="en-US" w:eastAsia="zh-CN" w:bidi="ar-SA"/>
              </w:rPr>
              <w:t>配套</w:t>
            </w:r>
            <w:r>
              <w:rPr>
                <w:rFonts w:hint="eastAsia" w:ascii="Times New Roman" w:hAnsi="Times New Roman" w:eastAsia="方正书宋_GBK" w:cs="Times New Roman"/>
                <w:color w:val="auto"/>
                <w:kern w:val="0"/>
                <w:sz w:val="24"/>
                <w:highlight w:val="none"/>
                <w:u w:val="none"/>
                <w:lang w:bidi="ar-SA"/>
              </w:rPr>
              <w:t>模型算法token训练券</w:t>
            </w:r>
            <w:r>
              <w:rPr>
                <w:rFonts w:hint="eastAsia" w:ascii="Times New Roman" w:hAnsi="Times New Roman" w:eastAsia="方正书宋_GBK" w:cs="Times New Roman"/>
                <w:color w:val="auto"/>
                <w:kern w:val="0"/>
                <w:sz w:val="24"/>
                <w:highlight w:val="none"/>
                <w:u w:val="none"/>
                <w:lang w:val="en-US" w:eastAsia="zh-CN" w:bidi="ar-SA"/>
              </w:rPr>
              <w:t>等工具，</w:t>
            </w:r>
            <w:r>
              <w:rPr>
                <w:rFonts w:hint="eastAsia" w:ascii="Times New Roman" w:hAnsi="Times New Roman" w:eastAsia="方正书宋_GBK" w:cs="Times New Roman"/>
                <w:color w:val="auto"/>
                <w:kern w:val="0"/>
                <w:sz w:val="24"/>
                <w:highlight w:val="none"/>
                <w:u w:val="none"/>
                <w:lang w:bidi="ar-SA"/>
              </w:rPr>
              <w:t>搭建开源算法库与模型训练平台，构建软硬件适配测试中心，推动信创产品兼容互认证。</w:t>
            </w:r>
            <w:r>
              <w:rPr>
                <w:rFonts w:hint="eastAsia" w:ascii="Times New Roman" w:hAnsi="Times New Roman" w:eastAsia="方正书宋_GBK" w:cs="Times New Roman"/>
                <w:color w:val="auto"/>
                <w:kern w:val="0"/>
                <w:sz w:val="24"/>
                <w:highlight w:val="none"/>
                <w:u w:val="none"/>
                <w:lang w:val="en-US" w:eastAsia="zh-CN" w:bidi="ar-SA"/>
              </w:rPr>
              <w:t>具身智能领域，重点研发高精度高性能传感器与关键零部件、高强材料与智能材料，大力推进具身智能软件、算法与智能系统核心技术攻关，开展具身智能操作系统（ROS）等核心工业软件研发，打造人形机器人、工业具身智能、服务具身智能、特种具身智能等智能体本体产品，支持人形机器人不同场景需求下的结构改造、算法优化以及特定能力强化。人工智能行业应用领域，</w:t>
            </w:r>
            <w:r>
              <w:rPr>
                <w:rFonts w:hint="eastAsia" w:ascii="Times New Roman" w:hAnsi="Times New Roman" w:eastAsia="方正书宋_GBK" w:cs="Times New Roman"/>
                <w:color w:val="auto"/>
                <w:kern w:val="0"/>
                <w:sz w:val="24"/>
                <w:highlight w:val="none"/>
                <w:u w:val="none"/>
                <w:lang w:bidi="ar-SA"/>
              </w:rPr>
              <w:t>引进和培育</w:t>
            </w:r>
            <w:r>
              <w:rPr>
                <w:rFonts w:hint="eastAsia" w:ascii="Times New Roman" w:hAnsi="Times New Roman" w:eastAsia="方正书宋_GBK" w:cs="Times New Roman"/>
                <w:color w:val="auto"/>
                <w:kern w:val="0"/>
                <w:sz w:val="24"/>
                <w:highlight w:val="none"/>
                <w:u w:val="none"/>
                <w:lang w:val="en-US" w:eastAsia="zh-CN" w:bidi="ar-SA"/>
              </w:rPr>
              <w:t>人工智能</w:t>
            </w:r>
            <w:r>
              <w:rPr>
                <w:rFonts w:hint="eastAsia" w:ascii="Times New Roman" w:hAnsi="Times New Roman" w:eastAsia="方正书宋_GBK" w:cs="Times New Roman"/>
                <w:color w:val="auto"/>
                <w:kern w:val="0"/>
                <w:sz w:val="24"/>
                <w:highlight w:val="none"/>
                <w:u w:val="none"/>
                <w:lang w:bidi="ar-SA"/>
              </w:rPr>
              <w:t>系统解决方案企业和数据服务业企业，推动</w:t>
            </w:r>
            <w:r>
              <w:rPr>
                <w:rFonts w:hint="eastAsia" w:ascii="Times New Roman" w:hAnsi="Times New Roman" w:eastAsia="方正书宋_GBK" w:cs="Times New Roman"/>
                <w:color w:val="auto"/>
                <w:kern w:val="0"/>
                <w:sz w:val="24"/>
                <w:highlight w:val="none"/>
                <w:u w:val="none"/>
                <w:lang w:val="en-US" w:eastAsia="zh-CN" w:bidi="ar-SA"/>
              </w:rPr>
              <w:t>人工智能</w:t>
            </w:r>
            <w:r>
              <w:rPr>
                <w:rFonts w:hint="eastAsia" w:ascii="Times New Roman" w:hAnsi="Times New Roman" w:eastAsia="方正书宋_GBK" w:cs="Times New Roman"/>
                <w:color w:val="auto"/>
                <w:kern w:val="0"/>
                <w:sz w:val="24"/>
                <w:highlight w:val="none"/>
                <w:u w:val="none"/>
                <w:lang w:bidi="ar-SA"/>
              </w:rPr>
              <w:t>在智慧城市、智能网联汽车、金融科技</w:t>
            </w:r>
            <w:r>
              <w:rPr>
                <w:rFonts w:hint="eastAsia" w:ascii="Times New Roman" w:hAnsi="Times New Roman" w:eastAsia="方正书宋_GBK" w:cs="Times New Roman"/>
                <w:color w:val="auto"/>
                <w:kern w:val="0"/>
                <w:sz w:val="24"/>
                <w:highlight w:val="none"/>
                <w:u w:val="none"/>
                <w:lang w:eastAsia="zh-CN" w:bidi="ar-SA"/>
              </w:rPr>
              <w:t>、</w:t>
            </w:r>
            <w:r>
              <w:rPr>
                <w:rFonts w:hint="eastAsia" w:ascii="Times New Roman" w:hAnsi="Times New Roman" w:eastAsia="方正书宋_GBK" w:cs="Times New Roman"/>
                <w:color w:val="auto"/>
                <w:kern w:val="0"/>
                <w:sz w:val="24"/>
                <w:highlight w:val="none"/>
                <w:u w:val="none"/>
                <w:lang w:val="en-US" w:eastAsia="zh-CN" w:bidi="ar-SA"/>
              </w:rPr>
              <w:t>新一代电子信息制造、先进材料制造</w:t>
            </w:r>
            <w:r>
              <w:rPr>
                <w:rFonts w:hint="eastAsia" w:ascii="Times New Roman" w:hAnsi="Times New Roman" w:eastAsia="方正书宋_GBK" w:cs="Times New Roman"/>
                <w:color w:val="auto"/>
                <w:kern w:val="0"/>
                <w:sz w:val="24"/>
                <w:highlight w:val="none"/>
                <w:u w:val="none"/>
                <w:lang w:bidi="ar-SA"/>
              </w:rPr>
              <w:t>等领域融合运用。</w:t>
            </w:r>
          </w:p>
          <w:p w14:paraId="798338E4">
            <w:pPr>
              <w:widowControl/>
              <w:overflowPunct w:val="0"/>
              <w:snapToGrid w:val="0"/>
              <w:spacing w:line="380" w:lineRule="exact"/>
              <w:ind w:firstLine="480" w:firstLineChars="200"/>
              <w:jc w:val="left"/>
              <w:rPr>
                <w:rFonts w:ascii="Times New Roman" w:hAnsi="Times New Roman" w:eastAsia="方正仿宋_GBK" w:cs="Times New Roman"/>
                <w:color w:val="auto"/>
                <w:sz w:val="32"/>
                <w:szCs w:val="32"/>
                <w:highlight w:val="none"/>
              </w:rPr>
            </w:pPr>
            <w:r>
              <w:rPr>
                <w:rFonts w:hint="eastAsia" w:ascii="Times New Roman" w:hAnsi="Times New Roman" w:eastAsia="方正黑体_GBK" w:cs="方正黑体_GBK"/>
                <w:color w:val="auto"/>
                <w:kern w:val="0"/>
                <w:sz w:val="24"/>
                <w:highlight w:val="none"/>
                <w:u w:val="none"/>
                <w:lang w:bidi="ar-SA"/>
              </w:rPr>
              <w:t>3</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新材料产业。</w:t>
            </w:r>
            <w:r>
              <w:rPr>
                <w:rFonts w:hint="eastAsia" w:ascii="Times New Roman" w:hAnsi="Times New Roman" w:eastAsia="方正书宋_GBK" w:cs="Times New Roman"/>
                <w:color w:val="auto"/>
                <w:kern w:val="0"/>
                <w:sz w:val="24"/>
                <w:highlight w:val="none"/>
                <w:u w:val="none"/>
                <w:lang w:eastAsia="zh" w:bidi="ar-SA"/>
              </w:rPr>
              <w:t>依托</w:t>
            </w:r>
            <w:r>
              <w:rPr>
                <w:rFonts w:hint="eastAsia" w:ascii="Times New Roman" w:hAnsi="Times New Roman" w:eastAsia="方正书宋_GBK" w:cs="Times New Roman"/>
                <w:color w:val="auto"/>
                <w:kern w:val="0"/>
                <w:sz w:val="24"/>
                <w:highlight w:val="none"/>
                <w:u w:val="none"/>
                <w:lang w:bidi="ar-SA"/>
              </w:rPr>
              <w:t>超瞬态实验装置</w:t>
            </w:r>
            <w:r>
              <w:rPr>
                <w:rFonts w:hint="eastAsia" w:ascii="Times New Roman" w:hAnsi="Times New Roman" w:eastAsia="方正书宋_GBK" w:cs="Times New Roman"/>
                <w:color w:val="auto"/>
                <w:kern w:val="0"/>
                <w:sz w:val="24"/>
                <w:highlight w:val="none"/>
                <w:u w:val="none"/>
                <w:lang w:eastAsia="zh" w:bidi="ar-SA"/>
              </w:rPr>
              <w:t>等高能级创新及应用平台，</w:t>
            </w:r>
            <w:r>
              <w:rPr>
                <w:rFonts w:hint="eastAsia" w:ascii="Times New Roman" w:hAnsi="Times New Roman" w:eastAsia="方正书宋_GBK" w:cs="Times New Roman"/>
                <w:color w:val="auto"/>
                <w:kern w:val="0"/>
                <w:sz w:val="24"/>
                <w:highlight w:val="none"/>
                <w:u w:val="none"/>
                <w:lang w:bidi="ar-SA"/>
              </w:rPr>
              <w:t>重点发展纳米及原子级制造，关注稀土材料、柔性电子器件、新型功率器件、第四代半导体器件、高精度硅光组件、新功能材料等，实现新型半导体器件、细胞和基因技术、发酵工程与生物反应技术、分离纯化技术产业化。</w:t>
            </w:r>
          </w:p>
        </w:tc>
      </w:tr>
      <w:bookmarkEnd w:id="240"/>
      <w:bookmarkEnd w:id="241"/>
    </w:tbl>
    <w:p w14:paraId="1A64C092">
      <w:pPr>
        <w:overflowPunct/>
        <w:adjustRightInd w:val="0"/>
        <w:snapToGrid w:val="0"/>
        <w:spacing w:line="600" w:lineRule="exact"/>
        <w:ind w:firstLine="640" w:firstLineChars="200"/>
        <w:jc w:val="left"/>
        <w:textAlignment w:val="baseline"/>
        <w:outlineLvl w:val="9"/>
        <w:rPr>
          <w:rFonts w:hint="eastAsia" w:ascii="Times New Roman" w:hAnsi="Times New Roman" w:eastAsia="方正仿宋_GBK" w:cs="Times New Roman"/>
          <w:color w:val="auto"/>
          <w:sz w:val="32"/>
          <w:szCs w:val="32"/>
          <w:highlight w:val="none"/>
        </w:rPr>
      </w:pPr>
      <w:bookmarkStart w:id="266" w:name="_Toc189381790"/>
      <w:bookmarkStart w:id="267" w:name="_Toc395363638"/>
      <w:bookmarkStart w:id="268" w:name="_Toc17754"/>
      <w:bookmarkStart w:id="269" w:name="_Toc19654"/>
      <w:bookmarkStart w:id="270" w:name="_Toc32584"/>
      <w:bookmarkStart w:id="271" w:name="_Toc4812"/>
      <w:bookmarkStart w:id="272" w:name="_Toc5524"/>
    </w:p>
    <w:p w14:paraId="2B0F4C65">
      <w:pPr>
        <w:overflowPunct w:val="0"/>
        <w:adjustRightInd w:val="0"/>
        <w:snapToGrid w:val="0"/>
        <w:spacing w:line="600" w:lineRule="exact"/>
        <w:jc w:val="center"/>
        <w:outlineLvl w:val="1"/>
        <w:rPr>
          <w:rFonts w:ascii="Times New Roman" w:hAnsi="Times New Roman" w:eastAsia="方正黑体_GBK" w:cs="方正黑体_GBK"/>
          <w:color w:val="auto"/>
          <w:sz w:val="32"/>
          <w:szCs w:val="32"/>
          <w:highlight w:val="none"/>
        </w:rPr>
      </w:pPr>
      <w:bookmarkStart w:id="273" w:name="_Toc15085"/>
      <w:r>
        <w:rPr>
          <w:rFonts w:hint="eastAsia" w:ascii="Times New Roman" w:hAnsi="Times New Roman" w:eastAsia="方正黑体_GBK" w:cs="方正黑体_GBK"/>
          <w:color w:val="auto"/>
          <w:sz w:val="32"/>
          <w:szCs w:val="32"/>
          <w:highlight w:val="none"/>
        </w:rPr>
        <w:t>第三章 提质发展现代服务业</w:t>
      </w:r>
      <w:bookmarkEnd w:id="266"/>
      <w:bookmarkEnd w:id="267"/>
      <w:bookmarkEnd w:id="273"/>
    </w:p>
    <w:p w14:paraId="315A9EEE">
      <w:pPr>
        <w:adjustRightInd w:val="0"/>
        <w:snapToGrid w:val="0"/>
        <w:spacing w:line="600" w:lineRule="exact"/>
        <w:ind w:firstLine="640" w:firstLineChars="200"/>
        <w:textAlignment w:val="baseline"/>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迭代实施“满天星”行动计划，推动软件和信息服务、科技服务等优质主体“入链上楼”，培育壮大楼宇经济、会展经济，加快生产性服务业聚链成群，推动生活性服务业提档升级，提质建设现代生产性服务业集聚区。到2030年，现代服务业营收规模达到500亿元。</w:t>
      </w:r>
    </w:p>
    <w:p w14:paraId="41F4D291">
      <w:pPr>
        <w:overflowPunct w:val="0"/>
        <w:adjustRightInd w:val="0"/>
        <w:snapToGrid w:val="0"/>
        <w:spacing w:line="600" w:lineRule="exact"/>
        <w:jc w:val="center"/>
        <w:outlineLvl w:val="2"/>
        <w:rPr>
          <w:rFonts w:ascii="Times New Roman" w:hAnsi="Times New Roman" w:eastAsia="方正楷体_GBK" w:cs="方正楷体_GBK"/>
          <w:color w:val="auto"/>
          <w:sz w:val="32"/>
          <w:szCs w:val="32"/>
          <w:highlight w:val="none"/>
        </w:rPr>
      </w:pPr>
      <w:bookmarkStart w:id="274" w:name="_Toc1876"/>
      <w:bookmarkStart w:id="275" w:name="_Toc25186"/>
      <w:bookmarkStart w:id="276" w:name="_Toc368979676"/>
      <w:bookmarkStart w:id="277" w:name="_Toc4989"/>
      <w:bookmarkStart w:id="278" w:name="_Toc562260048"/>
      <w:r>
        <w:rPr>
          <w:rFonts w:hint="eastAsia" w:ascii="Times New Roman" w:hAnsi="Times New Roman" w:eastAsia="方正楷体_GBK" w:cs="方正楷体_GBK"/>
          <w:color w:val="auto"/>
          <w:sz w:val="32"/>
          <w:szCs w:val="32"/>
          <w:highlight w:val="none"/>
        </w:rPr>
        <w:t xml:space="preserve">第一节 </w:t>
      </w:r>
      <w:bookmarkStart w:id="279" w:name="_Toc20142"/>
      <w:r>
        <w:rPr>
          <w:rFonts w:hint="eastAsia" w:ascii="Times New Roman" w:hAnsi="Times New Roman" w:eastAsia="方正楷体_GBK" w:cs="方正楷体_GBK"/>
          <w:color w:val="auto"/>
          <w:sz w:val="32"/>
          <w:szCs w:val="32"/>
          <w:highlight w:val="none"/>
        </w:rPr>
        <w:t>集聚</w:t>
      </w:r>
      <w:r>
        <w:rPr>
          <w:rFonts w:ascii="Times New Roman" w:hAnsi="Times New Roman" w:eastAsia="方正楷体_GBK" w:cs="方正楷体_GBK"/>
          <w:color w:val="auto"/>
          <w:sz w:val="32"/>
          <w:szCs w:val="32"/>
          <w:highlight w:val="none"/>
        </w:rPr>
        <w:t>发展软件和信息服务产业</w:t>
      </w:r>
      <w:bookmarkEnd w:id="268"/>
      <w:bookmarkEnd w:id="269"/>
      <w:bookmarkEnd w:id="270"/>
      <w:bookmarkEnd w:id="271"/>
      <w:bookmarkEnd w:id="274"/>
      <w:bookmarkEnd w:id="275"/>
      <w:bookmarkEnd w:id="276"/>
      <w:bookmarkEnd w:id="277"/>
      <w:bookmarkEnd w:id="278"/>
      <w:bookmarkEnd w:id="279"/>
      <w:bookmarkStart w:id="280" w:name="_Toc5956"/>
      <w:bookmarkStart w:id="281" w:name="_Toc2022"/>
      <w:bookmarkStart w:id="282" w:name="_Toc12749"/>
      <w:bookmarkStart w:id="283" w:name="_Toc20782"/>
    </w:p>
    <w:p w14:paraId="60FE2066">
      <w:pPr>
        <w:overflowPunct/>
        <w:adjustRightInd w:val="0"/>
        <w:snapToGrid w:val="0"/>
        <w:spacing w:line="600" w:lineRule="exact"/>
        <w:ind w:firstLine="640" w:firstLineChars="200"/>
        <w:jc w:val="left"/>
        <w:textAlignment w:val="baseline"/>
        <w:rPr>
          <w:rFonts w:hint="eastAsia" w:ascii="Times New Roman" w:hAnsi="Times New Roman" w:eastAsia="方正黑体_GBK" w:cs="方正黑体_GBK"/>
          <w:color w:val="auto"/>
          <w:sz w:val="28"/>
          <w:szCs w:val="28"/>
          <w:highlight w:val="none"/>
          <w:lang w:bidi="ar"/>
        </w:rPr>
      </w:pPr>
      <w:r>
        <w:rPr>
          <w:rFonts w:hint="eastAsia" w:ascii="Times New Roman" w:hAnsi="Times New Roman" w:eastAsia="方正仿宋_GBK" w:cs="Times New Roman"/>
          <w:color w:val="auto"/>
          <w:sz w:val="32"/>
          <w:szCs w:val="32"/>
          <w:highlight w:val="none"/>
        </w:rPr>
        <w:t>围绕工业设计、汽车软件、工业软件、数字文创等重点方向，构建“软硬结合”的</w:t>
      </w:r>
      <w:r>
        <w:rPr>
          <w:rFonts w:hint="eastAsia" w:ascii="Times New Roman" w:hAnsi="Times New Roman" w:eastAsia="方正仿宋_GBK" w:cs="Times New Roman"/>
          <w:color w:val="auto"/>
          <w:sz w:val="32"/>
          <w:szCs w:val="32"/>
          <w:highlight w:val="none"/>
          <w:lang w:eastAsia="zh-CN"/>
        </w:rPr>
        <w:t>软件和信息服务业</w:t>
      </w:r>
      <w:r>
        <w:rPr>
          <w:rFonts w:hint="eastAsia" w:ascii="Times New Roman" w:hAnsi="Times New Roman" w:eastAsia="方正仿宋_GBK" w:cs="Times New Roman"/>
          <w:color w:val="auto"/>
          <w:sz w:val="32"/>
          <w:szCs w:val="32"/>
          <w:highlight w:val="none"/>
        </w:rPr>
        <w:t>产业生态。</w:t>
      </w:r>
      <w:r>
        <w:rPr>
          <w:rFonts w:hint="eastAsia" w:ascii="Times New Roman" w:hAnsi="Times New Roman" w:eastAsia="方正仿宋_GBK" w:cs="方正仿宋_GBK"/>
          <w:color w:val="auto"/>
          <w:sz w:val="32"/>
          <w:szCs w:val="32"/>
          <w:highlight w:val="none"/>
        </w:rPr>
        <w:t>工业设计领域。高标准打造工业设计国际创谷，面向专业软件和数字内容新业态打造开源模型算法库，依托</w:t>
      </w:r>
      <w:r>
        <w:rPr>
          <w:rFonts w:hint="eastAsia" w:ascii="Times New Roman" w:hAnsi="Times New Roman" w:eastAsia="方正仿宋_GBK" w:cs="方正仿宋_GBK"/>
          <w:color w:val="auto"/>
          <w:sz w:val="32"/>
          <w:szCs w:val="32"/>
          <w:highlight w:val="none"/>
          <w:lang w:val="en-US" w:eastAsia="zh-CN"/>
        </w:rPr>
        <w:t>重庆大学</w:t>
      </w:r>
      <w:r>
        <w:rPr>
          <w:rFonts w:hint="eastAsia" w:ascii="Times New Roman" w:hAnsi="Times New Roman" w:eastAsia="方正仿宋_GBK" w:cs="方正仿宋_GBK"/>
          <w:color w:val="auto"/>
          <w:sz w:val="32"/>
          <w:szCs w:val="32"/>
          <w:highlight w:val="none"/>
        </w:rPr>
        <w:t>、</w:t>
      </w:r>
      <w:r>
        <w:rPr>
          <w:rFonts w:hint="eastAsia" w:ascii="Times New Roman" w:hAnsi="Times New Roman" w:eastAsia="方正仿宋_GBK" w:cs="方正仿宋_GBK"/>
          <w:color w:val="auto"/>
          <w:sz w:val="32"/>
          <w:szCs w:val="32"/>
          <w:highlight w:val="none"/>
          <w:lang w:val="en-US" w:eastAsia="zh-CN"/>
        </w:rPr>
        <w:t>四川美术学院</w:t>
      </w:r>
      <w:r>
        <w:rPr>
          <w:rFonts w:hint="eastAsia" w:ascii="Times New Roman" w:hAnsi="Times New Roman" w:eastAsia="方正仿宋_GBK" w:cs="方正仿宋_GBK"/>
          <w:color w:val="auto"/>
          <w:sz w:val="32"/>
          <w:szCs w:val="32"/>
          <w:highlight w:val="none"/>
        </w:rPr>
        <w:t>等资源引育世界级设计公司，打造全栈式数据与智能体开发平台</w:t>
      </w:r>
      <w:r>
        <w:rPr>
          <w:rFonts w:hint="eastAsia" w:ascii="Times New Roman" w:hAnsi="Times New Roman" w:eastAsia="方正仿宋_GBK" w:cs="方正仿宋_GBK"/>
          <w:color w:val="auto"/>
          <w:sz w:val="32"/>
          <w:szCs w:val="32"/>
          <w:highlight w:val="none"/>
          <w:lang w:val="en-US" w:eastAsia="zh-CN"/>
        </w:rPr>
        <w:t>以及</w:t>
      </w:r>
      <w:r>
        <w:rPr>
          <w:rFonts w:hint="eastAsia" w:ascii="Times New Roman" w:hAnsi="Times New Roman" w:eastAsia="方正仿宋_GBK" w:cs="方正仿宋_GBK"/>
          <w:color w:val="auto"/>
          <w:sz w:val="32"/>
          <w:szCs w:val="32"/>
          <w:highlight w:val="none"/>
        </w:rPr>
        <w:t>数字内容渲染、算力平台，开启“一人公司”创业的高新范式。汽车软件领域</w:t>
      </w:r>
      <w:r>
        <w:rPr>
          <w:rFonts w:hint="eastAsia" w:ascii="Times New Roman" w:hAnsi="Times New Roman" w:eastAsia="方正仿宋_GBK" w:cs="方正仿宋_GBK"/>
          <w:color w:val="auto"/>
          <w:sz w:val="32"/>
          <w:szCs w:val="32"/>
          <w:highlight w:val="none"/>
          <w:lang w:eastAsia="zh-CN"/>
        </w:rPr>
        <w:t>。</w:t>
      </w:r>
      <w:r>
        <w:rPr>
          <w:rFonts w:hint="eastAsia" w:ascii="Times New Roman" w:hAnsi="Times New Roman" w:eastAsia="方正仿宋_GBK" w:cs="Times New Roman"/>
          <w:color w:val="auto"/>
          <w:sz w:val="32"/>
          <w:szCs w:val="32"/>
          <w:highlight w:val="none"/>
        </w:rPr>
        <w:t>围绕企业需求，建立“设计需求+制造能力”对接</w:t>
      </w:r>
      <w:r>
        <w:rPr>
          <w:rFonts w:hint="eastAsia" w:ascii="Times New Roman" w:hAnsi="Times New Roman" w:eastAsia="方正仿宋_GBK" w:cs="Times New Roman"/>
          <w:color w:val="auto"/>
          <w:sz w:val="32"/>
          <w:szCs w:val="32"/>
          <w:highlight w:val="none"/>
          <w:lang w:val="en-US" w:eastAsia="zh-CN"/>
        </w:rPr>
        <w:t>渠道</w:t>
      </w:r>
      <w:r>
        <w:rPr>
          <w:rFonts w:hint="eastAsia" w:ascii="Times New Roman" w:hAnsi="Times New Roman" w:eastAsia="方正仿宋_GBK" w:cs="Times New Roman"/>
          <w:color w:val="auto"/>
          <w:sz w:val="32"/>
          <w:szCs w:val="32"/>
          <w:highlight w:val="none"/>
        </w:rPr>
        <w:t>，推广“设、研、产、销”一体化服务模式。工业软件领域。做优商飞工业软件创新重庆中心，推动国产CAE软件成果落地转化。依托芯片创新服务平台，为车规</w:t>
      </w:r>
      <w:r>
        <w:rPr>
          <w:rFonts w:hint="eastAsia" w:ascii="Times New Roman" w:hAnsi="Times New Roman" w:eastAsia="方正仿宋_GBK" w:cs="Times New Roman"/>
          <w:color w:val="auto"/>
          <w:sz w:val="32"/>
          <w:szCs w:val="32"/>
          <w:highlight w:val="none"/>
          <w:lang w:val="en-US" w:eastAsia="zh-CN"/>
        </w:rPr>
        <w:t>级</w:t>
      </w:r>
      <w:r>
        <w:rPr>
          <w:rFonts w:hint="eastAsia" w:ascii="Times New Roman" w:hAnsi="Times New Roman" w:eastAsia="方正仿宋_GBK" w:cs="Times New Roman"/>
          <w:color w:val="auto"/>
          <w:sz w:val="32"/>
          <w:szCs w:val="32"/>
          <w:highlight w:val="none"/>
        </w:rPr>
        <w:t>功率半导体设计企业提供公共技术服务。数字文创领域。打造“科技+文化”融合新地标，推动“工业设计+数字文创”，</w:t>
      </w:r>
      <w:r>
        <w:rPr>
          <w:rFonts w:hint="eastAsia" w:ascii="Times New Roman" w:hAnsi="Times New Roman" w:eastAsia="方正仿宋_GBK" w:cs="Times New Roman"/>
          <w:color w:val="auto"/>
          <w:sz w:val="32"/>
          <w:szCs w:val="32"/>
          <w:highlight w:val="none"/>
          <w:lang w:val="en-US" w:eastAsia="zh-CN"/>
        </w:rPr>
        <w:t>鼓励</w:t>
      </w:r>
      <w:r>
        <w:rPr>
          <w:rFonts w:hint="eastAsia" w:ascii="Times New Roman" w:hAnsi="Times New Roman" w:eastAsia="方正仿宋_GBK" w:cs="Times New Roman"/>
          <w:color w:val="auto"/>
          <w:sz w:val="32"/>
          <w:szCs w:val="32"/>
          <w:highlight w:val="none"/>
        </w:rPr>
        <w:t>企业将汽车、电子产品等工业成果转化为文创IP、开发衍生产品，围绕数字内容、网络直播、IT外包、人工智能等业态开展“订单式”人才培养。到2030年，软件和信息服务产业营收规模达到200亿元。</w:t>
      </w:r>
    </w:p>
    <w:p w14:paraId="5E7C82CB">
      <w:pPr>
        <w:overflowPunct w:val="0"/>
        <w:jc w:val="center"/>
        <w:rPr>
          <w:rFonts w:hint="eastAsia" w:ascii="Times New Roman" w:hAnsi="Times New Roman" w:eastAsia="方正黑体_GBK" w:cs="方正黑体_GBK"/>
          <w:color w:val="auto"/>
          <w:kern w:val="0"/>
          <w:sz w:val="32"/>
          <w:szCs w:val="32"/>
          <w:highlight w:val="none"/>
          <w:u w:val="none"/>
          <w:lang w:bidi="ar"/>
        </w:rPr>
      </w:pPr>
      <w:r>
        <w:rPr>
          <w:rFonts w:hint="eastAsia" w:ascii="Times New Roman" w:hAnsi="Times New Roman" w:eastAsia="方正黑体_GBK" w:cs="方正黑体_GBK"/>
          <w:color w:val="auto"/>
          <w:kern w:val="0"/>
          <w:sz w:val="32"/>
          <w:szCs w:val="32"/>
          <w:highlight w:val="none"/>
          <w:u w:val="none"/>
          <w:lang w:bidi="ar"/>
        </w:rPr>
        <w:t>专栏</w:t>
      </w:r>
      <w:r>
        <w:rPr>
          <w:rFonts w:hint="eastAsia" w:ascii="Times New Roman" w:hAnsi="Times New Roman" w:eastAsia="方正黑体_GBK" w:cs="方正黑体_GBK"/>
          <w:color w:val="auto"/>
          <w:kern w:val="0"/>
          <w:sz w:val="32"/>
          <w:szCs w:val="32"/>
          <w:highlight w:val="none"/>
          <w:u w:val="none"/>
          <w:lang w:val="en-US" w:eastAsia="zh-CN" w:bidi="ar"/>
        </w:rPr>
        <w:t>13</w:t>
      </w:r>
      <w:r>
        <w:rPr>
          <w:rFonts w:hint="eastAsia" w:ascii="Times New Roman" w:hAnsi="Times New Roman" w:eastAsia="方正黑体_GBK" w:cs="方正黑体_GBK"/>
          <w:color w:val="auto"/>
          <w:kern w:val="0"/>
          <w:sz w:val="32"/>
          <w:szCs w:val="32"/>
          <w:highlight w:val="none"/>
          <w:u w:val="none"/>
          <w:lang w:bidi="ar"/>
        </w:rPr>
        <w:t xml:space="preserve"> 软件和信息服务产业重点领域</w:t>
      </w:r>
    </w:p>
    <w:tbl>
      <w:tblPr>
        <w:tblStyle w:val="22"/>
        <w:tblW w:w="9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0"/>
      </w:tblGrid>
      <w:tr w14:paraId="12409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0" w:type="dxa"/>
          </w:tcPr>
          <w:p w14:paraId="02C34855">
            <w:pPr>
              <w:widowControl/>
              <w:numPr>
                <w:ilvl w:val="0"/>
                <w:numId w:val="0"/>
              </w:numPr>
              <w:overflowPunct w:val="0"/>
              <w:snapToGrid w:val="0"/>
              <w:spacing w:line="380" w:lineRule="exact"/>
              <w:ind w:firstLine="480" w:firstLineChars="200"/>
              <w:jc w:val="left"/>
              <w:rPr>
                <w:rFonts w:hint="eastAsia" w:ascii="Times New Roman" w:hAnsi="Times New Roman" w:eastAsia="方正书宋_GBK" w:cs="Times New Roman"/>
                <w:color w:val="auto"/>
                <w:kern w:val="0"/>
                <w:sz w:val="24"/>
                <w:highlight w:val="none"/>
                <w:u w:val="none"/>
                <w:lang w:bidi="ar-SA"/>
              </w:rPr>
            </w:pPr>
            <w:r>
              <w:rPr>
                <w:rFonts w:hint="eastAsia" w:ascii="Times New Roman" w:hAnsi="Times New Roman" w:eastAsia="方正黑体_GBK" w:cs="方正黑体_GBK"/>
                <w:color w:val="auto"/>
                <w:kern w:val="0"/>
                <w:sz w:val="24"/>
                <w:highlight w:val="none"/>
                <w:u w:val="none"/>
                <w:lang w:val="en-US" w:eastAsia="zh-CN" w:bidi="ar-SA"/>
              </w:rPr>
              <w:t>1</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工业设计。</w:t>
            </w:r>
            <w:r>
              <w:rPr>
                <w:rFonts w:hint="eastAsia" w:ascii="Times New Roman" w:hAnsi="Times New Roman" w:eastAsia="方正书宋_GBK" w:cs="Times New Roman"/>
                <w:color w:val="auto"/>
                <w:kern w:val="0"/>
                <w:sz w:val="24"/>
                <w:highlight w:val="none"/>
                <w:u w:val="none"/>
                <w:lang w:bidi="ar-SA"/>
              </w:rPr>
              <w:t>围绕高端装备、智能终端、汽车电子、消费电子等重点领域，发展外观设计、结构设计、交互与服务设计、智能化设计、可持续设计等前沿方向，补齐样机制作、3D打印、模具设计中试环节。</w:t>
            </w:r>
          </w:p>
          <w:p w14:paraId="546190DD">
            <w:pPr>
              <w:widowControl/>
              <w:numPr>
                <w:ilvl w:val="0"/>
                <w:numId w:val="0"/>
              </w:numPr>
              <w:overflowPunct w:val="0"/>
              <w:snapToGrid w:val="0"/>
              <w:spacing w:line="380" w:lineRule="exact"/>
              <w:ind w:firstLine="480" w:firstLineChars="200"/>
              <w:jc w:val="left"/>
              <w:rPr>
                <w:rFonts w:hint="eastAsia" w:ascii="Times New Roman" w:hAnsi="Times New Roman" w:eastAsia="方正书宋_GBK" w:cs="Times New Roman"/>
                <w:color w:val="auto"/>
                <w:kern w:val="0"/>
                <w:sz w:val="24"/>
                <w:highlight w:val="none"/>
                <w:u w:val="none"/>
                <w:lang w:bidi="ar-SA"/>
              </w:rPr>
            </w:pPr>
            <w:r>
              <w:rPr>
                <w:rFonts w:hint="eastAsia" w:ascii="Times New Roman" w:hAnsi="Times New Roman" w:eastAsia="方正黑体_GBK" w:cs="方正黑体_GBK"/>
                <w:color w:val="auto"/>
                <w:kern w:val="0"/>
                <w:sz w:val="24"/>
                <w:highlight w:val="none"/>
                <w:u w:val="none"/>
                <w:lang w:val="en-US" w:eastAsia="zh-CN" w:bidi="ar-SA"/>
              </w:rPr>
              <w:t>2</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汽车软件。</w:t>
            </w:r>
            <w:r>
              <w:rPr>
                <w:rFonts w:hint="eastAsia" w:ascii="Times New Roman" w:hAnsi="Times New Roman" w:eastAsia="方正书宋_GBK" w:cs="Times New Roman"/>
                <w:color w:val="auto"/>
                <w:kern w:val="0"/>
                <w:sz w:val="24"/>
                <w:highlight w:val="none"/>
                <w:u w:val="none"/>
                <w:lang w:bidi="ar-SA"/>
              </w:rPr>
              <w:t>重点突破AI+智能驾驶、车载操作系统（OS）、车控软件、车联网平台、测试验证工具等领域，发展智能驾驶系统、智能座舱、车云协同平台等核心软件产品。</w:t>
            </w:r>
          </w:p>
          <w:p w14:paraId="348B2654">
            <w:pPr>
              <w:widowControl/>
              <w:numPr>
                <w:ilvl w:val="0"/>
                <w:numId w:val="0"/>
              </w:numPr>
              <w:overflowPunct w:val="0"/>
              <w:snapToGrid w:val="0"/>
              <w:spacing w:line="380" w:lineRule="exact"/>
              <w:ind w:firstLine="480" w:firstLineChars="200"/>
              <w:jc w:val="left"/>
              <w:rPr>
                <w:rFonts w:hint="eastAsia" w:ascii="Times New Roman" w:hAnsi="Times New Roman" w:eastAsia="方正书宋_GBK" w:cs="Times New Roman"/>
                <w:color w:val="auto"/>
                <w:kern w:val="0"/>
                <w:sz w:val="24"/>
                <w:highlight w:val="none"/>
                <w:u w:val="none"/>
                <w:lang w:bidi="ar-SA"/>
              </w:rPr>
            </w:pPr>
            <w:r>
              <w:rPr>
                <w:rFonts w:hint="eastAsia" w:ascii="Times New Roman" w:hAnsi="Times New Roman" w:eastAsia="方正黑体_GBK" w:cs="方正黑体_GBK"/>
                <w:color w:val="auto"/>
                <w:kern w:val="0"/>
                <w:sz w:val="24"/>
                <w:highlight w:val="none"/>
                <w:u w:val="none"/>
                <w:lang w:val="en-US" w:eastAsia="zh-CN" w:bidi="ar-SA"/>
              </w:rPr>
              <w:t>3</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工业软件。</w:t>
            </w:r>
            <w:r>
              <w:rPr>
                <w:rFonts w:hint="eastAsia" w:ascii="Times New Roman" w:hAnsi="Times New Roman" w:eastAsia="方正书宋_GBK" w:cs="Times New Roman"/>
                <w:color w:val="auto"/>
                <w:kern w:val="0"/>
                <w:sz w:val="24"/>
                <w:highlight w:val="none"/>
                <w:u w:val="none"/>
                <w:lang w:bidi="ar-SA"/>
              </w:rPr>
              <w:t>围绕研发设计类</w:t>
            </w:r>
            <w:r>
              <w:rPr>
                <w:rFonts w:hint="eastAsia" w:ascii="Times New Roman" w:hAnsi="Times New Roman" w:eastAsia="方正书宋_GBK" w:cs="Times New Roman"/>
                <w:color w:val="auto"/>
                <w:kern w:val="0"/>
                <w:sz w:val="24"/>
                <w:highlight w:val="none"/>
                <w:u w:val="none"/>
                <w:lang w:val="en-US" w:eastAsia="zh-CN" w:bidi="ar-SA"/>
              </w:rPr>
              <w:t>软件</w:t>
            </w:r>
            <w:r>
              <w:rPr>
                <w:rFonts w:hint="eastAsia" w:ascii="Times New Roman" w:hAnsi="Times New Roman" w:eastAsia="方正书宋_GBK" w:cs="Times New Roman"/>
                <w:color w:val="auto"/>
                <w:kern w:val="0"/>
                <w:sz w:val="24"/>
                <w:highlight w:val="none"/>
                <w:u w:val="none"/>
                <w:lang w:bidi="ar-SA"/>
              </w:rPr>
              <w:t>、生产控制类</w:t>
            </w:r>
            <w:r>
              <w:rPr>
                <w:rFonts w:hint="eastAsia" w:ascii="Times New Roman" w:hAnsi="Times New Roman" w:eastAsia="方正书宋_GBK" w:cs="Times New Roman"/>
                <w:color w:val="auto"/>
                <w:kern w:val="0"/>
                <w:sz w:val="24"/>
                <w:highlight w:val="none"/>
                <w:u w:val="none"/>
                <w:lang w:val="en-US" w:eastAsia="zh-CN" w:bidi="ar-SA"/>
              </w:rPr>
              <w:t>软件</w:t>
            </w:r>
            <w:r>
              <w:rPr>
                <w:rFonts w:hint="eastAsia" w:ascii="Times New Roman" w:hAnsi="Times New Roman" w:eastAsia="方正书宋_GBK" w:cs="Times New Roman"/>
                <w:color w:val="auto"/>
                <w:kern w:val="0"/>
                <w:sz w:val="24"/>
                <w:highlight w:val="none"/>
                <w:u w:val="none"/>
                <w:lang w:bidi="ar-SA"/>
              </w:rPr>
              <w:t>、嵌入式软件等关键领域，结合重庆汽车、集成电路、装备等制造业优势，开发具有行业特色的工业软件产品，打造智能工厂、数字化研发等示范应用场景。</w:t>
            </w:r>
          </w:p>
          <w:p w14:paraId="62AC42C2">
            <w:pPr>
              <w:widowControl/>
              <w:numPr>
                <w:ilvl w:val="0"/>
                <w:numId w:val="0"/>
              </w:numPr>
              <w:overflowPunct w:val="0"/>
              <w:snapToGrid w:val="0"/>
              <w:spacing w:line="380" w:lineRule="exact"/>
              <w:ind w:firstLine="480" w:firstLineChars="200"/>
              <w:jc w:val="left"/>
              <w:rPr>
                <w:rFonts w:ascii="Times New Roman" w:hAnsi="Times New Roman" w:eastAsia="方正仿宋_GBK" w:cs="Times New Roman"/>
                <w:color w:val="auto"/>
                <w:sz w:val="32"/>
                <w:szCs w:val="32"/>
                <w:highlight w:val="none"/>
              </w:rPr>
            </w:pPr>
            <w:r>
              <w:rPr>
                <w:rFonts w:hint="eastAsia" w:ascii="Times New Roman" w:hAnsi="Times New Roman" w:eastAsia="方正黑体_GBK" w:cs="方正黑体_GBK"/>
                <w:color w:val="auto"/>
                <w:kern w:val="0"/>
                <w:sz w:val="24"/>
                <w:highlight w:val="none"/>
                <w:u w:val="none"/>
                <w:lang w:val="en-US" w:eastAsia="zh-CN" w:bidi="ar-SA"/>
              </w:rPr>
              <w:t>4</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数字文创。</w:t>
            </w:r>
            <w:r>
              <w:rPr>
                <w:rFonts w:hint="eastAsia" w:ascii="Times New Roman" w:hAnsi="Times New Roman" w:eastAsia="方正书宋_GBK" w:cs="Times New Roman"/>
                <w:color w:val="auto"/>
                <w:kern w:val="0"/>
                <w:sz w:val="24"/>
                <w:highlight w:val="none"/>
                <w:u w:val="none"/>
                <w:lang w:bidi="ar-SA"/>
              </w:rPr>
              <w:t>重点发展游戏动漫、数字出版、文博数字化、AI创作、IP衍生与跨界等领域，培育原创IP与数字品牌，开发沉浸式文化体验产品、游戏动漫引擎、影视制作工具、互动娱乐等产品。</w:t>
            </w:r>
          </w:p>
        </w:tc>
      </w:tr>
      <w:bookmarkEnd w:id="280"/>
      <w:bookmarkEnd w:id="281"/>
      <w:bookmarkEnd w:id="282"/>
      <w:bookmarkEnd w:id="283"/>
    </w:tbl>
    <w:p w14:paraId="34896510">
      <w:pPr>
        <w:overflowPunct w:val="0"/>
        <w:adjustRightInd w:val="0"/>
        <w:snapToGrid w:val="0"/>
        <w:spacing w:line="600" w:lineRule="exact"/>
        <w:jc w:val="center"/>
        <w:outlineLvl w:val="2"/>
        <w:rPr>
          <w:rFonts w:hint="eastAsia" w:ascii="Times New Roman" w:hAnsi="Times New Roman" w:eastAsia="方正楷体_GBK" w:cs="方正楷体_GBK"/>
          <w:color w:val="auto"/>
          <w:kern w:val="2"/>
          <w:sz w:val="32"/>
          <w:szCs w:val="32"/>
          <w:highlight w:val="none"/>
          <w:lang w:bidi="ar"/>
        </w:rPr>
      </w:pPr>
      <w:bookmarkStart w:id="284" w:name="_Toc11356"/>
      <w:bookmarkStart w:id="285" w:name="_Toc1656125643"/>
      <w:bookmarkStart w:id="286" w:name="_Toc976579936"/>
      <w:bookmarkStart w:id="287" w:name="_Toc4176"/>
      <w:bookmarkStart w:id="288" w:name="_Toc2498"/>
      <w:bookmarkStart w:id="289" w:name="_Toc14150"/>
      <w:bookmarkStart w:id="290" w:name="_Toc8441"/>
      <w:r>
        <w:rPr>
          <w:rFonts w:hint="eastAsia" w:ascii="Times New Roman" w:hAnsi="Times New Roman" w:eastAsia="方正楷体_GBK" w:cs="方正楷体_GBK"/>
          <w:color w:val="auto"/>
          <w:sz w:val="32"/>
          <w:szCs w:val="32"/>
          <w:highlight w:val="none"/>
        </w:rPr>
        <w:t xml:space="preserve">第二节 </w:t>
      </w:r>
      <w:r>
        <w:rPr>
          <w:rFonts w:hint="eastAsia" w:ascii="Times New Roman" w:hAnsi="Times New Roman" w:eastAsia="方正楷体_GBK" w:cs="方正楷体_GBK"/>
          <w:color w:val="auto"/>
          <w:sz w:val="32"/>
          <w:szCs w:val="32"/>
          <w:highlight w:val="none"/>
          <w:lang w:eastAsia="zh-CN"/>
        </w:rPr>
        <w:t>聚力</w:t>
      </w:r>
      <w:r>
        <w:rPr>
          <w:rFonts w:hint="eastAsia" w:ascii="Times New Roman" w:hAnsi="Times New Roman" w:eastAsia="方正楷体_GBK" w:cs="方正楷体_GBK"/>
          <w:color w:val="auto"/>
          <w:sz w:val="32"/>
          <w:szCs w:val="32"/>
          <w:highlight w:val="none"/>
        </w:rPr>
        <w:t>发展科技服务产业</w:t>
      </w:r>
      <w:bookmarkEnd w:id="284"/>
      <w:bookmarkEnd w:id="285"/>
      <w:bookmarkEnd w:id="286"/>
    </w:p>
    <w:p w14:paraId="6E6E68F6">
      <w:pPr>
        <w:pStyle w:val="19"/>
        <w:overflowPunct w:val="0"/>
        <w:adjustRightInd w:val="0"/>
        <w:snapToGrid w:val="0"/>
        <w:spacing w:beforeAutospacing="0" w:afterAutospacing="0" w:line="600" w:lineRule="exact"/>
        <w:ind w:firstLine="640" w:firstLineChars="200"/>
        <w:jc w:val="both"/>
        <w:rPr>
          <w:rFonts w:ascii="Times New Roman" w:hAnsi="Times New Roman" w:eastAsia="方正仿宋_GBK" w:cs="方正仿宋_GBK"/>
          <w:color w:val="auto"/>
          <w:sz w:val="32"/>
          <w:szCs w:val="32"/>
          <w:highlight w:val="none"/>
        </w:rPr>
      </w:pPr>
      <w:r>
        <w:rPr>
          <w:rFonts w:hint="eastAsia" w:ascii="Times New Roman" w:hAnsi="Times New Roman" w:eastAsia="方正仿宋_GBK"/>
          <w:color w:val="auto"/>
          <w:sz w:val="32"/>
          <w:szCs w:val="32"/>
          <w:highlight w:val="none"/>
          <w:lang w:bidi="ar"/>
        </w:rPr>
        <w:t>依托</w:t>
      </w:r>
      <w:r>
        <w:rPr>
          <w:rFonts w:ascii="Times New Roman" w:hAnsi="Times New Roman" w:eastAsia="方正仿宋_GBK"/>
          <w:color w:val="auto"/>
          <w:sz w:val="32"/>
          <w:szCs w:val="32"/>
          <w:highlight w:val="none"/>
        </w:rPr>
        <w:t>国家质检基地、国家检验检测高技术服务业集聚区</w:t>
      </w:r>
      <w:r>
        <w:rPr>
          <w:rFonts w:hint="eastAsia" w:ascii="Times New Roman" w:hAnsi="Times New Roman" w:eastAsia="方正仿宋_GBK"/>
          <w:color w:val="auto"/>
          <w:sz w:val="32"/>
          <w:szCs w:val="32"/>
          <w:highlight w:val="none"/>
        </w:rPr>
        <w:t>“金字招牌”，加速建设金凤科技服务集聚区等科技服务高地，系统推进科技创新与产业融合。持续</w:t>
      </w:r>
      <w:r>
        <w:rPr>
          <w:rFonts w:hint="eastAsia" w:ascii="Times New Roman" w:hAnsi="Times New Roman" w:eastAsia="方正仿宋_GBK"/>
          <w:color w:val="auto"/>
          <w:sz w:val="32"/>
          <w:szCs w:val="32"/>
          <w:highlight w:val="none"/>
          <w:lang w:bidi="ar"/>
        </w:rPr>
        <w:t>壮大检验检测服务规模</w:t>
      </w:r>
      <w:r>
        <w:rPr>
          <w:rFonts w:hint="eastAsia" w:ascii="Times New Roman" w:hAnsi="Times New Roman" w:eastAsia="方正仿宋_GBK"/>
          <w:color w:val="auto"/>
          <w:sz w:val="32"/>
          <w:szCs w:val="32"/>
          <w:highlight w:val="none"/>
        </w:rPr>
        <w:t>，</w:t>
      </w:r>
      <w:r>
        <w:rPr>
          <w:rFonts w:hint="eastAsia" w:ascii="Times New Roman" w:hAnsi="Times New Roman" w:eastAsia="方正仿宋_GBK"/>
          <w:color w:val="auto"/>
          <w:sz w:val="32"/>
          <w:szCs w:val="32"/>
          <w:highlight w:val="none"/>
          <w:lang w:bidi="ar"/>
        </w:rPr>
        <w:t>聚焦新能源及智能网联汽车、生物医药及医疗器械、集成电路及电子元器件检测、智能装备检测等领域，争取国家检验检测认证能力布局，探索建设中试平台矩阵体系。打造高知名度科技服务品牌，成立</w:t>
      </w:r>
      <w:r>
        <w:rPr>
          <w:rFonts w:hint="eastAsia" w:ascii="方正仿宋_GBK" w:hAnsi="方正仿宋_GBK" w:eastAsia="方正仿宋_GBK" w:cs="方正仿宋_GBK"/>
          <w:color w:val="auto"/>
          <w:kern w:val="2"/>
          <w:sz w:val="32"/>
          <w:szCs w:val="32"/>
          <w:highlight w:val="none"/>
          <w:lang w:bidi="ar"/>
        </w:rPr>
        <w:t>“重庆市智能网联新能源汽车检验检测联盟”，推动</w:t>
      </w:r>
      <w:r>
        <w:rPr>
          <w:rFonts w:hint="eastAsia" w:ascii="Times New Roman" w:hAnsi="Times New Roman" w:eastAsia="方正仿宋_GBK"/>
          <w:color w:val="auto"/>
          <w:sz w:val="32"/>
          <w:szCs w:val="32"/>
          <w:highlight w:val="none"/>
        </w:rPr>
        <w:t>“汽车生态大会”“EC-PAC全国新能源商用车性能评价公益赛”等品牌永久落户重庆高新区，完善智能网联新能源汽摩检验检测“一站式”服务体系</w:t>
      </w:r>
      <w:r>
        <w:rPr>
          <w:rFonts w:hint="eastAsia" w:ascii="Times New Roman" w:hAnsi="Times New Roman" w:eastAsia="方正仿宋_GBK"/>
          <w:color w:val="auto"/>
          <w:kern w:val="2"/>
          <w:sz w:val="32"/>
          <w:highlight w:val="none"/>
        </w:rPr>
        <w:t>。</w:t>
      </w:r>
    </w:p>
    <w:p w14:paraId="4636BE6C">
      <w:pPr>
        <w:overflowPunct w:val="0"/>
        <w:jc w:val="center"/>
        <w:rPr>
          <w:rFonts w:hint="eastAsia" w:ascii="Times New Roman" w:hAnsi="Times New Roman" w:eastAsia="方正黑体_GBK" w:cs="方正黑体_GBK"/>
          <w:color w:val="auto"/>
          <w:kern w:val="0"/>
          <w:sz w:val="32"/>
          <w:szCs w:val="32"/>
          <w:highlight w:val="none"/>
          <w:u w:val="none"/>
          <w:lang w:bidi="ar"/>
        </w:rPr>
      </w:pPr>
      <w:r>
        <w:rPr>
          <w:rFonts w:hint="eastAsia" w:ascii="Times New Roman" w:hAnsi="Times New Roman" w:eastAsia="方正黑体_GBK" w:cs="方正黑体_GBK"/>
          <w:color w:val="auto"/>
          <w:kern w:val="0"/>
          <w:sz w:val="32"/>
          <w:szCs w:val="32"/>
          <w:highlight w:val="none"/>
          <w:u w:val="none"/>
          <w:lang w:bidi="ar"/>
        </w:rPr>
        <w:t>专栏</w:t>
      </w:r>
      <w:r>
        <w:rPr>
          <w:rFonts w:hint="eastAsia" w:ascii="Times New Roman" w:hAnsi="Times New Roman" w:eastAsia="方正黑体_GBK" w:cs="方正黑体_GBK"/>
          <w:color w:val="auto"/>
          <w:kern w:val="0"/>
          <w:sz w:val="32"/>
          <w:szCs w:val="32"/>
          <w:highlight w:val="none"/>
          <w:u w:val="none"/>
          <w:lang w:val="en-US" w:eastAsia="zh-CN" w:bidi="ar"/>
        </w:rPr>
        <w:t>14</w:t>
      </w:r>
      <w:r>
        <w:rPr>
          <w:rFonts w:hint="eastAsia" w:ascii="Times New Roman" w:hAnsi="Times New Roman" w:eastAsia="方正黑体_GBK" w:cs="方正黑体_GBK"/>
          <w:color w:val="auto"/>
          <w:kern w:val="0"/>
          <w:sz w:val="32"/>
          <w:szCs w:val="32"/>
          <w:highlight w:val="none"/>
          <w:u w:val="none"/>
          <w:lang w:bidi="ar"/>
        </w:rPr>
        <w:t xml:space="preserve"> 科技服务业重点领域</w:t>
      </w:r>
    </w:p>
    <w:tbl>
      <w:tblPr>
        <w:tblStyle w:val="22"/>
        <w:tblW w:w="9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0"/>
      </w:tblGrid>
      <w:tr w14:paraId="54614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0" w:type="dxa"/>
          </w:tcPr>
          <w:p w14:paraId="5E483AE4">
            <w:pPr>
              <w:pStyle w:val="19"/>
              <w:keepNext w:val="0"/>
              <w:keepLines w:val="0"/>
              <w:pageBreakBefore w:val="0"/>
              <w:kinsoku/>
              <w:wordWrap/>
              <w:overflowPunct w:val="0"/>
              <w:topLinePunct w:val="0"/>
              <w:autoSpaceDE/>
              <w:autoSpaceDN/>
              <w:bidi w:val="0"/>
              <w:adjustRightInd/>
              <w:snapToGrid w:val="0"/>
              <w:spacing w:beforeAutospacing="0" w:afterAutospacing="0" w:line="380" w:lineRule="exact"/>
              <w:ind w:firstLine="480" w:firstLineChars="200"/>
              <w:jc w:val="both"/>
              <w:textAlignment w:val="auto"/>
              <w:rPr>
                <w:rFonts w:hint="eastAsia" w:ascii="Times New Roman" w:hAnsi="Times New Roman" w:eastAsia="方正书宋_GBK" w:cs="Times New Roman"/>
                <w:color w:val="auto"/>
                <w:kern w:val="0"/>
                <w:sz w:val="24"/>
                <w:szCs w:val="24"/>
                <w:highlight w:val="none"/>
                <w:u w:val="none"/>
                <w:lang w:val="en-US" w:eastAsia="zh-CN" w:bidi="ar-SA"/>
              </w:rPr>
            </w:pPr>
            <w:r>
              <w:rPr>
                <w:rFonts w:hint="default" w:ascii="Times New Roman" w:hAnsi="Times New Roman" w:eastAsia="方正黑体_GBK" w:cs="Times New Roman"/>
                <w:color w:val="auto"/>
                <w:kern w:val="0"/>
                <w:sz w:val="24"/>
                <w:szCs w:val="24"/>
                <w:highlight w:val="none"/>
                <w:u w:val="none"/>
                <w:lang w:val="en-US" w:eastAsia="zh-CN" w:bidi="ar-SA"/>
              </w:rPr>
              <w:t>1</w:t>
            </w:r>
            <w:r>
              <w:rPr>
                <w:rFonts w:hint="default" w:ascii="Times New Roman" w:hAnsi="Times New Roman" w:eastAsia="方正黑体_GBK" w:cs="Times New Roman"/>
                <w:color w:val="auto"/>
                <w:sz w:val="24"/>
                <w:szCs w:val="24"/>
                <w:highlight w:val="none"/>
                <w:u w:val="none"/>
              </w:rPr>
              <w:t>．</w:t>
            </w:r>
            <w:r>
              <w:rPr>
                <w:rFonts w:hint="default" w:ascii="Times New Roman" w:hAnsi="Times New Roman" w:eastAsia="方正黑体_GBK" w:cs="Times New Roman"/>
                <w:color w:val="auto"/>
                <w:kern w:val="0"/>
                <w:sz w:val="24"/>
                <w:szCs w:val="24"/>
                <w:highlight w:val="none"/>
                <w:u w:val="none"/>
                <w:lang w:val="en-US" w:eastAsia="zh-CN" w:bidi="ar-SA"/>
              </w:rPr>
              <w:t>技术转移转化。</w:t>
            </w:r>
            <w:r>
              <w:rPr>
                <w:rFonts w:hint="eastAsia" w:ascii="Times New Roman" w:hAnsi="Times New Roman" w:eastAsia="方正书宋_GBK" w:cs="Times New Roman"/>
                <w:color w:val="auto"/>
                <w:kern w:val="0"/>
                <w:sz w:val="24"/>
                <w:szCs w:val="24"/>
                <w:highlight w:val="none"/>
                <w:u w:val="none"/>
                <w:lang w:val="en-US" w:eastAsia="zh-CN" w:bidi="ar-SA"/>
              </w:rPr>
              <w:t>创新研究环节，围绕产业链部署创新链，整合区内现有科研资源，开展技术攻关研究。概念验证环节，布局建设一批概念验证中心。技术转移环节，搭建技术交易或转移平台，通过投资或合作方式推进技术转移。中试熟化环节，加强产品试制、产业化载体等服务，无缝衔接研发与生产。创业孵化环节，构建“院校—平台—产业”成果快转协同体系。</w:t>
            </w:r>
          </w:p>
          <w:p w14:paraId="22319798">
            <w:pPr>
              <w:keepNext w:val="0"/>
              <w:keepLines w:val="0"/>
              <w:pageBreakBefore w:val="0"/>
              <w:widowControl/>
              <w:kinsoku/>
              <w:wordWrap/>
              <w:overflowPunct w:val="0"/>
              <w:topLinePunct w:val="0"/>
              <w:autoSpaceDE/>
              <w:autoSpaceDN/>
              <w:bidi w:val="0"/>
              <w:adjustRightInd/>
              <w:snapToGrid w:val="0"/>
              <w:spacing w:line="380" w:lineRule="exact"/>
              <w:ind w:firstLine="480" w:firstLineChars="200"/>
              <w:jc w:val="left"/>
              <w:textAlignment w:val="auto"/>
              <w:rPr>
                <w:rFonts w:ascii="Times New Roman" w:hAnsi="Times New Roman" w:eastAsia="方正仿宋_GBK" w:cs="Times New Roman"/>
                <w:color w:val="auto"/>
                <w:sz w:val="32"/>
                <w:szCs w:val="32"/>
                <w:highlight w:val="none"/>
              </w:rPr>
            </w:pPr>
            <w:r>
              <w:rPr>
                <w:rFonts w:hint="default" w:ascii="Times New Roman" w:hAnsi="Times New Roman" w:eastAsia="方正黑体_GBK" w:cs="Times New Roman"/>
                <w:color w:val="auto"/>
                <w:kern w:val="0"/>
                <w:sz w:val="24"/>
                <w:szCs w:val="24"/>
                <w:highlight w:val="none"/>
                <w:u w:val="none"/>
                <w:lang w:val="en-US" w:eastAsia="zh-CN" w:bidi="ar-SA"/>
              </w:rPr>
              <w:t>2</w:t>
            </w:r>
            <w:r>
              <w:rPr>
                <w:rFonts w:hint="default" w:ascii="Times New Roman" w:hAnsi="Times New Roman" w:eastAsia="方正黑体_GBK" w:cs="Times New Roman"/>
                <w:color w:val="auto"/>
                <w:sz w:val="24"/>
                <w:szCs w:val="24"/>
                <w:highlight w:val="none"/>
                <w:u w:val="none"/>
              </w:rPr>
              <w:t>．</w:t>
            </w:r>
            <w:r>
              <w:rPr>
                <w:rFonts w:hint="default" w:ascii="Times New Roman" w:hAnsi="Times New Roman" w:eastAsia="方正黑体_GBK" w:cs="Times New Roman"/>
                <w:color w:val="auto"/>
                <w:kern w:val="0"/>
                <w:sz w:val="24"/>
                <w:szCs w:val="24"/>
                <w:highlight w:val="none"/>
                <w:u w:val="none"/>
                <w:lang w:val="en-US" w:eastAsia="zh-CN" w:bidi="ar-SA"/>
              </w:rPr>
              <w:t>检验检测认证。</w:t>
            </w:r>
            <w:r>
              <w:rPr>
                <w:rFonts w:hint="eastAsia" w:ascii="Times New Roman" w:hAnsi="Times New Roman" w:eastAsia="方正书宋_GBK" w:cs="Times New Roman"/>
                <w:color w:val="auto"/>
                <w:kern w:val="0"/>
                <w:sz w:val="24"/>
                <w:szCs w:val="24"/>
                <w:highlight w:val="none"/>
                <w:u w:val="none"/>
                <w:lang w:val="en-US" w:eastAsia="zh-CN" w:bidi="ar-SA"/>
              </w:rPr>
              <w:t>汽摩检测领域，做强汽车摩托车检测认证。集成电路检测领域，提供笔电、集成电路等电子元器件检测、认证服务。生物医药及医疗器械检测领域，做好生物医药安全评价及医疗器械检测认证。智能装备检测领域，开展智能制造核心零部件检验检测认证服务。</w:t>
            </w:r>
          </w:p>
        </w:tc>
      </w:tr>
    </w:tbl>
    <w:p w14:paraId="761AE96E">
      <w:pPr>
        <w:overflowPunct w:val="0"/>
        <w:adjustRightInd w:val="0"/>
        <w:snapToGrid w:val="0"/>
        <w:spacing w:line="600" w:lineRule="exact"/>
        <w:jc w:val="center"/>
        <w:outlineLvl w:val="2"/>
        <w:rPr>
          <w:rFonts w:ascii="Times New Roman" w:hAnsi="Times New Roman" w:eastAsia="方正楷体_GBK" w:cs="方正楷体_GBK"/>
          <w:color w:val="auto"/>
          <w:sz w:val="32"/>
          <w:szCs w:val="32"/>
          <w:highlight w:val="none"/>
        </w:rPr>
      </w:pPr>
      <w:bookmarkStart w:id="291" w:name="_Toc8404"/>
      <w:bookmarkStart w:id="292" w:name="_Toc7060"/>
      <w:bookmarkStart w:id="293" w:name="_Toc161470331"/>
      <w:bookmarkStart w:id="294" w:name="_Toc968133134"/>
      <w:bookmarkStart w:id="295" w:name="_Toc32720"/>
      <w:bookmarkStart w:id="296" w:name="_Toc25394"/>
      <w:r>
        <w:rPr>
          <w:rFonts w:hint="eastAsia" w:ascii="Times New Roman" w:hAnsi="Times New Roman" w:eastAsia="方正楷体_GBK" w:cs="方正楷体_GBK"/>
          <w:color w:val="auto"/>
          <w:sz w:val="32"/>
          <w:szCs w:val="32"/>
          <w:highlight w:val="none"/>
        </w:rPr>
        <w:t>第三节 全力发展金融服务产业</w:t>
      </w:r>
      <w:bookmarkEnd w:id="287"/>
      <w:bookmarkEnd w:id="288"/>
      <w:bookmarkEnd w:id="289"/>
      <w:bookmarkEnd w:id="290"/>
      <w:bookmarkEnd w:id="291"/>
      <w:bookmarkEnd w:id="292"/>
      <w:bookmarkEnd w:id="293"/>
      <w:bookmarkEnd w:id="294"/>
      <w:bookmarkEnd w:id="295"/>
      <w:bookmarkEnd w:id="296"/>
    </w:p>
    <w:p w14:paraId="59865433">
      <w:pPr>
        <w:overflowPunct/>
        <w:adjustRightInd w:val="0"/>
        <w:snapToGrid w:val="0"/>
        <w:spacing w:line="600" w:lineRule="exact"/>
        <w:ind w:firstLine="640" w:firstLineChars="200"/>
        <w:jc w:val="left"/>
        <w:textAlignment w:val="baseline"/>
        <w:rPr>
          <w:rFonts w:hint="eastAsia" w:ascii="Times New Roman" w:hAnsi="Times New Roman" w:eastAsia="方正黑体_GBK" w:cs="方正黑体_GBK"/>
          <w:color w:val="auto"/>
          <w:kern w:val="0"/>
          <w:sz w:val="32"/>
          <w:szCs w:val="32"/>
          <w:highlight w:val="none"/>
          <w:u w:val="none"/>
          <w:lang w:bidi="ar"/>
        </w:rPr>
      </w:pPr>
      <w:bookmarkStart w:id="297" w:name="_Toc16994"/>
      <w:bookmarkStart w:id="298" w:name="_Toc27781"/>
      <w:bookmarkStart w:id="299" w:name="_Toc1560006956"/>
      <w:bookmarkStart w:id="300" w:name="_Toc6049"/>
      <w:bookmarkStart w:id="301" w:name="_Toc2077473466"/>
      <w:bookmarkStart w:id="302" w:name="_Toc26066"/>
      <w:bookmarkStart w:id="303" w:name="_Toc26812"/>
      <w:bookmarkStart w:id="304" w:name="_Toc25613"/>
      <w:bookmarkStart w:id="305" w:name="_Toc7370"/>
      <w:r>
        <w:rPr>
          <w:rFonts w:hint="eastAsia" w:ascii="Times New Roman" w:hAnsi="Times New Roman" w:eastAsia="方正仿宋_GBK" w:cs="Times New Roman"/>
          <w:color w:val="auto"/>
          <w:sz w:val="32"/>
          <w:szCs w:val="22"/>
          <w:highlight w:val="none"/>
        </w:rPr>
        <w:t>扎实推进智融惠畅工程，持续建设西部金融中心创新金融引领区</w:t>
      </w:r>
      <w:r>
        <w:rPr>
          <w:rFonts w:hint="eastAsia" w:ascii="Times New Roman" w:hAnsi="Times New Roman" w:eastAsia="方正仿宋_GBK" w:cs="Times New Roman"/>
          <w:color w:val="auto"/>
          <w:sz w:val="32"/>
          <w:szCs w:val="22"/>
          <w:highlight w:val="none"/>
          <w:lang w:eastAsia="zh-CN"/>
        </w:rPr>
        <w:t>。</w:t>
      </w:r>
      <w:r>
        <w:rPr>
          <w:rFonts w:hint="eastAsia" w:ascii="Times New Roman" w:hAnsi="Times New Roman" w:eastAsia="方正仿宋_GBK" w:cs="Times New Roman"/>
          <w:color w:val="auto"/>
          <w:sz w:val="32"/>
          <w:szCs w:val="22"/>
          <w:highlight w:val="none"/>
          <w:lang w:val="en-US" w:eastAsia="zh-CN"/>
        </w:rPr>
        <w:t>培育多层次金融服务主体。</w:t>
      </w:r>
      <w:r>
        <w:rPr>
          <w:rFonts w:hint="eastAsia" w:eastAsia="方正仿宋_GBK"/>
          <w:color w:val="auto"/>
          <w:sz w:val="32"/>
          <w:szCs w:val="22"/>
          <w:highlight w:val="none"/>
          <w:lang w:val="en-US" w:eastAsia="zh-CN"/>
        </w:rPr>
        <w:t>整合银行、证券、保险、基金等金融机构资源，</w:t>
      </w:r>
      <w:r>
        <w:rPr>
          <w:rFonts w:hint="default" w:ascii="Times New Roman" w:hAnsi="Times New Roman" w:eastAsia="方正仿宋_GBK" w:cs="Times New Roman"/>
          <w:color w:val="auto"/>
          <w:sz w:val="32"/>
          <w:szCs w:val="32"/>
          <w:highlight w:val="none"/>
          <w:lang w:val="en-US" w:eastAsia="zh-CN"/>
        </w:rPr>
        <w:t>争取国际性、全国性金融机构（组织）在</w:t>
      </w:r>
      <w:r>
        <w:rPr>
          <w:rFonts w:hint="eastAsia" w:ascii="Times New Roman" w:hAnsi="Times New Roman" w:eastAsia="方正仿宋_GBK" w:cs="Times New Roman"/>
          <w:color w:val="auto"/>
          <w:sz w:val="32"/>
          <w:szCs w:val="32"/>
          <w:highlight w:val="none"/>
          <w:lang w:val="en-US" w:eastAsia="zh-CN"/>
        </w:rPr>
        <w:t>区</w:t>
      </w:r>
      <w:r>
        <w:rPr>
          <w:rFonts w:hint="default" w:ascii="Times New Roman" w:hAnsi="Times New Roman" w:eastAsia="方正仿宋_GBK" w:cs="Times New Roman"/>
          <w:color w:val="auto"/>
          <w:sz w:val="32"/>
          <w:szCs w:val="32"/>
          <w:highlight w:val="none"/>
          <w:lang w:val="en-US" w:eastAsia="zh-CN"/>
        </w:rPr>
        <w:t>设立区域性、功能性总部，</w:t>
      </w:r>
      <w:r>
        <w:rPr>
          <w:rFonts w:hint="eastAsia" w:ascii="Times New Roman" w:hAnsi="Times New Roman" w:eastAsia="方正仿宋_GBK" w:cs="Times New Roman"/>
          <w:color w:val="auto"/>
          <w:sz w:val="32"/>
          <w:szCs w:val="32"/>
          <w:highlight w:val="none"/>
          <w:lang w:val="en-US" w:eastAsia="zh-CN"/>
        </w:rPr>
        <w:t>鼓励</w:t>
      </w:r>
      <w:r>
        <w:rPr>
          <w:rFonts w:hint="default" w:ascii="Times New Roman" w:hAnsi="Times New Roman" w:eastAsia="方正仿宋_GBK" w:cs="Times New Roman"/>
          <w:color w:val="auto"/>
          <w:sz w:val="32"/>
          <w:szCs w:val="32"/>
          <w:highlight w:val="none"/>
          <w:lang w:val="en-US" w:eastAsia="zh-CN"/>
        </w:rPr>
        <w:t>金融机构争取更多业务牌照，促进融资担保、融资租赁等地方金融组织稳健发展。</w:t>
      </w:r>
      <w:r>
        <w:rPr>
          <w:rFonts w:hint="eastAsia" w:ascii="Times New Roman" w:hAnsi="Times New Roman" w:eastAsia="方正仿宋_GBK" w:cs="Times New Roman"/>
          <w:color w:val="auto"/>
          <w:sz w:val="32"/>
          <w:szCs w:val="32"/>
          <w:highlight w:val="none"/>
          <w:lang w:val="en-US" w:eastAsia="zh-CN"/>
        </w:rPr>
        <w:t>完善股权融资体系。</w:t>
      </w:r>
      <w:r>
        <w:rPr>
          <w:rFonts w:hint="eastAsia" w:ascii="方正仿宋_GBK" w:hAnsi="方正仿宋_GBK" w:eastAsia="方正仿宋_GBK" w:cs="方正仿宋_GBK"/>
          <w:color w:val="auto"/>
          <w:sz w:val="32"/>
          <w:szCs w:val="32"/>
          <w:highlight w:val="none"/>
        </w:rPr>
        <w:t>持续推进企业上市“千里马”行动，</w:t>
      </w:r>
      <w:r>
        <w:rPr>
          <w:rFonts w:hint="eastAsia" w:ascii="方正仿宋_GBK" w:hAnsi="方正仿宋_GBK" w:eastAsia="方正仿宋_GBK" w:cs="方正仿宋_GBK"/>
          <w:color w:val="auto"/>
          <w:sz w:val="32"/>
          <w:szCs w:val="32"/>
          <w:highlight w:val="none"/>
          <w:lang w:val="en-US" w:eastAsia="zh-CN"/>
        </w:rPr>
        <w:t>鼓励</w:t>
      </w:r>
      <w:r>
        <w:rPr>
          <w:rFonts w:hint="eastAsia" w:ascii="方正仿宋_GBK" w:hAnsi="方正仿宋_GBK" w:eastAsia="方正仿宋_GBK" w:cs="方正仿宋_GBK"/>
          <w:color w:val="auto"/>
          <w:sz w:val="32"/>
          <w:szCs w:val="32"/>
          <w:highlight w:val="none"/>
        </w:rPr>
        <w:t>企业丰富上市、并购重组、再融资等直接融资渠道。</w:t>
      </w:r>
      <w:r>
        <w:rPr>
          <w:rFonts w:hint="default" w:ascii="Times New Roman" w:hAnsi="Times New Roman" w:eastAsia="方正仿宋_GBK" w:cs="Times New Roman"/>
          <w:color w:val="auto"/>
          <w:sz w:val="32"/>
          <w:szCs w:val="32"/>
          <w:highlight w:val="none"/>
          <w:lang w:val="en-US" w:eastAsia="zh-CN"/>
        </w:rPr>
        <w:t>加强产品和服务创新</w:t>
      </w:r>
      <w:r>
        <w:rPr>
          <w:rFonts w:hint="eastAsia" w:eastAsia="方正仿宋_GBK"/>
          <w:color w:val="auto"/>
          <w:sz w:val="32"/>
          <w:szCs w:val="22"/>
          <w:highlight w:val="none"/>
          <w:lang w:eastAsia="zh-CN"/>
        </w:rPr>
        <w:t>。</w:t>
      </w:r>
      <w:r>
        <w:rPr>
          <w:rFonts w:hint="eastAsia" w:ascii="Times New Roman" w:hAnsi="Times New Roman" w:eastAsia="方正仿宋_GBK" w:cs="Times New Roman"/>
          <w:color w:val="auto"/>
          <w:sz w:val="32"/>
          <w:szCs w:val="32"/>
          <w:highlight w:val="none"/>
          <w:lang w:val="en-US" w:eastAsia="zh-CN"/>
        </w:rPr>
        <w:t>畅通“投贷联动”机制，</w:t>
      </w:r>
      <w:r>
        <w:rPr>
          <w:rFonts w:hint="eastAsia" w:eastAsia="方正仿宋_GBK"/>
          <w:color w:val="auto"/>
          <w:sz w:val="32"/>
          <w:szCs w:val="22"/>
          <w:highlight w:val="none"/>
        </w:rPr>
        <w:t>组合</w:t>
      </w:r>
      <w:r>
        <w:rPr>
          <w:rFonts w:hint="eastAsia" w:ascii="方正仿宋_GBK" w:hAnsi="方正仿宋_GBK" w:eastAsia="方正仿宋_GBK" w:cs="方正仿宋_GBK"/>
          <w:color w:val="auto"/>
          <w:sz w:val="32"/>
          <w:szCs w:val="32"/>
          <w:highlight w:val="none"/>
        </w:rPr>
        <w:t>运用产业基金、融资担保、贷款贴息等工具，深入推广知识价值信用贷、梯度贷、积分贷等创新金融产品应用</w:t>
      </w:r>
      <w:r>
        <w:rPr>
          <w:rFonts w:hint="eastAsia" w:ascii="方正仿宋_GBK" w:hAnsi="方正仿宋_GBK" w:eastAsia="方正仿宋_GBK" w:cs="方正仿宋_GBK"/>
          <w:color w:val="auto"/>
          <w:sz w:val="32"/>
          <w:szCs w:val="32"/>
          <w:highlight w:val="none"/>
          <w:lang w:eastAsia="zh-CN"/>
        </w:rPr>
        <w:t>，构建覆盖</w:t>
      </w:r>
      <w:r>
        <w:rPr>
          <w:rFonts w:hint="eastAsia" w:ascii="方正仿宋_GBK" w:hAnsi="方正仿宋_GBK" w:eastAsia="方正仿宋_GBK" w:cs="方正仿宋_GBK"/>
          <w:color w:val="auto"/>
          <w:sz w:val="32"/>
          <w:szCs w:val="32"/>
          <w:highlight w:val="none"/>
          <w:lang w:val="en-US" w:eastAsia="zh-CN"/>
        </w:rPr>
        <w:t>经营主体</w:t>
      </w:r>
      <w:r>
        <w:rPr>
          <w:rFonts w:hint="eastAsia" w:ascii="方正仿宋_GBK" w:hAnsi="方正仿宋_GBK" w:eastAsia="方正仿宋_GBK" w:cs="方正仿宋_GBK"/>
          <w:color w:val="auto"/>
          <w:sz w:val="32"/>
          <w:szCs w:val="32"/>
          <w:highlight w:val="none"/>
          <w:lang w:eastAsia="zh-CN"/>
        </w:rPr>
        <w:t>全生命周期的金融服务体系。</w:t>
      </w:r>
    </w:p>
    <w:p w14:paraId="72D52CD4">
      <w:pPr>
        <w:overflowPunct w:val="0"/>
        <w:jc w:val="center"/>
        <w:rPr>
          <w:rFonts w:hint="eastAsia" w:ascii="Times New Roman" w:hAnsi="Times New Roman" w:eastAsia="方正黑体_GBK" w:cs="方正黑体_GBK"/>
          <w:color w:val="auto"/>
          <w:kern w:val="0"/>
          <w:sz w:val="32"/>
          <w:szCs w:val="32"/>
          <w:highlight w:val="none"/>
          <w:u w:val="none"/>
          <w:lang w:bidi="ar"/>
        </w:rPr>
      </w:pPr>
      <w:r>
        <w:rPr>
          <w:rFonts w:hint="eastAsia" w:ascii="Times New Roman" w:hAnsi="Times New Roman" w:eastAsia="方正黑体_GBK" w:cs="方正黑体_GBK"/>
          <w:color w:val="auto"/>
          <w:kern w:val="0"/>
          <w:sz w:val="32"/>
          <w:szCs w:val="32"/>
          <w:highlight w:val="none"/>
          <w:u w:val="none"/>
          <w:lang w:bidi="ar"/>
        </w:rPr>
        <w:t>专栏</w:t>
      </w:r>
      <w:r>
        <w:rPr>
          <w:rFonts w:hint="eastAsia" w:ascii="Times New Roman" w:hAnsi="Times New Roman" w:eastAsia="方正黑体_GBK" w:cs="方正黑体_GBK"/>
          <w:color w:val="auto"/>
          <w:kern w:val="0"/>
          <w:sz w:val="32"/>
          <w:szCs w:val="32"/>
          <w:highlight w:val="none"/>
          <w:u w:val="none"/>
          <w:lang w:val="en-US" w:eastAsia="zh-CN" w:bidi="ar"/>
        </w:rPr>
        <w:t>15</w:t>
      </w:r>
      <w:r>
        <w:rPr>
          <w:rFonts w:hint="eastAsia" w:ascii="Times New Roman" w:hAnsi="Times New Roman" w:eastAsia="方正黑体_GBK" w:cs="方正黑体_GBK"/>
          <w:color w:val="auto"/>
          <w:kern w:val="0"/>
          <w:sz w:val="32"/>
          <w:szCs w:val="32"/>
          <w:highlight w:val="none"/>
          <w:u w:val="none"/>
          <w:lang w:bidi="ar"/>
        </w:rPr>
        <w:t xml:space="preserve"> 金融服务业重点领域</w:t>
      </w:r>
    </w:p>
    <w:tbl>
      <w:tblPr>
        <w:tblStyle w:val="22"/>
        <w:tblW w:w="9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0"/>
      </w:tblGrid>
      <w:tr w14:paraId="44575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0" w:type="dxa"/>
          </w:tcPr>
          <w:p w14:paraId="75F2B008">
            <w:pPr>
              <w:pStyle w:val="19"/>
              <w:overflowPunct w:val="0"/>
              <w:snapToGrid w:val="0"/>
              <w:spacing w:beforeAutospacing="0" w:afterAutospacing="0" w:line="380" w:lineRule="exact"/>
              <w:ind w:firstLine="480" w:firstLineChars="200"/>
              <w:jc w:val="both"/>
              <w:rPr>
                <w:rFonts w:hint="eastAsia" w:ascii="方正书宋_GBK" w:hAnsi="方正书宋_GBK" w:eastAsia="方正书宋_GBK" w:cs="方正书宋_GBK"/>
                <w:color w:val="auto"/>
                <w:sz w:val="24"/>
                <w:szCs w:val="24"/>
                <w:highlight w:val="none"/>
              </w:rPr>
            </w:pPr>
            <w:r>
              <w:rPr>
                <w:rFonts w:hint="eastAsia" w:ascii="Times New Roman" w:hAnsi="Times New Roman" w:eastAsia="方正黑体_GBK" w:cs="方正黑体_GBK"/>
                <w:color w:val="auto"/>
                <w:sz w:val="24"/>
                <w:szCs w:val="24"/>
                <w:highlight w:val="none"/>
                <w:u w:val="none"/>
                <w:lang w:bidi="ar-SA"/>
              </w:rPr>
              <w:t>1</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sz w:val="24"/>
                <w:szCs w:val="24"/>
                <w:highlight w:val="none"/>
                <w:u w:val="none"/>
                <w:lang w:bidi="ar-SA"/>
              </w:rPr>
              <w:t>科技金融。</w:t>
            </w:r>
            <w:r>
              <w:rPr>
                <w:rFonts w:hint="eastAsia" w:ascii="方正书宋_GBK" w:hAnsi="方正书宋_GBK" w:eastAsia="方正书宋_GBK" w:cs="方正书宋_GBK"/>
                <w:color w:val="auto"/>
                <w:highlight w:val="none"/>
                <w:lang w:bidi="ar"/>
              </w:rPr>
              <w:t>积极搭建</w:t>
            </w:r>
            <w:r>
              <w:rPr>
                <w:rFonts w:hint="eastAsia" w:ascii="方正书宋_GBK" w:hAnsi="方正书宋_GBK" w:eastAsia="方正书宋_GBK" w:cs="方正书宋_GBK"/>
                <w:color w:val="auto"/>
                <w:highlight w:val="none"/>
                <w:lang w:eastAsia="zh-CN" w:bidi="ar"/>
              </w:rPr>
              <w:t>“</w:t>
            </w:r>
            <w:r>
              <w:rPr>
                <w:rFonts w:hint="eastAsia" w:ascii="方正书宋_GBK" w:hAnsi="方正书宋_GBK" w:eastAsia="方正书宋_GBK" w:cs="方正书宋_GBK"/>
                <w:color w:val="auto"/>
                <w:highlight w:val="none"/>
                <w:lang w:bidi="ar"/>
              </w:rPr>
              <w:t>政金企</w:t>
            </w:r>
            <w:r>
              <w:rPr>
                <w:rFonts w:hint="eastAsia" w:ascii="方正书宋_GBK" w:hAnsi="方正书宋_GBK" w:eastAsia="方正书宋_GBK" w:cs="方正书宋_GBK"/>
                <w:color w:val="auto"/>
                <w:highlight w:val="none"/>
                <w:lang w:eastAsia="zh-CN" w:bidi="ar"/>
              </w:rPr>
              <w:t>”</w:t>
            </w:r>
            <w:r>
              <w:rPr>
                <w:rFonts w:hint="eastAsia" w:ascii="方正书宋_GBK" w:hAnsi="方正书宋_GBK" w:eastAsia="方正书宋_GBK" w:cs="方正书宋_GBK"/>
                <w:color w:val="auto"/>
                <w:highlight w:val="none"/>
                <w:lang w:bidi="ar"/>
              </w:rPr>
              <w:t>对接交流平台，引导股权投资、银行、担保等机构强化服务联动，为重研发、轻资产、有人才、有技术的科技型企业提供差异化金融产品和服务，推动金融机构创新赋能</w:t>
            </w:r>
            <w:r>
              <w:rPr>
                <w:rFonts w:hint="eastAsia" w:ascii="方正书宋_GBK" w:hAnsi="方正书宋_GBK" w:eastAsia="方正书宋_GBK" w:cs="方正书宋_GBK"/>
                <w:color w:val="auto"/>
                <w:highlight w:val="none"/>
                <w:lang w:eastAsia="zh-CN" w:bidi="ar"/>
              </w:rPr>
              <w:t>，</w:t>
            </w:r>
            <w:r>
              <w:rPr>
                <w:rFonts w:hint="eastAsia" w:ascii="方正书宋_GBK" w:hAnsi="方正书宋_GBK" w:eastAsia="方正书宋_GBK" w:cs="方正书宋_GBK"/>
                <w:color w:val="auto"/>
                <w:highlight w:val="none"/>
                <w:lang w:bidi="ar"/>
              </w:rPr>
              <w:t>精准破解融资梗阻</w:t>
            </w:r>
            <w:r>
              <w:rPr>
                <w:rFonts w:hint="eastAsia" w:ascii="方正书宋_GBK" w:hAnsi="方正书宋_GBK" w:eastAsia="方正书宋_GBK" w:cs="方正书宋_GBK"/>
                <w:color w:val="auto"/>
                <w:sz w:val="24"/>
                <w:szCs w:val="24"/>
                <w:highlight w:val="none"/>
              </w:rPr>
              <w:t>。</w:t>
            </w:r>
          </w:p>
          <w:p w14:paraId="57B56C07">
            <w:pPr>
              <w:pStyle w:val="19"/>
              <w:overflowPunct w:val="0"/>
              <w:snapToGrid w:val="0"/>
              <w:spacing w:beforeAutospacing="0" w:afterAutospacing="0" w:line="380" w:lineRule="exact"/>
              <w:ind w:firstLine="480" w:firstLineChars="200"/>
              <w:jc w:val="both"/>
              <w:rPr>
                <w:rFonts w:hint="eastAsia" w:ascii="方正书宋_GBK" w:hAnsi="方正书宋_GBK" w:eastAsia="方正书宋_GBK" w:cs="方正书宋_GBK"/>
                <w:color w:val="auto"/>
                <w:sz w:val="24"/>
                <w:szCs w:val="24"/>
                <w:highlight w:val="none"/>
              </w:rPr>
            </w:pPr>
            <w:r>
              <w:rPr>
                <w:rFonts w:hint="eastAsia" w:ascii="Times New Roman" w:hAnsi="Times New Roman" w:eastAsia="方正黑体_GBK" w:cs="方正黑体_GBK"/>
                <w:color w:val="auto"/>
                <w:sz w:val="24"/>
                <w:szCs w:val="24"/>
                <w:highlight w:val="none"/>
                <w:u w:val="none"/>
                <w:lang w:bidi="ar-SA"/>
              </w:rPr>
              <w:t>2</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sz w:val="24"/>
                <w:szCs w:val="24"/>
                <w:highlight w:val="none"/>
                <w:u w:val="none"/>
                <w:lang w:bidi="ar-SA"/>
              </w:rPr>
              <w:t>绿色金融。</w:t>
            </w:r>
            <w:r>
              <w:rPr>
                <w:rFonts w:hint="eastAsia" w:ascii="方正书宋_GBK" w:hAnsi="方正书宋_GBK" w:eastAsia="方正书宋_GBK" w:cs="方正书宋_GBK"/>
                <w:color w:val="auto"/>
                <w:sz w:val="24"/>
                <w:szCs w:val="24"/>
                <w:highlight w:val="none"/>
                <w:lang w:bidi="ar"/>
              </w:rPr>
              <w:t>加大对绿色制造、绿色能源等绿色项目培育力度，强化节能降碳、资源循环利用等重点领域信贷支持，优化绿色金融产品服务。</w:t>
            </w:r>
          </w:p>
          <w:p w14:paraId="68A76916">
            <w:pPr>
              <w:pStyle w:val="19"/>
              <w:overflowPunct w:val="0"/>
              <w:snapToGrid w:val="0"/>
              <w:spacing w:beforeAutospacing="0" w:afterAutospacing="0" w:line="380" w:lineRule="exact"/>
              <w:ind w:firstLine="480" w:firstLineChars="200"/>
              <w:jc w:val="both"/>
              <w:rPr>
                <w:rFonts w:hint="eastAsia" w:ascii="方正书宋_GBK" w:hAnsi="方正书宋_GBK" w:eastAsia="方正书宋_GBK" w:cs="方正书宋_GBK"/>
                <w:color w:val="auto"/>
                <w:sz w:val="24"/>
                <w:szCs w:val="24"/>
                <w:highlight w:val="none"/>
              </w:rPr>
            </w:pPr>
            <w:r>
              <w:rPr>
                <w:rFonts w:hint="eastAsia" w:ascii="Times New Roman" w:hAnsi="Times New Roman" w:eastAsia="方正黑体_GBK" w:cs="方正黑体_GBK"/>
                <w:color w:val="auto"/>
                <w:sz w:val="24"/>
                <w:szCs w:val="24"/>
                <w:highlight w:val="none"/>
                <w:u w:val="none"/>
                <w:lang w:bidi="ar-SA"/>
              </w:rPr>
              <w:t>3</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sz w:val="24"/>
                <w:szCs w:val="24"/>
                <w:highlight w:val="none"/>
                <w:u w:val="none"/>
                <w:lang w:bidi="ar-SA"/>
              </w:rPr>
              <w:t>普惠金融。</w:t>
            </w:r>
            <w:r>
              <w:rPr>
                <w:rFonts w:hint="eastAsia" w:ascii="方正书宋_GBK" w:hAnsi="方正书宋_GBK" w:eastAsia="方正书宋_GBK" w:cs="方正书宋_GBK"/>
                <w:color w:val="auto"/>
                <w:sz w:val="24"/>
                <w:szCs w:val="24"/>
                <w:highlight w:val="none"/>
              </w:rPr>
              <w:t>发挥政府性融资担保公司作用，持续实行低担保费率，引导更多金融资源流向小微企业、三农等普惠领域。健全多层次普惠金融机构组织体系，提升普惠领域金融服务可得性和便利性。</w:t>
            </w:r>
          </w:p>
          <w:p w14:paraId="120E3F21">
            <w:pPr>
              <w:pStyle w:val="19"/>
              <w:overflowPunct w:val="0"/>
              <w:snapToGrid w:val="0"/>
              <w:spacing w:beforeAutospacing="0" w:afterAutospacing="0" w:line="380" w:lineRule="exact"/>
              <w:ind w:firstLine="480" w:firstLineChars="200"/>
              <w:jc w:val="both"/>
              <w:rPr>
                <w:rFonts w:hint="eastAsia" w:ascii="方正书宋_GBK" w:hAnsi="方正书宋_GBK" w:eastAsia="方正书宋_GBK" w:cs="方正书宋_GBK"/>
                <w:color w:val="auto"/>
                <w:sz w:val="24"/>
                <w:szCs w:val="24"/>
                <w:highlight w:val="none"/>
              </w:rPr>
            </w:pPr>
            <w:r>
              <w:rPr>
                <w:rFonts w:hint="eastAsia" w:ascii="Times New Roman" w:hAnsi="Times New Roman" w:eastAsia="方正黑体_GBK" w:cs="方正黑体_GBK"/>
                <w:color w:val="auto"/>
                <w:sz w:val="24"/>
                <w:szCs w:val="24"/>
                <w:highlight w:val="none"/>
                <w:u w:val="none"/>
                <w:lang w:bidi="ar-SA"/>
              </w:rPr>
              <w:t>4</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sz w:val="24"/>
                <w:szCs w:val="24"/>
                <w:highlight w:val="none"/>
                <w:u w:val="none"/>
                <w:lang w:bidi="ar-SA"/>
              </w:rPr>
              <w:t>养老金融。</w:t>
            </w:r>
            <w:r>
              <w:rPr>
                <w:rFonts w:hint="eastAsia" w:ascii="方正书宋_GBK" w:hAnsi="方正书宋_GBK" w:eastAsia="方正书宋_GBK" w:cs="方正书宋_GBK"/>
                <w:color w:val="auto"/>
                <w:sz w:val="24"/>
                <w:szCs w:val="24"/>
                <w:highlight w:val="none"/>
                <w:lang w:bidi="ar"/>
              </w:rPr>
              <w:t>鼓励金融机构探索养老、度假、避暑、文旅相融合的金融支持模式，稳步发展具有养老属性的储蓄、理财、保险、基金等产品，加快发展长期护理保险、商业保险年金等。</w:t>
            </w:r>
          </w:p>
          <w:p w14:paraId="35AA8E64">
            <w:pPr>
              <w:widowControl/>
              <w:overflowPunct w:val="0"/>
              <w:snapToGrid w:val="0"/>
              <w:spacing w:line="380" w:lineRule="exact"/>
              <w:ind w:firstLine="480" w:firstLineChars="200"/>
              <w:jc w:val="left"/>
              <w:rPr>
                <w:rFonts w:ascii="Times New Roman" w:hAnsi="Times New Roman" w:eastAsia="方正仿宋_GBK" w:cs="Times New Roman"/>
                <w:color w:val="auto"/>
                <w:sz w:val="32"/>
                <w:szCs w:val="32"/>
                <w:highlight w:val="none"/>
              </w:rPr>
            </w:pPr>
            <w:r>
              <w:rPr>
                <w:rFonts w:hint="eastAsia" w:ascii="Times New Roman" w:hAnsi="Times New Roman" w:eastAsia="方正黑体_GBK" w:cs="方正黑体_GBK"/>
                <w:color w:val="auto"/>
                <w:kern w:val="0"/>
                <w:sz w:val="24"/>
                <w:szCs w:val="24"/>
                <w:highlight w:val="none"/>
                <w:u w:val="none"/>
                <w:lang w:bidi="ar-SA"/>
              </w:rPr>
              <w:t>5</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szCs w:val="24"/>
                <w:highlight w:val="none"/>
                <w:u w:val="none"/>
                <w:lang w:bidi="ar-SA"/>
              </w:rPr>
              <w:t>数字金融。</w:t>
            </w:r>
            <w:r>
              <w:rPr>
                <w:rFonts w:hint="eastAsia" w:ascii="方正书宋_GBK" w:hAnsi="方正书宋_GBK" w:eastAsia="方正书宋_GBK" w:cs="方正书宋_GBK"/>
                <w:color w:val="auto"/>
                <w:sz w:val="24"/>
                <w:szCs w:val="24"/>
                <w:highlight w:val="none"/>
              </w:rPr>
              <w:t>对接数字重庆建设，用好科创资本通等市区贯通数字平台，强化数字金融服务能力。加快数字金融创新，引导金融机构稳妥推进数字人民币推广运用，强化地方金融组织数字金融工具应用管理，引导地方性数字金融建设合规发展。</w:t>
            </w:r>
          </w:p>
        </w:tc>
      </w:tr>
    </w:tbl>
    <w:p w14:paraId="2008DB41">
      <w:pPr>
        <w:overflowPunct w:val="0"/>
        <w:adjustRightInd w:val="0"/>
        <w:snapToGrid w:val="0"/>
        <w:spacing w:line="600" w:lineRule="exact"/>
        <w:jc w:val="center"/>
        <w:outlineLvl w:val="2"/>
        <w:rPr>
          <w:rFonts w:ascii="Times New Roman" w:hAnsi="Times New Roman" w:eastAsia="方正楷体_GBK" w:cs="方正楷体_GBK"/>
          <w:color w:val="auto"/>
          <w:sz w:val="32"/>
          <w:szCs w:val="32"/>
          <w:highlight w:val="none"/>
        </w:rPr>
      </w:pPr>
      <w:bookmarkStart w:id="306" w:name="_Toc23037"/>
      <w:r>
        <w:rPr>
          <w:rFonts w:hint="eastAsia" w:ascii="Times New Roman" w:hAnsi="Times New Roman" w:eastAsia="方正楷体_GBK" w:cs="方正楷体_GBK"/>
          <w:color w:val="auto"/>
          <w:sz w:val="32"/>
          <w:szCs w:val="32"/>
          <w:highlight w:val="none"/>
        </w:rPr>
        <w:t>第四节 提质发展商贸服务产业</w:t>
      </w:r>
      <w:bookmarkEnd w:id="297"/>
      <w:bookmarkEnd w:id="298"/>
      <w:bookmarkEnd w:id="299"/>
      <w:bookmarkEnd w:id="300"/>
      <w:bookmarkEnd w:id="301"/>
      <w:bookmarkEnd w:id="302"/>
      <w:bookmarkEnd w:id="303"/>
      <w:bookmarkEnd w:id="304"/>
      <w:bookmarkEnd w:id="305"/>
      <w:bookmarkEnd w:id="306"/>
    </w:p>
    <w:p w14:paraId="55DA7E27">
      <w:pPr>
        <w:adjustRightInd w:val="0"/>
        <w:snapToGrid w:val="0"/>
        <w:spacing w:line="600" w:lineRule="exact"/>
        <w:ind w:firstLine="640" w:firstLineChars="200"/>
        <w:textAlignment w:val="baseline"/>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围绕“科、产、商、城”协同发展，逐步打造“前沿科技原创—高端制造转化—国际商贸通达”一体化的创新融合现代商贸发展示范区。打造一流商业载体，推动金凤城市中心建设，吸引国际高端知名品牌、高级定制品牌及潮流首店入驻，带动办公楼宇招租，快速盘活国有资产。围绕科学会堂规划布局特色商业街区、科学里等重点商业载体空间，引入科技体验、商务餐饮、咖啡书店等业态。加快建设含谷机车小镇赛事IP与主题文旅项目，升级</w:t>
      </w:r>
      <w:r>
        <w:rPr>
          <w:rFonts w:hint="eastAsia" w:ascii="Times New Roman" w:hAnsi="Times New Roman" w:eastAsia="方正仿宋_GBK" w:cs="Times New Roman"/>
          <w:color w:val="auto"/>
          <w:sz w:val="32"/>
          <w:szCs w:val="32"/>
          <w:highlight w:val="none"/>
          <w:lang w:val="en-US" w:eastAsia="zh-CN"/>
        </w:rPr>
        <w:t>温泉</w:t>
      </w:r>
      <w:r>
        <w:rPr>
          <w:rFonts w:hint="eastAsia" w:ascii="Times New Roman" w:hAnsi="Times New Roman" w:eastAsia="方正仿宋_GBK" w:cs="Times New Roman"/>
          <w:color w:val="auto"/>
          <w:sz w:val="32"/>
          <w:szCs w:val="32"/>
          <w:highlight w:val="none"/>
        </w:rPr>
        <w:t>自然疗愈目的地，将科技、制造、文化资源转化为可体验、可消费的产品与服务。</w:t>
      </w:r>
      <w:r>
        <w:rPr>
          <w:rFonts w:hint="eastAsia" w:ascii="Times New Roman" w:hAnsi="Times New Roman" w:eastAsia="方正仿宋_GBK" w:cs="Times New Roman"/>
          <w:color w:val="auto"/>
          <w:sz w:val="32"/>
          <w:szCs w:val="32"/>
          <w:highlight w:val="none"/>
          <w:lang w:val="en-US" w:eastAsia="zh-CN"/>
        </w:rPr>
        <w:t>提升商贸流通配套能级，</w:t>
      </w:r>
      <w:r>
        <w:rPr>
          <w:rFonts w:hint="eastAsia" w:eastAsia="方正仿宋_GBK"/>
          <w:color w:val="auto"/>
          <w:sz w:val="32"/>
          <w:szCs w:val="22"/>
          <w:highlight w:val="none"/>
          <w:lang w:val="en-US" w:eastAsia="zh-CN"/>
        </w:rPr>
        <w:t>强化走马智慧物流产业功能支撑，围绕</w:t>
      </w:r>
      <w:r>
        <w:rPr>
          <w:rFonts w:hint="eastAsia" w:ascii="方正仿宋_GBK" w:hAnsi="方正仿宋_GBK" w:eastAsia="方正仿宋_GBK" w:cs="方正仿宋_GBK"/>
          <w:color w:val="auto"/>
          <w:kern w:val="0"/>
          <w:sz w:val="32"/>
          <w:szCs w:val="32"/>
          <w:highlight w:val="none"/>
          <w:lang w:val="en-US" w:eastAsia="zh-CN"/>
        </w:rPr>
        <w:t>高洁净、高时效</w:t>
      </w:r>
      <w:r>
        <w:rPr>
          <w:rFonts w:hint="eastAsia" w:ascii="方正仿宋_GBK" w:hAnsi="方正仿宋_GBK" w:eastAsia="方正仿宋_GBK" w:cs="方正仿宋_GBK"/>
          <w:color w:val="auto"/>
          <w:kern w:val="0"/>
          <w:sz w:val="32"/>
          <w:szCs w:val="32"/>
          <w:highlight w:val="none"/>
        </w:rPr>
        <w:t>、定制化供应链需求</w:t>
      </w:r>
      <w:r>
        <w:rPr>
          <w:rFonts w:hint="eastAsia" w:eastAsia="方正仿宋_GBK"/>
          <w:color w:val="auto"/>
          <w:sz w:val="32"/>
          <w:szCs w:val="22"/>
          <w:highlight w:val="none"/>
          <w:lang w:val="en-US" w:eastAsia="zh-CN"/>
        </w:rPr>
        <w:t>，完善洁净物流专区、生物医药冷链智能仓、零部件共配与循环包装设施等专业化分拨体系建设。</w:t>
      </w:r>
      <w:r>
        <w:rPr>
          <w:rFonts w:hint="eastAsia" w:ascii="Times New Roman" w:hAnsi="Times New Roman" w:eastAsia="方正仿宋_GBK" w:cs="Times New Roman"/>
          <w:color w:val="auto"/>
          <w:sz w:val="32"/>
          <w:szCs w:val="32"/>
          <w:highlight w:val="none"/>
        </w:rPr>
        <w:t>培育智慧零售与消费新场景，布局新能源汽车体验中心、新零售赋能中心、直播基地、无人超市、跨界书店等新兴场景，构建线上线下融合的科技体验消费中心。优化核心人群消费供给，针对科技人才等核心群体需求优化商业布局与业态。打造城市消费节，设立“高新造”精品馆推广本土特色，提升区域消费品牌形象。</w:t>
      </w:r>
    </w:p>
    <w:p w14:paraId="496D4E90">
      <w:pPr>
        <w:overflowPunct w:val="0"/>
        <w:jc w:val="center"/>
        <w:rPr>
          <w:rFonts w:hint="eastAsia" w:ascii="Times New Roman" w:hAnsi="Times New Roman" w:eastAsia="方正黑体_GBK" w:cs="方正黑体_GBK"/>
          <w:color w:val="auto"/>
          <w:kern w:val="0"/>
          <w:sz w:val="32"/>
          <w:szCs w:val="32"/>
          <w:highlight w:val="none"/>
          <w:u w:val="none"/>
          <w:lang w:bidi="ar"/>
        </w:rPr>
      </w:pPr>
      <w:r>
        <w:rPr>
          <w:rFonts w:hint="eastAsia" w:ascii="Times New Roman" w:hAnsi="Times New Roman" w:eastAsia="方正黑体_GBK" w:cs="方正黑体_GBK"/>
          <w:color w:val="auto"/>
          <w:kern w:val="0"/>
          <w:sz w:val="32"/>
          <w:szCs w:val="32"/>
          <w:highlight w:val="none"/>
          <w:u w:val="none"/>
          <w:lang w:bidi="ar"/>
        </w:rPr>
        <w:t>专栏1</w:t>
      </w:r>
      <w:r>
        <w:rPr>
          <w:rFonts w:hint="eastAsia" w:ascii="Times New Roman" w:hAnsi="Times New Roman" w:eastAsia="方正黑体_GBK" w:cs="方正黑体_GBK"/>
          <w:color w:val="auto"/>
          <w:kern w:val="0"/>
          <w:sz w:val="32"/>
          <w:szCs w:val="32"/>
          <w:highlight w:val="none"/>
          <w:u w:val="none"/>
          <w:lang w:val="en-US" w:eastAsia="zh-CN" w:bidi="ar"/>
        </w:rPr>
        <w:t>6</w:t>
      </w:r>
      <w:r>
        <w:rPr>
          <w:rFonts w:hint="eastAsia" w:ascii="Times New Roman" w:hAnsi="Times New Roman" w:eastAsia="方正黑体_GBK" w:cs="方正黑体_GBK"/>
          <w:color w:val="auto"/>
          <w:kern w:val="0"/>
          <w:sz w:val="32"/>
          <w:szCs w:val="32"/>
          <w:highlight w:val="none"/>
          <w:u w:val="none"/>
          <w:lang w:bidi="ar"/>
        </w:rPr>
        <w:t xml:space="preserve"> 商贸服务业重点领域</w:t>
      </w:r>
    </w:p>
    <w:tbl>
      <w:tblPr>
        <w:tblStyle w:val="22"/>
        <w:tblW w:w="9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0"/>
      </w:tblGrid>
      <w:tr w14:paraId="3CFA2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190" w:type="dxa"/>
          </w:tcPr>
          <w:p w14:paraId="493A8CB0">
            <w:pPr>
              <w:pStyle w:val="19"/>
              <w:overflowPunct w:val="0"/>
              <w:snapToGrid w:val="0"/>
              <w:spacing w:beforeAutospacing="0" w:afterAutospacing="0" w:line="360" w:lineRule="exact"/>
              <w:ind w:firstLine="480" w:firstLineChars="200"/>
              <w:jc w:val="both"/>
              <w:rPr>
                <w:rFonts w:hint="eastAsia" w:ascii="方正书宋_GBK" w:hAnsi="方正书宋_GBK" w:eastAsia="方正书宋_GBK" w:cs="方正书宋_GBK"/>
                <w:color w:val="auto"/>
                <w:sz w:val="24"/>
                <w:szCs w:val="24"/>
                <w:highlight w:val="none"/>
              </w:rPr>
            </w:pPr>
            <w:r>
              <w:rPr>
                <w:rFonts w:hint="eastAsia" w:ascii="Times New Roman" w:hAnsi="Times New Roman" w:eastAsia="方正黑体_GBK" w:cs="方正黑体_GBK"/>
                <w:color w:val="auto"/>
                <w:sz w:val="24"/>
                <w:szCs w:val="24"/>
                <w:highlight w:val="none"/>
                <w:u w:val="none"/>
                <w:lang w:bidi="ar-SA"/>
              </w:rPr>
              <w:t>1</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sz w:val="24"/>
                <w:szCs w:val="24"/>
                <w:highlight w:val="none"/>
                <w:u w:val="none"/>
                <w:lang w:bidi="ar-SA"/>
              </w:rPr>
              <w:t>主体商业与首店经济。</w:t>
            </w:r>
            <w:r>
              <w:rPr>
                <w:rFonts w:hint="eastAsia" w:ascii="方正书宋_GBK" w:hAnsi="方正书宋_GBK" w:eastAsia="方正书宋_GBK" w:cs="方正书宋_GBK"/>
                <w:color w:val="auto"/>
                <w:sz w:val="24"/>
                <w:szCs w:val="24"/>
                <w:highlight w:val="none"/>
                <w:lang w:bidi="ar"/>
              </w:rPr>
              <w:t>科技旗舰店、主理人品牌、国际知名连锁首店、精品咖啡与书店、独立设计品牌、中式糕点旗舰店。</w:t>
            </w:r>
          </w:p>
          <w:p w14:paraId="0654DBC1">
            <w:pPr>
              <w:pStyle w:val="19"/>
              <w:overflowPunct w:val="0"/>
              <w:snapToGrid w:val="0"/>
              <w:spacing w:beforeAutospacing="0" w:afterAutospacing="0" w:line="360" w:lineRule="exact"/>
              <w:ind w:firstLine="480" w:firstLineChars="200"/>
              <w:jc w:val="both"/>
              <w:rPr>
                <w:rFonts w:hint="eastAsia" w:ascii="方正书宋_GBK" w:hAnsi="方正书宋_GBK" w:eastAsia="方正书宋_GBK" w:cs="方正书宋_GBK"/>
                <w:color w:val="auto"/>
                <w:sz w:val="24"/>
                <w:szCs w:val="24"/>
                <w:highlight w:val="none"/>
              </w:rPr>
            </w:pPr>
            <w:r>
              <w:rPr>
                <w:rFonts w:hint="eastAsia" w:ascii="Times New Roman" w:hAnsi="Times New Roman" w:eastAsia="方正黑体_GBK" w:cs="方正黑体_GBK"/>
                <w:color w:val="auto"/>
                <w:sz w:val="24"/>
                <w:szCs w:val="24"/>
                <w:highlight w:val="none"/>
                <w:u w:val="none"/>
                <w:lang w:bidi="ar-SA"/>
              </w:rPr>
              <w:t>2</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sz w:val="24"/>
                <w:szCs w:val="24"/>
                <w:highlight w:val="none"/>
                <w:u w:val="none"/>
                <w:lang w:bidi="ar-SA"/>
              </w:rPr>
              <w:t>科技体验与数字消费。</w:t>
            </w:r>
            <w:r>
              <w:rPr>
                <w:rFonts w:hint="eastAsia" w:ascii="方正书宋_GBK" w:hAnsi="方正书宋_GBK" w:eastAsia="方正书宋_GBK" w:cs="方正书宋_GBK"/>
                <w:color w:val="auto"/>
                <w:sz w:val="24"/>
                <w:szCs w:val="24"/>
                <w:highlight w:val="none"/>
                <w:lang w:bidi="ar"/>
              </w:rPr>
              <w:t>新能源汽车体验中心、智能终端展示与互动体验</w:t>
            </w:r>
            <w:r>
              <w:rPr>
                <w:rFonts w:hint="eastAsia" w:ascii="方正书宋_GBK" w:hAnsi="方正书宋_GBK" w:eastAsia="方正书宋_GBK" w:cs="方正书宋_GBK"/>
                <w:color w:val="auto"/>
                <w:sz w:val="24"/>
                <w:szCs w:val="24"/>
                <w:highlight w:val="none"/>
                <w:lang w:val="en-US" w:eastAsia="zh-CN" w:bidi="ar"/>
              </w:rPr>
              <w:t>中心</w:t>
            </w:r>
            <w:r>
              <w:rPr>
                <w:rFonts w:hint="eastAsia" w:ascii="方正书宋_GBK" w:hAnsi="方正书宋_GBK" w:eastAsia="方正书宋_GBK" w:cs="方正书宋_GBK"/>
                <w:color w:val="auto"/>
                <w:sz w:val="24"/>
                <w:szCs w:val="24"/>
                <w:highlight w:val="none"/>
                <w:lang w:bidi="ar"/>
              </w:rPr>
              <w:t>、VR/AR沉浸式娱乐</w:t>
            </w:r>
            <w:r>
              <w:rPr>
                <w:rFonts w:hint="eastAsia" w:ascii="方正书宋_GBK" w:hAnsi="方正书宋_GBK" w:eastAsia="方正书宋_GBK" w:cs="方正书宋_GBK"/>
                <w:color w:val="auto"/>
                <w:sz w:val="24"/>
                <w:szCs w:val="24"/>
                <w:highlight w:val="none"/>
                <w:lang w:val="en-US" w:eastAsia="zh-CN" w:bidi="ar"/>
              </w:rPr>
              <w:t>中心</w:t>
            </w:r>
            <w:r>
              <w:rPr>
                <w:rFonts w:hint="eastAsia" w:ascii="方正书宋_GBK" w:hAnsi="方正书宋_GBK" w:eastAsia="方正书宋_GBK" w:cs="方正书宋_GBK"/>
                <w:color w:val="auto"/>
                <w:sz w:val="24"/>
                <w:szCs w:val="24"/>
                <w:highlight w:val="none"/>
                <w:lang w:bidi="ar"/>
              </w:rPr>
              <w:t>、直播电商基地、智慧旅游服务平台。</w:t>
            </w:r>
          </w:p>
          <w:p w14:paraId="7E0A0A22">
            <w:pPr>
              <w:pStyle w:val="19"/>
              <w:overflowPunct w:val="0"/>
              <w:snapToGrid w:val="0"/>
              <w:spacing w:beforeAutospacing="0" w:afterAutospacing="0" w:line="360" w:lineRule="exact"/>
              <w:ind w:firstLine="480" w:firstLineChars="200"/>
              <w:jc w:val="both"/>
              <w:rPr>
                <w:rFonts w:hint="eastAsia" w:ascii="方正书宋_GBK" w:hAnsi="方正书宋_GBK" w:eastAsia="方正书宋_GBK" w:cs="方正书宋_GBK"/>
                <w:color w:val="auto"/>
                <w:sz w:val="24"/>
                <w:szCs w:val="24"/>
                <w:highlight w:val="none"/>
              </w:rPr>
            </w:pPr>
            <w:r>
              <w:rPr>
                <w:rFonts w:hint="eastAsia" w:ascii="Times New Roman" w:hAnsi="Times New Roman" w:eastAsia="方正黑体_GBK" w:cs="方正黑体_GBK"/>
                <w:color w:val="auto"/>
                <w:sz w:val="24"/>
                <w:szCs w:val="24"/>
                <w:highlight w:val="none"/>
                <w:u w:val="none"/>
                <w:lang w:bidi="ar-SA"/>
              </w:rPr>
              <w:t>3</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sz w:val="24"/>
                <w:szCs w:val="24"/>
                <w:highlight w:val="none"/>
                <w:u w:val="none"/>
                <w:lang w:bidi="ar-SA"/>
              </w:rPr>
              <w:t>沉浸式文旅体验。</w:t>
            </w:r>
            <w:r>
              <w:rPr>
                <w:rFonts w:hint="eastAsia" w:ascii="方正书宋_GBK" w:hAnsi="方正书宋_GBK" w:eastAsia="方正书宋_GBK" w:cs="方正书宋_GBK"/>
                <w:color w:val="auto"/>
                <w:sz w:val="24"/>
                <w:szCs w:val="24"/>
                <w:highlight w:val="none"/>
                <w:lang w:bidi="ar"/>
              </w:rPr>
              <w:t>机车赛事IP与主题乐园、音乐Livehouse与演艺、游戏IP实景商业街区、自然疗愈度假产品（森林音乐节、温泉养生）、中高端主题民宿。</w:t>
            </w:r>
          </w:p>
          <w:p w14:paraId="67A5D029">
            <w:pPr>
              <w:pStyle w:val="19"/>
              <w:overflowPunct w:val="0"/>
              <w:snapToGrid w:val="0"/>
              <w:spacing w:beforeAutospacing="0" w:afterAutospacing="0" w:line="360" w:lineRule="exact"/>
              <w:ind w:firstLine="480" w:firstLineChars="200"/>
              <w:jc w:val="both"/>
              <w:rPr>
                <w:rFonts w:hint="eastAsia" w:ascii="方正书宋_GBK" w:hAnsi="方正书宋_GBK" w:eastAsia="方正书宋_GBK" w:cs="方正书宋_GBK"/>
                <w:color w:val="auto"/>
                <w:sz w:val="24"/>
                <w:szCs w:val="24"/>
                <w:highlight w:val="none"/>
              </w:rPr>
            </w:pPr>
            <w:r>
              <w:rPr>
                <w:rFonts w:hint="eastAsia" w:ascii="Times New Roman" w:hAnsi="Times New Roman" w:eastAsia="方正黑体_GBK" w:cs="方正黑体_GBK"/>
                <w:color w:val="auto"/>
                <w:sz w:val="24"/>
                <w:szCs w:val="24"/>
                <w:highlight w:val="none"/>
                <w:u w:val="none"/>
                <w:lang w:bidi="ar-SA"/>
              </w:rPr>
              <w:t>4</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sz w:val="24"/>
                <w:szCs w:val="24"/>
                <w:highlight w:val="none"/>
                <w:u w:val="none"/>
                <w:lang w:bidi="ar-SA"/>
              </w:rPr>
              <w:t>智慧零售。</w:t>
            </w:r>
            <w:r>
              <w:rPr>
                <w:rFonts w:hint="eastAsia" w:ascii="方正书宋_GBK" w:hAnsi="方正书宋_GBK" w:eastAsia="方正书宋_GBK" w:cs="方正书宋_GBK"/>
                <w:color w:val="auto"/>
                <w:sz w:val="24"/>
                <w:szCs w:val="24"/>
                <w:highlight w:val="none"/>
                <w:lang w:bidi="ar"/>
              </w:rPr>
              <w:t>无人超市、跨界书店、生鲜新零售、智能配送服务站、智慧健康管理、线上线下融合体验店。</w:t>
            </w:r>
          </w:p>
          <w:p w14:paraId="02CE4064">
            <w:pPr>
              <w:widowControl/>
              <w:overflowPunct w:val="0"/>
              <w:snapToGrid w:val="0"/>
              <w:spacing w:line="360" w:lineRule="exact"/>
              <w:ind w:firstLine="480" w:firstLineChars="200"/>
              <w:jc w:val="left"/>
              <w:rPr>
                <w:rFonts w:ascii="Times New Roman" w:hAnsi="Times New Roman" w:eastAsia="方正仿宋_GBK" w:cs="Times New Roman"/>
                <w:color w:val="auto"/>
                <w:sz w:val="24"/>
                <w:szCs w:val="24"/>
                <w:highlight w:val="none"/>
              </w:rPr>
            </w:pPr>
            <w:r>
              <w:rPr>
                <w:rFonts w:hint="eastAsia" w:ascii="Times New Roman" w:hAnsi="Times New Roman" w:eastAsia="方正黑体_GBK" w:cs="方正黑体_GBK"/>
                <w:color w:val="auto"/>
                <w:kern w:val="0"/>
                <w:sz w:val="24"/>
                <w:szCs w:val="24"/>
                <w:highlight w:val="none"/>
                <w:u w:val="none"/>
                <w:lang w:bidi="ar-SA"/>
              </w:rPr>
              <w:t>5</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szCs w:val="24"/>
                <w:highlight w:val="none"/>
                <w:u w:val="none"/>
                <w:lang w:bidi="ar-SA"/>
              </w:rPr>
              <w:t>文创与特色衍生。</w:t>
            </w:r>
            <w:r>
              <w:rPr>
                <w:rFonts w:hint="eastAsia" w:ascii="方正书宋_GBK" w:hAnsi="方正书宋_GBK" w:eastAsia="方正书宋_GBK" w:cs="方正书宋_GBK"/>
                <w:color w:val="auto"/>
                <w:sz w:val="24"/>
                <w:szCs w:val="24"/>
                <w:highlight w:val="none"/>
                <w:lang w:bidi="ar"/>
              </w:rPr>
              <w:t>非遗数字文创产品、艺术展览与衍生品、动漫游戏内容开发、特色美食品牌化体验。</w:t>
            </w:r>
          </w:p>
        </w:tc>
      </w:tr>
    </w:tbl>
    <w:p w14:paraId="57FA2BBB">
      <w:pPr>
        <w:overflowPunct w:val="0"/>
        <w:adjustRightInd w:val="0"/>
        <w:snapToGrid w:val="0"/>
        <w:spacing w:line="600" w:lineRule="exact"/>
        <w:jc w:val="center"/>
        <w:outlineLvl w:val="2"/>
        <w:rPr>
          <w:rFonts w:ascii="Times New Roman" w:hAnsi="Times New Roman" w:eastAsia="方正楷体_GBK" w:cs="方正楷体_GBK"/>
          <w:color w:val="auto"/>
          <w:sz w:val="32"/>
          <w:szCs w:val="32"/>
          <w:highlight w:val="none"/>
        </w:rPr>
      </w:pPr>
      <w:bookmarkStart w:id="307" w:name="_Toc409063269"/>
      <w:bookmarkStart w:id="308" w:name="_Toc21450"/>
      <w:bookmarkStart w:id="309" w:name="_Toc159926489"/>
      <w:bookmarkStart w:id="310" w:name="_Toc22475"/>
      <w:bookmarkStart w:id="311" w:name="_Toc24304"/>
      <w:bookmarkStart w:id="312" w:name="_Toc14381"/>
      <w:bookmarkStart w:id="313" w:name="_Toc6950"/>
      <w:bookmarkStart w:id="314" w:name="_Toc29880"/>
      <w:bookmarkStart w:id="315" w:name="_Toc18030"/>
      <w:bookmarkStart w:id="316" w:name="_Toc31406"/>
      <w:r>
        <w:rPr>
          <w:rFonts w:hint="eastAsia" w:ascii="Times New Roman" w:hAnsi="Times New Roman" w:eastAsia="方正楷体_GBK" w:cs="方正楷体_GBK"/>
          <w:color w:val="auto"/>
          <w:sz w:val="32"/>
          <w:szCs w:val="32"/>
          <w:highlight w:val="none"/>
        </w:rPr>
        <w:t>第五节 提速发展跨境电商产业</w:t>
      </w:r>
      <w:bookmarkEnd w:id="307"/>
      <w:bookmarkEnd w:id="308"/>
      <w:bookmarkEnd w:id="309"/>
      <w:bookmarkEnd w:id="310"/>
      <w:bookmarkEnd w:id="311"/>
      <w:bookmarkEnd w:id="312"/>
      <w:bookmarkEnd w:id="313"/>
      <w:bookmarkEnd w:id="314"/>
      <w:bookmarkEnd w:id="315"/>
      <w:bookmarkEnd w:id="316"/>
    </w:p>
    <w:p w14:paraId="4F954EB7">
      <w:pPr>
        <w:adjustRightInd w:val="0"/>
        <w:snapToGrid w:val="0"/>
        <w:spacing w:line="600" w:lineRule="exact"/>
        <w:ind w:firstLine="640" w:firstLineChars="200"/>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围绕建成全市跨境电商高质量发展示范区、西部陆海新通道产业发展重要承载平台建设</w:t>
      </w:r>
      <w:r>
        <w:rPr>
          <w:rFonts w:hint="eastAsia" w:ascii="Times New Roman" w:hAnsi="Times New Roman" w:eastAsia="方正仿宋_GBK" w:cs="Times New Roman"/>
          <w:color w:val="auto"/>
          <w:sz w:val="32"/>
          <w:szCs w:val="32"/>
          <w:highlight w:val="none"/>
          <w:lang w:val="en-US" w:eastAsia="zh-CN"/>
        </w:rPr>
        <w:t>目标</w:t>
      </w:r>
      <w:r>
        <w:rPr>
          <w:rFonts w:hint="eastAsia" w:ascii="Times New Roman" w:hAnsi="Times New Roman" w:eastAsia="方正仿宋_GBK" w:cs="Times New Roman"/>
          <w:color w:val="auto"/>
          <w:sz w:val="32"/>
          <w:szCs w:val="32"/>
          <w:highlight w:val="none"/>
        </w:rPr>
        <w:t>，</w:t>
      </w:r>
      <w:r>
        <w:rPr>
          <w:rFonts w:hint="eastAsia" w:eastAsia="方正仿宋_GBK"/>
          <w:color w:val="auto"/>
          <w:sz w:val="32"/>
          <w:szCs w:val="22"/>
          <w:highlight w:val="none"/>
        </w:rPr>
        <w:t>全面提升贸易便利化水平，做大做强跨境电商与特色物流枢纽，推动外贸转型升级与产值规模双提升。促进跨境电商提质升级。重点引进国内购物平台，扩大跨境进口保税仓规模。依托跨境电商孵化中心精准招引</w:t>
      </w:r>
      <w:r>
        <w:rPr>
          <w:rFonts w:hint="eastAsia" w:eastAsia="方正仿宋_GBK"/>
          <w:color w:val="auto"/>
          <w:sz w:val="32"/>
          <w:szCs w:val="22"/>
          <w:highlight w:val="none"/>
          <w:lang w:val="en-US" w:eastAsia="zh-CN"/>
        </w:rPr>
        <w:t>优质</w:t>
      </w:r>
      <w:r>
        <w:rPr>
          <w:rFonts w:hint="eastAsia" w:eastAsia="方正仿宋_GBK"/>
          <w:color w:val="auto"/>
          <w:sz w:val="32"/>
          <w:szCs w:val="22"/>
          <w:highlight w:val="none"/>
        </w:rPr>
        <w:t>平台</w:t>
      </w:r>
      <w:r>
        <w:rPr>
          <w:rFonts w:hint="eastAsia" w:eastAsia="方正仿宋_GBK"/>
          <w:color w:val="auto"/>
          <w:sz w:val="32"/>
          <w:szCs w:val="22"/>
          <w:highlight w:val="none"/>
          <w:lang w:val="en-US" w:eastAsia="zh-CN"/>
        </w:rPr>
        <w:t>与</w:t>
      </w:r>
      <w:r>
        <w:rPr>
          <w:rFonts w:hint="eastAsia" w:eastAsia="方正仿宋_GBK"/>
          <w:color w:val="auto"/>
          <w:sz w:val="32"/>
          <w:szCs w:val="22"/>
          <w:highlight w:val="none"/>
        </w:rPr>
        <w:t>服务商</w:t>
      </w:r>
      <w:r>
        <w:rPr>
          <w:rFonts w:hint="eastAsia" w:eastAsia="方正仿宋_GBK"/>
          <w:color w:val="auto"/>
          <w:sz w:val="32"/>
          <w:szCs w:val="22"/>
          <w:highlight w:val="none"/>
          <w:lang w:eastAsia="zh-CN"/>
        </w:rPr>
        <w:t>、</w:t>
      </w:r>
      <w:r>
        <w:rPr>
          <w:rFonts w:hint="eastAsia" w:eastAsia="方正仿宋_GBK"/>
          <w:color w:val="auto"/>
          <w:sz w:val="32"/>
          <w:szCs w:val="22"/>
          <w:highlight w:val="none"/>
        </w:rPr>
        <w:t>标杆卖家，搭建“产业带</w:t>
      </w:r>
      <w:r>
        <w:rPr>
          <w:rFonts w:hint="default" w:ascii="Times New Roman" w:hAnsi="Times New Roman" w:eastAsia="方正仿宋_GBK" w:cs="Times New Roman"/>
          <w:color w:val="auto"/>
          <w:sz w:val="32"/>
          <w:szCs w:val="22"/>
          <w:highlight w:val="none"/>
          <w:lang w:val="en-US" w:eastAsia="zh-CN"/>
        </w:rPr>
        <w:t>+</w:t>
      </w:r>
      <w:r>
        <w:rPr>
          <w:rFonts w:hint="eastAsia" w:eastAsia="方正仿宋_GBK"/>
          <w:color w:val="auto"/>
          <w:sz w:val="32"/>
          <w:szCs w:val="22"/>
          <w:highlight w:val="none"/>
        </w:rPr>
        <w:t>数字化平台”赋能体系，优化通关、退税等服务保障。助力外贸规模稳量提质。稳住加工贸易基本盘，引导笔电企业向价值链上游延伸，大力拓展关键零部件、主板模组等“中间品”贸易与制造</w:t>
      </w:r>
      <w:r>
        <w:rPr>
          <w:rFonts w:hint="eastAsia" w:eastAsia="方正仿宋_GBK"/>
          <w:color w:val="auto"/>
          <w:sz w:val="32"/>
          <w:szCs w:val="22"/>
          <w:highlight w:val="none"/>
          <w:lang w:eastAsia="zh-CN"/>
        </w:rPr>
        <w:t>，</w:t>
      </w:r>
      <w:r>
        <w:rPr>
          <w:rFonts w:hint="eastAsia" w:eastAsia="方正仿宋_GBK"/>
          <w:color w:val="auto"/>
          <w:sz w:val="32"/>
          <w:szCs w:val="22"/>
          <w:highlight w:val="none"/>
        </w:rPr>
        <w:t>积极布局飞机零部件保税维修、新能源汽车及</w:t>
      </w:r>
      <w:r>
        <w:rPr>
          <w:rFonts w:hint="default" w:ascii="Times New Roman" w:hAnsi="Times New Roman" w:eastAsia="方正仿宋_GBK" w:cs="Times New Roman"/>
          <w:color w:val="auto"/>
          <w:sz w:val="32"/>
          <w:szCs w:val="22"/>
          <w:highlight w:val="none"/>
        </w:rPr>
        <w:t>KD件等高附加值</w:t>
      </w:r>
      <w:r>
        <w:rPr>
          <w:rFonts w:hint="eastAsia" w:ascii="Times New Roman" w:hAnsi="Times New Roman" w:eastAsia="方正仿宋_GBK" w:cs="Times New Roman"/>
          <w:color w:val="auto"/>
          <w:sz w:val="32"/>
          <w:szCs w:val="22"/>
          <w:highlight w:val="none"/>
          <w:lang w:val="en-US" w:eastAsia="zh-CN"/>
        </w:rPr>
        <w:t>业态</w:t>
      </w:r>
      <w:r>
        <w:rPr>
          <w:rFonts w:hint="default" w:ascii="Times New Roman" w:hAnsi="Times New Roman" w:eastAsia="方正仿宋_GBK" w:cs="Times New Roman"/>
          <w:color w:val="auto"/>
          <w:sz w:val="32"/>
          <w:szCs w:val="22"/>
          <w:highlight w:val="none"/>
        </w:rPr>
        <w:t>。</w:t>
      </w:r>
      <w:r>
        <w:rPr>
          <w:rFonts w:hint="eastAsia" w:eastAsia="方正仿宋_GBK"/>
          <w:color w:val="auto"/>
          <w:sz w:val="32"/>
          <w:szCs w:val="22"/>
          <w:highlight w:val="none"/>
        </w:rPr>
        <w:t>提升通道物流服务能级。完善“铁水空公”多式联运体系，推动监管模式创新，优化监管流程。</w:t>
      </w:r>
      <w:r>
        <w:rPr>
          <w:rFonts w:eastAsia="方正仿宋_GBK"/>
          <w:color w:val="auto"/>
          <w:sz w:val="32"/>
          <w:szCs w:val="22"/>
          <w:highlight w:val="none"/>
        </w:rPr>
        <w:t>加快推动西永航空前置货站投入运行，完善航空物流配套设施，提升航空货运集散能力</w:t>
      </w:r>
      <w:r>
        <w:rPr>
          <w:rFonts w:hint="eastAsia" w:eastAsia="方正仿宋_GBK"/>
          <w:color w:val="auto"/>
          <w:sz w:val="32"/>
          <w:szCs w:val="22"/>
          <w:highlight w:val="none"/>
        </w:rPr>
        <w:t>。</w:t>
      </w:r>
      <w:r>
        <w:rPr>
          <w:rFonts w:eastAsia="方正仿宋_GBK"/>
          <w:color w:val="auto"/>
          <w:sz w:val="32"/>
          <w:szCs w:val="22"/>
          <w:highlight w:val="none"/>
        </w:rPr>
        <w:t>探索建设西永综保区铁路口岸前置货站，打通铁路物流</w:t>
      </w:r>
      <w:r>
        <w:rPr>
          <w:rFonts w:hint="eastAsia" w:eastAsia="方正仿宋_GBK"/>
          <w:color w:val="auto"/>
          <w:sz w:val="32"/>
          <w:szCs w:val="22"/>
          <w:highlight w:val="none"/>
        </w:rPr>
        <w:t>“</w:t>
      </w:r>
      <w:r>
        <w:rPr>
          <w:rFonts w:eastAsia="方正仿宋_GBK"/>
          <w:color w:val="auto"/>
          <w:sz w:val="32"/>
          <w:szCs w:val="22"/>
          <w:highlight w:val="none"/>
        </w:rPr>
        <w:t>最后一公里</w:t>
      </w:r>
      <w:r>
        <w:rPr>
          <w:rFonts w:hint="eastAsia" w:eastAsia="方正仿宋_GBK"/>
          <w:color w:val="auto"/>
          <w:sz w:val="32"/>
          <w:szCs w:val="22"/>
          <w:highlight w:val="none"/>
        </w:rPr>
        <w:t>”</w:t>
      </w:r>
      <w:r>
        <w:rPr>
          <w:rFonts w:eastAsia="方正仿宋_GBK"/>
          <w:color w:val="auto"/>
          <w:sz w:val="32"/>
          <w:szCs w:val="22"/>
          <w:highlight w:val="none"/>
        </w:rPr>
        <w:t>，强化铁路物流枢纽支撑</w:t>
      </w:r>
      <w:r>
        <w:rPr>
          <w:rFonts w:hint="eastAsia" w:eastAsia="方正仿宋_GBK"/>
          <w:color w:val="auto"/>
          <w:sz w:val="32"/>
          <w:szCs w:val="22"/>
          <w:highlight w:val="none"/>
        </w:rPr>
        <w:t>。</w:t>
      </w:r>
      <w:r>
        <w:rPr>
          <w:rFonts w:eastAsia="方正仿宋_GBK"/>
          <w:color w:val="auto"/>
          <w:sz w:val="32"/>
          <w:szCs w:val="22"/>
          <w:highlight w:val="none"/>
        </w:rPr>
        <w:t>探索西永综保区与水港监管互认，实现监管资源共享、流程衔接</w:t>
      </w:r>
      <w:r>
        <w:rPr>
          <w:rFonts w:hint="eastAsia" w:eastAsia="方正仿宋_GBK"/>
          <w:color w:val="auto"/>
          <w:sz w:val="32"/>
          <w:szCs w:val="22"/>
          <w:highlight w:val="none"/>
        </w:rPr>
        <w:t>。推动跨境产业融合发展。持续完善关、税、汇、仓、配一体化服务链条，健全跨境物流、通关便利、金融支持、风险防控等全流程服务体系。探索建设跨境贸易公共服务平台，整合税务服务、市场服务、数据服务、法律服务等资源，实现一站式、智能化服务。探索与云南、广西重点跨境园区的合作机制，搭建东盟贸易双向对接通道，推动两地企业资源互通、货物直达。</w:t>
      </w:r>
    </w:p>
    <w:p w14:paraId="19D08931">
      <w:pPr>
        <w:overflowPunct w:val="0"/>
        <w:jc w:val="center"/>
        <w:rPr>
          <w:rFonts w:hint="eastAsia" w:ascii="Times New Roman" w:hAnsi="Times New Roman" w:eastAsia="方正黑体_GBK" w:cs="方正黑体_GBK"/>
          <w:color w:val="auto"/>
          <w:kern w:val="0"/>
          <w:sz w:val="32"/>
          <w:szCs w:val="32"/>
          <w:highlight w:val="none"/>
          <w:u w:val="none"/>
          <w:lang w:bidi="ar"/>
        </w:rPr>
      </w:pPr>
      <w:bookmarkStart w:id="317" w:name="_Toc10580"/>
      <w:r>
        <w:rPr>
          <w:rFonts w:hint="eastAsia" w:ascii="Times New Roman" w:hAnsi="Times New Roman" w:eastAsia="方正黑体_GBK" w:cs="方正黑体_GBK"/>
          <w:color w:val="auto"/>
          <w:kern w:val="0"/>
          <w:sz w:val="32"/>
          <w:szCs w:val="32"/>
          <w:highlight w:val="none"/>
          <w:u w:val="none"/>
          <w:lang w:bidi="ar"/>
        </w:rPr>
        <w:t>专栏1</w:t>
      </w:r>
      <w:r>
        <w:rPr>
          <w:rFonts w:hint="eastAsia" w:ascii="Times New Roman" w:hAnsi="Times New Roman" w:eastAsia="方正黑体_GBK" w:cs="方正黑体_GBK"/>
          <w:color w:val="auto"/>
          <w:kern w:val="0"/>
          <w:sz w:val="32"/>
          <w:szCs w:val="32"/>
          <w:highlight w:val="none"/>
          <w:u w:val="none"/>
          <w:lang w:val="en-US" w:eastAsia="zh-CN" w:bidi="ar"/>
        </w:rPr>
        <w:t>7</w:t>
      </w:r>
      <w:r>
        <w:rPr>
          <w:rFonts w:hint="eastAsia" w:ascii="Times New Roman" w:hAnsi="Times New Roman" w:eastAsia="方正黑体_GBK" w:cs="方正黑体_GBK"/>
          <w:color w:val="auto"/>
          <w:kern w:val="0"/>
          <w:sz w:val="32"/>
          <w:szCs w:val="32"/>
          <w:highlight w:val="none"/>
          <w:u w:val="none"/>
          <w:lang w:bidi="ar"/>
        </w:rPr>
        <w:t xml:space="preserve"> 跨境电商产业重点领域</w:t>
      </w:r>
    </w:p>
    <w:tbl>
      <w:tblPr>
        <w:tblStyle w:val="22"/>
        <w:tblW w:w="9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0"/>
      </w:tblGrid>
      <w:tr w14:paraId="30B77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0" w:type="dxa"/>
          </w:tcPr>
          <w:p w14:paraId="6F0A6440">
            <w:pPr>
              <w:pStyle w:val="19"/>
              <w:overflowPunct w:val="0"/>
              <w:snapToGrid w:val="0"/>
              <w:spacing w:beforeAutospacing="0" w:afterAutospacing="0" w:line="360" w:lineRule="exact"/>
              <w:ind w:firstLine="480" w:firstLineChars="200"/>
              <w:jc w:val="both"/>
              <w:rPr>
                <w:rFonts w:hint="eastAsia" w:ascii="Times New Roman" w:hAnsi="Times New Roman" w:eastAsia="方正书宋_GBK" w:cs="Times New Roman"/>
                <w:color w:val="auto"/>
                <w:sz w:val="24"/>
                <w:szCs w:val="24"/>
                <w:highlight w:val="none"/>
                <w:u w:val="none"/>
              </w:rPr>
            </w:pPr>
            <w:r>
              <w:rPr>
                <w:rFonts w:hint="eastAsia" w:ascii="Times New Roman" w:hAnsi="Times New Roman" w:eastAsia="方正黑体_GBK" w:cs="方正黑体_GBK"/>
                <w:color w:val="auto"/>
                <w:sz w:val="24"/>
                <w:szCs w:val="24"/>
                <w:highlight w:val="none"/>
                <w:u w:val="none"/>
                <w:lang w:bidi="ar-SA"/>
              </w:rPr>
              <w:t>1</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sz w:val="24"/>
                <w:szCs w:val="24"/>
                <w:highlight w:val="none"/>
                <w:u w:val="none"/>
                <w:lang w:bidi="ar-SA"/>
              </w:rPr>
              <w:t>跨境B2B领域。</w:t>
            </w:r>
            <w:r>
              <w:rPr>
                <w:rFonts w:hint="eastAsia" w:ascii="Times New Roman" w:hAnsi="Times New Roman" w:eastAsia="方正书宋_GBK" w:cs="Times New Roman"/>
                <w:color w:val="auto"/>
                <w:sz w:val="24"/>
                <w:szCs w:val="24"/>
                <w:highlight w:val="none"/>
                <w:u w:val="none"/>
                <w:lang w:bidi="ar-SA"/>
              </w:rPr>
              <w:t>重点推动</w:t>
            </w:r>
            <w:r>
              <w:rPr>
                <w:rFonts w:hint="eastAsia" w:ascii="Times New Roman" w:hAnsi="Times New Roman" w:eastAsia="方正书宋_GBK" w:cs="Times New Roman"/>
                <w:color w:val="auto"/>
                <w:sz w:val="24"/>
                <w:szCs w:val="24"/>
                <w:highlight w:val="none"/>
                <w:u w:val="none"/>
                <w:lang w:val="en-US" w:eastAsia="zh-CN" w:bidi="ar-SA"/>
              </w:rPr>
              <w:t>各类跨境电商平台</w:t>
            </w:r>
            <w:r>
              <w:rPr>
                <w:rFonts w:hint="eastAsia" w:ascii="Times New Roman" w:hAnsi="Times New Roman" w:eastAsia="方正书宋_GBK" w:cs="Times New Roman"/>
                <w:color w:val="auto"/>
                <w:sz w:val="24"/>
                <w:szCs w:val="24"/>
                <w:highlight w:val="none"/>
                <w:u w:val="none"/>
                <w:lang w:bidi="ar-SA"/>
              </w:rPr>
              <w:t>发展扩容，为电子信息、</w:t>
            </w:r>
            <w:r>
              <w:rPr>
                <w:rFonts w:hint="eastAsia" w:ascii="Times New Roman" w:hAnsi="Times New Roman" w:eastAsia="方正书宋_GBK" w:cs="Times New Roman"/>
                <w:color w:val="auto"/>
                <w:sz w:val="24"/>
                <w:szCs w:val="24"/>
                <w:highlight w:val="none"/>
                <w:u w:val="none"/>
                <w:lang w:val="en-US" w:eastAsia="zh-CN" w:bidi="ar-SA"/>
              </w:rPr>
              <w:t>新能源</w:t>
            </w:r>
            <w:r>
              <w:rPr>
                <w:rFonts w:hint="eastAsia" w:ascii="Times New Roman" w:hAnsi="Times New Roman" w:eastAsia="方正书宋_GBK" w:cs="Times New Roman"/>
                <w:color w:val="auto"/>
                <w:sz w:val="24"/>
                <w:szCs w:val="24"/>
                <w:highlight w:val="none"/>
                <w:u w:val="none"/>
                <w:lang w:bidi="ar-SA"/>
              </w:rPr>
              <w:t>汽摩等特色产业出海赋能。探索保税维修、保税研发、保税展示等新业态新模式。</w:t>
            </w:r>
          </w:p>
          <w:p w14:paraId="4B91D34E">
            <w:pPr>
              <w:pStyle w:val="19"/>
              <w:overflowPunct w:val="0"/>
              <w:snapToGrid w:val="0"/>
              <w:spacing w:beforeAutospacing="0" w:afterAutospacing="0" w:line="360" w:lineRule="exact"/>
              <w:ind w:firstLine="480" w:firstLineChars="200"/>
              <w:jc w:val="both"/>
              <w:rPr>
                <w:rFonts w:hint="eastAsia" w:ascii="Times New Roman" w:hAnsi="Times New Roman" w:eastAsia="方正书宋_GBK" w:cs="Times New Roman"/>
                <w:color w:val="auto"/>
                <w:sz w:val="24"/>
                <w:szCs w:val="24"/>
                <w:highlight w:val="none"/>
                <w:u w:val="none"/>
              </w:rPr>
            </w:pPr>
            <w:r>
              <w:rPr>
                <w:rFonts w:hint="eastAsia" w:ascii="Times New Roman" w:hAnsi="Times New Roman" w:eastAsia="方正黑体_GBK" w:cs="方正黑体_GBK"/>
                <w:color w:val="auto"/>
                <w:sz w:val="24"/>
                <w:szCs w:val="24"/>
                <w:highlight w:val="none"/>
                <w:u w:val="none"/>
                <w:lang w:bidi="ar-SA"/>
              </w:rPr>
              <w:t>2</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sz w:val="24"/>
                <w:szCs w:val="24"/>
                <w:highlight w:val="none"/>
                <w:u w:val="none"/>
                <w:lang w:bidi="ar-SA"/>
              </w:rPr>
              <w:t>跨境B2C领域。</w:t>
            </w:r>
            <w:r>
              <w:rPr>
                <w:rFonts w:hint="eastAsia" w:ascii="Times New Roman" w:hAnsi="Times New Roman" w:eastAsia="方正书宋_GBK" w:cs="Times New Roman"/>
                <w:color w:val="auto"/>
                <w:sz w:val="24"/>
                <w:szCs w:val="24"/>
                <w:highlight w:val="none"/>
                <w:u w:val="none"/>
                <w:lang w:bidi="ar-SA"/>
              </w:rPr>
              <w:t>重点打造跨境卖家聚集区，加强卖家合规性建设，提供关务、税务等统筹服务。</w:t>
            </w:r>
          </w:p>
          <w:p w14:paraId="15EBCC6A">
            <w:pPr>
              <w:pStyle w:val="19"/>
              <w:overflowPunct w:val="0"/>
              <w:snapToGrid w:val="0"/>
              <w:spacing w:beforeAutospacing="0" w:afterAutospacing="0" w:line="360" w:lineRule="exact"/>
              <w:ind w:firstLine="480" w:firstLineChars="200"/>
              <w:jc w:val="both"/>
              <w:rPr>
                <w:rFonts w:hint="eastAsia" w:ascii="Times New Roman" w:hAnsi="Times New Roman" w:eastAsia="方正书宋_GBK" w:cs="Times New Roman"/>
                <w:color w:val="auto"/>
                <w:sz w:val="24"/>
                <w:szCs w:val="24"/>
                <w:highlight w:val="none"/>
                <w:u w:val="none"/>
              </w:rPr>
            </w:pPr>
            <w:r>
              <w:rPr>
                <w:rFonts w:hint="default" w:ascii="Times New Roman" w:hAnsi="Times New Roman" w:eastAsia="方正黑体_GBK" w:cs="Times New Roman"/>
                <w:color w:val="auto"/>
                <w:sz w:val="24"/>
                <w:szCs w:val="24"/>
                <w:highlight w:val="none"/>
                <w:u w:val="none"/>
                <w:lang w:bidi="ar-SA"/>
              </w:rPr>
              <w:t>3</w:t>
            </w:r>
            <w:r>
              <w:rPr>
                <w:rFonts w:hint="default" w:ascii="Times New Roman" w:hAnsi="Times New Roman" w:eastAsia="方正黑体_GBK" w:cs="Times New Roman"/>
                <w:color w:val="auto"/>
                <w:sz w:val="24"/>
                <w:szCs w:val="24"/>
                <w:highlight w:val="none"/>
                <w:u w:val="none"/>
              </w:rPr>
              <w:t>．</w:t>
            </w:r>
            <w:r>
              <w:rPr>
                <w:rFonts w:hint="eastAsia" w:ascii="方正黑体_GBK" w:hAnsi="方正黑体_GBK" w:eastAsia="方正黑体_GBK" w:cs="方正黑体_GBK"/>
                <w:color w:val="auto"/>
                <w:sz w:val="24"/>
                <w:szCs w:val="24"/>
                <w:highlight w:val="none"/>
                <w:u w:val="none"/>
                <w:lang w:bidi="ar-SA"/>
              </w:rPr>
              <w:t>通关物流领域。</w:t>
            </w:r>
            <w:r>
              <w:rPr>
                <w:rFonts w:hint="eastAsia" w:ascii="Times New Roman" w:hAnsi="Times New Roman" w:eastAsia="方正书宋_GBK" w:cs="Times New Roman"/>
                <w:color w:val="auto"/>
                <w:sz w:val="24"/>
                <w:szCs w:val="24"/>
                <w:highlight w:val="none"/>
                <w:u w:val="none"/>
                <w:lang w:bidi="ar-SA"/>
              </w:rPr>
              <w:t>重点推动跨口岸的物流监管模式创新，助力北投西永东盟陆港项目提质升级。升级智慧综保区通关功能，探索开发智能制单系统。</w:t>
            </w:r>
          </w:p>
          <w:p w14:paraId="682F0B7A">
            <w:pPr>
              <w:widowControl/>
              <w:overflowPunct w:val="0"/>
              <w:snapToGrid w:val="0"/>
              <w:spacing w:line="360" w:lineRule="exact"/>
              <w:ind w:firstLine="480" w:firstLineChars="200"/>
              <w:jc w:val="left"/>
              <w:rPr>
                <w:rFonts w:ascii="Times New Roman" w:hAnsi="Times New Roman" w:eastAsia="方正仿宋_GBK" w:cs="Times New Roman"/>
                <w:color w:val="auto"/>
                <w:sz w:val="24"/>
                <w:szCs w:val="24"/>
                <w:highlight w:val="none"/>
              </w:rPr>
            </w:pPr>
            <w:r>
              <w:rPr>
                <w:rFonts w:hint="eastAsia" w:ascii="Times New Roman" w:hAnsi="Times New Roman" w:eastAsia="方正黑体_GBK" w:cs="方正黑体_GBK"/>
                <w:color w:val="auto"/>
                <w:kern w:val="0"/>
                <w:sz w:val="24"/>
                <w:szCs w:val="24"/>
                <w:highlight w:val="none"/>
                <w:u w:val="none"/>
                <w:lang w:bidi="ar-SA"/>
              </w:rPr>
              <w:t>4</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szCs w:val="24"/>
                <w:highlight w:val="none"/>
                <w:u w:val="none"/>
                <w:lang w:bidi="ar-SA"/>
              </w:rPr>
              <w:t>生态体系领域。</w:t>
            </w:r>
            <w:r>
              <w:rPr>
                <w:rFonts w:hint="eastAsia" w:ascii="Times New Roman" w:hAnsi="Times New Roman" w:eastAsia="方正书宋_GBK" w:cs="Times New Roman"/>
                <w:color w:val="auto"/>
                <w:kern w:val="0"/>
                <w:sz w:val="24"/>
                <w:szCs w:val="24"/>
                <w:highlight w:val="none"/>
                <w:u w:val="none"/>
                <w:lang w:bidi="ar-SA"/>
              </w:rPr>
              <w:t>重点打通出口海外仓离境退税难点，健全跨境服务体系产业链条，建立跨境电商综合服务平台，健全跨境贸易生态体系构建，提升产业发展环境。</w:t>
            </w:r>
          </w:p>
        </w:tc>
      </w:tr>
    </w:tbl>
    <w:p w14:paraId="3B3804FB">
      <w:pPr>
        <w:overflowPunct w:val="0"/>
        <w:adjustRightInd w:val="0"/>
        <w:snapToGrid w:val="0"/>
        <w:spacing w:line="600" w:lineRule="exact"/>
        <w:ind w:firstLine="640" w:firstLineChars="200"/>
        <w:rPr>
          <w:rFonts w:hint="eastAsia" w:ascii="Times New Roman" w:hAnsi="Times New Roman" w:eastAsia="方正仿宋_GBK" w:cs="Times New Roman"/>
          <w:color w:val="auto"/>
          <w:sz w:val="32"/>
          <w:szCs w:val="32"/>
          <w:highlight w:val="none"/>
        </w:rPr>
      </w:pPr>
      <w:bookmarkStart w:id="318" w:name="_Toc1031208036"/>
      <w:bookmarkStart w:id="319" w:name="_Toc266"/>
      <w:bookmarkStart w:id="320" w:name="_Toc10837"/>
      <w:bookmarkStart w:id="321" w:name="_Toc1382458226"/>
    </w:p>
    <w:p w14:paraId="3E822C25">
      <w:pPr>
        <w:overflowPunct w:val="0"/>
        <w:adjustRightInd w:val="0"/>
        <w:snapToGrid w:val="0"/>
        <w:spacing w:line="600" w:lineRule="exact"/>
        <w:jc w:val="center"/>
        <w:outlineLvl w:val="1"/>
        <w:rPr>
          <w:rFonts w:ascii="Times New Roman" w:hAnsi="Times New Roman" w:eastAsia="方正黑体_GBK" w:cs="方正黑体_GBK"/>
          <w:color w:val="auto"/>
          <w:sz w:val="32"/>
          <w:szCs w:val="32"/>
          <w:highlight w:val="none"/>
        </w:rPr>
      </w:pPr>
      <w:bookmarkStart w:id="322" w:name="_Toc31634"/>
      <w:r>
        <w:rPr>
          <w:rFonts w:hint="eastAsia" w:ascii="Times New Roman" w:hAnsi="Times New Roman" w:eastAsia="方正黑体_GBK" w:cs="方正黑体_GBK"/>
          <w:color w:val="auto"/>
          <w:sz w:val="32"/>
          <w:szCs w:val="32"/>
          <w:highlight w:val="none"/>
        </w:rPr>
        <w:t>第四章 全力打造三大产业片区</w:t>
      </w:r>
      <w:bookmarkEnd w:id="242"/>
      <w:bookmarkEnd w:id="243"/>
      <w:bookmarkEnd w:id="244"/>
      <w:bookmarkEnd w:id="245"/>
      <w:bookmarkEnd w:id="272"/>
      <w:bookmarkEnd w:id="317"/>
      <w:bookmarkEnd w:id="318"/>
      <w:bookmarkEnd w:id="319"/>
      <w:bookmarkEnd w:id="320"/>
      <w:bookmarkEnd w:id="321"/>
      <w:bookmarkEnd w:id="322"/>
    </w:p>
    <w:p w14:paraId="30761031">
      <w:pPr>
        <w:overflowPunct w:val="0"/>
        <w:adjustRightInd w:val="0"/>
        <w:snapToGrid w:val="0"/>
        <w:spacing w:line="600" w:lineRule="exact"/>
        <w:ind w:firstLine="640" w:firstLineChars="200"/>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按照“土地集约、产业集群、项目集中、要素集聚”原则，持续优化产业空间布局，以片区为空间载体、园区为核心平台、楼宇为功能节点，打造北部、中部、南部三大产业片区，梯度推动主导产业成链、配套产业成团</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rPr>
        <w:t>产业链上下游</w:t>
      </w:r>
      <w:r>
        <w:rPr>
          <w:rFonts w:hint="eastAsia" w:ascii="Times New Roman" w:hAnsi="Times New Roman" w:eastAsia="方正仿宋_GBK" w:cs="Times New Roman"/>
          <w:color w:val="auto"/>
          <w:sz w:val="32"/>
          <w:szCs w:val="32"/>
          <w:highlight w:val="none"/>
          <w:lang w:eastAsia="zh-CN"/>
        </w:rPr>
        <w:t>成群，加快</w:t>
      </w:r>
      <w:r>
        <w:rPr>
          <w:rFonts w:hint="eastAsia" w:ascii="Times New Roman" w:hAnsi="Times New Roman" w:eastAsia="方正仿宋_GBK" w:cs="Times New Roman"/>
          <w:color w:val="auto"/>
          <w:sz w:val="32"/>
          <w:szCs w:val="32"/>
          <w:highlight w:val="none"/>
        </w:rPr>
        <w:t>构建优势互补、协同高效的产业发展新格局。</w:t>
      </w:r>
    </w:p>
    <w:p w14:paraId="376CA59D">
      <w:pPr>
        <w:overflowPunct w:val="0"/>
        <w:jc w:val="center"/>
        <w:rPr>
          <w:rFonts w:hint="eastAsia" w:ascii="Times New Roman" w:hAnsi="Times New Roman" w:eastAsia="方正黑体_GBK" w:cs="方正黑体_GBK"/>
          <w:color w:val="auto"/>
          <w:sz w:val="28"/>
          <w:szCs w:val="28"/>
          <w:highlight w:val="none"/>
          <w:lang w:bidi="ar"/>
        </w:rPr>
      </w:pPr>
      <w:r>
        <w:rPr>
          <w:rFonts w:hint="eastAsia" w:ascii="Times New Roman" w:hAnsi="Times New Roman" w:eastAsia="方正黑体_GBK" w:cs="方正黑体_GBK"/>
          <w:color w:val="auto"/>
          <w:kern w:val="0"/>
          <w:sz w:val="32"/>
          <w:szCs w:val="32"/>
          <w:highlight w:val="none"/>
          <w:u w:val="none"/>
          <w:lang w:bidi="ar"/>
        </w:rPr>
        <w:t>专栏1</w:t>
      </w:r>
      <w:r>
        <w:rPr>
          <w:rFonts w:hint="eastAsia" w:ascii="Times New Roman" w:hAnsi="Times New Roman" w:eastAsia="方正黑体_GBK" w:cs="方正黑体_GBK"/>
          <w:color w:val="auto"/>
          <w:kern w:val="0"/>
          <w:sz w:val="32"/>
          <w:szCs w:val="32"/>
          <w:highlight w:val="none"/>
          <w:u w:val="none"/>
          <w:lang w:val="en-US" w:eastAsia="zh-CN" w:bidi="ar"/>
        </w:rPr>
        <w:t>8</w:t>
      </w:r>
      <w:r>
        <w:rPr>
          <w:rFonts w:hint="eastAsia" w:ascii="Times New Roman" w:hAnsi="Times New Roman" w:eastAsia="方正黑体_GBK" w:cs="方正黑体_GBK"/>
          <w:color w:val="auto"/>
          <w:kern w:val="0"/>
          <w:sz w:val="32"/>
          <w:szCs w:val="32"/>
          <w:highlight w:val="none"/>
          <w:u w:val="none"/>
          <w:lang w:bidi="ar"/>
        </w:rPr>
        <w:t xml:space="preserve"> 三大产业片区发展重点</w:t>
      </w:r>
    </w:p>
    <w:tbl>
      <w:tblPr>
        <w:tblStyle w:val="22"/>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0"/>
      </w:tblGrid>
      <w:tr w14:paraId="23FD2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0" w:type="dxa"/>
            <w:vAlign w:val="top"/>
          </w:tcPr>
          <w:p w14:paraId="7F7E4C9C">
            <w:pPr>
              <w:pStyle w:val="19"/>
              <w:overflowPunct w:val="0"/>
              <w:snapToGrid w:val="0"/>
              <w:spacing w:beforeAutospacing="0" w:afterAutospacing="0" w:line="360" w:lineRule="exact"/>
              <w:ind w:firstLine="480" w:firstLineChars="200"/>
              <w:jc w:val="both"/>
              <w:rPr>
                <w:rFonts w:hint="eastAsia" w:ascii="Times New Roman" w:hAnsi="Times New Roman" w:eastAsia="方正书宋_GBK" w:cs="Times New Roman"/>
                <w:color w:val="auto"/>
                <w:sz w:val="24"/>
                <w:szCs w:val="24"/>
                <w:highlight w:val="none"/>
                <w:u w:val="none"/>
              </w:rPr>
            </w:pPr>
            <w:r>
              <w:rPr>
                <w:rFonts w:hint="eastAsia" w:ascii="Times New Roman" w:hAnsi="Times New Roman" w:eastAsia="方正黑体_GBK" w:cs="方正黑体_GBK"/>
                <w:color w:val="auto"/>
                <w:sz w:val="24"/>
                <w:szCs w:val="24"/>
                <w:highlight w:val="none"/>
                <w:u w:val="none"/>
              </w:rPr>
              <w:t>1．北部片区。</w:t>
            </w:r>
            <w:r>
              <w:rPr>
                <w:rFonts w:hint="eastAsia" w:ascii="Times New Roman" w:hAnsi="Times New Roman" w:eastAsia="方正书宋_GBK" w:cs="Times New Roman"/>
                <w:color w:val="auto"/>
                <w:sz w:val="24"/>
                <w:szCs w:val="24"/>
                <w:highlight w:val="none"/>
                <w:u w:val="none"/>
              </w:rPr>
              <w:t>位于成渝高铁</w:t>
            </w:r>
            <w:r>
              <w:rPr>
                <w:rFonts w:hint="eastAsia" w:ascii="Times New Roman" w:hAnsi="Times New Roman" w:eastAsia="方正书宋_GBK" w:cs="Times New Roman"/>
                <w:color w:val="auto"/>
                <w:sz w:val="24"/>
                <w:szCs w:val="24"/>
                <w:highlight w:val="none"/>
                <w:u w:val="none"/>
                <w:lang w:eastAsia="zh-CN"/>
              </w:rPr>
              <w:t>以北、寨山坪以西</w:t>
            </w:r>
            <w:r>
              <w:rPr>
                <w:rFonts w:hint="eastAsia" w:ascii="Times New Roman" w:hAnsi="Times New Roman" w:eastAsia="方正书宋_GBK" w:cs="Times New Roman"/>
                <w:color w:val="auto"/>
                <w:sz w:val="24"/>
                <w:szCs w:val="24"/>
                <w:highlight w:val="none"/>
                <w:u w:val="none"/>
              </w:rPr>
              <w:t>区域，主要包括大学城组团、曾家</w:t>
            </w:r>
            <w:r>
              <w:rPr>
                <w:rFonts w:hint="eastAsia" w:ascii="Times New Roman" w:hAnsi="Times New Roman" w:eastAsia="方正书宋_GBK" w:cs="Times New Roman"/>
                <w:color w:val="auto"/>
                <w:sz w:val="24"/>
                <w:szCs w:val="24"/>
                <w:highlight w:val="none"/>
                <w:u w:val="none"/>
                <w:lang w:val="en-US" w:eastAsia="zh-CN"/>
              </w:rPr>
              <w:t>组团</w:t>
            </w:r>
            <w:r>
              <w:rPr>
                <w:rFonts w:hint="eastAsia" w:ascii="Times New Roman" w:hAnsi="Times New Roman" w:eastAsia="方正书宋_GBK" w:cs="Times New Roman"/>
                <w:color w:val="auto"/>
                <w:sz w:val="24"/>
                <w:szCs w:val="24"/>
                <w:highlight w:val="none"/>
                <w:u w:val="none"/>
              </w:rPr>
              <w:t>、香炉山组团，重点发展新型智能终端、新能源汽摩、软件和信息服务、科技服务</w:t>
            </w:r>
            <w:r>
              <w:rPr>
                <w:rFonts w:hint="eastAsia" w:ascii="Times New Roman" w:hAnsi="Times New Roman" w:eastAsia="方正书宋_GBK" w:cs="Times New Roman"/>
                <w:color w:val="auto"/>
                <w:kern w:val="0"/>
                <w:sz w:val="24"/>
                <w:szCs w:val="24"/>
                <w:highlight w:val="none"/>
                <w:u w:val="none"/>
                <w:lang w:val="en-US" w:eastAsia="zh-CN"/>
              </w:rPr>
              <w:t>等</w:t>
            </w:r>
            <w:r>
              <w:rPr>
                <w:rFonts w:hint="eastAsia" w:ascii="Times New Roman" w:hAnsi="Times New Roman" w:eastAsia="方正书宋_GBK" w:cs="Times New Roman"/>
                <w:color w:val="auto"/>
                <w:sz w:val="24"/>
                <w:szCs w:val="24"/>
                <w:highlight w:val="none"/>
                <w:u w:val="none"/>
              </w:rPr>
              <w:t>产业链，优先推进综保区B区</w:t>
            </w:r>
            <w:r>
              <w:rPr>
                <w:rFonts w:hint="eastAsia" w:ascii="Times New Roman" w:hAnsi="Times New Roman" w:eastAsia="方正书宋_GBK" w:cs="Times New Roman"/>
                <w:color w:val="auto"/>
                <w:sz w:val="24"/>
                <w:szCs w:val="24"/>
                <w:highlight w:val="none"/>
                <w:u w:val="none"/>
                <w:lang w:val="en-US" w:eastAsia="zh-CN"/>
              </w:rPr>
              <w:t>内</w:t>
            </w:r>
            <w:r>
              <w:rPr>
                <w:rFonts w:hint="eastAsia" w:ascii="Times New Roman" w:hAnsi="Times New Roman" w:eastAsia="方正书宋_GBK" w:cs="Times New Roman"/>
                <w:color w:val="auto"/>
                <w:sz w:val="24"/>
                <w:szCs w:val="24"/>
                <w:highlight w:val="none"/>
                <w:u w:val="none"/>
              </w:rPr>
              <w:t>及</w:t>
            </w:r>
            <w:r>
              <w:rPr>
                <w:rFonts w:hint="eastAsia" w:ascii="Times New Roman" w:hAnsi="Times New Roman" w:eastAsia="方正书宋_GBK" w:cs="Times New Roman"/>
                <w:color w:val="auto"/>
                <w:sz w:val="24"/>
                <w:szCs w:val="24"/>
                <w:highlight w:val="none"/>
                <w:u w:val="none"/>
                <w:lang w:val="en-US" w:eastAsia="zh-CN"/>
              </w:rPr>
              <w:t>金凤电子信息产业园</w:t>
            </w:r>
            <w:r>
              <w:rPr>
                <w:rFonts w:hint="eastAsia" w:ascii="Times New Roman" w:hAnsi="Times New Roman" w:eastAsia="方正书宋_GBK" w:cs="Times New Roman"/>
                <w:color w:val="auto"/>
                <w:sz w:val="24"/>
                <w:szCs w:val="24"/>
                <w:highlight w:val="none"/>
                <w:u w:val="none"/>
              </w:rPr>
              <w:t>周边区域建设，持续培育金凤软件园（虎溪园）、国际创谷等产业载体，重点打造全市智能网联新能源汽车关键零部件、软信产业核心承载区等。</w:t>
            </w:r>
          </w:p>
          <w:p w14:paraId="4AD42D12">
            <w:pPr>
              <w:pStyle w:val="19"/>
              <w:overflowPunct w:val="0"/>
              <w:snapToGrid w:val="0"/>
              <w:spacing w:beforeAutospacing="0" w:afterAutospacing="0" w:line="360" w:lineRule="exact"/>
              <w:ind w:firstLine="480" w:firstLineChars="200"/>
              <w:jc w:val="both"/>
              <w:rPr>
                <w:rFonts w:hint="eastAsia" w:ascii="Times New Roman" w:hAnsi="Times New Roman" w:eastAsia="方正书宋_GBK" w:cs="Times New Roman"/>
                <w:color w:val="auto"/>
                <w:sz w:val="24"/>
                <w:szCs w:val="24"/>
                <w:highlight w:val="none"/>
                <w:u w:val="none"/>
              </w:rPr>
            </w:pPr>
            <w:r>
              <w:rPr>
                <w:rFonts w:hint="eastAsia" w:ascii="Times New Roman" w:hAnsi="Times New Roman" w:eastAsia="方正黑体_GBK" w:cs="方正黑体_GBK"/>
                <w:color w:val="auto"/>
                <w:sz w:val="24"/>
                <w:szCs w:val="24"/>
                <w:highlight w:val="none"/>
                <w:u w:val="none"/>
              </w:rPr>
              <w:t>2．中部片区。</w:t>
            </w:r>
            <w:r>
              <w:rPr>
                <w:rFonts w:hint="eastAsia" w:ascii="Times New Roman" w:hAnsi="Times New Roman" w:eastAsia="方正书宋_GBK" w:cs="Times New Roman"/>
                <w:color w:val="auto"/>
                <w:sz w:val="24"/>
                <w:szCs w:val="24"/>
                <w:highlight w:val="none"/>
                <w:u w:val="none"/>
              </w:rPr>
              <w:t>位于成渝高铁</w:t>
            </w:r>
            <w:r>
              <w:rPr>
                <w:rFonts w:hint="eastAsia" w:ascii="Times New Roman" w:hAnsi="Times New Roman" w:eastAsia="方正书宋_GBK" w:cs="Times New Roman"/>
                <w:color w:val="auto"/>
                <w:sz w:val="24"/>
                <w:szCs w:val="24"/>
                <w:highlight w:val="none"/>
                <w:u w:val="none"/>
                <w:lang w:eastAsia="zh-CN"/>
              </w:rPr>
              <w:t>以南、寨山坪以东、</w:t>
            </w:r>
            <w:r>
              <w:rPr>
                <w:rFonts w:hint="eastAsia" w:ascii="Times New Roman" w:hAnsi="Times New Roman" w:eastAsia="方正书宋_GBK" w:cs="Times New Roman"/>
                <w:color w:val="auto"/>
                <w:kern w:val="0"/>
                <w:sz w:val="24"/>
                <w:szCs w:val="24"/>
                <w:highlight w:val="none"/>
                <w:u w:val="none"/>
              </w:rPr>
              <w:t>成渝高速以</w:t>
            </w:r>
            <w:r>
              <w:rPr>
                <w:rFonts w:hint="eastAsia" w:ascii="Times New Roman" w:hAnsi="Times New Roman" w:eastAsia="方正书宋_GBK" w:cs="Times New Roman"/>
                <w:color w:val="auto"/>
                <w:kern w:val="0"/>
                <w:sz w:val="24"/>
                <w:szCs w:val="24"/>
                <w:highlight w:val="none"/>
                <w:u w:val="none"/>
                <w:lang w:eastAsia="zh-CN"/>
              </w:rPr>
              <w:t>北</w:t>
            </w:r>
            <w:r>
              <w:rPr>
                <w:rFonts w:hint="eastAsia" w:ascii="Times New Roman" w:hAnsi="Times New Roman" w:eastAsia="方正书宋_GBK" w:cs="Times New Roman"/>
                <w:color w:val="auto"/>
                <w:sz w:val="24"/>
                <w:szCs w:val="24"/>
                <w:highlight w:val="none"/>
                <w:u w:val="none"/>
              </w:rPr>
              <w:t>区域，主要包括西永组团、金凤城市中心组团，重点发展集成电路、新型智能终端、生物医药、未来产业、软件和信息服务、科技服务、金融服务、跨境电商等产业链，优先推进西永微电园、综保区A区、科学谷建设，用好</w:t>
            </w:r>
            <w:r>
              <w:rPr>
                <w:rFonts w:hint="eastAsia" w:ascii="Times New Roman" w:hAnsi="Times New Roman" w:eastAsia="方正书宋_GBK" w:cs="Times New Roman"/>
                <w:color w:val="auto"/>
                <w:sz w:val="24"/>
                <w:szCs w:val="24"/>
                <w:highlight w:val="none"/>
                <w:u w:val="none"/>
                <w:lang w:val="en-US" w:eastAsia="zh-CN"/>
              </w:rPr>
              <w:t>数字医疗产业园</w:t>
            </w:r>
            <w:r>
              <w:rPr>
                <w:rFonts w:hint="eastAsia" w:ascii="Times New Roman" w:hAnsi="Times New Roman" w:eastAsia="方正书宋_GBK" w:cs="Times New Roman"/>
                <w:color w:val="auto"/>
                <w:sz w:val="24"/>
                <w:szCs w:val="24"/>
                <w:highlight w:val="none"/>
                <w:u w:val="none"/>
              </w:rPr>
              <w:t>、国家生物产业基地等</w:t>
            </w:r>
            <w:r>
              <w:rPr>
                <w:rFonts w:hint="eastAsia" w:ascii="Times New Roman" w:hAnsi="Times New Roman" w:eastAsia="方正书宋_GBK" w:cs="Times New Roman"/>
                <w:color w:val="auto"/>
                <w:sz w:val="24"/>
                <w:szCs w:val="24"/>
                <w:highlight w:val="none"/>
                <w:u w:val="none"/>
                <w:lang w:val="en-US" w:eastAsia="zh-CN"/>
              </w:rPr>
              <w:t>产业</w:t>
            </w:r>
            <w:r>
              <w:rPr>
                <w:rFonts w:hint="eastAsia" w:ascii="Times New Roman" w:hAnsi="Times New Roman" w:eastAsia="方正书宋_GBK" w:cs="Times New Roman"/>
                <w:color w:val="auto"/>
                <w:sz w:val="24"/>
                <w:szCs w:val="24"/>
                <w:highlight w:val="none"/>
                <w:u w:val="none"/>
              </w:rPr>
              <w:t>载体，打造全球重要的智能终端设备制造基地、全市集成电路产业主要集聚地、科创商贸融合示范区等。</w:t>
            </w:r>
          </w:p>
          <w:p w14:paraId="230895F1">
            <w:pPr>
              <w:widowControl/>
              <w:overflowPunct w:val="0"/>
              <w:snapToGrid w:val="0"/>
              <w:spacing w:line="360" w:lineRule="exact"/>
              <w:ind w:firstLine="480" w:firstLineChars="200"/>
              <w:jc w:val="left"/>
              <w:rPr>
                <w:rFonts w:ascii="Times New Roman" w:hAnsi="Times New Roman" w:eastAsia="方正仿宋_GBK" w:cs="Times New Roman"/>
                <w:color w:val="auto"/>
                <w:sz w:val="24"/>
                <w:szCs w:val="24"/>
                <w:highlight w:val="none"/>
              </w:rPr>
            </w:pPr>
            <w:r>
              <w:rPr>
                <w:rFonts w:hint="eastAsia" w:ascii="Times New Roman" w:hAnsi="Times New Roman" w:eastAsia="方正黑体_GBK" w:cs="方正黑体_GBK"/>
                <w:color w:val="auto"/>
                <w:kern w:val="0"/>
                <w:sz w:val="24"/>
                <w:szCs w:val="24"/>
                <w:highlight w:val="none"/>
                <w:u w:val="none"/>
              </w:rPr>
              <w:t>3</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szCs w:val="24"/>
                <w:highlight w:val="none"/>
                <w:u w:val="none"/>
              </w:rPr>
              <w:t>南部片区。</w:t>
            </w:r>
            <w:r>
              <w:rPr>
                <w:rFonts w:hint="eastAsia" w:ascii="Times New Roman" w:hAnsi="Times New Roman" w:eastAsia="方正书宋_GBK" w:cs="Times New Roman"/>
                <w:color w:val="auto"/>
                <w:kern w:val="0"/>
                <w:sz w:val="24"/>
                <w:szCs w:val="24"/>
                <w:highlight w:val="none"/>
                <w:u w:val="none"/>
              </w:rPr>
              <w:t>位于成渝高速以南区域，主要包括白市驿走马组团、巴福石板组团，重点发展新能源汽摩、生物医药（药食健康）、未来产业等产业链，优先推进白市驿、巴福生物医药产业</w:t>
            </w:r>
            <w:r>
              <w:rPr>
                <w:rFonts w:hint="eastAsia" w:ascii="Times New Roman" w:hAnsi="Times New Roman" w:eastAsia="方正书宋_GBK" w:cs="Times New Roman"/>
                <w:color w:val="auto"/>
                <w:kern w:val="0"/>
                <w:sz w:val="24"/>
                <w:szCs w:val="24"/>
                <w:highlight w:val="none"/>
                <w:u w:val="none"/>
                <w:lang w:eastAsia="zh-CN"/>
              </w:rPr>
              <w:t>融合区</w:t>
            </w:r>
            <w:r>
              <w:rPr>
                <w:rFonts w:hint="eastAsia" w:ascii="Times New Roman" w:hAnsi="Times New Roman" w:eastAsia="方正书宋_GBK" w:cs="Times New Roman"/>
                <w:color w:val="auto"/>
                <w:kern w:val="0"/>
                <w:sz w:val="24"/>
                <w:szCs w:val="24"/>
                <w:highlight w:val="none"/>
                <w:u w:val="none"/>
              </w:rPr>
              <w:t>、石板药食健康产业</w:t>
            </w:r>
            <w:r>
              <w:rPr>
                <w:rFonts w:hint="eastAsia" w:ascii="Times New Roman" w:hAnsi="Times New Roman" w:eastAsia="方正书宋_GBK" w:cs="Times New Roman"/>
                <w:color w:val="auto"/>
                <w:kern w:val="0"/>
                <w:sz w:val="24"/>
                <w:szCs w:val="24"/>
                <w:highlight w:val="none"/>
                <w:u w:val="none"/>
                <w:lang w:eastAsia="zh-CN"/>
              </w:rPr>
              <w:t>融合区</w:t>
            </w:r>
            <w:r>
              <w:rPr>
                <w:rFonts w:hint="eastAsia" w:ascii="Times New Roman" w:hAnsi="Times New Roman" w:eastAsia="方正书宋_GBK" w:cs="Times New Roman"/>
                <w:color w:val="auto"/>
                <w:kern w:val="0"/>
                <w:sz w:val="24"/>
                <w:szCs w:val="24"/>
                <w:highlight w:val="none"/>
                <w:u w:val="none"/>
              </w:rPr>
              <w:t>建设，持续培育石板大健康产业园、</w:t>
            </w:r>
            <w:r>
              <w:rPr>
                <w:rFonts w:hint="eastAsia" w:ascii="Times New Roman" w:hAnsi="Times New Roman" w:eastAsia="方正书宋_GBK" w:cs="Times New Roman"/>
                <w:color w:val="auto"/>
                <w:kern w:val="0"/>
                <w:sz w:val="24"/>
                <w:szCs w:val="24"/>
                <w:highlight w:val="none"/>
                <w:u w:val="none"/>
                <w:lang w:val="en-US" w:eastAsia="zh-CN"/>
              </w:rPr>
              <w:t>巴福</w:t>
            </w:r>
            <w:r>
              <w:rPr>
                <w:rFonts w:hint="eastAsia" w:ascii="Times New Roman" w:hAnsi="Times New Roman" w:eastAsia="方正书宋_GBK" w:cs="Times New Roman"/>
                <w:color w:val="auto"/>
                <w:kern w:val="0"/>
                <w:sz w:val="24"/>
                <w:szCs w:val="24"/>
                <w:highlight w:val="none"/>
                <w:u w:val="none"/>
              </w:rPr>
              <w:t>大健康产业园等产业载体，打造国家级未来产业先导区、全市智能网联新能源汽摩产业重要承载地、西部药械创新转化集聚区等。</w:t>
            </w:r>
          </w:p>
        </w:tc>
      </w:tr>
    </w:tbl>
    <w:p w14:paraId="6CB226C2">
      <w:pPr>
        <w:rPr>
          <w:rFonts w:hint="eastAsia" w:ascii="Times New Roman" w:hAnsi="Times New Roman" w:eastAsia="方正黑体_GBK" w:cs="方正黑体_GBK"/>
          <w:color w:val="auto"/>
          <w:kern w:val="0"/>
          <w:sz w:val="32"/>
          <w:szCs w:val="32"/>
          <w:highlight w:val="none"/>
          <w:u w:val="none"/>
          <w:lang w:bidi="ar"/>
        </w:rPr>
      </w:pPr>
      <w:r>
        <w:rPr>
          <w:rFonts w:hint="eastAsia" w:ascii="Times New Roman" w:hAnsi="Times New Roman" w:eastAsia="方正黑体_GBK" w:cs="方正黑体_GBK"/>
          <w:color w:val="auto"/>
          <w:kern w:val="0"/>
          <w:sz w:val="32"/>
          <w:szCs w:val="32"/>
          <w:highlight w:val="none"/>
          <w:u w:val="none"/>
          <w:lang w:bidi="ar"/>
        </w:rPr>
        <w:br w:type="page"/>
      </w:r>
    </w:p>
    <w:p w14:paraId="21B6F70C">
      <w:pPr>
        <w:overflowPunct w:val="0"/>
        <w:jc w:val="center"/>
        <w:rPr>
          <w:rFonts w:hint="eastAsia" w:ascii="Times New Roman" w:hAnsi="Times New Roman" w:eastAsia="方正黑体_GBK" w:cs="方正黑体_GBK"/>
          <w:color w:val="auto"/>
          <w:kern w:val="0"/>
          <w:sz w:val="32"/>
          <w:szCs w:val="32"/>
          <w:highlight w:val="none"/>
          <w:u w:val="none"/>
          <w:lang w:val="en-US" w:eastAsia="zh-CN" w:bidi="ar"/>
        </w:rPr>
      </w:pPr>
      <w:r>
        <w:rPr>
          <w:rFonts w:hint="eastAsia" w:ascii="Times New Roman" w:hAnsi="Times New Roman" w:eastAsia="方正黑体_GBK" w:cs="方正黑体_GBK"/>
          <w:color w:val="auto"/>
          <w:kern w:val="0"/>
          <w:sz w:val="32"/>
          <w:szCs w:val="32"/>
          <w:highlight w:val="none"/>
          <w:u w:val="none"/>
          <w:lang w:bidi="ar"/>
        </w:rPr>
        <w:t>图</w:t>
      </w:r>
      <w:r>
        <w:rPr>
          <w:rFonts w:hint="eastAsia" w:ascii="Times New Roman" w:hAnsi="Times New Roman" w:eastAsia="方正黑体_GBK" w:cs="方正黑体_GBK"/>
          <w:color w:val="auto"/>
          <w:kern w:val="0"/>
          <w:sz w:val="32"/>
          <w:szCs w:val="32"/>
          <w:highlight w:val="none"/>
          <w:u w:val="none"/>
          <w:lang w:val="en-US" w:eastAsia="zh-CN" w:bidi="ar"/>
        </w:rPr>
        <w:t>2</w:t>
      </w:r>
      <w:r>
        <w:rPr>
          <w:rFonts w:hint="eastAsia" w:ascii="Times New Roman" w:hAnsi="Times New Roman" w:eastAsia="方正黑体_GBK" w:cs="方正黑体_GBK"/>
          <w:color w:val="auto"/>
          <w:kern w:val="0"/>
          <w:sz w:val="32"/>
          <w:szCs w:val="32"/>
          <w:highlight w:val="none"/>
          <w:u w:val="none"/>
          <w:lang w:bidi="ar"/>
        </w:rPr>
        <w:t xml:space="preserve"> </w:t>
      </w:r>
      <w:r>
        <w:rPr>
          <w:rFonts w:hint="eastAsia" w:ascii="Times New Roman" w:hAnsi="Times New Roman" w:eastAsia="方正黑体_GBK" w:cs="方正黑体_GBK"/>
          <w:color w:val="auto"/>
          <w:kern w:val="0"/>
          <w:sz w:val="32"/>
          <w:szCs w:val="32"/>
          <w:highlight w:val="none"/>
          <w:u w:val="none"/>
          <w:lang w:val="en-US" w:eastAsia="zh-CN" w:bidi="ar"/>
        </w:rPr>
        <w:t>北、中、南三大产业片区空间示意图</w:t>
      </w:r>
    </w:p>
    <w:tbl>
      <w:tblPr>
        <w:tblStyle w:val="22"/>
        <w:tblW w:w="9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0"/>
      </w:tblGrid>
      <w:tr w14:paraId="0ADF4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7" w:hRule="atLeast"/>
          <w:jc w:val="center"/>
        </w:trPr>
        <w:tc>
          <w:tcPr>
            <w:tcW w:w="9190" w:type="dxa"/>
          </w:tcPr>
          <w:p w14:paraId="36FD0753">
            <w:pPr>
              <w:widowControl/>
              <w:overflowPunct w:val="0"/>
              <w:snapToGrid w:val="0"/>
              <w:ind w:firstLine="0" w:firstLineChars="0"/>
              <w:jc w:val="center"/>
              <w:rPr>
                <w:rFonts w:hint="eastAsia" w:ascii="Times New Roman" w:hAnsi="Times New Roman" w:cs="Times New Roman" w:eastAsiaTheme="minorEastAsia"/>
                <w:color w:val="auto"/>
                <w:sz w:val="24"/>
                <w:szCs w:val="24"/>
                <w:highlight w:val="none"/>
                <w:lang w:eastAsia="zh-CN"/>
              </w:rPr>
            </w:pPr>
            <w:r>
              <w:drawing>
                <wp:inline distT="0" distB="0" distL="114300" distR="114300">
                  <wp:extent cx="5039995" cy="7128510"/>
                  <wp:effectExtent l="0" t="0" r="8255" b="1524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1"/>
                          <a:stretch>
                            <a:fillRect/>
                          </a:stretch>
                        </pic:blipFill>
                        <pic:spPr>
                          <a:xfrm>
                            <a:off x="0" y="0"/>
                            <a:ext cx="5039995" cy="7128510"/>
                          </a:xfrm>
                          <a:prstGeom prst="rect">
                            <a:avLst/>
                          </a:prstGeom>
                        </pic:spPr>
                      </pic:pic>
                    </a:graphicData>
                  </a:graphic>
                </wp:inline>
              </w:drawing>
            </w:r>
            <w:r>
              <w:drawing>
                <wp:inline distT="0" distB="0" distL="114300" distR="114300">
                  <wp:extent cx="5039995" cy="7127240"/>
                  <wp:effectExtent l="0" t="0" r="8255" b="1651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2"/>
                          <a:stretch>
                            <a:fillRect/>
                          </a:stretch>
                        </pic:blipFill>
                        <pic:spPr>
                          <a:xfrm>
                            <a:off x="0" y="0"/>
                            <a:ext cx="5039995" cy="7127240"/>
                          </a:xfrm>
                          <a:prstGeom prst="rect">
                            <a:avLst/>
                          </a:prstGeom>
                        </pic:spPr>
                      </pic:pic>
                    </a:graphicData>
                  </a:graphic>
                </wp:inline>
              </w:drawing>
            </w:r>
          </w:p>
        </w:tc>
      </w:tr>
      <w:bookmarkEnd w:id="14"/>
      <w:bookmarkEnd w:id="15"/>
      <w:bookmarkEnd w:id="16"/>
      <w:bookmarkEnd w:id="17"/>
      <w:bookmarkEnd w:id="18"/>
      <w:bookmarkEnd w:id="19"/>
      <w:bookmarkEnd w:id="20"/>
      <w:bookmarkEnd w:id="21"/>
      <w:bookmarkEnd w:id="22"/>
      <w:bookmarkEnd w:id="23"/>
      <w:bookmarkEnd w:id="24"/>
      <w:bookmarkEnd w:id="25"/>
    </w:tbl>
    <w:p w14:paraId="0BAC210E">
      <w:pPr>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方正仿宋_GBK" w:cs="Times New Roman"/>
          <w:color w:val="auto"/>
          <w:sz w:val="32"/>
          <w:szCs w:val="32"/>
          <w:highlight w:val="none"/>
        </w:rPr>
      </w:pPr>
      <w:bookmarkStart w:id="323" w:name="_Toc28838"/>
      <w:bookmarkStart w:id="324" w:name="_Toc31262"/>
      <w:bookmarkStart w:id="325" w:name="_Toc1914825351"/>
      <w:bookmarkStart w:id="326" w:name="_Toc1277966699"/>
      <w:bookmarkStart w:id="327" w:name="_Toc28117"/>
      <w:bookmarkStart w:id="328" w:name="_Toc6774"/>
      <w:bookmarkStart w:id="329" w:name="_Toc1246"/>
      <w:bookmarkStart w:id="330" w:name="_Toc23860"/>
      <w:r>
        <w:rPr>
          <w:rFonts w:hint="default" w:ascii="Times New Roman" w:hAnsi="Times New Roman" w:eastAsia="方正仿宋_GBK" w:cs="Times New Roman"/>
          <w:color w:val="auto"/>
          <w:sz w:val="21"/>
          <w:szCs w:val="21"/>
          <w:highlight w:val="none"/>
          <w:lang w:val="en-US" w:eastAsia="zh-CN"/>
        </w:rPr>
        <w:t>备注：</w:t>
      </w:r>
      <w:r>
        <w:rPr>
          <w:rFonts w:hint="eastAsia" w:ascii="Times New Roman" w:hAnsi="Times New Roman"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示意图</w:t>
      </w:r>
      <w:r>
        <w:rPr>
          <w:rFonts w:hint="eastAsia" w:ascii="Times New Roman" w:hAnsi="Times New Roman"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坚持空间与产业深度融合，发挥统筹布局和宏观引导作用；实施期限为2026—2030年，远景展望至2035年。</w:t>
      </w:r>
      <w:r>
        <w:rPr>
          <w:rFonts w:hint="eastAsia" w:ascii="Times New Roman" w:hAnsi="Times New Roman" w:eastAsia="方正仿宋_GBK" w:cs="Times New Roman"/>
          <w:color w:val="auto"/>
          <w:sz w:val="21"/>
          <w:szCs w:val="21"/>
          <w:highlight w:val="none"/>
          <w:lang w:val="en-US" w:eastAsia="zh-CN"/>
        </w:rPr>
        <w:t>①</w:t>
      </w:r>
      <w:r>
        <w:rPr>
          <w:rFonts w:hint="default" w:ascii="Times New Roman" w:hAnsi="Times New Roman" w:eastAsia="方正仿宋_GBK" w:cs="Times New Roman"/>
          <w:color w:val="auto"/>
          <w:sz w:val="21"/>
          <w:szCs w:val="21"/>
          <w:highlight w:val="none"/>
          <w:lang w:val="en-US" w:eastAsia="zh-CN"/>
        </w:rPr>
        <w:t>总体按照</w:t>
      </w:r>
      <w:r>
        <w:rPr>
          <w:rFonts w:hint="eastAsia" w:ascii="Times New Roman" w:hAnsi="Times New Roman"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新企业新办法、老企业老办法</w:t>
      </w:r>
      <w:r>
        <w:rPr>
          <w:rFonts w:hint="eastAsia" w:ascii="Times New Roman" w:hAnsi="Times New Roman"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原则，新增企业原则上按照产业地图分区落位，引导存量企业向产业规划区域聚集，存量企业扩能升级可优先就近安排用地；</w:t>
      </w:r>
      <w:r>
        <w:rPr>
          <w:rFonts w:hint="eastAsia" w:ascii="Times New Roman" w:hAnsi="Times New Roman" w:eastAsia="方正仿宋_GBK" w:cs="Times New Roman"/>
          <w:color w:val="auto"/>
          <w:sz w:val="21"/>
          <w:szCs w:val="21"/>
          <w:highlight w:val="none"/>
          <w:lang w:val="en-US" w:eastAsia="zh-CN"/>
        </w:rPr>
        <w:t>②</w:t>
      </w:r>
      <w:r>
        <w:rPr>
          <w:rFonts w:hint="default" w:ascii="Times New Roman" w:hAnsi="Times New Roman" w:eastAsia="方正仿宋_GBK" w:cs="Times New Roman"/>
          <w:color w:val="auto"/>
          <w:sz w:val="21"/>
          <w:szCs w:val="21"/>
          <w:highlight w:val="none"/>
          <w:lang w:val="en-US" w:eastAsia="zh-CN"/>
        </w:rPr>
        <w:t>对用地空间有特殊要求的重大产业项目可</w:t>
      </w:r>
      <w:r>
        <w:rPr>
          <w:rFonts w:hint="eastAsia" w:ascii="Times New Roman" w:hAnsi="Times New Roman"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一事一议</w:t>
      </w:r>
      <w:r>
        <w:rPr>
          <w:rFonts w:hint="eastAsia" w:ascii="Times New Roman" w:hAnsi="Times New Roman" w:eastAsia="方正仿宋_GBK" w:cs="Times New Roman"/>
          <w:color w:val="auto"/>
          <w:sz w:val="21"/>
          <w:szCs w:val="21"/>
          <w:highlight w:val="none"/>
          <w:lang w:val="en-US" w:eastAsia="zh-CN"/>
        </w:rPr>
        <w:t>”</w:t>
      </w:r>
      <w:r>
        <w:rPr>
          <w:rFonts w:hint="default" w:ascii="Times New Roman" w:hAnsi="Times New Roman" w:eastAsia="方正仿宋_GBK" w:cs="Times New Roman"/>
          <w:color w:val="auto"/>
          <w:sz w:val="21"/>
          <w:szCs w:val="21"/>
          <w:highlight w:val="none"/>
          <w:lang w:val="en-US" w:eastAsia="zh-CN"/>
        </w:rPr>
        <w:t>；</w:t>
      </w:r>
      <w:r>
        <w:rPr>
          <w:rFonts w:hint="eastAsia" w:ascii="Times New Roman" w:hAnsi="Times New Roman" w:eastAsia="方正仿宋_GBK" w:cs="Times New Roman"/>
          <w:color w:val="auto"/>
          <w:sz w:val="21"/>
          <w:szCs w:val="21"/>
          <w:highlight w:val="none"/>
          <w:lang w:val="en-US" w:eastAsia="zh-CN"/>
        </w:rPr>
        <w:t>③</w:t>
      </w:r>
      <w:r>
        <w:rPr>
          <w:rFonts w:hint="default" w:ascii="Times New Roman" w:hAnsi="Times New Roman" w:eastAsia="方正仿宋_GBK" w:cs="Times New Roman"/>
          <w:color w:val="auto"/>
          <w:sz w:val="21"/>
          <w:szCs w:val="21"/>
          <w:highlight w:val="none"/>
          <w:lang w:val="en-US" w:eastAsia="zh-CN"/>
        </w:rPr>
        <w:t>产业融合区内的规划预留建设用地，根据项目实际需求可跨融合区适度调剂；</w:t>
      </w:r>
      <w:r>
        <w:rPr>
          <w:rFonts w:hint="eastAsia" w:ascii="Times New Roman" w:hAnsi="Times New Roman" w:eastAsia="方正仿宋_GBK" w:cs="Times New Roman"/>
          <w:color w:val="auto"/>
          <w:sz w:val="21"/>
          <w:szCs w:val="21"/>
          <w:highlight w:val="none"/>
          <w:lang w:val="en-US" w:eastAsia="zh-CN"/>
        </w:rPr>
        <w:t>④</w:t>
      </w:r>
      <w:r>
        <w:rPr>
          <w:rFonts w:hint="default" w:ascii="Times New Roman" w:hAnsi="Times New Roman" w:eastAsia="方正仿宋_GBK" w:cs="Times New Roman"/>
          <w:color w:val="auto"/>
          <w:sz w:val="21"/>
          <w:szCs w:val="21"/>
          <w:highlight w:val="none"/>
          <w:lang w:val="en-US" w:eastAsia="zh-CN"/>
        </w:rPr>
        <w:t>根据科产城融合发展需求，对产业地图适时更新。</w:t>
      </w:r>
    </w:p>
    <w:p w14:paraId="2362EE88">
      <w:pPr>
        <w:overflowPunct w:val="0"/>
        <w:adjustRightInd w:val="0"/>
        <w:snapToGrid w:val="0"/>
        <w:spacing w:line="600" w:lineRule="exact"/>
        <w:jc w:val="center"/>
        <w:outlineLvl w:val="0"/>
        <w:rPr>
          <w:rFonts w:ascii="Times New Roman" w:hAnsi="Times New Roman" w:eastAsia="方正黑体_GBK" w:cs="方正黑体_GBK"/>
          <w:color w:val="auto"/>
          <w:sz w:val="32"/>
          <w:szCs w:val="32"/>
          <w:highlight w:val="none"/>
        </w:rPr>
      </w:pPr>
      <w:r>
        <w:rPr>
          <w:rFonts w:hint="eastAsia" w:ascii="Times New Roman" w:hAnsi="Times New Roman" w:eastAsia="方正黑体_GBK" w:cs="方正黑体_GBK"/>
          <w:color w:val="auto"/>
          <w:sz w:val="32"/>
          <w:szCs w:val="32"/>
          <w:highlight w:val="none"/>
        </w:rPr>
        <w:t>第</w:t>
      </w:r>
      <w:r>
        <w:rPr>
          <w:rFonts w:hint="eastAsia" w:ascii="Times New Roman" w:hAnsi="Times New Roman" w:eastAsia="方正黑体_GBK"/>
          <w:bCs/>
          <w:color w:val="auto"/>
          <w:sz w:val="32"/>
          <w:highlight w:val="none"/>
        </w:rPr>
        <w:t>四</w:t>
      </w:r>
      <w:r>
        <w:rPr>
          <w:rFonts w:hint="eastAsia" w:ascii="Times New Roman" w:hAnsi="Times New Roman" w:eastAsia="方正黑体_GBK" w:cs="方正黑体_GBK"/>
          <w:color w:val="auto"/>
          <w:sz w:val="32"/>
          <w:szCs w:val="32"/>
          <w:highlight w:val="none"/>
        </w:rPr>
        <w:t xml:space="preserve">篇 </w:t>
      </w:r>
      <w:bookmarkEnd w:id="323"/>
      <w:r>
        <w:rPr>
          <w:rFonts w:hint="eastAsia" w:ascii="Times New Roman" w:hAnsi="Times New Roman" w:eastAsia="方正黑体_GBK"/>
          <w:bCs/>
          <w:color w:val="auto"/>
          <w:sz w:val="32"/>
          <w:highlight w:val="none"/>
        </w:rPr>
        <w:t>建设宜学宜研、宜居宜业的现代化人民城市</w:t>
      </w:r>
      <w:bookmarkEnd w:id="324"/>
      <w:bookmarkEnd w:id="325"/>
      <w:bookmarkEnd w:id="326"/>
    </w:p>
    <w:p w14:paraId="76256A88">
      <w:pPr>
        <w:adjustRightInd w:val="0"/>
        <w:snapToGrid w:val="0"/>
        <w:spacing w:line="600" w:lineRule="exact"/>
        <w:ind w:firstLine="640" w:firstLineChars="200"/>
        <w:jc w:val="left"/>
        <w:rPr>
          <w:rFonts w:hint="eastAsia" w:ascii="方正仿宋_GBK" w:hAnsi="Times New Roman" w:eastAsia="方正仿宋_GBK" w:cs="Times New Roman"/>
          <w:bCs/>
          <w:color w:val="auto"/>
          <w:sz w:val="32"/>
          <w:szCs w:val="32"/>
          <w:highlight w:val="none"/>
        </w:rPr>
      </w:pPr>
    </w:p>
    <w:p w14:paraId="53851608">
      <w:pPr>
        <w:overflowPunct w:val="0"/>
        <w:adjustRightInd w:val="0"/>
        <w:snapToGrid w:val="0"/>
        <w:spacing w:line="600" w:lineRule="exact"/>
        <w:ind w:firstLine="640" w:firstLineChars="200"/>
        <w:jc w:val="left"/>
        <w:rPr>
          <w:rFonts w:hint="eastAsia" w:ascii="方正仿宋_GBK" w:hAnsi="方正仿宋_GBK" w:eastAsia="方正仿宋_GBK" w:cs="方正仿宋_GBK"/>
          <w:color w:val="auto"/>
          <w:sz w:val="32"/>
          <w:szCs w:val="32"/>
          <w:highlight w:val="none"/>
          <w:lang w:bidi="ar"/>
        </w:rPr>
      </w:pPr>
      <w:bookmarkStart w:id="331" w:name="_Toc10579"/>
      <w:r>
        <w:rPr>
          <w:rFonts w:hint="eastAsia" w:ascii="方正仿宋_GBK" w:hAnsi="Times New Roman" w:eastAsia="方正仿宋_GBK" w:cs="Times New Roman"/>
          <w:bCs/>
          <w:color w:val="auto"/>
          <w:sz w:val="32"/>
          <w:szCs w:val="32"/>
          <w:highlight w:val="none"/>
        </w:rPr>
        <w:t>坚持人民城市人民建，人民城市为人民，</w:t>
      </w:r>
      <w:r>
        <w:rPr>
          <w:rFonts w:hint="eastAsia" w:ascii="方正仿宋_GBK" w:hAnsi="方正仿宋_GBK" w:eastAsia="方正仿宋_GBK" w:cs="方正仿宋_GBK"/>
          <w:color w:val="auto"/>
          <w:sz w:val="32"/>
          <w:szCs w:val="32"/>
          <w:highlight w:val="none"/>
          <w:lang w:bidi="ar"/>
        </w:rPr>
        <w:t>统筹推进创新、宜居、美丽、韧性、文明、智慧现代化人民城市建设，着力</w:t>
      </w:r>
      <w:r>
        <w:rPr>
          <w:rFonts w:hint="eastAsia" w:ascii="方正仿宋_GBK" w:hAnsi="Times New Roman" w:eastAsia="方正仿宋_GBK" w:cs="Times New Roman"/>
          <w:bCs/>
          <w:color w:val="auto"/>
          <w:sz w:val="32"/>
          <w:szCs w:val="32"/>
          <w:highlight w:val="none"/>
        </w:rPr>
        <w:t>构建“</w:t>
      </w:r>
      <w:r>
        <w:rPr>
          <w:rFonts w:ascii="Times New Roman" w:hAnsi="Times New Roman" w:eastAsia="方正仿宋_GBK" w:cs="Times New Roman"/>
          <w:bCs/>
          <w:color w:val="auto"/>
          <w:sz w:val="32"/>
          <w:szCs w:val="32"/>
          <w:highlight w:val="none"/>
        </w:rPr>
        <w:t>1236</w:t>
      </w:r>
      <w:r>
        <w:rPr>
          <w:rFonts w:hint="eastAsia" w:ascii="方正仿宋_GBK" w:hAnsi="Times New Roman" w:eastAsia="方正仿宋_GBK" w:cs="Times New Roman"/>
          <w:bCs/>
          <w:color w:val="auto"/>
          <w:sz w:val="32"/>
          <w:szCs w:val="32"/>
          <w:highlight w:val="none"/>
        </w:rPr>
        <w:t>”总体功能布局，围绕科研机构研发创新和企业群众生产生活需求</w:t>
      </w:r>
      <w:r>
        <w:rPr>
          <w:rFonts w:hint="eastAsia" w:ascii="方正仿宋_GBK" w:hAnsi="Calibri" w:eastAsia="方正仿宋_GBK" w:cs="Times New Roman"/>
          <w:bCs/>
          <w:sz w:val="32"/>
          <w:szCs w:val="32"/>
          <w:highlight w:val="none"/>
          <w:u w:val="none" w:color="auto"/>
          <w:lang w:val="en-US" w:eastAsia="zh-CN"/>
        </w:rPr>
        <w:t>，加快补齐基础设施、教育医疗、商业商务、绿色生态等功能短板</w:t>
      </w:r>
      <w:r>
        <w:rPr>
          <w:rFonts w:hint="eastAsia" w:ascii="方正仿宋_GBK" w:hAnsi="Times New Roman" w:eastAsia="方正仿宋_GBK" w:cs="Times New Roman"/>
          <w:bCs/>
          <w:color w:val="auto"/>
          <w:sz w:val="32"/>
          <w:szCs w:val="32"/>
          <w:highlight w:val="none"/>
          <w:lang w:eastAsia="zh-CN"/>
        </w:rPr>
        <w:t>，</w:t>
      </w:r>
      <w:r>
        <w:rPr>
          <w:rFonts w:hint="eastAsia" w:ascii="方正仿宋_GBK" w:hAnsi="Times New Roman" w:eastAsia="方正仿宋_GBK" w:cs="Times New Roman"/>
          <w:bCs/>
          <w:color w:val="auto"/>
          <w:sz w:val="32"/>
          <w:szCs w:val="32"/>
          <w:highlight w:val="none"/>
        </w:rPr>
        <w:t>持续提升城市资产价值，按照“北研发、中转化、南生成”思路，打造城市功能复合共融、山水园城有机共生的西部地区科产城融合发展示范区，提升宜研宜学、宜居宜业水平</w:t>
      </w:r>
      <w:r>
        <w:rPr>
          <w:rFonts w:hint="eastAsia" w:ascii="方正仿宋_GBK" w:hAnsi="方正仿宋_GBK" w:eastAsia="方正仿宋_GBK" w:cs="方正仿宋_GBK"/>
          <w:color w:val="auto"/>
          <w:sz w:val="32"/>
          <w:szCs w:val="32"/>
          <w:highlight w:val="none"/>
          <w:lang w:bidi="ar"/>
        </w:rPr>
        <w:t>。</w:t>
      </w:r>
    </w:p>
    <w:p w14:paraId="3D9FC15A">
      <w:pPr>
        <w:adjustRightInd w:val="0"/>
        <w:snapToGrid w:val="0"/>
        <w:spacing w:line="600" w:lineRule="exact"/>
        <w:ind w:firstLine="640" w:firstLineChars="200"/>
        <w:jc w:val="left"/>
        <w:rPr>
          <w:rFonts w:hint="eastAsia" w:ascii="方正仿宋_GBK" w:hAnsi="Times New Roman" w:eastAsia="方正仿宋_GBK" w:cs="Times New Roman"/>
          <w:bCs/>
          <w:color w:val="auto"/>
          <w:sz w:val="32"/>
          <w:szCs w:val="32"/>
          <w:highlight w:val="none"/>
        </w:rPr>
      </w:pPr>
    </w:p>
    <w:p w14:paraId="28CB984D">
      <w:pPr>
        <w:overflowPunct w:val="0"/>
        <w:adjustRightInd w:val="0"/>
        <w:snapToGrid w:val="0"/>
        <w:spacing w:line="600" w:lineRule="exact"/>
        <w:jc w:val="center"/>
        <w:outlineLvl w:val="1"/>
        <w:rPr>
          <w:bCs/>
          <w:color w:val="auto"/>
          <w:highlight w:val="none"/>
        </w:rPr>
      </w:pPr>
      <w:bookmarkStart w:id="332" w:name="_Toc16569"/>
      <w:bookmarkStart w:id="333" w:name="_Toc5767"/>
      <w:bookmarkStart w:id="334" w:name="_Toc15485"/>
      <w:bookmarkStart w:id="335" w:name="_Toc1802356446"/>
      <w:bookmarkStart w:id="336" w:name="_Toc279740315"/>
      <w:r>
        <w:rPr>
          <w:rFonts w:ascii="Times New Roman" w:hAnsi="Times New Roman" w:eastAsia="方正黑体_GBK" w:cs="Times New Roman"/>
          <w:bCs/>
          <w:color w:val="auto"/>
          <w:sz w:val="32"/>
          <w:szCs w:val="32"/>
          <w:highlight w:val="none"/>
        </w:rPr>
        <w:t xml:space="preserve">第一章 </w:t>
      </w:r>
      <w:bookmarkEnd w:id="332"/>
      <w:bookmarkEnd w:id="333"/>
      <w:r>
        <w:rPr>
          <w:rFonts w:hint="eastAsia" w:ascii="Times New Roman" w:hAnsi="Times New Roman" w:eastAsia="方正黑体_GBK" w:cs="Times New Roman"/>
          <w:bCs/>
          <w:color w:val="auto"/>
          <w:sz w:val="32"/>
          <w:szCs w:val="32"/>
          <w:highlight w:val="none"/>
        </w:rPr>
        <w:t>建设科产城融合发展示范区</w:t>
      </w:r>
      <w:bookmarkEnd w:id="334"/>
      <w:bookmarkEnd w:id="335"/>
      <w:bookmarkEnd w:id="336"/>
    </w:p>
    <w:p w14:paraId="6D775548">
      <w:pPr>
        <w:widowControl/>
        <w:adjustRightInd w:val="0"/>
        <w:snapToGrid w:val="0"/>
        <w:spacing w:line="600" w:lineRule="exact"/>
        <w:ind w:firstLine="640" w:firstLineChars="200"/>
        <w:rPr>
          <w:rFonts w:hint="eastAsia" w:ascii="Times New Roman" w:hAnsi="Times New Roman" w:eastAsia="方正仿宋_GBK" w:cs="Times New Roman"/>
          <w:bCs/>
          <w:color w:val="auto"/>
          <w:sz w:val="32"/>
          <w:szCs w:val="32"/>
          <w:highlight w:val="none"/>
          <w:lang w:eastAsia="zh-CN"/>
        </w:rPr>
      </w:pPr>
      <w:r>
        <w:rPr>
          <w:rFonts w:hint="eastAsia" w:ascii="Times New Roman" w:hAnsi="Times New Roman" w:eastAsia="方正仿宋_GBK" w:cs="Times New Roman"/>
          <w:bCs/>
          <w:color w:val="auto"/>
          <w:sz w:val="32"/>
          <w:szCs w:val="32"/>
          <w:highlight w:val="none"/>
        </w:rPr>
        <w:t>锚定科产城融合发展功能区建设目标，推动科技创新、产业发展和城市建设“三篇文章”在空间上相互交织、有机耦合、协调发展，全方位塑造科产城融合高品质城市发展格局</w:t>
      </w:r>
      <w:r>
        <w:rPr>
          <w:rFonts w:hint="eastAsia" w:ascii="Times New Roman" w:hAnsi="Times New Roman" w:eastAsia="方正仿宋_GBK" w:cs="Times New Roman"/>
          <w:bCs/>
          <w:color w:val="auto"/>
          <w:sz w:val="32"/>
          <w:szCs w:val="32"/>
          <w:highlight w:val="none"/>
          <w:lang w:eastAsia="zh-CN"/>
        </w:rPr>
        <w:t>。</w:t>
      </w:r>
    </w:p>
    <w:p w14:paraId="132646C2">
      <w:pPr>
        <w:adjustRightInd w:val="0"/>
        <w:snapToGrid w:val="0"/>
        <w:spacing w:line="600" w:lineRule="exact"/>
        <w:jc w:val="center"/>
        <w:outlineLvl w:val="2"/>
        <w:rPr>
          <w:rFonts w:hint="eastAsia" w:ascii="Times New Roman" w:hAnsi="Times New Roman" w:eastAsia="方正楷体_GBK" w:cs="Times New Roman"/>
          <w:color w:val="auto"/>
          <w:sz w:val="32"/>
          <w:szCs w:val="22"/>
          <w:highlight w:val="none"/>
        </w:rPr>
      </w:pPr>
      <w:bookmarkStart w:id="337" w:name="_Toc1947946987"/>
      <w:bookmarkStart w:id="338" w:name="_Toc753770922"/>
      <w:bookmarkStart w:id="339" w:name="_Toc7239"/>
      <w:r>
        <w:rPr>
          <w:rFonts w:hint="eastAsia" w:ascii="Times New Roman" w:hAnsi="Times New Roman" w:eastAsia="方正楷体_GBK" w:cs="Times New Roman"/>
          <w:color w:val="auto"/>
          <w:sz w:val="32"/>
          <w:szCs w:val="22"/>
          <w:highlight w:val="none"/>
        </w:rPr>
        <w:fldChar w:fldCharType="begin"/>
      </w:r>
      <w:r>
        <w:rPr>
          <w:rFonts w:hint="eastAsia" w:ascii="Times New Roman" w:hAnsi="Times New Roman" w:eastAsia="方正楷体_GBK" w:cs="Times New Roman"/>
          <w:color w:val="auto"/>
          <w:sz w:val="32"/>
          <w:szCs w:val="22"/>
          <w:highlight w:val="none"/>
        </w:rPr>
        <w:instrText xml:space="preserve"> HYPERLINK \l "_Toc13590" </w:instrText>
      </w:r>
      <w:r>
        <w:rPr>
          <w:rFonts w:hint="eastAsia" w:ascii="Times New Roman" w:hAnsi="Times New Roman" w:eastAsia="方正楷体_GBK" w:cs="Times New Roman"/>
          <w:color w:val="auto"/>
          <w:sz w:val="32"/>
          <w:szCs w:val="22"/>
          <w:highlight w:val="none"/>
        </w:rPr>
        <w:fldChar w:fldCharType="separate"/>
      </w:r>
      <w:r>
        <w:rPr>
          <w:rFonts w:hint="eastAsia" w:ascii="Times New Roman" w:hAnsi="Times New Roman" w:eastAsia="方正楷体_GBK" w:cs="Times New Roman"/>
          <w:bCs w:val="0"/>
          <w:color w:val="auto"/>
          <w:sz w:val="32"/>
          <w:szCs w:val="22"/>
          <w:highlight w:val="none"/>
        </w:rPr>
        <w:t>第一节 优化构建“1236”</w:t>
      </w:r>
      <w:r>
        <w:rPr>
          <w:rFonts w:hint="eastAsia" w:ascii="Times New Roman" w:hAnsi="Times New Roman" w:eastAsia="方正楷体_GBK" w:cs="Times New Roman"/>
          <w:bCs w:val="0"/>
          <w:color w:val="auto"/>
          <w:sz w:val="32"/>
          <w:szCs w:val="22"/>
          <w:highlight w:val="none"/>
          <w:lang w:val="en-US" w:eastAsia="zh-CN"/>
        </w:rPr>
        <w:t>城市</w:t>
      </w:r>
      <w:r>
        <w:rPr>
          <w:rFonts w:hint="eastAsia" w:ascii="Times New Roman" w:hAnsi="Times New Roman" w:eastAsia="方正楷体_GBK" w:cs="Times New Roman"/>
          <w:bCs w:val="0"/>
          <w:color w:val="auto"/>
          <w:sz w:val="32"/>
          <w:szCs w:val="22"/>
          <w:highlight w:val="none"/>
        </w:rPr>
        <w:t>总体功能布局</w:t>
      </w:r>
      <w:r>
        <w:rPr>
          <w:rFonts w:hint="eastAsia" w:ascii="Times New Roman" w:hAnsi="Times New Roman" w:eastAsia="方正楷体_GBK" w:cs="Times New Roman"/>
          <w:color w:val="auto"/>
          <w:sz w:val="32"/>
          <w:szCs w:val="22"/>
          <w:highlight w:val="none"/>
        </w:rPr>
        <w:fldChar w:fldCharType="end"/>
      </w:r>
      <w:bookmarkEnd w:id="337"/>
      <w:bookmarkEnd w:id="338"/>
      <w:bookmarkEnd w:id="339"/>
    </w:p>
    <w:p w14:paraId="15CB2AD9">
      <w:pPr>
        <w:widowControl/>
        <w:adjustRightInd w:val="0"/>
        <w:snapToGrid w:val="0"/>
        <w:spacing w:line="600" w:lineRule="exact"/>
        <w:ind w:firstLine="640" w:firstLineChars="200"/>
        <w:rPr>
          <w:rFonts w:hint="default" w:ascii="Times New Roman" w:hAnsi="Times New Roman" w:eastAsia="方正仿宋_GBK" w:cs="Times New Roman"/>
          <w:bCs/>
          <w:color w:val="auto"/>
          <w:sz w:val="32"/>
          <w:szCs w:val="32"/>
          <w:highlight w:val="none"/>
          <w:lang w:val="en-US" w:eastAsia="zh-CN"/>
        </w:rPr>
      </w:pPr>
      <w:r>
        <w:rPr>
          <w:rFonts w:ascii="Times New Roman" w:hAnsi="Times New Roman" w:eastAsia="方正仿宋_GBK" w:cs="Times New Roman"/>
          <w:bCs/>
          <w:color w:val="auto"/>
          <w:sz w:val="32"/>
          <w:szCs w:val="32"/>
          <w:highlight w:val="none"/>
        </w:rPr>
        <w:t>依托</w:t>
      </w:r>
      <w:r>
        <w:rPr>
          <w:rFonts w:hint="eastAsia" w:ascii="Times New Roman" w:hAnsi="Times New Roman" w:eastAsia="方正仿宋_GBK" w:cs="Times New Roman"/>
          <w:bCs/>
          <w:color w:val="auto"/>
          <w:sz w:val="32"/>
          <w:szCs w:val="32"/>
          <w:highlight w:val="none"/>
        </w:rPr>
        <w:t>“</w:t>
      </w:r>
      <w:r>
        <w:rPr>
          <w:rFonts w:ascii="Times New Roman" w:hAnsi="Times New Roman" w:eastAsia="方正仿宋_GBK" w:cs="Times New Roman"/>
          <w:bCs/>
          <w:color w:val="auto"/>
          <w:sz w:val="32"/>
          <w:szCs w:val="32"/>
          <w:highlight w:val="none"/>
        </w:rPr>
        <w:t>一坪</w:t>
      </w:r>
      <w:r>
        <w:rPr>
          <w:rFonts w:hint="eastAsia" w:ascii="Times New Roman" w:hAnsi="Times New Roman" w:eastAsia="方正仿宋_GBK" w:cs="Times New Roman"/>
          <w:bCs/>
          <w:color w:val="auto"/>
          <w:sz w:val="32"/>
          <w:szCs w:val="32"/>
          <w:highlight w:val="none"/>
        </w:rPr>
        <w:t>、</w:t>
      </w:r>
      <w:r>
        <w:rPr>
          <w:rFonts w:ascii="Times New Roman" w:hAnsi="Times New Roman" w:eastAsia="方正仿宋_GBK" w:cs="Times New Roman"/>
          <w:bCs/>
          <w:color w:val="auto"/>
          <w:sz w:val="32"/>
          <w:szCs w:val="32"/>
          <w:highlight w:val="none"/>
        </w:rPr>
        <w:t>两山</w:t>
      </w:r>
      <w:r>
        <w:rPr>
          <w:rFonts w:hint="eastAsia" w:ascii="Times New Roman" w:hAnsi="Times New Roman" w:eastAsia="方正仿宋_GBK" w:cs="Times New Roman"/>
          <w:bCs/>
          <w:color w:val="auto"/>
          <w:sz w:val="32"/>
          <w:szCs w:val="32"/>
          <w:highlight w:val="none"/>
        </w:rPr>
        <w:t>、</w:t>
      </w:r>
      <w:r>
        <w:rPr>
          <w:rFonts w:ascii="Times New Roman" w:hAnsi="Times New Roman" w:eastAsia="方正仿宋_GBK" w:cs="Times New Roman"/>
          <w:bCs/>
          <w:color w:val="auto"/>
          <w:sz w:val="32"/>
          <w:szCs w:val="32"/>
          <w:highlight w:val="none"/>
        </w:rPr>
        <w:t>四河</w:t>
      </w:r>
      <w:r>
        <w:rPr>
          <w:rFonts w:hint="eastAsia" w:ascii="Times New Roman" w:hAnsi="Times New Roman" w:eastAsia="方正仿宋_GBK" w:cs="Times New Roman"/>
          <w:bCs/>
          <w:color w:val="auto"/>
          <w:sz w:val="32"/>
          <w:szCs w:val="32"/>
          <w:highlight w:val="none"/>
        </w:rPr>
        <w:t>、</w:t>
      </w:r>
      <w:r>
        <w:rPr>
          <w:rFonts w:ascii="Times New Roman" w:hAnsi="Times New Roman" w:eastAsia="方正仿宋_GBK" w:cs="Times New Roman"/>
          <w:bCs/>
          <w:color w:val="auto"/>
          <w:sz w:val="32"/>
          <w:szCs w:val="32"/>
          <w:highlight w:val="none"/>
        </w:rPr>
        <w:t>多廊</w:t>
      </w:r>
      <w:r>
        <w:rPr>
          <w:rFonts w:hint="eastAsia" w:ascii="Times New Roman" w:hAnsi="Times New Roman" w:eastAsia="方正仿宋_GBK" w:cs="Times New Roman"/>
          <w:bCs/>
          <w:color w:val="auto"/>
          <w:sz w:val="32"/>
          <w:szCs w:val="32"/>
          <w:highlight w:val="none"/>
        </w:rPr>
        <w:t>”</w:t>
      </w:r>
      <w:r>
        <w:rPr>
          <w:rFonts w:ascii="Times New Roman" w:hAnsi="Times New Roman" w:eastAsia="方正仿宋_GBK" w:cs="Times New Roman"/>
          <w:bCs/>
          <w:color w:val="auto"/>
          <w:sz w:val="32"/>
          <w:szCs w:val="32"/>
          <w:highlight w:val="none"/>
        </w:rPr>
        <w:t>自然生态本底</w:t>
      </w:r>
      <w:r>
        <w:rPr>
          <w:rFonts w:hint="eastAsia" w:ascii="Times New Roman" w:hAnsi="Times New Roman" w:eastAsia="方正仿宋_GBK" w:cs="Times New Roman"/>
          <w:bCs/>
          <w:color w:val="auto"/>
          <w:sz w:val="32"/>
          <w:szCs w:val="32"/>
          <w:highlight w:val="none"/>
        </w:rPr>
        <w:t>，强化</w:t>
      </w:r>
      <w:r>
        <w:rPr>
          <w:rFonts w:hint="eastAsia" w:ascii="Times New Roman" w:hAnsi="Times New Roman" w:eastAsia="方正仿宋_GBK" w:cs="Times New Roman"/>
          <w:bCs/>
          <w:color w:val="auto"/>
          <w:sz w:val="32"/>
          <w:szCs w:val="32"/>
          <w:highlight w:val="none"/>
          <w:lang w:val="en-US" w:eastAsia="zh-CN"/>
        </w:rPr>
        <w:t>产业发展、</w:t>
      </w:r>
      <w:r>
        <w:rPr>
          <w:rFonts w:hint="eastAsia" w:ascii="Times New Roman" w:hAnsi="Times New Roman" w:eastAsia="方正仿宋_GBK" w:cs="Times New Roman"/>
          <w:bCs/>
          <w:color w:val="auto"/>
          <w:sz w:val="32"/>
          <w:szCs w:val="32"/>
          <w:highlight w:val="none"/>
        </w:rPr>
        <w:t>科技创新、城市建设等核心功能</w:t>
      </w:r>
      <w:r>
        <w:rPr>
          <w:rFonts w:ascii="Times New Roman" w:hAnsi="Times New Roman" w:eastAsia="方正仿宋_GBK" w:cs="Times New Roman"/>
          <w:bCs/>
          <w:color w:val="auto"/>
          <w:sz w:val="32"/>
          <w:szCs w:val="32"/>
          <w:highlight w:val="none"/>
        </w:rPr>
        <w:t>，</w:t>
      </w:r>
      <w:r>
        <w:rPr>
          <w:rFonts w:hint="eastAsia" w:ascii="Times New Roman" w:hAnsi="Times New Roman" w:eastAsia="方正仿宋_GBK" w:cs="Times New Roman"/>
          <w:bCs/>
          <w:color w:val="auto"/>
          <w:sz w:val="32"/>
          <w:szCs w:val="32"/>
          <w:highlight w:val="none"/>
        </w:rPr>
        <w:t>统筹科创、生产、生活、生态空间联动发展，综合评估要素资源匹配度</w:t>
      </w:r>
      <w:r>
        <w:rPr>
          <w:rFonts w:hint="eastAsia" w:ascii="Times New Roman" w:hAnsi="Times New Roman" w:eastAsia="方正仿宋_GBK" w:cs="Times New Roman"/>
          <w:bCs/>
          <w:color w:val="auto"/>
          <w:sz w:val="32"/>
          <w:szCs w:val="32"/>
          <w:highlight w:val="none"/>
          <w:lang w:eastAsia="zh-CN"/>
        </w:rPr>
        <w:t>，</w:t>
      </w:r>
      <w:r>
        <w:rPr>
          <w:rFonts w:hint="eastAsia" w:ascii="Times New Roman" w:hAnsi="Times New Roman" w:eastAsia="方正仿宋_GBK" w:cs="Times New Roman"/>
          <w:bCs/>
          <w:color w:val="auto"/>
          <w:sz w:val="32"/>
          <w:szCs w:val="32"/>
          <w:highlight w:val="none"/>
        </w:rPr>
        <w:t>精准补齐功能短板</w:t>
      </w:r>
      <w:r>
        <w:rPr>
          <w:rFonts w:hint="eastAsia" w:ascii="Times New Roman" w:hAnsi="Times New Roman" w:eastAsia="方正仿宋_GBK" w:cs="Times New Roman"/>
          <w:bCs/>
          <w:color w:val="auto"/>
          <w:sz w:val="32"/>
          <w:szCs w:val="32"/>
          <w:highlight w:val="none"/>
          <w:lang w:eastAsia="zh-CN"/>
        </w:rPr>
        <w:t>，加快人口和产业集聚，</w:t>
      </w:r>
      <w:r>
        <w:rPr>
          <w:rFonts w:hint="eastAsia" w:ascii="Times New Roman" w:hAnsi="Times New Roman" w:eastAsia="方正仿宋_GBK" w:cs="Times New Roman"/>
          <w:bCs/>
          <w:color w:val="auto"/>
          <w:sz w:val="32"/>
          <w:szCs w:val="32"/>
          <w:highlight w:val="none"/>
          <w:lang w:val="en-US" w:eastAsia="zh-CN"/>
        </w:rPr>
        <w:t>全力提升</w:t>
      </w:r>
      <w:r>
        <w:rPr>
          <w:rFonts w:hint="eastAsia" w:ascii="Times New Roman" w:hAnsi="Times New Roman" w:eastAsia="方正仿宋_GBK" w:cs="Times New Roman"/>
          <w:bCs/>
          <w:color w:val="auto"/>
          <w:sz w:val="32"/>
          <w:szCs w:val="32"/>
          <w:highlight w:val="none"/>
          <w:lang w:eastAsia="zh-CN"/>
        </w:rPr>
        <w:t>“金凤—大学城—西永”</w:t>
      </w:r>
      <w:r>
        <w:rPr>
          <w:rFonts w:hint="eastAsia" w:ascii="Times New Roman" w:hAnsi="Times New Roman" w:eastAsia="方正仿宋_GBK" w:cs="Times New Roman"/>
          <w:bCs/>
          <w:color w:val="auto"/>
          <w:sz w:val="32"/>
          <w:szCs w:val="32"/>
          <w:highlight w:val="none"/>
          <w:lang w:val="en-US" w:eastAsia="zh-CN"/>
        </w:rPr>
        <w:t>发展</w:t>
      </w:r>
      <w:r>
        <w:rPr>
          <w:rFonts w:hint="eastAsia" w:ascii="Times New Roman" w:hAnsi="Times New Roman" w:eastAsia="方正仿宋_GBK" w:cs="Times New Roman"/>
          <w:bCs/>
          <w:color w:val="auto"/>
          <w:sz w:val="32"/>
          <w:szCs w:val="32"/>
          <w:highlight w:val="none"/>
          <w:lang w:eastAsia="zh-CN"/>
        </w:rPr>
        <w:t>能级。</w:t>
      </w:r>
      <w:r>
        <w:rPr>
          <w:rFonts w:hint="eastAsia" w:ascii="Times New Roman" w:hAnsi="Times New Roman" w:eastAsia="方正仿宋_GBK" w:cs="Times New Roman"/>
          <w:bCs/>
          <w:color w:val="auto"/>
          <w:sz w:val="32"/>
          <w:szCs w:val="32"/>
          <w:highlight w:val="none"/>
          <w:lang w:val="en-US" w:eastAsia="zh-CN"/>
        </w:rPr>
        <w:t>总体</w:t>
      </w:r>
      <w:r>
        <w:rPr>
          <w:rFonts w:ascii="Times New Roman" w:hAnsi="Times New Roman" w:eastAsia="方正仿宋_GBK" w:cs="Times New Roman"/>
          <w:bCs/>
          <w:color w:val="auto"/>
          <w:sz w:val="32"/>
          <w:szCs w:val="32"/>
          <w:highlight w:val="none"/>
        </w:rPr>
        <w:t>构建</w:t>
      </w:r>
      <w:r>
        <w:rPr>
          <w:rFonts w:hint="eastAsia" w:ascii="Times New Roman" w:hAnsi="Times New Roman" w:eastAsia="方正仿宋_GBK" w:cs="Times New Roman"/>
          <w:bCs/>
          <w:color w:val="auto"/>
          <w:sz w:val="32"/>
          <w:szCs w:val="32"/>
          <w:highlight w:val="none"/>
        </w:rPr>
        <w:t>“</w:t>
      </w:r>
      <w:r>
        <w:rPr>
          <w:rFonts w:ascii="Times New Roman" w:hAnsi="Times New Roman" w:eastAsia="方正仿宋_GBK" w:cs="Times New Roman"/>
          <w:bCs/>
          <w:color w:val="auto"/>
          <w:sz w:val="32"/>
          <w:szCs w:val="32"/>
          <w:highlight w:val="none"/>
        </w:rPr>
        <w:t>一心、两副、三片、六组</w:t>
      </w:r>
      <w:r>
        <w:rPr>
          <w:rFonts w:hint="eastAsia" w:ascii="Times New Roman" w:hAnsi="Times New Roman" w:eastAsia="方正仿宋_GBK" w:cs="Times New Roman"/>
          <w:bCs/>
          <w:color w:val="auto"/>
          <w:sz w:val="32"/>
          <w:szCs w:val="32"/>
          <w:highlight w:val="none"/>
        </w:rPr>
        <w:t>团”</w:t>
      </w:r>
      <w:r>
        <w:rPr>
          <w:rFonts w:ascii="Times New Roman" w:hAnsi="Times New Roman" w:eastAsia="方正仿宋_GBK" w:cs="Times New Roman"/>
          <w:bCs/>
          <w:color w:val="auto"/>
          <w:sz w:val="32"/>
          <w:szCs w:val="32"/>
          <w:highlight w:val="none"/>
        </w:rPr>
        <w:t>的</w:t>
      </w:r>
      <w:r>
        <w:rPr>
          <w:rFonts w:hint="eastAsia" w:ascii="Times New Roman" w:hAnsi="Times New Roman" w:eastAsia="方正仿宋_GBK" w:cs="Times New Roman"/>
          <w:bCs/>
          <w:color w:val="auto"/>
          <w:sz w:val="32"/>
          <w:szCs w:val="32"/>
          <w:highlight w:val="none"/>
        </w:rPr>
        <w:t>“</w:t>
      </w:r>
      <w:r>
        <w:rPr>
          <w:rFonts w:ascii="Times New Roman" w:hAnsi="Times New Roman" w:eastAsia="方正仿宋_GBK" w:cs="Times New Roman"/>
          <w:bCs/>
          <w:color w:val="auto"/>
          <w:sz w:val="32"/>
          <w:szCs w:val="32"/>
          <w:highlight w:val="none"/>
        </w:rPr>
        <w:t>1236</w:t>
      </w:r>
      <w:r>
        <w:rPr>
          <w:rFonts w:hint="eastAsia" w:ascii="Times New Roman" w:hAnsi="Times New Roman" w:eastAsia="方正仿宋_GBK" w:cs="Times New Roman"/>
          <w:bCs/>
          <w:color w:val="auto"/>
          <w:sz w:val="32"/>
          <w:szCs w:val="32"/>
          <w:highlight w:val="none"/>
        </w:rPr>
        <w:t>”</w:t>
      </w:r>
      <w:r>
        <w:rPr>
          <w:rFonts w:hint="eastAsia" w:ascii="Times New Roman" w:hAnsi="Times New Roman" w:eastAsia="方正仿宋_GBK" w:cs="Times New Roman"/>
          <w:bCs/>
          <w:color w:val="auto"/>
          <w:sz w:val="32"/>
          <w:szCs w:val="32"/>
          <w:highlight w:val="none"/>
          <w:lang w:val="en-US" w:eastAsia="zh-CN"/>
        </w:rPr>
        <w:t>城市</w:t>
      </w:r>
      <w:r>
        <w:rPr>
          <w:rFonts w:hint="eastAsia" w:ascii="Times New Roman" w:hAnsi="Times New Roman" w:eastAsia="方正仿宋_GBK" w:cs="Times New Roman"/>
          <w:bCs/>
          <w:color w:val="auto"/>
          <w:sz w:val="32"/>
          <w:szCs w:val="32"/>
          <w:highlight w:val="none"/>
        </w:rPr>
        <w:t>总体功能布局</w:t>
      </w:r>
      <w:r>
        <w:rPr>
          <w:rFonts w:hint="eastAsia" w:ascii="Times New Roman" w:hAnsi="Times New Roman" w:eastAsia="方正仿宋_GBK" w:cs="Times New Roman"/>
          <w:bCs/>
          <w:color w:val="auto"/>
          <w:sz w:val="32"/>
          <w:szCs w:val="32"/>
          <w:highlight w:val="none"/>
          <w:lang w:eastAsia="zh-CN"/>
        </w:rPr>
        <w:t>，</w:t>
      </w:r>
      <w:r>
        <w:rPr>
          <w:rFonts w:hint="eastAsia" w:ascii="Times New Roman" w:hAnsi="Times New Roman" w:eastAsia="方正仿宋_GBK" w:cs="Times New Roman"/>
          <w:bCs/>
          <w:color w:val="auto"/>
          <w:sz w:val="32"/>
          <w:szCs w:val="32"/>
          <w:highlight w:val="none"/>
          <w:lang w:val="en-US" w:eastAsia="zh-CN"/>
        </w:rPr>
        <w:t>着力发展金凤</w:t>
      </w:r>
      <w:r>
        <w:rPr>
          <w:rFonts w:hint="eastAsia" w:ascii="Times New Roman" w:hAnsi="Times New Roman" w:eastAsia="方正仿宋_GBK" w:cs="Times New Roman"/>
          <w:bCs/>
          <w:color w:val="auto"/>
          <w:sz w:val="32"/>
          <w:szCs w:val="32"/>
          <w:highlight w:val="none"/>
        </w:rPr>
        <w:t>城市中心</w:t>
      </w:r>
      <w:r>
        <w:rPr>
          <w:rFonts w:hint="eastAsia" w:ascii="Times New Roman" w:hAnsi="Times New Roman" w:eastAsia="方正仿宋_GBK" w:cs="Times New Roman"/>
          <w:bCs/>
          <w:color w:val="auto"/>
          <w:sz w:val="32"/>
          <w:szCs w:val="32"/>
          <w:highlight w:val="none"/>
          <w:lang w:val="en-US" w:eastAsia="zh-CN"/>
        </w:rPr>
        <w:t>，做强</w:t>
      </w:r>
      <w:r>
        <w:rPr>
          <w:rFonts w:hint="eastAsia" w:ascii="Times New Roman" w:hAnsi="Times New Roman" w:eastAsia="方正仿宋_GBK" w:cs="Times New Roman"/>
          <w:bCs/>
          <w:color w:val="auto"/>
          <w:sz w:val="32"/>
          <w:szCs w:val="32"/>
          <w:highlight w:val="none"/>
        </w:rPr>
        <w:t>大学城、西永微电园</w:t>
      </w:r>
      <w:r>
        <w:rPr>
          <w:rFonts w:hint="eastAsia" w:ascii="Times New Roman" w:hAnsi="Times New Roman" w:eastAsia="方正仿宋_GBK" w:cs="Times New Roman"/>
          <w:bCs/>
          <w:color w:val="auto"/>
          <w:sz w:val="32"/>
          <w:szCs w:val="32"/>
          <w:highlight w:val="none"/>
          <w:lang w:val="en-US" w:eastAsia="zh-CN"/>
        </w:rPr>
        <w:t>两个高新区</w:t>
      </w:r>
      <w:r>
        <w:rPr>
          <w:rFonts w:hint="eastAsia" w:ascii="Times New Roman" w:hAnsi="Times New Roman" w:eastAsia="方正仿宋_GBK" w:cs="Times New Roman"/>
          <w:bCs/>
          <w:color w:val="auto"/>
          <w:sz w:val="32"/>
          <w:szCs w:val="32"/>
          <w:highlight w:val="none"/>
        </w:rPr>
        <w:t>城市副中心，夯实</w:t>
      </w:r>
      <w:r>
        <w:rPr>
          <w:rFonts w:hint="eastAsia" w:ascii="方正仿宋_GBK" w:hAnsi="Times New Roman" w:eastAsia="方正仿宋_GBK" w:cs="Times New Roman"/>
          <w:bCs/>
          <w:color w:val="auto"/>
          <w:sz w:val="32"/>
          <w:szCs w:val="32"/>
          <w:highlight w:val="none"/>
        </w:rPr>
        <w:t>北部研发策源片区、中部技术创新片区、南部产业生成片区三大功能片区，协同</w:t>
      </w:r>
      <w:r>
        <w:rPr>
          <w:rFonts w:hint="eastAsia" w:ascii="Times New Roman" w:hAnsi="Times New Roman" w:eastAsia="方正仿宋_GBK" w:cs="Times New Roman"/>
          <w:bCs/>
          <w:color w:val="auto"/>
          <w:sz w:val="32"/>
          <w:szCs w:val="32"/>
          <w:highlight w:val="none"/>
        </w:rPr>
        <w:t>推进大学城组团、曾家香炉山组团、西永组团、金凤城市中心组团、白市驿走马组团、巴福石板组团六个城市组团功能品质提升</w:t>
      </w:r>
      <w:r>
        <w:rPr>
          <w:rFonts w:hint="eastAsia" w:ascii="Times New Roman" w:hAnsi="Times New Roman" w:eastAsia="方正仿宋_GBK" w:cs="Times New Roman"/>
          <w:bCs/>
          <w:color w:val="auto"/>
          <w:sz w:val="32"/>
          <w:szCs w:val="32"/>
          <w:highlight w:val="none"/>
          <w:lang w:val="en-US" w:eastAsia="zh-CN"/>
        </w:rPr>
        <w:t>。</w:t>
      </w:r>
    </w:p>
    <w:bookmarkEnd w:id="331"/>
    <w:p w14:paraId="0F12A13D">
      <w:pPr>
        <w:widowControl/>
        <w:overflowPunct w:val="0"/>
        <w:jc w:val="center"/>
        <w:rPr>
          <w:rFonts w:hint="eastAsia" w:ascii="Times New Roman" w:hAnsi="Times New Roman" w:eastAsia="方正黑体_GBK" w:cs="方正黑体_GBK"/>
          <w:color w:val="auto"/>
          <w:kern w:val="0"/>
          <w:sz w:val="32"/>
          <w:szCs w:val="32"/>
          <w:highlight w:val="none"/>
          <w:u w:val="none"/>
          <w:lang w:val="en-US" w:eastAsia="zh-CN" w:bidi="ar"/>
        </w:rPr>
      </w:pPr>
      <w:bookmarkStart w:id="340" w:name="_Toc168"/>
      <w:bookmarkStart w:id="341" w:name="_Toc16273"/>
      <w:r>
        <w:rPr>
          <w:rFonts w:hint="eastAsia" w:ascii="Times New Roman" w:hAnsi="Times New Roman" w:eastAsia="方正黑体_GBK" w:cs="方正黑体_GBK"/>
          <w:color w:val="auto"/>
          <w:kern w:val="0"/>
          <w:sz w:val="32"/>
          <w:szCs w:val="32"/>
          <w:highlight w:val="none"/>
          <w:u w:val="none"/>
          <w:lang w:bidi="ar"/>
        </w:rPr>
        <w:t>专栏</w:t>
      </w:r>
      <w:r>
        <w:rPr>
          <w:rFonts w:hint="eastAsia" w:ascii="Times New Roman" w:hAnsi="Times New Roman" w:eastAsia="方正黑体_GBK" w:cs="方正黑体_GBK"/>
          <w:color w:val="auto"/>
          <w:kern w:val="0"/>
          <w:sz w:val="32"/>
          <w:szCs w:val="32"/>
          <w:highlight w:val="none"/>
          <w:u w:val="none"/>
          <w:lang w:val="en-US" w:eastAsia="zh-CN" w:bidi="ar"/>
        </w:rPr>
        <w:t>19</w:t>
      </w:r>
      <w:r>
        <w:rPr>
          <w:rFonts w:hint="eastAsia" w:ascii="Times New Roman" w:hAnsi="Times New Roman" w:eastAsia="方正黑体_GBK" w:cs="方正黑体_GBK"/>
          <w:color w:val="auto"/>
          <w:kern w:val="0"/>
          <w:sz w:val="32"/>
          <w:szCs w:val="32"/>
          <w:highlight w:val="none"/>
          <w:u w:val="none"/>
          <w:lang w:bidi="ar"/>
        </w:rPr>
        <w:t xml:space="preserve"> </w:t>
      </w:r>
      <w:r>
        <w:rPr>
          <w:rFonts w:hint="eastAsia" w:ascii="Times New Roman" w:hAnsi="Times New Roman" w:eastAsia="方正黑体_GBK" w:cs="方正黑体_GBK"/>
          <w:bCs w:val="0"/>
          <w:color w:val="auto"/>
          <w:kern w:val="0"/>
          <w:sz w:val="32"/>
          <w:szCs w:val="32"/>
          <w:highlight w:val="none"/>
          <w:u w:val="none"/>
          <w:lang w:bidi="ar"/>
        </w:rPr>
        <w:t>“1236”</w:t>
      </w:r>
      <w:r>
        <w:rPr>
          <w:rFonts w:hint="eastAsia" w:ascii="Times New Roman" w:hAnsi="Times New Roman" w:eastAsia="方正黑体_GBK" w:cs="方正黑体_GBK"/>
          <w:bCs w:val="0"/>
          <w:color w:val="auto"/>
          <w:kern w:val="0"/>
          <w:sz w:val="32"/>
          <w:szCs w:val="32"/>
          <w:highlight w:val="none"/>
          <w:u w:val="none"/>
          <w:lang w:val="en-US" w:eastAsia="zh-CN" w:bidi="ar"/>
        </w:rPr>
        <w:t>城市</w:t>
      </w:r>
      <w:r>
        <w:rPr>
          <w:rFonts w:hint="eastAsia" w:ascii="Times New Roman" w:hAnsi="Times New Roman" w:eastAsia="方正黑体_GBK" w:cs="方正黑体_GBK"/>
          <w:bCs w:val="0"/>
          <w:color w:val="auto"/>
          <w:kern w:val="0"/>
          <w:sz w:val="32"/>
          <w:szCs w:val="32"/>
          <w:highlight w:val="none"/>
          <w:u w:val="none"/>
          <w:lang w:bidi="ar"/>
        </w:rPr>
        <w:t>总体功能布局</w:t>
      </w:r>
    </w:p>
    <w:tbl>
      <w:tblPr>
        <w:tblStyle w:val="22"/>
        <w:tblW w:w="9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0"/>
      </w:tblGrid>
      <w:tr w14:paraId="79A04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190" w:type="dxa"/>
          </w:tcPr>
          <w:p w14:paraId="5D2F1F37">
            <w:pPr>
              <w:widowControl/>
              <w:overflowPunct w:val="0"/>
              <w:snapToGrid w:val="0"/>
              <w:spacing w:line="380" w:lineRule="exact"/>
              <w:ind w:firstLine="480" w:firstLineChars="200"/>
              <w:jc w:val="left"/>
              <w:rPr>
                <w:rFonts w:hint="eastAsia" w:ascii="Times New Roman" w:hAnsi="Times New Roman" w:eastAsia="方正书宋_GBK" w:cs="Times New Roman"/>
                <w:color w:val="auto"/>
                <w:kern w:val="0"/>
                <w:sz w:val="24"/>
                <w:highlight w:val="none"/>
                <w:u w:val="none"/>
                <w:lang w:bidi="ar-SA"/>
              </w:rPr>
            </w:pPr>
            <w:r>
              <w:rPr>
                <w:rFonts w:hint="default" w:ascii="Times New Roman" w:hAnsi="Times New Roman" w:eastAsia="方正黑体_GBK" w:cs="Times New Roman"/>
                <w:color w:val="auto"/>
                <w:kern w:val="0"/>
                <w:sz w:val="24"/>
                <w:highlight w:val="none"/>
                <w:u w:val="none"/>
                <w:lang w:val="en-US" w:eastAsia="zh-CN" w:bidi="ar-SA"/>
              </w:rPr>
              <w:t>1</w:t>
            </w:r>
            <w:r>
              <w:rPr>
                <w:rFonts w:hint="default" w:ascii="Times New Roman" w:hAnsi="Times New Roman" w:eastAsia="方正黑体_GBK" w:cs="Times New Roman"/>
                <w:color w:val="auto"/>
                <w:kern w:val="0"/>
                <w:sz w:val="24"/>
                <w:szCs w:val="24"/>
                <w:highlight w:val="none"/>
                <w:u w:val="none"/>
              </w:rPr>
              <w:t>．</w:t>
            </w:r>
            <w:r>
              <w:rPr>
                <w:rFonts w:hint="default" w:ascii="Times New Roman" w:hAnsi="Times New Roman" w:eastAsia="方正黑体_GBK" w:cs="Times New Roman"/>
                <w:color w:val="auto"/>
                <w:kern w:val="0"/>
                <w:sz w:val="24"/>
                <w:highlight w:val="none"/>
                <w:u w:val="none"/>
                <w:lang w:bidi="ar-SA"/>
              </w:rPr>
              <w:t>一心：</w:t>
            </w:r>
            <w:r>
              <w:rPr>
                <w:rFonts w:hint="eastAsia" w:ascii="Times New Roman" w:hAnsi="Times New Roman" w:eastAsia="方正书宋_GBK" w:cs="Times New Roman"/>
                <w:color w:val="auto"/>
                <w:kern w:val="0"/>
                <w:sz w:val="24"/>
                <w:highlight w:val="none"/>
                <w:u w:val="none"/>
                <w:lang w:bidi="ar-SA"/>
              </w:rPr>
              <w:t>金凤城市中心。聚焦科技研发、技术孵化、产业转化、科技金融、国际交往交流、高端商业居住等核心功能，高水平建设重庆高新区城市主中心。</w:t>
            </w:r>
          </w:p>
          <w:p w14:paraId="085D91D5">
            <w:pPr>
              <w:widowControl/>
              <w:overflowPunct w:val="0"/>
              <w:snapToGrid w:val="0"/>
              <w:spacing w:line="380" w:lineRule="exact"/>
              <w:ind w:firstLine="480" w:firstLineChars="200"/>
              <w:jc w:val="left"/>
              <w:rPr>
                <w:rFonts w:hint="eastAsia" w:ascii="Times New Roman" w:hAnsi="Times New Roman" w:eastAsia="方正书宋_GBK" w:cs="Times New Roman"/>
                <w:color w:val="auto"/>
                <w:kern w:val="0"/>
                <w:sz w:val="24"/>
                <w:highlight w:val="none"/>
                <w:u w:val="none"/>
                <w:lang w:bidi="ar-SA"/>
              </w:rPr>
            </w:pPr>
            <w:r>
              <w:rPr>
                <w:rFonts w:hint="eastAsia" w:ascii="Times New Roman" w:hAnsi="Times New Roman" w:eastAsia="方正黑体_GBK" w:cs="方正黑体_GBK"/>
                <w:color w:val="auto"/>
                <w:kern w:val="0"/>
                <w:sz w:val="24"/>
                <w:highlight w:val="none"/>
                <w:u w:val="none"/>
                <w:lang w:val="en-US" w:eastAsia="zh-CN" w:bidi="ar-SA"/>
              </w:rPr>
              <w:t>2</w:t>
            </w:r>
            <w:r>
              <w:rPr>
                <w:rFonts w:hint="eastAsia" w:ascii="Times New Roman" w:hAnsi="Times New Roman" w:eastAsia="方正书宋_GBK" w:cs="Times New Roman"/>
                <w:color w:val="auto"/>
                <w:kern w:val="0"/>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两副</w:t>
            </w:r>
            <w:r>
              <w:rPr>
                <w:rFonts w:hint="eastAsia" w:ascii="Times New Roman" w:hAnsi="Times New Roman" w:eastAsia="方正书宋_GBK" w:cs="Times New Roman"/>
                <w:color w:val="auto"/>
                <w:kern w:val="0"/>
                <w:sz w:val="24"/>
                <w:highlight w:val="none"/>
                <w:u w:val="none"/>
                <w:lang w:bidi="ar-SA"/>
              </w:rPr>
              <w:t>：大学城城市副中心和西永微电园城市副中心。</w:t>
            </w:r>
            <w:r>
              <w:rPr>
                <w:rFonts w:hint="eastAsia" w:ascii="Times New Roman" w:hAnsi="Times New Roman" w:eastAsia="方正黑体_GBK" w:cs="方正黑体_GBK"/>
                <w:color w:val="auto"/>
                <w:kern w:val="0"/>
                <w:sz w:val="24"/>
                <w:highlight w:val="none"/>
                <w:u w:val="none"/>
                <w:lang w:bidi="ar-SA"/>
              </w:rPr>
              <w:t>大学城</w:t>
            </w:r>
            <w:r>
              <w:rPr>
                <w:rFonts w:hint="eastAsia" w:ascii="Times New Roman" w:hAnsi="Times New Roman" w:eastAsia="方正黑体_GBK" w:cs="方正黑体_GBK"/>
                <w:color w:val="auto"/>
                <w:kern w:val="0"/>
                <w:sz w:val="24"/>
                <w:highlight w:val="none"/>
                <w:u w:val="none"/>
                <w:lang w:eastAsia="zh-CN" w:bidi="ar-SA"/>
              </w:rPr>
              <w:t>城市</w:t>
            </w:r>
            <w:r>
              <w:rPr>
                <w:rFonts w:hint="eastAsia" w:ascii="Times New Roman" w:hAnsi="Times New Roman" w:eastAsia="方正黑体_GBK" w:cs="方正黑体_GBK"/>
                <w:color w:val="auto"/>
                <w:kern w:val="0"/>
                <w:sz w:val="24"/>
                <w:highlight w:val="none"/>
                <w:u w:val="none"/>
                <w:lang w:bidi="ar-SA"/>
              </w:rPr>
              <w:t>副中心</w:t>
            </w:r>
            <w:r>
              <w:rPr>
                <w:rFonts w:hint="eastAsia" w:ascii="Times New Roman" w:hAnsi="Times New Roman" w:eastAsia="方正书宋_GBK" w:cs="Times New Roman"/>
                <w:color w:val="auto"/>
                <w:kern w:val="0"/>
                <w:sz w:val="24"/>
                <w:highlight w:val="none"/>
                <w:u w:val="none"/>
                <w:lang w:bidi="ar-SA"/>
              </w:rPr>
              <w:t>，立足大学城高校、科研院所资源优势，加力推动科学城和大学城深度融合，打造环大学城创新生态圈。</w:t>
            </w:r>
            <w:r>
              <w:rPr>
                <w:rFonts w:hint="eastAsia" w:ascii="Times New Roman" w:hAnsi="Times New Roman" w:eastAsia="方正黑体_GBK" w:cs="方正黑体_GBK"/>
                <w:color w:val="auto"/>
                <w:kern w:val="0"/>
                <w:sz w:val="24"/>
                <w:highlight w:val="none"/>
                <w:u w:val="none"/>
                <w:lang w:bidi="ar-SA"/>
              </w:rPr>
              <w:t>西永</w:t>
            </w:r>
            <w:r>
              <w:rPr>
                <w:rFonts w:hint="eastAsia" w:ascii="Times New Roman" w:hAnsi="Times New Roman" w:eastAsia="方正黑体_GBK" w:cs="方正黑体_GBK"/>
                <w:color w:val="auto"/>
                <w:kern w:val="0"/>
                <w:sz w:val="24"/>
                <w:highlight w:val="none"/>
                <w:u w:val="none"/>
                <w:lang w:eastAsia="zh-CN" w:bidi="ar-SA"/>
              </w:rPr>
              <w:t>微电园城市</w:t>
            </w:r>
            <w:r>
              <w:rPr>
                <w:rFonts w:hint="eastAsia" w:ascii="Times New Roman" w:hAnsi="Times New Roman" w:eastAsia="方正黑体_GBK" w:cs="方正黑体_GBK"/>
                <w:color w:val="auto"/>
                <w:kern w:val="0"/>
                <w:sz w:val="24"/>
                <w:highlight w:val="none"/>
                <w:u w:val="none"/>
                <w:lang w:bidi="ar-SA"/>
              </w:rPr>
              <w:t>副中心</w:t>
            </w:r>
            <w:r>
              <w:rPr>
                <w:rFonts w:hint="eastAsia" w:ascii="Times New Roman" w:hAnsi="Times New Roman" w:eastAsia="方正书宋_GBK" w:cs="Times New Roman"/>
                <w:color w:val="auto"/>
                <w:kern w:val="0"/>
                <w:sz w:val="24"/>
                <w:highlight w:val="none"/>
                <w:u w:val="none"/>
                <w:lang w:bidi="ar-SA"/>
              </w:rPr>
              <w:t>，依托西永产业基础，夯实商业商务、研发制造、生产性和生活性服务业等功能，持续</w:t>
            </w:r>
            <w:r>
              <w:rPr>
                <w:rFonts w:hint="eastAsia" w:ascii="Times New Roman" w:hAnsi="Times New Roman" w:eastAsia="方正书宋_GBK" w:cs="Times New Roman"/>
                <w:color w:val="auto"/>
                <w:kern w:val="0"/>
                <w:sz w:val="24"/>
                <w:highlight w:val="none"/>
                <w:u w:val="none"/>
                <w:lang w:eastAsia="zh-CN" w:bidi="ar-SA"/>
              </w:rPr>
              <w:t>推进</w:t>
            </w:r>
            <w:r>
              <w:rPr>
                <w:rFonts w:hint="eastAsia" w:ascii="Times New Roman" w:hAnsi="Times New Roman" w:eastAsia="方正书宋_GBK" w:cs="Times New Roman"/>
                <w:color w:val="auto"/>
                <w:kern w:val="0"/>
                <w:sz w:val="24"/>
                <w:highlight w:val="none"/>
                <w:u w:val="none"/>
                <w:lang w:val="en-US" w:eastAsia="zh-CN" w:bidi="ar-SA"/>
              </w:rPr>
              <w:t>现代</w:t>
            </w:r>
            <w:r>
              <w:rPr>
                <w:rFonts w:hint="eastAsia" w:ascii="Times New Roman" w:hAnsi="Times New Roman" w:eastAsia="方正书宋_GBK" w:cs="Times New Roman"/>
                <w:color w:val="auto"/>
                <w:kern w:val="0"/>
                <w:sz w:val="24"/>
                <w:highlight w:val="none"/>
                <w:u w:val="none"/>
                <w:lang w:bidi="ar-SA"/>
              </w:rPr>
              <w:t>制造业和现代服务业</w:t>
            </w:r>
            <w:r>
              <w:rPr>
                <w:rFonts w:hint="eastAsia" w:ascii="Times New Roman" w:hAnsi="Times New Roman" w:eastAsia="方正书宋_GBK" w:cs="Times New Roman"/>
                <w:color w:val="auto"/>
                <w:kern w:val="0"/>
                <w:sz w:val="24"/>
                <w:highlight w:val="none"/>
                <w:u w:val="none"/>
                <w:lang w:eastAsia="zh-CN" w:bidi="ar-SA"/>
              </w:rPr>
              <w:t>深度融合</w:t>
            </w:r>
            <w:r>
              <w:rPr>
                <w:rFonts w:hint="eastAsia" w:ascii="Times New Roman" w:hAnsi="Times New Roman" w:eastAsia="方正书宋_GBK" w:cs="Times New Roman"/>
                <w:color w:val="auto"/>
                <w:kern w:val="0"/>
                <w:sz w:val="24"/>
                <w:highlight w:val="none"/>
                <w:u w:val="none"/>
                <w:lang w:bidi="ar-SA"/>
              </w:rPr>
              <w:t>。</w:t>
            </w:r>
          </w:p>
          <w:p w14:paraId="338A2CBE">
            <w:pPr>
              <w:widowControl/>
              <w:overflowPunct w:val="0"/>
              <w:snapToGrid w:val="0"/>
              <w:spacing w:line="380" w:lineRule="exact"/>
              <w:ind w:firstLine="480" w:firstLineChars="200"/>
              <w:jc w:val="left"/>
              <w:rPr>
                <w:rFonts w:hint="eastAsia" w:ascii="Times New Roman" w:hAnsi="Times New Roman" w:eastAsia="方正书宋_GBK" w:cs="Times New Roman"/>
                <w:color w:val="auto"/>
                <w:kern w:val="0"/>
                <w:sz w:val="24"/>
                <w:highlight w:val="none"/>
                <w:u w:val="none"/>
                <w:lang w:bidi="ar-SA"/>
              </w:rPr>
            </w:pPr>
            <w:r>
              <w:rPr>
                <w:rFonts w:hint="eastAsia" w:ascii="Times New Roman" w:hAnsi="Times New Roman" w:eastAsia="方正书宋_GBK" w:cs="Times New Roman"/>
                <w:color w:val="auto"/>
                <w:kern w:val="0"/>
                <w:sz w:val="24"/>
                <w:highlight w:val="none"/>
                <w:u w:val="none"/>
                <w:lang w:val="en-US" w:eastAsia="zh-CN" w:bidi="ar-SA"/>
              </w:rPr>
              <w:t>3</w:t>
            </w:r>
            <w:r>
              <w:rPr>
                <w:rFonts w:hint="eastAsia" w:ascii="Times New Roman" w:hAnsi="Times New Roman" w:eastAsia="方正书宋_GBK" w:cs="Times New Roman"/>
                <w:color w:val="auto"/>
                <w:kern w:val="0"/>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三片</w:t>
            </w:r>
            <w:r>
              <w:rPr>
                <w:rFonts w:hint="eastAsia" w:ascii="Times New Roman" w:hAnsi="Times New Roman" w:eastAsia="方正书宋_GBK" w:cs="Times New Roman"/>
                <w:color w:val="auto"/>
                <w:kern w:val="0"/>
                <w:sz w:val="24"/>
                <w:highlight w:val="none"/>
                <w:u w:val="none"/>
                <w:lang w:bidi="ar-SA"/>
              </w:rPr>
              <w:t>：北部研发策源片区、中部技术创新片区、南部产业生成片区。</w:t>
            </w:r>
            <w:r>
              <w:rPr>
                <w:rFonts w:hint="eastAsia" w:ascii="Times New Roman" w:hAnsi="Times New Roman" w:eastAsia="方正黑体_GBK" w:cs="方正黑体_GBK"/>
                <w:color w:val="auto"/>
                <w:kern w:val="0"/>
                <w:sz w:val="24"/>
                <w:highlight w:val="none"/>
                <w:u w:val="none"/>
                <w:lang w:bidi="ar-SA"/>
              </w:rPr>
              <w:t>北研发</w:t>
            </w:r>
            <w:r>
              <w:rPr>
                <w:rFonts w:hint="eastAsia" w:ascii="Times New Roman" w:hAnsi="Times New Roman" w:eastAsia="方正书宋_GBK" w:cs="Times New Roman"/>
                <w:color w:val="auto"/>
                <w:kern w:val="0"/>
                <w:sz w:val="24"/>
                <w:highlight w:val="none"/>
                <w:u w:val="none"/>
                <w:lang w:bidi="ar-SA"/>
              </w:rPr>
              <w:t>，依托大学城资源，强化基础研究、人才培育和创新策源等核心功能。</w:t>
            </w:r>
            <w:r>
              <w:rPr>
                <w:rFonts w:hint="eastAsia" w:ascii="Times New Roman" w:hAnsi="Times New Roman" w:eastAsia="方正黑体_GBK" w:cs="方正黑体_GBK"/>
                <w:color w:val="auto"/>
                <w:kern w:val="0"/>
                <w:sz w:val="24"/>
                <w:highlight w:val="none"/>
                <w:u w:val="none"/>
                <w:lang w:bidi="ar-SA"/>
              </w:rPr>
              <w:t>中转化</w:t>
            </w:r>
            <w:r>
              <w:rPr>
                <w:rFonts w:hint="eastAsia" w:ascii="Times New Roman" w:hAnsi="Times New Roman" w:eastAsia="方正书宋_GBK" w:cs="Times New Roman"/>
                <w:color w:val="auto"/>
                <w:kern w:val="0"/>
                <w:sz w:val="24"/>
                <w:highlight w:val="none"/>
                <w:u w:val="none"/>
                <w:lang w:bidi="ar-SA"/>
              </w:rPr>
              <w:t>，依托创新型企业、研发机构、金融机构等集聚优势，承接</w:t>
            </w:r>
            <w:r>
              <w:rPr>
                <w:rFonts w:hint="eastAsia" w:ascii="Times New Roman" w:hAnsi="Times New Roman" w:eastAsia="方正书宋_GBK" w:cs="Times New Roman"/>
                <w:color w:val="auto"/>
                <w:kern w:val="0"/>
                <w:sz w:val="24"/>
                <w:highlight w:val="none"/>
                <w:u w:val="none"/>
                <w:lang w:val="en-US" w:eastAsia="zh-CN" w:bidi="ar-SA"/>
              </w:rPr>
              <w:t>小试</w:t>
            </w:r>
            <w:r>
              <w:rPr>
                <w:rFonts w:hint="eastAsia" w:ascii="Times New Roman" w:hAnsi="Times New Roman" w:eastAsia="方正书宋_GBK" w:cs="Times New Roman"/>
                <w:color w:val="auto"/>
                <w:kern w:val="0"/>
                <w:sz w:val="24"/>
                <w:highlight w:val="none"/>
                <w:u w:val="none"/>
                <w:lang w:bidi="ar-SA"/>
              </w:rPr>
              <w:t>中试、成果转化</w:t>
            </w:r>
            <w:r>
              <w:rPr>
                <w:rFonts w:hint="eastAsia" w:ascii="Times New Roman" w:hAnsi="Times New Roman" w:eastAsia="方正书宋_GBK" w:cs="Times New Roman"/>
                <w:color w:val="auto"/>
                <w:kern w:val="0"/>
                <w:sz w:val="24"/>
                <w:highlight w:val="none"/>
                <w:u w:val="none"/>
                <w:lang w:eastAsia="zh-CN" w:bidi="ar-SA"/>
              </w:rPr>
              <w:t>、</w:t>
            </w:r>
            <w:r>
              <w:rPr>
                <w:rFonts w:hint="eastAsia" w:ascii="Times New Roman" w:hAnsi="Times New Roman" w:eastAsia="方正书宋_GBK" w:cs="Times New Roman"/>
                <w:color w:val="auto"/>
                <w:kern w:val="0"/>
                <w:sz w:val="24"/>
                <w:highlight w:val="none"/>
                <w:u w:val="none"/>
                <w:lang w:bidi="ar-SA"/>
              </w:rPr>
              <w:t>创新服务、高端商业、国际交往等功能，打造功能复合的城市核心片区。</w:t>
            </w:r>
            <w:r>
              <w:rPr>
                <w:rFonts w:hint="eastAsia" w:ascii="Times New Roman" w:hAnsi="Times New Roman" w:eastAsia="方正黑体_GBK" w:cs="方正黑体_GBK"/>
                <w:color w:val="auto"/>
                <w:kern w:val="0"/>
                <w:sz w:val="24"/>
                <w:highlight w:val="none"/>
                <w:u w:val="none"/>
                <w:lang w:bidi="ar-SA"/>
              </w:rPr>
              <w:t>南制造</w:t>
            </w:r>
            <w:r>
              <w:rPr>
                <w:rFonts w:hint="eastAsia" w:ascii="Times New Roman" w:hAnsi="Times New Roman" w:eastAsia="方正书宋_GBK" w:cs="Times New Roman"/>
                <w:color w:val="auto"/>
                <w:kern w:val="0"/>
                <w:sz w:val="24"/>
                <w:highlight w:val="none"/>
                <w:u w:val="none"/>
                <w:lang w:bidi="ar-SA"/>
              </w:rPr>
              <w:t>，聚焦主导产业培育，打造特色鲜明、链条完整的制造业集群</w:t>
            </w:r>
            <w:r>
              <w:rPr>
                <w:rFonts w:hint="eastAsia" w:ascii="Times New Roman" w:hAnsi="Times New Roman" w:eastAsia="方正书宋_GBK" w:cs="Times New Roman"/>
                <w:color w:val="auto"/>
                <w:kern w:val="0"/>
                <w:sz w:val="24"/>
                <w:highlight w:val="none"/>
                <w:u w:val="none"/>
                <w:lang w:eastAsia="zh-CN" w:bidi="ar-SA"/>
              </w:rPr>
              <w:t>，</w:t>
            </w:r>
            <w:r>
              <w:rPr>
                <w:rFonts w:hint="eastAsia" w:ascii="Times New Roman" w:hAnsi="Times New Roman" w:eastAsia="方正书宋_GBK" w:cs="Times New Roman"/>
                <w:color w:val="auto"/>
                <w:kern w:val="0"/>
                <w:sz w:val="24"/>
                <w:highlight w:val="none"/>
                <w:u w:val="none"/>
                <w:lang w:bidi="ar-SA"/>
              </w:rPr>
              <w:t>增强城市综合服务能力，促进产业发展、人口集聚、城市空间拓展良性互动，推动传统产业园区逐步向产城融合的现代化城区转型。</w:t>
            </w:r>
          </w:p>
          <w:p w14:paraId="255CC35D">
            <w:pPr>
              <w:widowControl/>
              <w:overflowPunct w:val="0"/>
              <w:snapToGrid w:val="0"/>
              <w:spacing w:line="380" w:lineRule="exact"/>
              <w:ind w:firstLine="480" w:firstLineChars="200"/>
              <w:jc w:val="left"/>
              <w:rPr>
                <w:rFonts w:hint="eastAsia" w:ascii="Times New Roman" w:hAnsi="Times New Roman" w:eastAsia="方正书宋_GBK" w:cs="Times New Roman"/>
                <w:color w:val="auto"/>
                <w:kern w:val="0"/>
                <w:sz w:val="24"/>
                <w:szCs w:val="24"/>
                <w:highlight w:val="none"/>
                <w:u w:val="none"/>
                <w:lang w:eastAsia="zh-CN"/>
              </w:rPr>
            </w:pPr>
            <w:r>
              <w:rPr>
                <w:rFonts w:hint="eastAsia" w:ascii="Times New Roman" w:hAnsi="Times New Roman" w:eastAsia="方正书宋_GBK" w:cs="Times New Roman"/>
                <w:color w:val="auto"/>
                <w:kern w:val="0"/>
                <w:sz w:val="24"/>
                <w:highlight w:val="none"/>
                <w:u w:val="none"/>
                <w:lang w:val="en-US" w:eastAsia="zh-CN" w:bidi="ar-SA"/>
              </w:rPr>
              <w:t>4</w:t>
            </w:r>
            <w:r>
              <w:rPr>
                <w:rFonts w:hint="eastAsia" w:ascii="Times New Roman" w:hAnsi="Times New Roman" w:eastAsia="方正书宋_GBK" w:cs="Times New Roman"/>
                <w:color w:val="auto"/>
                <w:kern w:val="0"/>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六组团</w:t>
            </w:r>
            <w:r>
              <w:rPr>
                <w:rFonts w:hint="eastAsia" w:ascii="Times New Roman" w:hAnsi="Times New Roman" w:eastAsia="方正书宋_GBK" w:cs="Times New Roman"/>
                <w:color w:val="auto"/>
                <w:kern w:val="0"/>
                <w:sz w:val="24"/>
                <w:highlight w:val="none"/>
                <w:u w:val="none"/>
                <w:lang w:bidi="ar-SA"/>
              </w:rPr>
              <w:t>：大学城组团、曾家香炉山组团、西永组团、金凤城市中心组团、白市驿走马组团、巴福石板组团。</w:t>
            </w:r>
            <w:r>
              <w:rPr>
                <w:rFonts w:hint="eastAsia" w:ascii="Times New Roman" w:hAnsi="Times New Roman" w:eastAsia="方正黑体_GBK" w:cs="方正黑体_GBK"/>
                <w:color w:val="auto"/>
                <w:kern w:val="0"/>
                <w:sz w:val="24"/>
                <w:highlight w:val="none"/>
                <w:u w:val="none"/>
                <w:lang w:bidi="ar-SA"/>
              </w:rPr>
              <w:t>大学城组团</w:t>
            </w:r>
            <w:r>
              <w:rPr>
                <w:rFonts w:hint="eastAsia" w:ascii="Times New Roman" w:hAnsi="Times New Roman" w:eastAsia="方正书宋_GBK" w:cs="Times New Roman"/>
                <w:color w:val="auto"/>
                <w:kern w:val="0"/>
                <w:sz w:val="24"/>
                <w:highlight w:val="none"/>
                <w:u w:val="none"/>
                <w:lang w:bidi="ar-SA"/>
              </w:rPr>
              <w:t>，布局软件和信息服务、科技服务、商贸服务等产业链，盘活存量闲置空间资源，打造众创空间、孵化器载体，依托金凤软件园（虎溪园）、国际创谷等打造“星级楼宇”，加快完善科创、商务服务功能，发挥创新要素聚集优势。</w:t>
            </w:r>
            <w:r>
              <w:rPr>
                <w:rFonts w:hint="eastAsia" w:ascii="Times New Roman" w:hAnsi="Times New Roman" w:eastAsia="方正黑体_GBK" w:cs="方正黑体_GBK"/>
                <w:color w:val="auto"/>
                <w:kern w:val="0"/>
                <w:sz w:val="24"/>
                <w:highlight w:val="none"/>
                <w:u w:val="none"/>
                <w:lang w:bidi="ar-SA"/>
              </w:rPr>
              <w:t>曾家香炉山组团</w:t>
            </w:r>
            <w:r>
              <w:rPr>
                <w:rFonts w:hint="eastAsia" w:ascii="Times New Roman" w:hAnsi="Times New Roman" w:eastAsia="方正书宋_GBK" w:cs="Times New Roman"/>
                <w:color w:val="auto"/>
                <w:kern w:val="0"/>
                <w:sz w:val="24"/>
                <w:highlight w:val="none"/>
                <w:u w:val="none"/>
                <w:lang w:bidi="ar-SA"/>
              </w:rPr>
              <w:t>，布局新型智能终端、新能源汽摩等产业链，推进科研港、综保区B区及周边区域建设，加快落地重庆大学智谷校区等重点科创空间，完善区域配套与服务功能。</w:t>
            </w:r>
            <w:r>
              <w:rPr>
                <w:rFonts w:hint="eastAsia" w:ascii="Times New Roman" w:hAnsi="Times New Roman" w:eastAsia="方正黑体_GBK" w:cs="方正黑体_GBK"/>
                <w:color w:val="auto"/>
                <w:kern w:val="0"/>
                <w:sz w:val="24"/>
                <w:highlight w:val="none"/>
                <w:u w:val="none"/>
                <w:lang w:bidi="ar-SA"/>
              </w:rPr>
              <w:t>西永组团</w:t>
            </w:r>
            <w:r>
              <w:rPr>
                <w:rFonts w:hint="eastAsia" w:ascii="Times New Roman" w:hAnsi="Times New Roman" w:eastAsia="方正书宋_GBK" w:cs="Times New Roman"/>
                <w:color w:val="auto"/>
                <w:kern w:val="0"/>
                <w:sz w:val="24"/>
                <w:highlight w:val="none"/>
                <w:u w:val="none"/>
                <w:lang w:bidi="ar-SA"/>
              </w:rPr>
              <w:t>，布局集成电路、新型智能终端、软件和信息服务、跨境电商等产业链，升级打造西永微电园、综保区A区等重大载体，推进微电园轨道站点周边开发建设，积极培育科学公园至西永广场的活力中轴，打造高品质未来社区样板。</w:t>
            </w:r>
            <w:r>
              <w:rPr>
                <w:rFonts w:hint="eastAsia" w:ascii="Times New Roman" w:hAnsi="Times New Roman" w:eastAsia="方正黑体_GBK" w:cs="方正黑体_GBK"/>
                <w:color w:val="auto"/>
                <w:kern w:val="0"/>
                <w:sz w:val="24"/>
                <w:highlight w:val="none"/>
                <w:u w:val="none"/>
                <w:lang w:bidi="ar-SA"/>
              </w:rPr>
              <w:t>金凤城市中心组团</w:t>
            </w:r>
            <w:r>
              <w:rPr>
                <w:rFonts w:hint="eastAsia" w:ascii="Times New Roman" w:hAnsi="Times New Roman" w:eastAsia="方正书宋_GBK" w:cs="Times New Roman"/>
                <w:color w:val="auto"/>
                <w:kern w:val="0"/>
                <w:sz w:val="24"/>
                <w:highlight w:val="none"/>
                <w:u w:val="none"/>
                <w:lang w:bidi="ar-SA"/>
              </w:rPr>
              <w:t>，布局生物医药、软件和信息服务、科技服务、金融服务等产业链，打造科学谷、生命岛等科创空间，推进凤鸣湖生态科技商务区、重庆科技大学智慧创新中心等服务平台与产业载体建设，完善科学交往、商务、居住、公服、交通等功能，集聚服务成渝的科技创新和城市服务功能，形成科产城人文融合发展城市空间形态。</w:t>
            </w:r>
            <w:r>
              <w:rPr>
                <w:rFonts w:hint="eastAsia" w:ascii="Times New Roman" w:hAnsi="Times New Roman" w:eastAsia="方正黑体_GBK" w:cs="方正黑体_GBK"/>
                <w:color w:val="auto"/>
                <w:kern w:val="0"/>
                <w:sz w:val="24"/>
                <w:highlight w:val="none"/>
                <w:u w:val="none"/>
                <w:lang w:bidi="ar-SA"/>
              </w:rPr>
              <w:t>白市驿走马组团</w:t>
            </w:r>
            <w:r>
              <w:rPr>
                <w:rFonts w:hint="eastAsia" w:ascii="Times New Roman" w:hAnsi="Times New Roman" w:eastAsia="方正书宋_GBK" w:cs="Times New Roman"/>
                <w:color w:val="auto"/>
                <w:kern w:val="0"/>
                <w:sz w:val="24"/>
                <w:highlight w:val="none"/>
                <w:u w:val="none"/>
                <w:lang w:bidi="ar-SA"/>
              </w:rPr>
              <w:t>，布局新能源汽摩、未来产业等产业链，推动生活性服务业提档升级，建设新能源汽摩产业基地、含谷高端装备制造园等产业载体，依托走马古镇打造文化发展重要节点，引导传统产业转型升级，盘活低效产业用地，提质升级走马智慧低碳物流功能，促进产城人文协同发展。</w:t>
            </w:r>
            <w:r>
              <w:rPr>
                <w:rFonts w:hint="eastAsia" w:ascii="Times New Roman" w:hAnsi="Times New Roman" w:eastAsia="方正黑体_GBK" w:cs="方正黑体_GBK"/>
                <w:color w:val="auto"/>
                <w:kern w:val="0"/>
                <w:sz w:val="24"/>
                <w:highlight w:val="none"/>
                <w:u w:val="none"/>
                <w:lang w:bidi="ar-SA"/>
              </w:rPr>
              <w:t>巴福石板组团</w:t>
            </w:r>
            <w:r>
              <w:rPr>
                <w:rFonts w:hint="eastAsia" w:ascii="Times New Roman" w:hAnsi="Times New Roman" w:eastAsia="方正书宋_GBK" w:cs="Times New Roman"/>
                <w:color w:val="auto"/>
                <w:kern w:val="0"/>
                <w:sz w:val="24"/>
                <w:highlight w:val="none"/>
                <w:u w:val="none"/>
                <w:lang w:bidi="ar-SA"/>
              </w:rPr>
              <w:t>，布局新能源汽摩和生物医药等产业链，培育石板</w:t>
            </w:r>
            <w:r>
              <w:rPr>
                <w:rFonts w:hint="eastAsia" w:ascii="Times New Roman" w:hAnsi="Times New Roman" w:eastAsia="方正书宋_GBK" w:cs="Times New Roman"/>
                <w:color w:val="auto"/>
                <w:kern w:val="0"/>
                <w:sz w:val="24"/>
                <w:highlight w:val="none"/>
                <w:u w:val="none"/>
                <w:lang w:eastAsia="zh-CN" w:bidi="ar-SA"/>
              </w:rPr>
              <w:t>—</w:t>
            </w:r>
            <w:r>
              <w:rPr>
                <w:rFonts w:hint="eastAsia" w:ascii="Times New Roman" w:hAnsi="Times New Roman" w:eastAsia="方正书宋_GBK" w:cs="Times New Roman"/>
                <w:color w:val="auto"/>
                <w:kern w:val="0"/>
                <w:sz w:val="24"/>
                <w:highlight w:val="none"/>
                <w:u w:val="none"/>
                <w:lang w:bidi="ar-SA"/>
              </w:rPr>
              <w:t>巴福大健康产业园，围绕中子源科学装置建设中子技术应用、材料、药物研发等平台，落实重大交通枢纽布局，优化路网及产业空间布局，推进巴福制造业重镇建设。</w:t>
            </w:r>
          </w:p>
        </w:tc>
      </w:tr>
    </w:tbl>
    <w:p w14:paraId="5820681A">
      <w:pPr>
        <w:widowControl/>
        <w:overflowPunct w:val="0"/>
        <w:jc w:val="center"/>
        <w:rPr>
          <w:rFonts w:hint="eastAsia" w:ascii="Times New Roman" w:hAnsi="Times New Roman" w:eastAsia="方正黑体_GBK" w:cs="方正黑体_GBK"/>
          <w:bCs w:val="0"/>
          <w:color w:val="auto"/>
          <w:kern w:val="0"/>
          <w:sz w:val="32"/>
          <w:szCs w:val="32"/>
          <w:highlight w:val="none"/>
          <w:u w:val="none"/>
          <w:lang w:bidi="ar"/>
        </w:rPr>
      </w:pPr>
      <w:r>
        <w:rPr>
          <w:rFonts w:hint="eastAsia" w:ascii="Times New Roman" w:hAnsi="Times New Roman" w:eastAsia="方正黑体_GBK" w:cs="方正黑体_GBK"/>
          <w:color w:val="auto"/>
          <w:kern w:val="0"/>
          <w:sz w:val="32"/>
          <w:szCs w:val="32"/>
          <w:highlight w:val="none"/>
          <w:u w:val="none"/>
          <w:lang w:bidi="ar"/>
        </w:rPr>
        <w:t>图</w:t>
      </w:r>
      <w:r>
        <w:rPr>
          <w:rFonts w:hint="eastAsia" w:ascii="Times New Roman" w:hAnsi="Times New Roman" w:eastAsia="方正黑体_GBK" w:cs="方正黑体_GBK"/>
          <w:color w:val="auto"/>
          <w:kern w:val="0"/>
          <w:sz w:val="32"/>
          <w:szCs w:val="32"/>
          <w:highlight w:val="none"/>
          <w:u w:val="none"/>
          <w:lang w:val="en-US" w:eastAsia="zh-CN" w:bidi="ar"/>
        </w:rPr>
        <w:t>3</w:t>
      </w:r>
      <w:r>
        <w:rPr>
          <w:rFonts w:hint="eastAsia" w:ascii="Times New Roman" w:hAnsi="Times New Roman" w:eastAsia="方正黑体_GBK" w:cs="方正黑体_GBK"/>
          <w:color w:val="auto"/>
          <w:kern w:val="0"/>
          <w:sz w:val="32"/>
          <w:szCs w:val="32"/>
          <w:highlight w:val="none"/>
          <w:u w:val="none"/>
          <w:lang w:bidi="ar"/>
        </w:rPr>
        <w:t xml:space="preserve"> 重庆高新区“一心两副三片六组”总体功能布局</w:t>
      </w:r>
    </w:p>
    <w:tbl>
      <w:tblPr>
        <w:tblStyle w:val="22"/>
        <w:tblW w:w="9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0"/>
      </w:tblGrid>
      <w:tr w14:paraId="52CDF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7" w:hRule="atLeast"/>
          <w:jc w:val="center"/>
        </w:trPr>
        <w:tc>
          <w:tcPr>
            <w:tcW w:w="9190" w:type="dxa"/>
          </w:tcPr>
          <w:p w14:paraId="7FD66CA2">
            <w:pPr>
              <w:widowControl/>
              <w:overflowPunct w:val="0"/>
              <w:snapToGrid w:val="0"/>
              <w:ind w:firstLine="0" w:firstLineChars="0"/>
              <w:jc w:val="center"/>
              <w:rPr>
                <w:rFonts w:hint="eastAsia" w:ascii="Times New Roman" w:hAnsi="Times New Roman" w:cs="Times New Roman" w:eastAsiaTheme="minorEastAsia"/>
                <w:color w:val="auto"/>
                <w:sz w:val="24"/>
                <w:szCs w:val="24"/>
                <w:highlight w:val="none"/>
                <w:lang w:eastAsia="zh-CN"/>
              </w:rPr>
            </w:pPr>
            <w:r>
              <w:rPr>
                <w:rFonts w:hint="eastAsia" w:ascii="Times New Roman" w:hAnsi="Times New Roman" w:cs="Times New Roman" w:eastAsiaTheme="minorEastAsia"/>
                <w:color w:val="auto"/>
                <w:sz w:val="24"/>
                <w:szCs w:val="24"/>
                <w:highlight w:val="none"/>
                <w:lang w:eastAsia="zh-CN"/>
              </w:rPr>
              <w:drawing>
                <wp:inline distT="0" distB="0" distL="114300" distR="114300">
                  <wp:extent cx="3474720" cy="5666105"/>
                  <wp:effectExtent l="0" t="0" r="11430" b="10795"/>
                  <wp:docPr id="10" name="图片 10" descr="公开件图片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公开件图片_01"/>
                          <pic:cNvPicPr>
                            <a:picLocks noChangeAspect="1"/>
                          </pic:cNvPicPr>
                        </pic:nvPicPr>
                        <pic:blipFill>
                          <a:blip r:embed="rId13"/>
                          <a:stretch>
                            <a:fillRect/>
                          </a:stretch>
                        </pic:blipFill>
                        <pic:spPr>
                          <a:xfrm>
                            <a:off x="0" y="0"/>
                            <a:ext cx="3474720" cy="5666105"/>
                          </a:xfrm>
                          <a:prstGeom prst="rect">
                            <a:avLst/>
                          </a:prstGeom>
                        </pic:spPr>
                      </pic:pic>
                    </a:graphicData>
                  </a:graphic>
                </wp:inline>
              </w:drawing>
            </w:r>
          </w:p>
        </w:tc>
      </w:tr>
    </w:tbl>
    <w:p w14:paraId="0EB36F75">
      <w:pPr>
        <w:adjustRightInd w:val="0"/>
        <w:snapToGrid w:val="0"/>
        <w:spacing w:line="600" w:lineRule="exact"/>
        <w:jc w:val="center"/>
        <w:outlineLvl w:val="2"/>
        <w:rPr>
          <w:rFonts w:hint="eastAsia" w:ascii="Times New Roman" w:hAnsi="Times New Roman" w:eastAsia="方正楷体_GBK" w:cs="Times New Roman"/>
          <w:color w:val="auto"/>
          <w:sz w:val="32"/>
          <w:szCs w:val="22"/>
          <w:highlight w:val="none"/>
        </w:rPr>
      </w:pPr>
      <w:bookmarkStart w:id="342" w:name="_Toc9576"/>
      <w:bookmarkStart w:id="343" w:name="_Toc621852401"/>
      <w:bookmarkStart w:id="344" w:name="_Toc756811994"/>
      <w:bookmarkStart w:id="345" w:name="_Toc8067"/>
      <w:bookmarkStart w:id="346" w:name="_Toc18579"/>
      <w:r>
        <w:rPr>
          <w:rFonts w:hint="eastAsia" w:ascii="Times New Roman" w:hAnsi="Times New Roman" w:eastAsia="方正楷体_GBK" w:cs="Times New Roman"/>
          <w:color w:val="auto"/>
          <w:sz w:val="32"/>
          <w:szCs w:val="22"/>
          <w:highlight w:val="none"/>
        </w:rPr>
        <w:t>第二节 高水平建设金凤城市中心</w:t>
      </w:r>
      <w:bookmarkEnd w:id="342"/>
      <w:bookmarkEnd w:id="343"/>
      <w:bookmarkEnd w:id="344"/>
    </w:p>
    <w:bookmarkEnd w:id="340"/>
    <w:bookmarkEnd w:id="341"/>
    <w:bookmarkEnd w:id="345"/>
    <w:bookmarkEnd w:id="346"/>
    <w:p w14:paraId="6719517E">
      <w:pPr>
        <w:adjustRightInd w:val="0"/>
        <w:snapToGrid w:val="0"/>
        <w:spacing w:line="600" w:lineRule="exact"/>
        <w:ind w:firstLine="640" w:firstLineChars="200"/>
        <w:jc w:val="left"/>
        <w:rPr>
          <w:rFonts w:hint="eastAsia"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按照主题突出、功能混合、协同联动原则，构建凤鸣湖生态科技商务区、金凤医学中心、数字医疗产业区、科学谷数智科创园、科学会堂交往区和科学城生态门户6大功能片区</w:t>
      </w:r>
      <w:r>
        <w:rPr>
          <w:rFonts w:hint="eastAsia" w:ascii="Times New Roman" w:hAnsi="Times New Roman" w:eastAsia="方正仿宋_GBK" w:cs="Times New Roman"/>
          <w:color w:val="auto"/>
          <w:sz w:val="32"/>
          <w:szCs w:val="32"/>
          <w:highlight w:val="none"/>
          <w:lang w:val="en-US" w:eastAsia="zh-CN"/>
        </w:rPr>
        <w:t>的</w:t>
      </w:r>
      <w:r>
        <w:rPr>
          <w:rFonts w:hint="eastAsia" w:ascii="Times New Roman" w:hAnsi="Times New Roman" w:eastAsia="方正仿宋_GBK" w:cs="Times New Roman"/>
          <w:color w:val="auto"/>
          <w:sz w:val="32"/>
          <w:szCs w:val="32"/>
          <w:highlight w:val="none"/>
        </w:rPr>
        <w:t>金凤城市中心“6</w:t>
      </w:r>
      <w:r>
        <w:rPr>
          <w:rFonts w:hint="eastAsia" w:ascii="宋体" w:hAnsi="宋体" w:eastAsia="宋体" w:cs="宋体"/>
          <w:color w:val="auto"/>
          <w:sz w:val="32"/>
          <w:szCs w:val="32"/>
          <w:highlight w:val="none"/>
        </w:rPr>
        <w:t>+</w:t>
      </w:r>
      <w:r>
        <w:rPr>
          <w:rFonts w:hint="eastAsia" w:ascii="Times New Roman" w:hAnsi="Times New Roman" w:eastAsia="方正仿宋_GBK" w:cs="Times New Roman"/>
          <w:color w:val="auto"/>
          <w:sz w:val="32"/>
          <w:szCs w:val="32"/>
          <w:highlight w:val="none"/>
        </w:rPr>
        <w:t>18”功能分区体系</w:t>
      </w:r>
      <w:r>
        <w:rPr>
          <w:rFonts w:ascii="Times New Roman" w:hAnsi="Times New Roman" w:eastAsia="方正仿宋_GBK" w:cs="Times New Roman"/>
          <w:color w:val="auto"/>
          <w:sz w:val="32"/>
          <w:szCs w:val="32"/>
          <w:highlight w:val="none"/>
        </w:rPr>
        <w:t>。按照补足功能短板、集中连片发展原则，以服务创新人才、吸引创新人才为核心，</w:t>
      </w:r>
      <w:r>
        <w:rPr>
          <w:rFonts w:hint="eastAsia" w:ascii="Times New Roman" w:hAnsi="Times New Roman" w:eastAsia="方正仿宋_GBK" w:cs="Times New Roman"/>
          <w:color w:val="auto"/>
          <w:sz w:val="32"/>
          <w:szCs w:val="32"/>
          <w:highlight w:val="none"/>
        </w:rPr>
        <w:t>加快构建城市交通系统骨架，建设服务平台与产业载体，完善公服、居住配套功能，提升城市公共空间品质，</w:t>
      </w:r>
      <w:r>
        <w:rPr>
          <w:rFonts w:hint="eastAsia" w:ascii="Times New Roman" w:hAnsi="Times New Roman" w:eastAsia="方正仿宋_GBK" w:cs="Times New Roman"/>
          <w:color w:val="auto"/>
          <w:sz w:val="32"/>
          <w:szCs w:val="32"/>
          <w:highlight w:val="none"/>
          <w:lang w:val="en-US" w:eastAsia="zh-CN"/>
        </w:rPr>
        <w:t>集聚</w:t>
      </w:r>
      <w:r>
        <w:rPr>
          <w:rFonts w:hint="eastAsia" w:ascii="Times New Roman" w:hAnsi="Times New Roman" w:eastAsia="方正仿宋_GBK" w:cs="Times New Roman"/>
          <w:color w:val="auto"/>
          <w:sz w:val="32"/>
          <w:szCs w:val="32"/>
          <w:highlight w:val="none"/>
        </w:rPr>
        <w:t>提升服务成渝的科技创新和城市服务功能，到2030年，金凤城市中心建成区面积达</w:t>
      </w:r>
      <w:r>
        <w:rPr>
          <w:rFonts w:hint="eastAsia" w:ascii="Times New Roman" w:hAnsi="Times New Roman" w:eastAsia="方正仿宋_GBK" w:cs="Times New Roman"/>
          <w:color w:val="auto"/>
          <w:sz w:val="32"/>
          <w:szCs w:val="32"/>
          <w:highlight w:val="none"/>
          <w:lang w:val="en-US" w:eastAsia="zh-CN"/>
        </w:rPr>
        <w:t>7.8</w:t>
      </w:r>
      <w:r>
        <w:rPr>
          <w:rFonts w:hint="eastAsia" w:ascii="Times New Roman" w:hAnsi="Times New Roman" w:eastAsia="方正仿宋_GBK" w:cs="Times New Roman"/>
          <w:color w:val="auto"/>
          <w:sz w:val="32"/>
          <w:szCs w:val="32"/>
          <w:highlight w:val="none"/>
        </w:rPr>
        <w:t>平方公里</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lang w:val="en-US" w:eastAsia="zh-CN"/>
        </w:rPr>
        <w:t>建成区面积翻番</w:t>
      </w:r>
      <w:r>
        <w:rPr>
          <w:rFonts w:hint="eastAsia" w:ascii="Times New Roman" w:hAnsi="Times New Roman" w:eastAsia="方正仿宋_GBK" w:cs="Times New Roman"/>
          <w:color w:val="auto"/>
          <w:sz w:val="32"/>
          <w:szCs w:val="32"/>
          <w:highlight w:val="none"/>
        </w:rPr>
        <w:t>，充分展现未来城市“新样板”。</w:t>
      </w:r>
    </w:p>
    <w:p w14:paraId="046F4F60">
      <w:pPr>
        <w:adjustRightInd w:val="0"/>
        <w:snapToGrid w:val="0"/>
        <w:spacing w:line="600" w:lineRule="exact"/>
        <w:ind w:firstLine="640" w:firstLineChars="200"/>
        <w:jc w:val="left"/>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构建城市交通系统骨架，至2027年，轨道17号线建成通车，至2028年，轨道7号线建成通车，至2032年，市郊铁路C4线建成通车。加快建设“四横四纵”城市骨架路网，至2027年，建成约36公里快速路及主干路，结合片区开发建设计划，逐步完善次支路网。补足静态交通设施，</w:t>
      </w:r>
      <w:r>
        <w:rPr>
          <w:rFonts w:hint="eastAsia" w:ascii="Times New Roman" w:hAnsi="Times New Roman" w:eastAsia="方正仿宋_GBK" w:cs="Times New Roman"/>
          <w:color w:val="auto"/>
          <w:sz w:val="32"/>
          <w:szCs w:val="32"/>
          <w:highlight w:val="none"/>
          <w:lang w:val="en-US" w:eastAsia="zh-CN"/>
        </w:rPr>
        <w:t>协调</w:t>
      </w:r>
      <w:r>
        <w:rPr>
          <w:rFonts w:hint="eastAsia" w:ascii="Times New Roman" w:hAnsi="Times New Roman" w:eastAsia="方正仿宋_GBK" w:cs="Times New Roman"/>
          <w:color w:val="auto"/>
          <w:sz w:val="32"/>
          <w:szCs w:val="32"/>
          <w:highlight w:val="none"/>
        </w:rPr>
        <w:t>建成公共交通站场6处，公共社会停车场4处。</w:t>
      </w:r>
    </w:p>
    <w:p w14:paraId="66D9A76B">
      <w:pPr>
        <w:adjustRightInd w:val="0"/>
        <w:snapToGrid w:val="0"/>
        <w:spacing w:line="600" w:lineRule="exact"/>
        <w:ind w:firstLine="640" w:firstLineChars="200"/>
        <w:jc w:val="left"/>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建设服务平台与产业载体。推进凤鸣湖生态科技商务区、重庆科技大学智慧创新中心、国际贸易总部长廊、数字总部办公区、科学谷二期</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rPr>
        <w:t>华中师大重庆学校等实验研发、科创办公、商务楼宇载体开发建设，建设高品质商务楼宇，到2030年，累计建成建筑规模约550万平方米。</w:t>
      </w:r>
    </w:p>
    <w:p w14:paraId="5A755BD2">
      <w:pPr>
        <w:adjustRightInd w:val="0"/>
        <w:snapToGrid w:val="0"/>
        <w:spacing w:line="600" w:lineRule="exact"/>
        <w:ind w:firstLine="640" w:firstLineChars="200"/>
        <w:jc w:val="left"/>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完善公服、居住配套功能。推进金凤未来商务中心北区等</w:t>
      </w:r>
      <w:r>
        <w:rPr>
          <w:rFonts w:ascii="Times New Roman" w:hAnsi="Times New Roman" w:eastAsia="方正仿宋_GBK" w:cs="Times New Roman"/>
          <w:color w:val="auto"/>
          <w:sz w:val="32"/>
          <w:szCs w:val="32"/>
          <w:highlight w:val="none"/>
        </w:rPr>
        <w:t>各类城市公共服务、居住配套</w:t>
      </w:r>
      <w:r>
        <w:rPr>
          <w:rFonts w:hint="eastAsia" w:ascii="Times New Roman" w:hAnsi="Times New Roman" w:eastAsia="方正仿宋_GBK" w:cs="Times New Roman"/>
          <w:color w:val="auto"/>
          <w:sz w:val="32"/>
          <w:szCs w:val="32"/>
          <w:highlight w:val="none"/>
        </w:rPr>
        <w:t>建设。到2030年，建成高质量基础教育学校1所，社区家园</w:t>
      </w:r>
      <w:r>
        <w:rPr>
          <w:rFonts w:hint="eastAsia" w:ascii="Times New Roman" w:hAnsi="Times New Roman" w:eastAsia="方正仿宋_GBK" w:cs="Times New Roman"/>
          <w:color w:val="auto"/>
          <w:sz w:val="32"/>
          <w:szCs w:val="32"/>
          <w:highlight w:val="none"/>
          <w:lang w:val="en-US" w:eastAsia="zh-CN"/>
        </w:rPr>
        <w:t>4</w:t>
      </w:r>
      <w:r>
        <w:rPr>
          <w:rFonts w:hint="eastAsia" w:ascii="Times New Roman" w:hAnsi="Times New Roman" w:eastAsia="方正仿宋_GBK" w:cs="Times New Roman"/>
          <w:color w:val="auto"/>
          <w:sz w:val="32"/>
          <w:szCs w:val="32"/>
          <w:highlight w:val="none"/>
        </w:rPr>
        <w:t>处，积极引入</w:t>
      </w:r>
      <w:r>
        <w:rPr>
          <w:rFonts w:hint="eastAsia" w:ascii="方正仿宋_GBK" w:hAnsi="方正仿宋_GBK" w:eastAsia="方正仿宋_GBK" w:cs="方正仿宋_GBK"/>
          <w:color w:val="auto"/>
          <w:sz w:val="32"/>
          <w:szCs w:val="32"/>
          <w:highlight w:val="none"/>
          <w:lang w:val="en-US" w:eastAsia="zh-CN"/>
        </w:rPr>
        <w:t>经营主体</w:t>
      </w:r>
      <w:r>
        <w:rPr>
          <w:rFonts w:hint="eastAsia" w:ascii="Times New Roman" w:hAnsi="Times New Roman" w:eastAsia="方正仿宋_GBK" w:cs="Times New Roman"/>
          <w:color w:val="auto"/>
          <w:sz w:val="32"/>
          <w:szCs w:val="32"/>
          <w:highlight w:val="none"/>
        </w:rPr>
        <w:t>，</w:t>
      </w:r>
      <w:r>
        <w:rPr>
          <w:rFonts w:hint="eastAsia" w:ascii="Times New Roman" w:hAnsi="Times New Roman" w:eastAsia="方正仿宋_GBK" w:cs="Times New Roman"/>
          <w:color w:val="auto"/>
          <w:sz w:val="32"/>
          <w:szCs w:val="32"/>
          <w:highlight w:val="none"/>
          <w:lang w:val="en-US" w:eastAsia="zh-CN"/>
        </w:rPr>
        <w:t>提供</w:t>
      </w:r>
      <w:r>
        <w:rPr>
          <w:rFonts w:hint="eastAsia" w:ascii="Times New Roman" w:hAnsi="Times New Roman" w:eastAsia="方正仿宋_GBK" w:cs="Times New Roman"/>
          <w:color w:val="auto"/>
          <w:sz w:val="32"/>
          <w:szCs w:val="32"/>
          <w:highlight w:val="none"/>
        </w:rPr>
        <w:t>面向不同人群需求的城市住宅与商业配套服务，集聚城市人气。</w:t>
      </w:r>
    </w:p>
    <w:p w14:paraId="7BE5305A">
      <w:pPr>
        <w:adjustRightInd w:val="0"/>
        <w:snapToGrid w:val="0"/>
        <w:spacing w:line="600" w:lineRule="exact"/>
        <w:ind w:firstLine="640" w:firstLineChars="200"/>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提升城市公共空间品质，打造升级霞羽公园、曾家场沟公园等11处城市公园，至2030年，建成城市公园绿地约1.8平方公里，连通城市各类开敞空间与功能配套，形成网络化的蓝绿空间系统。</w:t>
      </w:r>
    </w:p>
    <w:p w14:paraId="6DA0FBD1">
      <w:pPr>
        <w:widowControl/>
        <w:overflowPunct w:val="0"/>
        <w:jc w:val="center"/>
        <w:rPr>
          <w:rFonts w:hint="eastAsia" w:ascii="Times New Roman" w:hAnsi="Times New Roman" w:eastAsia="方正黑体_GBK" w:cs="方正黑体_GBK"/>
          <w:color w:val="auto"/>
          <w:kern w:val="0"/>
          <w:sz w:val="32"/>
          <w:szCs w:val="32"/>
          <w:highlight w:val="none"/>
          <w:u w:val="none"/>
          <w:lang w:bidi="ar"/>
        </w:rPr>
      </w:pPr>
      <w:r>
        <w:rPr>
          <w:rFonts w:hint="eastAsia" w:ascii="Times New Roman" w:hAnsi="Times New Roman" w:eastAsia="方正黑体_GBK" w:cs="方正黑体_GBK"/>
          <w:color w:val="auto"/>
          <w:kern w:val="0"/>
          <w:sz w:val="32"/>
          <w:szCs w:val="32"/>
          <w:highlight w:val="none"/>
          <w:u w:val="none"/>
          <w:lang w:bidi="ar"/>
        </w:rPr>
        <w:t>专栏2</w:t>
      </w:r>
      <w:r>
        <w:rPr>
          <w:rFonts w:hint="eastAsia" w:ascii="Times New Roman" w:hAnsi="Times New Roman" w:eastAsia="方正黑体_GBK" w:cs="方正黑体_GBK"/>
          <w:color w:val="auto"/>
          <w:kern w:val="0"/>
          <w:sz w:val="32"/>
          <w:szCs w:val="32"/>
          <w:highlight w:val="none"/>
          <w:u w:val="none"/>
          <w:lang w:val="en-US" w:eastAsia="zh-CN" w:bidi="ar"/>
        </w:rPr>
        <w:t>0</w:t>
      </w:r>
      <w:r>
        <w:rPr>
          <w:rFonts w:hint="eastAsia" w:ascii="Times New Roman" w:hAnsi="Times New Roman" w:eastAsia="方正黑体_GBK" w:cs="方正黑体_GBK"/>
          <w:color w:val="auto"/>
          <w:kern w:val="0"/>
          <w:sz w:val="32"/>
          <w:szCs w:val="32"/>
          <w:highlight w:val="none"/>
          <w:u w:val="none"/>
          <w:lang w:bidi="ar"/>
        </w:rPr>
        <w:t xml:space="preserve"> 金凤城市中心六大功能分区及重点建设项目</w:t>
      </w:r>
    </w:p>
    <w:tbl>
      <w:tblPr>
        <w:tblStyle w:val="22"/>
        <w:tblW w:w="9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0"/>
      </w:tblGrid>
      <w:tr w14:paraId="505B9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0" w:type="dxa"/>
          </w:tcPr>
          <w:p w14:paraId="3EEA0705">
            <w:pPr>
              <w:widowControl/>
              <w:overflowPunct w:val="0"/>
              <w:snapToGrid w:val="0"/>
              <w:spacing w:line="380" w:lineRule="exact"/>
              <w:ind w:firstLine="480" w:firstLineChars="200"/>
              <w:jc w:val="left"/>
              <w:rPr>
                <w:rFonts w:hint="eastAsia" w:ascii="Times New Roman" w:hAnsi="Times New Roman" w:eastAsia="方正书宋_GBK" w:cs="Times New Roman"/>
                <w:color w:val="auto"/>
                <w:kern w:val="0"/>
                <w:sz w:val="24"/>
                <w:highlight w:val="none"/>
                <w:u w:val="none"/>
                <w:lang w:bidi="ar-SA"/>
              </w:rPr>
            </w:pPr>
            <w:r>
              <w:rPr>
                <w:rFonts w:hint="eastAsia" w:ascii="Times New Roman" w:hAnsi="Times New Roman" w:eastAsia="方正黑体_GBK" w:cs="方正黑体_GBK"/>
                <w:color w:val="auto"/>
                <w:kern w:val="0"/>
                <w:sz w:val="24"/>
                <w:highlight w:val="none"/>
                <w:u w:val="none"/>
                <w:lang w:bidi="ar-SA"/>
              </w:rPr>
              <w:t>1</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凤鸣湖生态科技商务区。</w:t>
            </w:r>
            <w:r>
              <w:rPr>
                <w:rFonts w:hint="eastAsia" w:ascii="Times New Roman" w:hAnsi="Times New Roman" w:eastAsia="方正书宋_GBK" w:cs="Times New Roman"/>
                <w:color w:val="auto"/>
                <w:kern w:val="0"/>
                <w:sz w:val="24"/>
                <w:highlight w:val="none"/>
                <w:u w:val="none"/>
                <w:lang w:bidi="ar-SA"/>
              </w:rPr>
              <w:t>布局形成金凤未来商务基地、花园总部办公基地、青年创新社区、国家生物医药产业基地四大功能板块。</w:t>
            </w:r>
            <w:r>
              <w:rPr>
                <w:rFonts w:hint="eastAsia" w:ascii="Times New Roman" w:hAnsi="Times New Roman" w:eastAsia="方正书宋_GBK" w:cs="Times New Roman"/>
                <w:color w:val="auto"/>
                <w:kern w:val="0"/>
                <w:sz w:val="24"/>
                <w:highlight w:val="none"/>
                <w:u w:val="none"/>
                <w:lang w:val="en-US" w:eastAsia="zh-CN" w:bidi="ar-SA"/>
              </w:rPr>
              <w:t>至2027年，建成数字总部办公区。</w:t>
            </w:r>
            <w:r>
              <w:rPr>
                <w:rFonts w:hint="eastAsia" w:ascii="Times New Roman" w:hAnsi="Times New Roman" w:eastAsia="方正书宋_GBK" w:cs="Times New Roman"/>
                <w:color w:val="auto"/>
                <w:kern w:val="0"/>
                <w:sz w:val="24"/>
                <w:highlight w:val="none"/>
                <w:u w:val="none"/>
                <w:lang w:bidi="ar-SA"/>
              </w:rPr>
              <w:t>至2030年，建成光大人工智能产业基地、国际贸易总部长廊</w:t>
            </w:r>
            <w:r>
              <w:rPr>
                <w:rFonts w:hint="eastAsia" w:ascii="Times New Roman" w:hAnsi="Times New Roman" w:eastAsia="方正书宋_GBK" w:cs="Times New Roman"/>
                <w:color w:val="auto"/>
                <w:kern w:val="0"/>
                <w:sz w:val="24"/>
                <w:highlight w:val="none"/>
                <w:u w:val="none"/>
                <w:lang w:eastAsia="zh-CN" w:bidi="ar-SA"/>
              </w:rPr>
              <w:t>，</w:t>
            </w:r>
            <w:r>
              <w:rPr>
                <w:rFonts w:hint="eastAsia" w:ascii="Times New Roman" w:hAnsi="Times New Roman" w:eastAsia="方正书宋_GBK" w:cs="Times New Roman"/>
                <w:color w:val="auto"/>
                <w:kern w:val="0"/>
                <w:sz w:val="24"/>
                <w:highlight w:val="none"/>
                <w:u w:val="none"/>
                <w:lang w:val="en-US" w:eastAsia="zh-CN" w:bidi="ar-SA"/>
              </w:rPr>
              <w:t>适时建设</w:t>
            </w:r>
            <w:r>
              <w:rPr>
                <w:rFonts w:hint="eastAsia" w:ascii="Times New Roman" w:hAnsi="Times New Roman" w:eastAsia="方正书宋_GBK" w:cs="Times New Roman"/>
                <w:color w:val="auto"/>
                <w:kern w:val="0"/>
                <w:sz w:val="24"/>
                <w:highlight w:val="none"/>
                <w:u w:val="none"/>
                <w:lang w:bidi="ar-SA"/>
              </w:rPr>
              <w:t>金凤未来商务中心北区。</w:t>
            </w:r>
          </w:p>
          <w:p w14:paraId="23C157C5">
            <w:pPr>
              <w:widowControl/>
              <w:overflowPunct w:val="0"/>
              <w:snapToGrid w:val="0"/>
              <w:spacing w:line="380" w:lineRule="exact"/>
              <w:ind w:firstLine="480" w:firstLineChars="200"/>
              <w:jc w:val="left"/>
              <w:rPr>
                <w:rFonts w:hint="eastAsia" w:ascii="Times New Roman" w:hAnsi="Times New Roman" w:eastAsia="方正书宋_GBK" w:cs="Times New Roman"/>
                <w:color w:val="auto"/>
                <w:kern w:val="0"/>
                <w:sz w:val="24"/>
                <w:highlight w:val="none"/>
                <w:u w:val="none"/>
                <w:lang w:bidi="ar-SA"/>
              </w:rPr>
            </w:pPr>
            <w:r>
              <w:rPr>
                <w:rFonts w:hint="eastAsia" w:ascii="Times New Roman" w:hAnsi="Times New Roman" w:eastAsia="方正黑体_GBK" w:cs="方正黑体_GBK"/>
                <w:color w:val="auto"/>
                <w:kern w:val="0"/>
                <w:sz w:val="24"/>
                <w:highlight w:val="none"/>
                <w:u w:val="none"/>
                <w:lang w:bidi="ar-SA"/>
              </w:rPr>
              <w:t>2</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金凤医学中心。</w:t>
            </w:r>
            <w:r>
              <w:rPr>
                <w:rFonts w:hint="eastAsia" w:ascii="Times New Roman" w:hAnsi="Times New Roman" w:eastAsia="方正书宋_GBK" w:cs="Times New Roman"/>
                <w:color w:val="auto"/>
                <w:kern w:val="0"/>
                <w:sz w:val="24"/>
                <w:highlight w:val="none"/>
                <w:u w:val="none"/>
                <w:lang w:bidi="ar-SA"/>
              </w:rPr>
              <w:t>布局医疗</w:t>
            </w:r>
            <w:r>
              <w:rPr>
                <w:rFonts w:hint="eastAsia" w:ascii="Times New Roman" w:hAnsi="Times New Roman" w:eastAsia="方正书宋_GBK" w:cs="Times New Roman"/>
                <w:color w:val="auto"/>
                <w:kern w:val="0"/>
                <w:sz w:val="24"/>
                <w:highlight w:val="none"/>
                <w:u w:val="none"/>
                <w:lang w:eastAsia="zh-CN" w:bidi="ar-SA"/>
              </w:rPr>
              <w:t>、</w:t>
            </w:r>
            <w:r>
              <w:rPr>
                <w:rFonts w:hint="eastAsia" w:ascii="Times New Roman" w:hAnsi="Times New Roman" w:eastAsia="方正书宋_GBK" w:cs="Times New Roman"/>
                <w:color w:val="auto"/>
                <w:kern w:val="0"/>
                <w:sz w:val="24"/>
                <w:highlight w:val="none"/>
                <w:u w:val="none"/>
                <w:lang w:bidi="ar-SA"/>
              </w:rPr>
              <w:t>医教、医养和商务服务、研发孵化等板块。至20</w:t>
            </w:r>
            <w:r>
              <w:rPr>
                <w:rFonts w:hint="eastAsia" w:ascii="Times New Roman" w:hAnsi="Times New Roman" w:eastAsia="方正书宋_GBK" w:cs="Times New Roman"/>
                <w:color w:val="auto"/>
                <w:kern w:val="0"/>
                <w:sz w:val="24"/>
                <w:highlight w:val="none"/>
                <w:u w:val="none"/>
                <w:lang w:val="en-US" w:eastAsia="zh-CN" w:bidi="ar-SA"/>
              </w:rPr>
              <w:t>27</w:t>
            </w:r>
            <w:r>
              <w:rPr>
                <w:rFonts w:hint="eastAsia" w:ascii="Times New Roman" w:hAnsi="Times New Roman" w:eastAsia="方正书宋_GBK" w:cs="Times New Roman"/>
                <w:color w:val="auto"/>
                <w:kern w:val="0"/>
                <w:sz w:val="24"/>
                <w:highlight w:val="none"/>
                <w:u w:val="none"/>
                <w:lang w:bidi="ar-SA"/>
              </w:rPr>
              <w:t>年，建成重科大智慧创新中心</w:t>
            </w:r>
            <w:r>
              <w:rPr>
                <w:rFonts w:hint="eastAsia" w:ascii="Times New Roman" w:hAnsi="Times New Roman" w:eastAsia="方正书宋_GBK" w:cs="Times New Roman"/>
                <w:color w:val="auto"/>
                <w:kern w:val="0"/>
                <w:sz w:val="24"/>
                <w:highlight w:val="none"/>
                <w:u w:val="none"/>
                <w:lang w:eastAsia="zh-CN" w:bidi="ar-SA"/>
              </w:rPr>
              <w:t>。</w:t>
            </w:r>
            <w:r>
              <w:rPr>
                <w:rFonts w:hint="eastAsia" w:ascii="Times New Roman" w:hAnsi="Times New Roman" w:eastAsia="方正书宋_GBK" w:cs="Times New Roman"/>
                <w:color w:val="auto"/>
                <w:kern w:val="0"/>
                <w:sz w:val="24"/>
                <w:highlight w:val="none"/>
                <w:u w:val="none"/>
                <w:lang w:val="en-US" w:eastAsia="zh-CN" w:bidi="ar-SA"/>
              </w:rPr>
              <w:t>至2030年，适时建设西部（重庆）科学城医学科技创新园</w:t>
            </w:r>
            <w:r>
              <w:rPr>
                <w:rFonts w:hint="eastAsia" w:ascii="Times New Roman" w:hAnsi="Times New Roman" w:eastAsia="方正书宋_GBK" w:cs="Times New Roman"/>
                <w:color w:val="auto"/>
                <w:kern w:val="0"/>
                <w:sz w:val="24"/>
                <w:highlight w:val="none"/>
                <w:u w:val="none"/>
                <w:lang w:bidi="ar-SA"/>
              </w:rPr>
              <w:t>。</w:t>
            </w:r>
          </w:p>
          <w:p w14:paraId="1B5B2AEB">
            <w:pPr>
              <w:widowControl/>
              <w:overflowPunct w:val="0"/>
              <w:snapToGrid w:val="0"/>
              <w:spacing w:line="380" w:lineRule="exact"/>
              <w:ind w:firstLine="480" w:firstLineChars="200"/>
              <w:jc w:val="left"/>
              <w:rPr>
                <w:rFonts w:hint="eastAsia" w:ascii="Times New Roman" w:hAnsi="Times New Roman" w:eastAsia="方正书宋_GBK" w:cs="Times New Roman"/>
                <w:color w:val="auto"/>
                <w:kern w:val="0"/>
                <w:sz w:val="24"/>
                <w:highlight w:val="none"/>
                <w:u w:val="none"/>
                <w:lang w:bidi="ar-SA"/>
              </w:rPr>
            </w:pPr>
            <w:r>
              <w:rPr>
                <w:rFonts w:hint="eastAsia" w:ascii="Times New Roman" w:hAnsi="Times New Roman" w:eastAsia="方正黑体_GBK" w:cs="方正黑体_GBK"/>
                <w:color w:val="auto"/>
                <w:kern w:val="0"/>
                <w:sz w:val="24"/>
                <w:highlight w:val="none"/>
                <w:u w:val="none"/>
                <w:lang w:bidi="ar-SA"/>
              </w:rPr>
              <w:t>3</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数字医疗产业区。</w:t>
            </w:r>
            <w:r>
              <w:rPr>
                <w:rFonts w:hint="eastAsia" w:ascii="Times New Roman" w:hAnsi="Times New Roman" w:eastAsia="方正书宋_GBK" w:cs="Times New Roman"/>
                <w:color w:val="auto"/>
                <w:kern w:val="0"/>
                <w:sz w:val="24"/>
                <w:highlight w:val="none"/>
                <w:u w:val="none"/>
                <w:lang w:bidi="ar-SA"/>
              </w:rPr>
              <w:t>布局形成数字医疗研发基地、电子信息产业基地、城市居住社区三大功能板块。至2030年，建成轨道17号线双龙村站、达丰电脑生活区南侧青年社区。</w:t>
            </w:r>
          </w:p>
          <w:p w14:paraId="201A9D22">
            <w:pPr>
              <w:widowControl/>
              <w:overflowPunct w:val="0"/>
              <w:snapToGrid w:val="0"/>
              <w:spacing w:line="380" w:lineRule="exact"/>
              <w:ind w:firstLine="480" w:firstLineChars="200"/>
              <w:jc w:val="left"/>
              <w:rPr>
                <w:rFonts w:hint="eastAsia" w:ascii="Times New Roman" w:hAnsi="Times New Roman" w:eastAsia="方正黑体_GBK" w:cs="方正黑体_GBK"/>
                <w:color w:val="auto"/>
                <w:kern w:val="0"/>
                <w:sz w:val="24"/>
                <w:highlight w:val="none"/>
                <w:u w:val="none"/>
                <w:lang w:bidi="ar-SA"/>
              </w:rPr>
            </w:pPr>
            <w:r>
              <w:rPr>
                <w:rFonts w:hint="eastAsia" w:ascii="Times New Roman" w:hAnsi="Times New Roman" w:eastAsia="方正黑体_GBK" w:cs="方正黑体_GBK"/>
                <w:color w:val="auto"/>
                <w:kern w:val="0"/>
                <w:sz w:val="24"/>
                <w:highlight w:val="none"/>
                <w:u w:val="none"/>
                <w:lang w:bidi="ar-SA"/>
              </w:rPr>
              <w:t>4</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科学谷数智科创园。</w:t>
            </w:r>
            <w:r>
              <w:rPr>
                <w:rFonts w:hint="eastAsia" w:ascii="Times New Roman" w:hAnsi="Times New Roman" w:eastAsia="方正书宋_GBK" w:cs="Times New Roman"/>
                <w:color w:val="auto"/>
                <w:kern w:val="0"/>
                <w:sz w:val="24"/>
                <w:highlight w:val="none"/>
                <w:u w:val="none"/>
                <w:lang w:bidi="ar-SA"/>
              </w:rPr>
              <w:t>以高技术服务业为核心，协同发展新一代信息技术、人工智能与绿色低碳产业，布局形成科学谷数智科创产业园、城市居住社区两大功能板块。</w:t>
            </w:r>
            <w:r>
              <w:rPr>
                <w:rFonts w:hint="eastAsia" w:ascii="Times New Roman" w:hAnsi="Times New Roman" w:eastAsia="方正书宋_GBK" w:cs="Times New Roman"/>
                <w:color w:val="auto"/>
                <w:kern w:val="0"/>
                <w:sz w:val="24"/>
                <w:highlight w:val="none"/>
                <w:u w:val="none"/>
                <w:lang w:val="en-US" w:eastAsia="zh-CN" w:bidi="ar-SA"/>
              </w:rPr>
              <w:t>至2027年，建成科学谷二期。</w:t>
            </w:r>
            <w:r>
              <w:rPr>
                <w:rFonts w:hint="eastAsia" w:ascii="Times New Roman" w:hAnsi="Times New Roman" w:eastAsia="方正书宋_GBK" w:cs="Times New Roman"/>
                <w:color w:val="auto"/>
                <w:kern w:val="0"/>
                <w:sz w:val="24"/>
                <w:highlight w:val="none"/>
                <w:u w:val="none"/>
                <w:lang w:bidi="ar-SA"/>
              </w:rPr>
              <w:t>至2030年，建成金科居住小区</w:t>
            </w:r>
            <w:r>
              <w:rPr>
                <w:rFonts w:hint="eastAsia" w:ascii="Times New Roman" w:hAnsi="Times New Roman" w:eastAsia="方正书宋_GBK" w:cs="Times New Roman"/>
                <w:color w:val="auto"/>
                <w:kern w:val="0"/>
                <w:sz w:val="24"/>
                <w:highlight w:val="none"/>
                <w:u w:val="none"/>
                <w:lang w:eastAsia="zh-CN" w:bidi="ar-SA"/>
              </w:rPr>
              <w:t>，</w:t>
            </w:r>
            <w:r>
              <w:rPr>
                <w:rFonts w:hint="eastAsia" w:ascii="Times New Roman" w:hAnsi="Times New Roman" w:eastAsia="方正书宋_GBK" w:cs="Times New Roman"/>
                <w:color w:val="auto"/>
                <w:kern w:val="0"/>
                <w:sz w:val="24"/>
                <w:highlight w:val="none"/>
                <w:u w:val="none"/>
                <w:lang w:val="en-US" w:eastAsia="zh-CN" w:bidi="ar-SA"/>
              </w:rPr>
              <w:t>适时建设科学谷三期</w:t>
            </w:r>
            <w:r>
              <w:rPr>
                <w:rFonts w:hint="eastAsia" w:ascii="Times New Roman" w:hAnsi="Times New Roman" w:eastAsia="方正书宋_GBK" w:cs="Times New Roman"/>
                <w:color w:val="auto"/>
                <w:kern w:val="0"/>
                <w:sz w:val="24"/>
                <w:highlight w:val="none"/>
                <w:u w:val="none"/>
                <w:lang w:bidi="ar-SA"/>
              </w:rPr>
              <w:t>。</w:t>
            </w:r>
          </w:p>
          <w:p w14:paraId="7A599498">
            <w:pPr>
              <w:widowControl/>
              <w:overflowPunct w:val="0"/>
              <w:snapToGrid w:val="0"/>
              <w:spacing w:line="380" w:lineRule="exact"/>
              <w:ind w:firstLine="480" w:firstLineChars="200"/>
              <w:jc w:val="left"/>
              <w:rPr>
                <w:rFonts w:hint="eastAsia" w:ascii="Times New Roman" w:hAnsi="Times New Roman" w:eastAsia="方正黑体_GBK" w:cs="方正黑体_GBK"/>
                <w:color w:val="auto"/>
                <w:kern w:val="0"/>
                <w:sz w:val="24"/>
                <w:highlight w:val="none"/>
                <w:u w:val="none"/>
                <w:lang w:bidi="ar-SA"/>
              </w:rPr>
            </w:pPr>
            <w:r>
              <w:rPr>
                <w:rFonts w:hint="eastAsia" w:ascii="Times New Roman" w:hAnsi="Times New Roman" w:eastAsia="方正黑体_GBK" w:cs="方正黑体_GBK"/>
                <w:color w:val="auto"/>
                <w:kern w:val="0"/>
                <w:sz w:val="24"/>
                <w:highlight w:val="none"/>
                <w:u w:val="none"/>
                <w:lang w:bidi="ar-SA"/>
              </w:rPr>
              <w:t>5</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科学会堂交往区。</w:t>
            </w:r>
            <w:r>
              <w:rPr>
                <w:rFonts w:hint="eastAsia" w:ascii="Times New Roman" w:hAnsi="Times New Roman" w:eastAsia="方正书宋_GBK" w:cs="Times New Roman"/>
                <w:color w:val="auto"/>
                <w:kern w:val="0"/>
                <w:sz w:val="24"/>
                <w:highlight w:val="none"/>
                <w:u w:val="none"/>
                <w:lang w:bidi="ar-SA"/>
              </w:rPr>
              <w:t>布局科学会堂交流中心、联合创新中心、城市居住社区等功能板块。</w:t>
            </w:r>
            <w:r>
              <w:rPr>
                <w:rFonts w:hint="eastAsia" w:ascii="Times New Roman" w:hAnsi="Times New Roman" w:eastAsia="方正书宋_GBK" w:cs="Times New Roman"/>
                <w:color w:val="auto"/>
                <w:kern w:val="0"/>
                <w:sz w:val="24"/>
                <w:highlight w:val="none"/>
                <w:u w:val="none"/>
                <w:lang w:val="en-US" w:eastAsia="zh-CN" w:bidi="ar-SA"/>
              </w:rPr>
              <w:t>至2027年，建成华中师大重庆学校、凤玺台居住小区。</w:t>
            </w:r>
            <w:r>
              <w:rPr>
                <w:rFonts w:hint="eastAsia" w:ascii="Times New Roman" w:hAnsi="Times New Roman" w:eastAsia="方正书宋_GBK" w:cs="Times New Roman"/>
                <w:color w:val="auto"/>
                <w:kern w:val="0"/>
                <w:sz w:val="24"/>
                <w:highlight w:val="none"/>
                <w:u w:val="none"/>
                <w:lang w:bidi="ar-SA"/>
              </w:rPr>
              <w:t>至2030年，建成</w:t>
            </w:r>
            <w:r>
              <w:rPr>
                <w:rFonts w:hint="eastAsia" w:ascii="Times New Roman" w:hAnsi="Times New Roman" w:eastAsia="方正书宋_GBK" w:cs="Times New Roman"/>
                <w:color w:val="auto"/>
                <w:kern w:val="0"/>
                <w:sz w:val="24"/>
                <w:highlight w:val="none"/>
                <w:u w:val="none"/>
                <w:lang w:val="en-US" w:eastAsia="zh-CN" w:bidi="ar-SA"/>
              </w:rPr>
              <w:t>凤玺台东侧城市居住小区，适时建设科学城商业街一、二期</w:t>
            </w:r>
            <w:r>
              <w:rPr>
                <w:rFonts w:hint="eastAsia" w:ascii="Times New Roman" w:hAnsi="Times New Roman" w:eastAsia="方正书宋_GBK" w:cs="Times New Roman"/>
                <w:color w:val="auto"/>
                <w:kern w:val="0"/>
                <w:sz w:val="24"/>
                <w:highlight w:val="none"/>
                <w:u w:val="none"/>
                <w:lang w:bidi="ar-SA"/>
              </w:rPr>
              <w:t>。</w:t>
            </w:r>
          </w:p>
          <w:p w14:paraId="73B683D6">
            <w:pPr>
              <w:widowControl/>
              <w:overflowPunct w:val="0"/>
              <w:snapToGrid w:val="0"/>
              <w:spacing w:line="380" w:lineRule="exact"/>
              <w:ind w:firstLine="480" w:firstLineChars="200"/>
              <w:jc w:val="left"/>
              <w:rPr>
                <w:rFonts w:ascii="Times New Roman" w:hAnsi="Times New Roman" w:eastAsia="方正仿宋_GBK" w:cs="Times New Roman"/>
                <w:color w:val="auto"/>
                <w:sz w:val="32"/>
                <w:szCs w:val="32"/>
                <w:highlight w:val="none"/>
              </w:rPr>
            </w:pPr>
            <w:r>
              <w:rPr>
                <w:rFonts w:hint="eastAsia" w:ascii="Times New Roman" w:hAnsi="Times New Roman" w:eastAsia="方正黑体_GBK" w:cs="方正黑体_GBK"/>
                <w:color w:val="auto"/>
                <w:kern w:val="0"/>
                <w:sz w:val="24"/>
                <w:highlight w:val="none"/>
                <w:u w:val="none"/>
                <w:lang w:bidi="ar-SA"/>
              </w:rPr>
              <w:t>6</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科学城生态门户。</w:t>
            </w:r>
            <w:r>
              <w:rPr>
                <w:rFonts w:hint="eastAsia" w:ascii="Times New Roman" w:hAnsi="Times New Roman" w:eastAsia="方正书宋_GBK" w:cs="Times New Roman"/>
                <w:color w:val="auto"/>
                <w:kern w:val="0"/>
                <w:sz w:val="24"/>
                <w:highlight w:val="none"/>
                <w:u w:val="none"/>
                <w:lang w:bidi="ar-SA"/>
              </w:rPr>
              <w:t>作为科学城重要生态空间，布局科学城公共中心与科学公园生态绿心两大功能板块。谋划布局科学公园区域，打通寨山坪国有农用地盘活路径。</w:t>
            </w:r>
          </w:p>
        </w:tc>
      </w:tr>
    </w:tbl>
    <w:p w14:paraId="3EC712EB">
      <w:pPr>
        <w:numPr>
          <w:ilvl w:val="-1"/>
          <w:numId w:val="0"/>
        </w:numPr>
        <w:overflowPunct w:val="0"/>
        <w:adjustRightInd w:val="0"/>
        <w:snapToGrid w:val="0"/>
        <w:spacing w:line="600" w:lineRule="exact"/>
        <w:jc w:val="center"/>
        <w:outlineLvl w:val="1"/>
        <w:rPr>
          <w:rFonts w:ascii="Times New Roman" w:hAnsi="Times New Roman" w:eastAsia="方正黑体_GBK" w:cs="Times New Roman"/>
          <w:bCs/>
          <w:color w:val="auto"/>
          <w:sz w:val="32"/>
          <w:szCs w:val="32"/>
          <w:highlight w:val="none"/>
        </w:rPr>
      </w:pPr>
      <w:bookmarkStart w:id="347" w:name="_Toc2917"/>
      <w:bookmarkStart w:id="348" w:name="_Toc6183"/>
      <w:bookmarkStart w:id="349" w:name="_Toc5084"/>
      <w:bookmarkStart w:id="350" w:name="_Toc5412"/>
      <w:bookmarkStart w:id="351" w:name="_Toc193541977"/>
      <w:bookmarkStart w:id="352" w:name="_Toc1817877305"/>
      <w:bookmarkStart w:id="353" w:name="_Toc30966"/>
      <w:r>
        <w:rPr>
          <w:rFonts w:hint="eastAsia" w:ascii="Times New Roman" w:hAnsi="Times New Roman" w:eastAsia="方正黑体_GBK" w:cs="Times New Roman"/>
          <w:bCs/>
          <w:color w:val="auto"/>
          <w:sz w:val="32"/>
          <w:szCs w:val="32"/>
          <w:highlight w:val="none"/>
          <w:lang w:val="en-US" w:eastAsia="zh-CN"/>
        </w:rPr>
        <w:t xml:space="preserve">第二章 </w:t>
      </w:r>
      <w:r>
        <w:rPr>
          <w:rFonts w:hint="default" w:ascii="Times New Roman" w:hAnsi="Times New Roman" w:eastAsia="方正黑体_GBK" w:cs="Times New Roman"/>
          <w:bCs/>
          <w:color w:val="auto"/>
          <w:sz w:val="32"/>
          <w:szCs w:val="32"/>
          <w:highlight w:val="none"/>
        </w:rPr>
        <w:t>建设富有活力的创新城市</w:t>
      </w:r>
      <w:bookmarkEnd w:id="347"/>
      <w:bookmarkEnd w:id="348"/>
      <w:bookmarkEnd w:id="349"/>
      <w:bookmarkEnd w:id="350"/>
      <w:bookmarkEnd w:id="351"/>
      <w:bookmarkEnd w:id="352"/>
      <w:bookmarkEnd w:id="353"/>
    </w:p>
    <w:p w14:paraId="0E8E9701">
      <w:pPr>
        <w:adjustRightInd w:val="0"/>
        <w:snapToGrid w:val="0"/>
        <w:spacing w:line="600" w:lineRule="exact"/>
        <w:ind w:firstLine="640" w:firstLineChars="200"/>
        <w:jc w:val="left"/>
        <w:textAlignment w:val="baseline"/>
        <w:outlineLvl w:val="9"/>
        <w:rPr>
          <w:rFonts w:hint="eastAsia" w:ascii="Times New Roman" w:hAnsi="Times New Roman" w:eastAsia="方正楷体_GBK" w:cs="Times New Roman"/>
          <w:color w:val="auto"/>
          <w:sz w:val="32"/>
          <w:highlight w:val="none"/>
        </w:rPr>
      </w:pPr>
      <w:r>
        <w:rPr>
          <w:rFonts w:hint="eastAsia" w:ascii="Times New Roman" w:hAnsi="Times New Roman" w:eastAsia="方正仿宋_GBK" w:cs="Times New Roman"/>
          <w:color w:val="auto"/>
          <w:sz w:val="32"/>
          <w:szCs w:val="32"/>
          <w:highlight w:val="none"/>
        </w:rPr>
        <w:t>以存量空间提质增效为基础，以高质量城市更新推动城市内涵式发展</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rPr>
        <w:t>聚力建设青年</w:t>
      </w:r>
      <w:r>
        <w:rPr>
          <w:rFonts w:hint="eastAsia" w:ascii="Times New Roman" w:hAnsi="Times New Roman" w:eastAsia="方正仿宋_GBK" w:cs="Times New Roman"/>
          <w:color w:val="auto"/>
          <w:sz w:val="32"/>
          <w:szCs w:val="32"/>
          <w:highlight w:val="none"/>
          <w:lang w:val="en-US" w:eastAsia="zh-CN"/>
        </w:rPr>
        <w:t>创新创业友好</w:t>
      </w:r>
      <w:r>
        <w:rPr>
          <w:rFonts w:hint="eastAsia" w:ascii="Times New Roman" w:hAnsi="Times New Roman" w:eastAsia="方正仿宋_GBK" w:cs="Times New Roman"/>
          <w:color w:val="auto"/>
          <w:sz w:val="32"/>
          <w:szCs w:val="32"/>
          <w:highlight w:val="none"/>
        </w:rPr>
        <w:t>型城市，构建活力迸发的创新城市发展格局</w:t>
      </w:r>
      <w:r>
        <w:rPr>
          <w:rFonts w:hint="eastAsia" w:ascii="Times New Roman" w:hAnsi="Times New Roman" w:eastAsia="方正仿宋_GBK" w:cs="Times New Roman"/>
          <w:color w:val="auto"/>
          <w:sz w:val="32"/>
          <w:szCs w:val="32"/>
          <w:highlight w:val="none"/>
          <w:lang w:eastAsia="zh-CN"/>
        </w:rPr>
        <w:t>。</w:t>
      </w:r>
      <w:bookmarkStart w:id="354" w:name="_Toc7676"/>
      <w:bookmarkStart w:id="355" w:name="_Toc30365"/>
      <w:bookmarkStart w:id="356" w:name="_Toc10188"/>
      <w:bookmarkStart w:id="357" w:name="_Toc7897"/>
      <w:bookmarkStart w:id="358" w:name="_Toc225750226"/>
      <w:bookmarkStart w:id="359" w:name="_Toc814019266"/>
      <w:bookmarkStart w:id="360" w:name="_Toc18836"/>
      <w:bookmarkStart w:id="361" w:name="_Toc1569765881"/>
      <w:bookmarkStart w:id="362" w:name="_Toc9585"/>
      <w:bookmarkStart w:id="363" w:name="_Toc4841"/>
      <w:bookmarkStart w:id="364" w:name="_Toc1310071731"/>
      <w:bookmarkStart w:id="365" w:name="_Toc21899"/>
    </w:p>
    <w:p w14:paraId="4B4EFCE6">
      <w:pPr>
        <w:adjustRightInd w:val="0"/>
        <w:snapToGrid w:val="0"/>
        <w:spacing w:line="600" w:lineRule="exact"/>
        <w:jc w:val="center"/>
        <w:outlineLvl w:val="2"/>
        <w:rPr>
          <w:rFonts w:ascii="Times New Roman" w:hAnsi="Times New Roman" w:eastAsia="方正仿宋_GBK" w:cs="Times New Roman"/>
          <w:color w:val="auto"/>
          <w:sz w:val="32"/>
          <w:szCs w:val="32"/>
          <w:highlight w:val="none"/>
        </w:rPr>
      </w:pPr>
      <w:bookmarkStart w:id="366" w:name="_Toc14375"/>
      <w:r>
        <w:rPr>
          <w:rFonts w:hint="eastAsia" w:ascii="Times New Roman" w:hAnsi="Times New Roman" w:eastAsia="方正楷体_GBK" w:cs="Times New Roman"/>
          <w:color w:val="auto"/>
          <w:sz w:val="32"/>
          <w:highlight w:val="none"/>
        </w:rPr>
        <w:t>第一节 推动存量空间提质增效</w:t>
      </w:r>
      <w:bookmarkEnd w:id="354"/>
      <w:bookmarkEnd w:id="355"/>
      <w:bookmarkEnd w:id="356"/>
      <w:bookmarkEnd w:id="357"/>
      <w:bookmarkEnd w:id="358"/>
      <w:bookmarkEnd w:id="359"/>
      <w:bookmarkEnd w:id="360"/>
      <w:bookmarkEnd w:id="361"/>
      <w:bookmarkEnd w:id="362"/>
      <w:bookmarkEnd w:id="366"/>
      <w:bookmarkStart w:id="367" w:name="_Toc24180"/>
    </w:p>
    <w:p w14:paraId="361D5E9B">
      <w:pPr>
        <w:overflowPunct w:val="0"/>
        <w:adjustRightInd w:val="0"/>
        <w:snapToGrid w:val="0"/>
        <w:spacing w:line="600" w:lineRule="exact"/>
        <w:ind w:firstLine="640" w:firstLineChars="200"/>
        <w:textAlignment w:val="baseline"/>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加快存量土地盘活。</w:t>
      </w:r>
      <w:r>
        <w:rPr>
          <w:rFonts w:hint="default" w:ascii="方正仿宋_GBK" w:hAnsi="方正仿宋_GBK" w:eastAsia="方正仿宋_GBK" w:cs="方正仿宋_GBK"/>
          <w:bCs/>
          <w:color w:val="auto"/>
          <w:kern w:val="2"/>
          <w:sz w:val="32"/>
          <w:szCs w:val="32"/>
          <w:highlight w:val="none"/>
          <w:u w:val="none" w:color="auto"/>
        </w:rPr>
        <w:t>落实土地要素市场化配置综合改革措施</w:t>
      </w:r>
      <w:r>
        <w:rPr>
          <w:rFonts w:hint="eastAsia" w:ascii="方正仿宋_GBK" w:hAnsi="方正仿宋_GBK" w:eastAsia="方正仿宋_GBK" w:cs="方正仿宋_GBK"/>
          <w:bCs/>
          <w:color w:val="auto"/>
          <w:kern w:val="2"/>
          <w:sz w:val="32"/>
          <w:szCs w:val="32"/>
          <w:highlight w:val="none"/>
          <w:u w:val="none" w:color="auto"/>
          <w:lang w:eastAsia="zh-CN"/>
        </w:rPr>
        <w:t>，</w:t>
      </w:r>
      <w:r>
        <w:rPr>
          <w:rFonts w:hint="eastAsia" w:ascii="Times New Roman" w:hAnsi="Times New Roman" w:eastAsia="方正仿宋_GBK" w:cs="Times New Roman"/>
          <w:color w:val="auto"/>
          <w:sz w:val="32"/>
          <w:szCs w:val="32"/>
          <w:highlight w:val="none"/>
        </w:rPr>
        <w:t>提高现有存量用地消化速度，优先利用批而未供的存量用地，重点推动西永微电园、金凤、含谷用地供应。积极开展1.5级短期利用，针对含谷镇、曾家镇、香炉山街道等区域内未纳入供应计划的储备土地，按程序短期利用，盘活土地资源。积极开展2.5级出让开发利用，开展已供未建闲置地块处置，突出灵活高效和规范有序，兼顾社会效益与经济效益。结合国土空间与土地资源利用支持政策，推进高新大道以北的市级储备土地和国有农用地闲置资源盘活利用。推进闲置低效空间利用。有序实施科学谷数智科创园、金凤软件园、巴福镇标准厂房等重点厂房楼宇“满园满楼”行动，全力打造一批“星级楼宇”“特色楼宇”</w:t>
      </w:r>
      <w:r>
        <w:rPr>
          <w:rFonts w:hint="eastAsia" w:ascii="Times New Roman" w:hAnsi="Times New Roman" w:eastAsia="方正仿宋_GBK" w:cs="Times New Roman"/>
          <w:color w:val="auto"/>
          <w:sz w:val="32"/>
          <w:szCs w:val="32"/>
          <w:highlight w:val="none"/>
          <w:lang w:eastAsia="zh-CN"/>
        </w:rPr>
        <w:t>，</w:t>
      </w:r>
      <w:r>
        <w:rPr>
          <w:rFonts w:hint="default" w:ascii="方正仿宋_GBK" w:hAnsi="方正仿宋_GBK" w:eastAsia="方正仿宋_GBK" w:cs="方正仿宋_GBK"/>
          <w:color w:val="auto"/>
          <w:kern w:val="2"/>
          <w:sz w:val="32"/>
          <w:szCs w:val="32"/>
          <w:highlight w:val="none"/>
          <w:u w:val="none" w:color="auto"/>
        </w:rPr>
        <w:t>培育一批具备稳定现金流的核心优质资产，打造一批多元融合、活力彰显的城市新空间</w:t>
      </w:r>
      <w:r>
        <w:rPr>
          <w:rFonts w:hint="eastAsia" w:ascii="Times New Roman" w:hAnsi="Times New Roman" w:eastAsia="方正仿宋_GBK" w:cs="Times New Roman"/>
          <w:color w:val="auto"/>
          <w:sz w:val="32"/>
          <w:szCs w:val="32"/>
          <w:highlight w:val="none"/>
        </w:rPr>
        <w:t>。</w:t>
      </w:r>
      <w:r>
        <w:rPr>
          <w:rFonts w:ascii="Times New Roman" w:hAnsi="Times New Roman" w:eastAsia="方正仿宋_GBK" w:cs="Times New Roman"/>
          <w:color w:val="auto"/>
          <w:sz w:val="32"/>
          <w:szCs w:val="32"/>
          <w:highlight w:val="none"/>
        </w:rPr>
        <w:t>通过</w:t>
      </w:r>
      <w:r>
        <w:rPr>
          <w:rFonts w:hint="eastAsia" w:ascii="Times New Roman" w:hAnsi="Times New Roman" w:eastAsia="方正仿宋_GBK" w:cs="Times New Roman"/>
          <w:color w:val="auto"/>
          <w:sz w:val="32"/>
          <w:szCs w:val="32"/>
          <w:highlight w:val="none"/>
        </w:rPr>
        <w:t>功能转化、招商盘活、改造提升等方式加快盘活利用西宸中心、协信西区商业用地等闲置商业、商办用房。充分利用城市边角地和绿色空间</w:t>
      </w:r>
      <w:r>
        <w:rPr>
          <w:rFonts w:ascii="Times New Roman" w:hAnsi="Times New Roman" w:eastAsia="方正仿宋_GBK" w:cs="Times New Roman"/>
          <w:color w:val="auto"/>
          <w:sz w:val="32"/>
          <w:szCs w:val="32"/>
          <w:highlight w:val="none"/>
        </w:rPr>
        <w:t>，</w:t>
      </w:r>
      <w:r>
        <w:rPr>
          <w:rFonts w:hint="eastAsia" w:ascii="Times New Roman" w:hAnsi="Times New Roman" w:eastAsia="方正仿宋_GBK" w:cs="Times New Roman"/>
          <w:color w:val="auto"/>
          <w:sz w:val="32"/>
          <w:szCs w:val="32"/>
          <w:highlight w:val="none"/>
          <w:lang w:val="en-US" w:eastAsia="zh-CN"/>
        </w:rPr>
        <w:t>建设</w:t>
      </w:r>
      <w:r>
        <w:rPr>
          <w:rFonts w:hint="eastAsia" w:ascii="Times New Roman" w:hAnsi="Times New Roman" w:eastAsia="方正仿宋_GBK" w:cs="Times New Roman"/>
          <w:color w:val="auto"/>
          <w:sz w:val="32"/>
          <w:szCs w:val="32"/>
          <w:highlight w:val="none"/>
        </w:rPr>
        <w:t>临时停车场、口袋公园等</w:t>
      </w:r>
      <w:r>
        <w:rPr>
          <w:rFonts w:hint="eastAsia" w:ascii="Times New Roman" w:hAnsi="Times New Roman" w:eastAsia="方正仿宋_GBK" w:cs="Times New Roman"/>
          <w:color w:val="auto"/>
          <w:sz w:val="32"/>
          <w:szCs w:val="32"/>
          <w:highlight w:val="none"/>
          <w:lang w:val="en-US" w:eastAsia="zh-CN"/>
        </w:rPr>
        <w:t>项目</w:t>
      </w:r>
      <w:r>
        <w:rPr>
          <w:rFonts w:hint="eastAsia" w:ascii="Times New Roman" w:hAnsi="Times New Roman" w:eastAsia="方正仿宋_GBK" w:cs="Times New Roman"/>
          <w:color w:val="auto"/>
          <w:sz w:val="32"/>
          <w:szCs w:val="32"/>
          <w:highlight w:val="none"/>
        </w:rPr>
        <w:t>，缓解老城区停车难、配套弱等问题，提升城市空间品质。到2030年，盘活城市空间资源150万平方米</w:t>
      </w:r>
      <w:r>
        <w:rPr>
          <w:rFonts w:hint="eastAsia" w:ascii="Times New Roman" w:hAnsi="Times New Roman" w:eastAsia="方正仿宋_GBK" w:cs="Times New Roman"/>
          <w:color w:val="auto"/>
          <w:sz w:val="32"/>
          <w:szCs w:val="32"/>
          <w:highlight w:val="none"/>
          <w:lang w:eastAsia="zh-CN"/>
        </w:rPr>
        <w:t>，每年供应存量用地2000亩左右</w:t>
      </w:r>
      <w:r>
        <w:rPr>
          <w:rFonts w:hint="eastAsia" w:ascii="Times New Roman" w:hAnsi="Times New Roman" w:eastAsia="方正仿宋_GBK" w:cs="Times New Roman"/>
          <w:color w:val="auto"/>
          <w:sz w:val="32"/>
          <w:szCs w:val="32"/>
          <w:highlight w:val="none"/>
        </w:rPr>
        <w:t>。</w:t>
      </w:r>
    </w:p>
    <w:p w14:paraId="516A0567">
      <w:pPr>
        <w:widowControl/>
        <w:overflowPunct w:val="0"/>
        <w:jc w:val="center"/>
        <w:rPr>
          <w:rFonts w:hint="eastAsia" w:ascii="Times New Roman" w:hAnsi="Times New Roman" w:eastAsia="方正黑体_GBK" w:cs="方正黑体_GBK"/>
          <w:color w:val="auto"/>
          <w:kern w:val="0"/>
          <w:sz w:val="32"/>
          <w:szCs w:val="32"/>
          <w:highlight w:val="none"/>
          <w:u w:val="none"/>
          <w:lang w:bidi="ar"/>
        </w:rPr>
      </w:pPr>
      <w:bookmarkStart w:id="368" w:name="_Toc23020"/>
      <w:r>
        <w:rPr>
          <w:rFonts w:hint="eastAsia" w:ascii="Times New Roman" w:hAnsi="Times New Roman" w:eastAsia="方正黑体_GBK" w:cs="方正黑体_GBK"/>
          <w:color w:val="auto"/>
          <w:kern w:val="0"/>
          <w:sz w:val="32"/>
          <w:szCs w:val="32"/>
          <w:highlight w:val="none"/>
          <w:u w:val="none"/>
          <w:lang w:bidi="ar"/>
        </w:rPr>
        <w:t>专栏2</w:t>
      </w:r>
      <w:r>
        <w:rPr>
          <w:rFonts w:hint="eastAsia" w:ascii="Times New Roman" w:hAnsi="Times New Roman" w:eastAsia="方正黑体_GBK" w:cs="方正黑体_GBK"/>
          <w:color w:val="auto"/>
          <w:kern w:val="0"/>
          <w:sz w:val="32"/>
          <w:szCs w:val="32"/>
          <w:highlight w:val="none"/>
          <w:u w:val="none"/>
          <w:lang w:val="en-US" w:eastAsia="zh-CN" w:bidi="ar"/>
        </w:rPr>
        <w:t>1</w:t>
      </w:r>
      <w:r>
        <w:rPr>
          <w:rFonts w:hint="eastAsia" w:ascii="Times New Roman" w:hAnsi="Times New Roman" w:eastAsia="方正黑体_GBK" w:cs="方正黑体_GBK"/>
          <w:color w:val="auto"/>
          <w:kern w:val="0"/>
          <w:sz w:val="32"/>
          <w:szCs w:val="32"/>
          <w:highlight w:val="none"/>
          <w:u w:val="none"/>
          <w:lang w:bidi="ar"/>
        </w:rPr>
        <w:t xml:space="preserve"> 闲置载体“满园满楼”行动</w:t>
      </w:r>
    </w:p>
    <w:tbl>
      <w:tblPr>
        <w:tblStyle w:val="22"/>
        <w:tblW w:w="9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0"/>
      </w:tblGrid>
      <w:tr w14:paraId="0C990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0" w:type="dxa"/>
          </w:tcPr>
          <w:p w14:paraId="6A965180">
            <w:pPr>
              <w:widowControl/>
              <w:overflowPunct w:val="0"/>
              <w:snapToGrid w:val="0"/>
              <w:spacing w:line="380" w:lineRule="exact"/>
              <w:ind w:firstLine="480" w:firstLineChars="200"/>
              <w:jc w:val="left"/>
              <w:rPr>
                <w:rFonts w:hint="eastAsia" w:ascii="Times New Roman" w:hAnsi="Times New Roman" w:eastAsia="方正书宋_GBK" w:cs="Times New Roman"/>
                <w:color w:val="auto"/>
                <w:kern w:val="0"/>
                <w:sz w:val="24"/>
                <w:highlight w:val="none"/>
                <w:u w:val="none"/>
                <w:lang w:bidi="ar-SA"/>
              </w:rPr>
            </w:pPr>
            <w:r>
              <w:rPr>
                <w:rFonts w:hint="eastAsia" w:ascii="Times New Roman" w:hAnsi="Times New Roman" w:eastAsia="方正黑体_GBK" w:cs="方正黑体_GBK"/>
                <w:color w:val="auto"/>
                <w:kern w:val="0"/>
                <w:sz w:val="24"/>
                <w:highlight w:val="none"/>
                <w:u w:val="none"/>
                <w:lang w:val="en-US" w:eastAsia="zh-CN" w:bidi="ar-SA"/>
              </w:rPr>
              <w:t>1</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科学谷。</w:t>
            </w:r>
            <w:r>
              <w:rPr>
                <w:rFonts w:hint="eastAsia" w:ascii="Times New Roman" w:hAnsi="Times New Roman" w:eastAsia="方正书宋_GBK" w:cs="Times New Roman"/>
                <w:color w:val="auto"/>
                <w:kern w:val="0"/>
                <w:sz w:val="24"/>
                <w:highlight w:val="none"/>
                <w:u w:val="none"/>
                <w:lang w:bidi="ar-SA"/>
              </w:rPr>
              <w:t>聚焦新能源汽摩和未来产业，引进企业研发中心、高端研发机构及领军人才团队，引导电子科大研究院、北理工研究院等存量平台入驻。</w:t>
            </w:r>
          </w:p>
          <w:p w14:paraId="7127ECC7">
            <w:pPr>
              <w:widowControl/>
              <w:overflowPunct w:val="0"/>
              <w:snapToGrid w:val="0"/>
              <w:spacing w:line="380" w:lineRule="exact"/>
              <w:ind w:firstLine="480" w:firstLineChars="200"/>
              <w:jc w:val="left"/>
              <w:rPr>
                <w:rFonts w:hint="eastAsia" w:ascii="Times New Roman" w:hAnsi="Times New Roman" w:eastAsia="方正书宋_GBK" w:cs="Times New Roman"/>
                <w:color w:val="auto"/>
                <w:kern w:val="0"/>
                <w:sz w:val="24"/>
                <w:highlight w:val="none"/>
                <w:u w:val="none"/>
                <w:lang w:bidi="ar-SA"/>
              </w:rPr>
            </w:pPr>
            <w:r>
              <w:rPr>
                <w:rFonts w:hint="eastAsia" w:ascii="Times New Roman" w:hAnsi="Times New Roman" w:eastAsia="方正黑体_GBK" w:cs="方正黑体_GBK"/>
                <w:color w:val="auto"/>
                <w:kern w:val="0"/>
                <w:sz w:val="24"/>
                <w:highlight w:val="none"/>
                <w:u w:val="none"/>
                <w:lang w:val="en-US" w:eastAsia="zh-CN" w:bidi="ar-SA"/>
              </w:rPr>
              <w:t>2</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金凤软件园（西永园、虎溪园）。</w:t>
            </w:r>
            <w:r>
              <w:rPr>
                <w:rFonts w:hint="eastAsia" w:ascii="Times New Roman" w:hAnsi="Times New Roman" w:eastAsia="方正书宋_GBK" w:cs="Times New Roman"/>
                <w:color w:val="auto"/>
                <w:kern w:val="0"/>
                <w:sz w:val="24"/>
                <w:highlight w:val="none"/>
                <w:u w:val="none"/>
                <w:lang w:bidi="ar-SA"/>
              </w:rPr>
              <w:t>聚焦软件和信息服务、汽车电子、数字文创等领域，定向引入软件解决方案供应商、中小企业区域总部、师生创业项目、专业化技术交易服务平台等，满足适配信创环境的软硬件产业配套需求。</w:t>
            </w:r>
          </w:p>
          <w:p w14:paraId="1DE0EBBF">
            <w:pPr>
              <w:widowControl/>
              <w:overflowPunct w:val="0"/>
              <w:snapToGrid w:val="0"/>
              <w:spacing w:line="380" w:lineRule="exact"/>
              <w:ind w:firstLine="480" w:firstLineChars="200"/>
              <w:jc w:val="left"/>
              <w:rPr>
                <w:rFonts w:hint="eastAsia" w:ascii="Times New Roman" w:hAnsi="Times New Roman" w:eastAsia="方正书宋_GBK" w:cs="Times New Roman"/>
                <w:color w:val="auto"/>
                <w:kern w:val="0"/>
                <w:sz w:val="24"/>
                <w:highlight w:val="none"/>
                <w:u w:val="none"/>
                <w:lang w:bidi="ar-SA"/>
              </w:rPr>
            </w:pPr>
            <w:r>
              <w:rPr>
                <w:rFonts w:hint="eastAsia" w:ascii="Times New Roman" w:hAnsi="Times New Roman" w:eastAsia="方正黑体_GBK" w:cs="方正黑体_GBK"/>
                <w:color w:val="auto"/>
                <w:kern w:val="0"/>
                <w:sz w:val="24"/>
                <w:highlight w:val="none"/>
                <w:u w:val="none"/>
                <w:lang w:val="en-US" w:eastAsia="zh-CN" w:bidi="ar-SA"/>
              </w:rPr>
              <w:t>3</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科创一期、二期。</w:t>
            </w:r>
            <w:r>
              <w:rPr>
                <w:rFonts w:hint="eastAsia" w:ascii="Times New Roman" w:hAnsi="Times New Roman" w:eastAsia="方正书宋_GBK" w:cs="Times New Roman"/>
                <w:color w:val="auto"/>
                <w:kern w:val="0"/>
                <w:sz w:val="24"/>
                <w:highlight w:val="none"/>
                <w:u w:val="none"/>
                <w:lang w:bidi="ar-SA"/>
              </w:rPr>
              <w:t>聚焦生物医药和科技服务领域，</w:t>
            </w:r>
            <w:r>
              <w:rPr>
                <w:rFonts w:hint="eastAsia" w:ascii="Times New Roman" w:hAnsi="Times New Roman" w:eastAsia="方正书宋_GBK" w:cs="Times New Roman"/>
                <w:color w:val="auto"/>
                <w:kern w:val="0"/>
                <w:sz w:val="24"/>
                <w:highlight w:val="none"/>
                <w:u w:val="none"/>
                <w:lang w:val="en-US" w:eastAsia="zh-CN" w:bidi="ar-SA"/>
              </w:rPr>
              <w:t>以</w:t>
            </w:r>
            <w:r>
              <w:rPr>
                <w:rFonts w:hint="eastAsia" w:ascii="Times New Roman" w:hAnsi="Times New Roman" w:eastAsia="方正书宋_GBK" w:cs="Times New Roman"/>
                <w:color w:val="auto"/>
                <w:kern w:val="0"/>
                <w:sz w:val="24"/>
                <w:highlight w:val="none"/>
                <w:u w:val="none"/>
                <w:lang w:bidi="ar-SA"/>
              </w:rPr>
              <w:t>药监局审评检查分中心为辐射载体，在科创一期建设公共实验中心、药品和医疗器械注册咨询服务站，科创二期建设GMP标准厂房，重点吸引企业研发中心或正处于注册申报阶段的企业入驻，打造覆盖监管咨询、临床试验、委托生产的专业化医疗产业社区。</w:t>
            </w:r>
          </w:p>
          <w:p w14:paraId="52E95298">
            <w:pPr>
              <w:widowControl/>
              <w:overflowPunct w:val="0"/>
              <w:snapToGrid w:val="0"/>
              <w:spacing w:line="380" w:lineRule="exact"/>
              <w:ind w:firstLine="480" w:firstLineChars="200"/>
              <w:jc w:val="left"/>
              <w:rPr>
                <w:rFonts w:hint="eastAsia" w:ascii="Times New Roman" w:hAnsi="Times New Roman" w:eastAsia="方正黑体_GBK" w:cs="方正黑体_GBK"/>
                <w:color w:val="auto"/>
                <w:kern w:val="0"/>
                <w:sz w:val="24"/>
                <w:highlight w:val="none"/>
                <w:u w:val="none"/>
                <w:lang w:bidi="ar-SA"/>
              </w:rPr>
            </w:pPr>
            <w:r>
              <w:rPr>
                <w:rFonts w:hint="eastAsia" w:ascii="Times New Roman" w:hAnsi="Times New Roman" w:eastAsia="方正黑体_GBK" w:cs="方正黑体_GBK"/>
                <w:color w:val="auto"/>
                <w:kern w:val="0"/>
                <w:sz w:val="24"/>
                <w:highlight w:val="none"/>
                <w:u w:val="none"/>
                <w:lang w:val="en-US" w:eastAsia="zh-CN" w:bidi="ar-SA"/>
              </w:rPr>
              <w:t>4</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金凤城市中心。</w:t>
            </w:r>
            <w:r>
              <w:rPr>
                <w:rFonts w:hint="eastAsia" w:ascii="Times New Roman" w:hAnsi="Times New Roman" w:eastAsia="方正书宋_GBK" w:cs="Times New Roman"/>
                <w:color w:val="auto"/>
                <w:kern w:val="0"/>
                <w:sz w:val="24"/>
                <w:highlight w:val="none"/>
                <w:u w:val="none"/>
                <w:lang w:bidi="ar-SA"/>
              </w:rPr>
              <w:t>聚焦金融服务、软件和信息服务领域，重点引入企业区域总部、研发中心、金融机构以及法律、会计、咨询等专业服务机构。</w:t>
            </w:r>
          </w:p>
          <w:p w14:paraId="56392992">
            <w:pPr>
              <w:widowControl/>
              <w:overflowPunct w:val="0"/>
              <w:snapToGrid w:val="0"/>
              <w:spacing w:line="380" w:lineRule="exact"/>
              <w:ind w:firstLine="480" w:firstLineChars="200"/>
              <w:jc w:val="left"/>
              <w:rPr>
                <w:rFonts w:hint="eastAsia" w:ascii="Times New Roman" w:hAnsi="Times New Roman" w:eastAsia="方正书宋_GBK" w:cs="Times New Roman"/>
                <w:color w:val="auto"/>
                <w:kern w:val="0"/>
                <w:sz w:val="24"/>
                <w:highlight w:val="none"/>
                <w:u w:val="none"/>
                <w:lang w:bidi="ar-SA"/>
              </w:rPr>
            </w:pPr>
            <w:r>
              <w:rPr>
                <w:rFonts w:hint="eastAsia" w:ascii="Times New Roman" w:hAnsi="Times New Roman" w:eastAsia="方正黑体_GBK" w:cs="方正黑体_GBK"/>
                <w:color w:val="auto"/>
                <w:kern w:val="0"/>
                <w:sz w:val="24"/>
                <w:highlight w:val="none"/>
                <w:u w:val="none"/>
                <w:lang w:val="en-US" w:eastAsia="zh-CN" w:bidi="ar-SA"/>
              </w:rPr>
              <w:t>5</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石板大健康产业园、巴福大健康产业园。</w:t>
            </w:r>
            <w:r>
              <w:rPr>
                <w:rFonts w:hint="eastAsia" w:ascii="Times New Roman" w:hAnsi="Times New Roman" w:eastAsia="方正书宋_GBK" w:cs="Times New Roman"/>
                <w:color w:val="auto"/>
                <w:kern w:val="0"/>
                <w:sz w:val="24"/>
                <w:highlight w:val="none"/>
                <w:u w:val="none"/>
                <w:lang w:bidi="ar-SA"/>
              </w:rPr>
              <w:t>聚焦生物医药</w:t>
            </w:r>
            <w:r>
              <w:rPr>
                <w:rFonts w:hint="eastAsia" w:ascii="Times New Roman" w:hAnsi="Times New Roman" w:eastAsia="方正书宋_GBK" w:cs="Times New Roman"/>
                <w:color w:val="auto"/>
                <w:kern w:val="0"/>
                <w:sz w:val="24"/>
                <w:highlight w:val="none"/>
                <w:u w:val="none"/>
                <w:lang w:eastAsia="zh-CN" w:bidi="ar-SA"/>
              </w:rPr>
              <w:t>、</w:t>
            </w:r>
            <w:r>
              <w:rPr>
                <w:rFonts w:hint="eastAsia" w:ascii="Times New Roman" w:hAnsi="Times New Roman" w:eastAsia="方正书宋_GBK" w:cs="Times New Roman"/>
                <w:color w:val="auto"/>
                <w:kern w:val="0"/>
                <w:sz w:val="24"/>
                <w:highlight w:val="none"/>
                <w:u w:val="none"/>
                <w:lang w:bidi="ar-SA"/>
              </w:rPr>
              <w:t>高端医疗装备领域，完善生物医药仓储物流、危废处理等配套设施，重点引进工艺开发与规模化生产阶段项目，与金凤实验室形成前研后产协同。</w:t>
            </w:r>
          </w:p>
          <w:p w14:paraId="0022A95B">
            <w:pPr>
              <w:widowControl/>
              <w:overflowPunct w:val="0"/>
              <w:snapToGrid w:val="0"/>
              <w:spacing w:line="380" w:lineRule="exact"/>
              <w:ind w:firstLine="480" w:firstLineChars="200"/>
              <w:jc w:val="left"/>
              <w:rPr>
                <w:rFonts w:hint="eastAsia" w:ascii="方正书宋_GBK" w:hAnsi="方正书宋_GBK" w:eastAsia="方正书宋_GBK" w:cs="方正书宋_GBK"/>
                <w:color w:val="auto"/>
                <w:sz w:val="24"/>
                <w:highlight w:val="none"/>
              </w:rPr>
            </w:pPr>
            <w:r>
              <w:rPr>
                <w:rFonts w:hint="eastAsia" w:ascii="Times New Roman" w:hAnsi="Times New Roman" w:eastAsia="方正黑体_GBK" w:cs="方正黑体_GBK"/>
                <w:color w:val="auto"/>
                <w:kern w:val="0"/>
                <w:sz w:val="24"/>
                <w:highlight w:val="none"/>
                <w:u w:val="none"/>
                <w:lang w:val="en-US" w:eastAsia="zh-CN" w:bidi="ar-SA"/>
              </w:rPr>
              <w:t>6</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西永综保区A区厂房。</w:t>
            </w:r>
            <w:r>
              <w:rPr>
                <w:rFonts w:hint="eastAsia" w:ascii="Times New Roman" w:hAnsi="Times New Roman" w:eastAsia="方正书宋_GBK" w:cs="Times New Roman"/>
                <w:color w:val="auto"/>
                <w:kern w:val="0"/>
                <w:sz w:val="24"/>
                <w:highlight w:val="none"/>
                <w:u w:val="none"/>
                <w:lang w:bidi="ar-SA"/>
              </w:rPr>
              <w:t>聚焦加工贸易相关产业，以工业和仓储为主体功能，围绕方大海航、京东方上下游扩链，加</w:t>
            </w:r>
            <w:r>
              <w:rPr>
                <w:rFonts w:hint="eastAsia" w:ascii="Times New Roman" w:hAnsi="Times New Roman" w:eastAsia="方正书宋_GBK" w:cs="Times New Roman"/>
                <w:color w:val="auto"/>
                <w:kern w:val="0"/>
                <w:sz w:val="24"/>
                <w:highlight w:val="none"/>
                <w:u w:val="none"/>
                <w:lang w:val="en-US" w:eastAsia="zh-CN" w:bidi="ar-SA"/>
              </w:rPr>
              <w:t>大</w:t>
            </w:r>
            <w:r>
              <w:rPr>
                <w:rFonts w:hint="eastAsia" w:ascii="Times New Roman" w:hAnsi="Times New Roman" w:eastAsia="方正书宋_GBK" w:cs="Times New Roman"/>
                <w:color w:val="auto"/>
                <w:kern w:val="0"/>
                <w:sz w:val="24"/>
                <w:highlight w:val="none"/>
                <w:u w:val="none"/>
                <w:lang w:bidi="ar-SA"/>
              </w:rPr>
              <w:t>招商引资盘活力度，重点引进外向型加工贸易企业。</w:t>
            </w:r>
          </w:p>
        </w:tc>
      </w:tr>
    </w:tbl>
    <w:p w14:paraId="39B92BAC">
      <w:pPr>
        <w:adjustRightInd w:val="0"/>
        <w:snapToGrid w:val="0"/>
        <w:spacing w:line="600" w:lineRule="exact"/>
        <w:jc w:val="center"/>
        <w:outlineLvl w:val="2"/>
        <w:rPr>
          <w:rFonts w:ascii="Times New Roman" w:hAnsi="Times New Roman" w:eastAsia="方正楷体_GBK" w:cs="Times New Roman"/>
          <w:color w:val="auto"/>
          <w:sz w:val="32"/>
          <w:highlight w:val="none"/>
        </w:rPr>
      </w:pPr>
      <w:bookmarkStart w:id="369" w:name="_Toc1750972272"/>
      <w:bookmarkStart w:id="370" w:name="_Toc32067"/>
      <w:bookmarkStart w:id="371" w:name="_Toc1218558572"/>
      <w:bookmarkStart w:id="372" w:name="_Toc30613"/>
      <w:bookmarkStart w:id="373" w:name="_Toc24860"/>
      <w:r>
        <w:rPr>
          <w:rFonts w:hint="eastAsia" w:ascii="Times New Roman" w:hAnsi="Times New Roman" w:eastAsia="方正楷体_GBK" w:cs="Times New Roman"/>
          <w:color w:val="auto"/>
          <w:sz w:val="32"/>
          <w:highlight w:val="none"/>
        </w:rPr>
        <w:t>第二节 实施全域城市更新</w:t>
      </w:r>
      <w:r>
        <w:rPr>
          <w:rFonts w:hint="eastAsia" w:ascii="Times New Roman" w:hAnsi="Times New Roman" w:eastAsia="方正楷体_GBK" w:cs="Times New Roman"/>
          <w:color w:val="auto"/>
          <w:sz w:val="32"/>
          <w:highlight w:val="none"/>
          <w:lang w:val="en-US" w:eastAsia="zh-CN"/>
        </w:rPr>
        <w:t>行动</w:t>
      </w:r>
      <w:bookmarkEnd w:id="363"/>
      <w:bookmarkEnd w:id="364"/>
      <w:bookmarkEnd w:id="365"/>
      <w:bookmarkEnd w:id="367"/>
      <w:bookmarkEnd w:id="368"/>
      <w:bookmarkEnd w:id="369"/>
      <w:bookmarkEnd w:id="370"/>
      <w:bookmarkEnd w:id="371"/>
      <w:bookmarkEnd w:id="372"/>
      <w:bookmarkEnd w:id="373"/>
    </w:p>
    <w:p w14:paraId="02A8784E">
      <w:pPr>
        <w:widowControl/>
        <w:overflowPunct/>
        <w:spacing w:line="600" w:lineRule="exact"/>
        <w:ind w:firstLine="640" w:firstLineChars="200"/>
        <w:jc w:val="left"/>
        <w:rPr>
          <w:rFonts w:hint="eastAsia" w:ascii="Times New Roman" w:hAnsi="Times New Roman" w:eastAsia="方正仿宋_GBK" w:cs="Times New Roman"/>
          <w:color w:val="auto"/>
          <w:sz w:val="32"/>
          <w:szCs w:val="32"/>
          <w:highlight w:val="none"/>
        </w:rPr>
      </w:pPr>
      <w:bookmarkStart w:id="374" w:name="OLE_LINK32"/>
      <w:bookmarkStart w:id="375" w:name="_Toc26474"/>
      <w:bookmarkStart w:id="376" w:name="_Toc6308"/>
      <w:bookmarkStart w:id="377" w:name="_Toc20253"/>
      <w:bookmarkStart w:id="378" w:name="_Toc1058"/>
      <w:bookmarkStart w:id="379" w:name="_Toc1714427477"/>
      <w:bookmarkStart w:id="380" w:name="_Toc21008"/>
      <w:r>
        <w:rPr>
          <w:rFonts w:hint="eastAsia" w:ascii="方正仿宋_GBK" w:hAnsi="Calibri" w:eastAsia="方正仿宋_GBK" w:cs="Times New Roman"/>
          <w:bCs/>
          <w:color w:val="auto"/>
          <w:sz w:val="32"/>
          <w:szCs w:val="32"/>
          <w:highlight w:val="none"/>
          <w:u w:val="none" w:color="auto"/>
          <w:lang w:val="en-US" w:eastAsia="zh-CN"/>
        </w:rPr>
        <w:t>建立“专项规划—片区策划—项目实施方案”三级更新实施体系，</w:t>
      </w:r>
      <w:r>
        <w:rPr>
          <w:rFonts w:hint="eastAsia" w:ascii="Times New Roman" w:hAnsi="Times New Roman" w:eastAsia="方正仿宋_GBK" w:cs="Times New Roman"/>
          <w:color w:val="auto"/>
          <w:sz w:val="32"/>
          <w:szCs w:val="32"/>
          <w:highlight w:val="none"/>
          <w:u w:val="none" w:color="auto"/>
          <w:lang w:val="en-US" w:eastAsia="zh-CN"/>
        </w:rPr>
        <w:t>围绕服务科创、产业、民生，按照“体检先行、整体谋划、小切口推动、存量盘活”思路，以片区更新模式为抓手，实现</w:t>
      </w:r>
      <w:r>
        <w:rPr>
          <w:rFonts w:hint="eastAsia" w:ascii="方正仿宋_GBK" w:hAnsi="方正仿宋_GBK" w:eastAsia="方正仿宋_GBK" w:cs="方正仿宋_GBK"/>
          <w:color w:val="auto"/>
          <w:kern w:val="2"/>
          <w:sz w:val="32"/>
          <w:szCs w:val="32"/>
          <w:highlight w:val="none"/>
          <w:u w:val="none" w:color="auto"/>
          <w:lang w:eastAsia="zh"/>
        </w:rPr>
        <w:t>全域更新有序衔接。</w:t>
      </w:r>
      <w:r>
        <w:rPr>
          <w:rFonts w:hint="eastAsia" w:ascii="Times New Roman" w:hAnsi="Times New Roman" w:eastAsia="方正仿宋_GBK" w:cs="Times New Roman"/>
          <w:color w:val="auto"/>
          <w:sz w:val="32"/>
          <w:szCs w:val="32"/>
          <w:highlight w:val="none"/>
        </w:rPr>
        <w:t>坚持“以留为主、</w:t>
      </w:r>
      <w:r>
        <w:rPr>
          <w:rFonts w:hint="eastAsia" w:ascii="Times New Roman" w:hAnsi="Times New Roman" w:eastAsia="方正仿宋_GBK" w:cs="Times New Roman"/>
          <w:color w:val="auto"/>
          <w:sz w:val="32"/>
          <w:szCs w:val="32"/>
          <w:highlight w:val="none"/>
          <w:lang w:val="en-US" w:eastAsia="zh-CN"/>
        </w:rPr>
        <w:t>焕新提质</w:t>
      </w:r>
      <w:r>
        <w:rPr>
          <w:rFonts w:hint="eastAsia" w:ascii="Times New Roman" w:hAnsi="Times New Roman" w:eastAsia="方正仿宋_GBK" w:cs="Times New Roman"/>
          <w:color w:val="auto"/>
          <w:sz w:val="32"/>
          <w:szCs w:val="32"/>
          <w:highlight w:val="none"/>
        </w:rPr>
        <w:t>”理念，以改造提升、功能织补等多元化更新方式为抓手，有序推进金凤、虎溪、西永、香炉山、曾家、含谷重点片区开展全面城市更新，通过功能再造、空间重塑，盘活存量资源，完善城市功能。以小切口方式推进白市驿、石板、巴福、走马等区域零星城市更新项目，推动老旧小区改造，改善出行条件，增加服务配套，完善消防供水、消防车通道等公共消防设施建设。推进金凤</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rPr>
        <w:t>走马、含谷</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rPr>
        <w:t>白市驿片区城中村改造，结合规划功能和成片开发需要，整合周边低效用地、零星边角用地。到2030年，梯次更新8个片区、13平方公里。</w:t>
      </w:r>
      <w:bookmarkEnd w:id="374"/>
    </w:p>
    <w:p w14:paraId="1570AAA0">
      <w:pPr>
        <w:widowControl/>
        <w:overflowPunct w:val="0"/>
        <w:jc w:val="center"/>
        <w:rPr>
          <w:rFonts w:hint="eastAsia" w:ascii="Times New Roman" w:hAnsi="Times New Roman" w:eastAsia="方正黑体_GBK" w:cs="方正黑体_GBK"/>
          <w:color w:val="auto"/>
          <w:kern w:val="0"/>
          <w:sz w:val="32"/>
          <w:szCs w:val="32"/>
          <w:highlight w:val="none"/>
          <w:u w:val="none"/>
          <w:lang w:bidi="ar"/>
        </w:rPr>
      </w:pPr>
      <w:r>
        <w:rPr>
          <w:rFonts w:hint="eastAsia" w:ascii="Times New Roman" w:hAnsi="Times New Roman" w:eastAsia="方正黑体_GBK" w:cs="方正黑体_GBK"/>
          <w:color w:val="auto"/>
          <w:kern w:val="0"/>
          <w:sz w:val="32"/>
          <w:szCs w:val="32"/>
          <w:highlight w:val="none"/>
          <w:u w:val="none"/>
          <w:lang w:bidi="ar"/>
        </w:rPr>
        <w:t>专栏2</w:t>
      </w:r>
      <w:r>
        <w:rPr>
          <w:rFonts w:hint="eastAsia" w:ascii="Times New Roman" w:hAnsi="Times New Roman" w:eastAsia="方正黑体_GBK" w:cs="方正黑体_GBK"/>
          <w:color w:val="auto"/>
          <w:kern w:val="0"/>
          <w:sz w:val="32"/>
          <w:szCs w:val="32"/>
          <w:highlight w:val="none"/>
          <w:u w:val="none"/>
          <w:lang w:val="en-US" w:eastAsia="zh-CN" w:bidi="ar"/>
        </w:rPr>
        <w:t>2</w:t>
      </w:r>
      <w:r>
        <w:rPr>
          <w:rFonts w:hint="eastAsia" w:ascii="Times New Roman" w:hAnsi="Times New Roman" w:eastAsia="方正黑体_GBK" w:cs="方正黑体_GBK"/>
          <w:color w:val="auto"/>
          <w:kern w:val="0"/>
          <w:sz w:val="32"/>
          <w:szCs w:val="32"/>
          <w:highlight w:val="none"/>
          <w:u w:val="none"/>
          <w:lang w:bidi="ar"/>
        </w:rPr>
        <w:t xml:space="preserve"> </w:t>
      </w:r>
      <w:r>
        <w:rPr>
          <w:rFonts w:hint="eastAsia" w:ascii="Times New Roman" w:hAnsi="Times New Roman" w:eastAsia="方正黑体_GBK" w:cs="方正黑体_GBK"/>
          <w:color w:val="auto"/>
          <w:kern w:val="0"/>
          <w:sz w:val="32"/>
          <w:szCs w:val="32"/>
          <w:highlight w:val="none"/>
          <w:u w:val="none"/>
          <w:lang w:val="en-US" w:eastAsia="zh-CN" w:bidi="ar"/>
        </w:rPr>
        <w:t>8</w:t>
      </w:r>
      <w:r>
        <w:rPr>
          <w:rFonts w:hint="eastAsia" w:ascii="Times New Roman" w:hAnsi="Times New Roman" w:eastAsia="方正黑体_GBK" w:cs="方正黑体_GBK"/>
          <w:color w:val="auto"/>
          <w:kern w:val="0"/>
          <w:sz w:val="32"/>
          <w:szCs w:val="32"/>
          <w:highlight w:val="none"/>
          <w:u w:val="none"/>
          <w:lang w:bidi="ar"/>
        </w:rPr>
        <w:t>大片区城市更新指引</w:t>
      </w:r>
    </w:p>
    <w:tbl>
      <w:tblPr>
        <w:tblStyle w:val="22"/>
        <w:tblW w:w="9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0"/>
      </w:tblGrid>
      <w:tr w14:paraId="10096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0" w:type="dxa"/>
          </w:tcPr>
          <w:p w14:paraId="1D335793">
            <w:pPr>
              <w:pStyle w:val="38"/>
              <w:snapToGrid w:val="0"/>
              <w:spacing w:line="380" w:lineRule="exact"/>
              <w:ind w:firstLine="480"/>
              <w:rPr>
                <w:rFonts w:hint="eastAsia" w:ascii="Times New Roman" w:hAnsi="Times New Roman" w:eastAsia="方正书宋_GBK" w:cs="Times New Roman"/>
                <w:color w:val="auto"/>
                <w:kern w:val="0"/>
                <w:sz w:val="24"/>
                <w:szCs w:val="24"/>
                <w:highlight w:val="none"/>
                <w:u w:val="none"/>
                <w:lang w:val="en-US" w:eastAsia="zh-CN" w:bidi="ar-SA"/>
              </w:rPr>
            </w:pPr>
            <w:r>
              <w:rPr>
                <w:rFonts w:hint="eastAsia" w:ascii="Times New Roman" w:hAnsi="Times New Roman" w:eastAsia="方正黑体_GBK" w:cs="方正黑体_GBK"/>
                <w:color w:val="auto"/>
                <w:kern w:val="0"/>
                <w:sz w:val="24"/>
                <w:szCs w:val="24"/>
                <w:highlight w:val="none"/>
                <w:u w:val="none"/>
                <w:lang w:val="en-US" w:eastAsia="zh-CN" w:bidi="ar-SA"/>
              </w:rPr>
              <w:t>1</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szCs w:val="24"/>
                <w:highlight w:val="none"/>
                <w:u w:val="none"/>
                <w:lang w:val="en-US" w:eastAsia="zh-CN" w:bidi="ar-SA"/>
              </w:rPr>
              <w:t>金凤片区。</w:t>
            </w:r>
            <w:r>
              <w:rPr>
                <w:rFonts w:hint="eastAsia" w:ascii="Times New Roman" w:hAnsi="Times New Roman" w:eastAsia="方正书宋_GBK" w:cs="Times New Roman"/>
                <w:color w:val="auto"/>
                <w:kern w:val="0"/>
                <w:sz w:val="24"/>
                <w:szCs w:val="24"/>
                <w:highlight w:val="none"/>
                <w:u w:val="none"/>
                <w:lang w:val="en-US" w:eastAsia="zh-CN" w:bidi="ar-SA"/>
              </w:rPr>
              <w:t>推进金贸街、海含路周边老旧小区改造、沿街商业改造、三耳文化园产业升级、金凤滨水游园品质提升等项目。</w:t>
            </w:r>
          </w:p>
          <w:p w14:paraId="09783D3D">
            <w:pPr>
              <w:pStyle w:val="38"/>
              <w:snapToGrid w:val="0"/>
              <w:spacing w:line="380" w:lineRule="exact"/>
              <w:ind w:firstLine="480"/>
              <w:rPr>
                <w:rFonts w:hint="eastAsia" w:ascii="Times New Roman" w:hAnsi="Times New Roman" w:eastAsia="方正书宋_GBK" w:cs="Times New Roman"/>
                <w:color w:val="auto"/>
                <w:kern w:val="0"/>
                <w:sz w:val="24"/>
                <w:szCs w:val="24"/>
                <w:highlight w:val="none"/>
                <w:u w:val="none"/>
                <w:lang w:val="en-US" w:eastAsia="zh-CN" w:bidi="ar-SA"/>
              </w:rPr>
            </w:pPr>
            <w:r>
              <w:rPr>
                <w:rFonts w:hint="eastAsia" w:ascii="Times New Roman" w:hAnsi="Times New Roman" w:eastAsia="方正黑体_GBK" w:cs="方正黑体_GBK"/>
                <w:color w:val="auto"/>
                <w:kern w:val="0"/>
                <w:sz w:val="24"/>
                <w:szCs w:val="24"/>
                <w:highlight w:val="none"/>
                <w:u w:val="none"/>
                <w:lang w:val="en-US" w:eastAsia="zh-CN" w:bidi="ar-SA"/>
              </w:rPr>
              <w:t>2</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szCs w:val="24"/>
                <w:highlight w:val="none"/>
                <w:u w:val="none"/>
                <w:lang w:val="en-US" w:eastAsia="zh-CN" w:bidi="ar-SA"/>
              </w:rPr>
              <w:t>虎溪片区。</w:t>
            </w:r>
            <w:r>
              <w:rPr>
                <w:rFonts w:hint="eastAsia" w:ascii="Times New Roman" w:hAnsi="Times New Roman" w:eastAsia="方正书宋_GBK" w:cs="Times New Roman"/>
                <w:color w:val="auto"/>
                <w:kern w:val="0"/>
                <w:sz w:val="24"/>
                <w:szCs w:val="24"/>
                <w:highlight w:val="none"/>
                <w:u w:val="none"/>
                <w:lang w:val="en-US" w:eastAsia="zh-CN" w:bidi="ar-SA"/>
              </w:rPr>
              <w:t>推进片区增补公共服务设施、大学生创新创业基地升级、大成湖公园品质提升等项目，提升共享单车治理规范化水平，优化区域慢行体系。</w:t>
            </w:r>
          </w:p>
          <w:p w14:paraId="13075CED">
            <w:pPr>
              <w:pStyle w:val="38"/>
              <w:snapToGrid w:val="0"/>
              <w:spacing w:line="380" w:lineRule="exact"/>
              <w:ind w:firstLine="480"/>
              <w:rPr>
                <w:rFonts w:hint="eastAsia" w:ascii="Times New Roman" w:hAnsi="Times New Roman" w:eastAsia="方正书宋_GBK" w:cs="Times New Roman"/>
                <w:color w:val="auto"/>
                <w:kern w:val="0"/>
                <w:sz w:val="24"/>
                <w:szCs w:val="24"/>
                <w:highlight w:val="none"/>
                <w:u w:val="none"/>
                <w:lang w:val="en-US" w:eastAsia="zh-CN" w:bidi="ar-SA"/>
              </w:rPr>
            </w:pPr>
            <w:r>
              <w:rPr>
                <w:rFonts w:hint="eastAsia" w:ascii="Times New Roman" w:hAnsi="Times New Roman" w:eastAsia="方正黑体_GBK" w:cs="方正黑体_GBK"/>
                <w:color w:val="auto"/>
                <w:kern w:val="0"/>
                <w:sz w:val="24"/>
                <w:szCs w:val="24"/>
                <w:highlight w:val="none"/>
                <w:u w:val="none"/>
                <w:lang w:val="en-US" w:eastAsia="zh-CN" w:bidi="ar-SA"/>
              </w:rPr>
              <w:t>3</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szCs w:val="24"/>
                <w:highlight w:val="none"/>
                <w:u w:val="none"/>
                <w:lang w:val="en-US" w:eastAsia="zh-CN" w:bidi="ar-SA"/>
              </w:rPr>
              <w:t>西永片区。</w:t>
            </w:r>
            <w:r>
              <w:rPr>
                <w:rFonts w:hint="eastAsia" w:ascii="Times New Roman" w:hAnsi="Times New Roman" w:eastAsia="方正书宋_GBK" w:cs="Times New Roman"/>
                <w:color w:val="auto"/>
                <w:kern w:val="0"/>
                <w:sz w:val="24"/>
                <w:szCs w:val="24"/>
                <w:highlight w:val="none"/>
                <w:u w:val="none"/>
                <w:lang w:val="en-US" w:eastAsia="zh-CN" w:bidi="ar-SA"/>
              </w:rPr>
              <w:t>推进老旧小区改造、老旧街区配套用房功能提升、西永标准厂房等闲置资源盘活，实施西永天街改造等项目。</w:t>
            </w:r>
          </w:p>
          <w:p w14:paraId="217A5DA5">
            <w:pPr>
              <w:pStyle w:val="38"/>
              <w:snapToGrid w:val="0"/>
              <w:spacing w:line="380" w:lineRule="exact"/>
              <w:ind w:firstLine="480"/>
              <w:rPr>
                <w:rFonts w:hint="eastAsia" w:ascii="Times New Roman" w:hAnsi="Times New Roman" w:eastAsia="方正书宋_GBK" w:cs="Times New Roman"/>
                <w:color w:val="auto"/>
                <w:kern w:val="0"/>
                <w:sz w:val="24"/>
                <w:szCs w:val="24"/>
                <w:highlight w:val="none"/>
                <w:u w:val="none"/>
                <w:lang w:val="en-US" w:eastAsia="zh-CN" w:bidi="ar-SA"/>
              </w:rPr>
            </w:pPr>
            <w:r>
              <w:rPr>
                <w:rFonts w:hint="eastAsia" w:ascii="Times New Roman" w:hAnsi="Times New Roman" w:eastAsia="方正黑体_GBK" w:cs="方正黑体_GBK"/>
                <w:color w:val="auto"/>
                <w:kern w:val="0"/>
                <w:sz w:val="24"/>
                <w:szCs w:val="24"/>
                <w:highlight w:val="none"/>
                <w:u w:val="none"/>
                <w:lang w:val="en-US" w:eastAsia="zh-CN" w:bidi="ar-SA"/>
              </w:rPr>
              <w:t>4</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szCs w:val="24"/>
                <w:highlight w:val="none"/>
                <w:u w:val="none"/>
                <w:lang w:val="en-US" w:eastAsia="zh-CN" w:bidi="ar-SA"/>
              </w:rPr>
              <w:t>香炉山片区。</w:t>
            </w:r>
            <w:r>
              <w:rPr>
                <w:rFonts w:hint="eastAsia" w:ascii="Times New Roman" w:hAnsi="Times New Roman" w:eastAsia="方正书宋_GBK" w:cs="Times New Roman"/>
                <w:color w:val="auto"/>
                <w:kern w:val="0"/>
                <w:sz w:val="24"/>
                <w:szCs w:val="24"/>
                <w:highlight w:val="none"/>
                <w:u w:val="none"/>
                <w:lang w:val="en-US" w:eastAsia="zh-CN" w:bidi="ar-SA"/>
              </w:rPr>
              <w:t>聚焦补齐停车配套、提升商业服务、完善文化</w:t>
            </w:r>
            <w:r>
              <w:rPr>
                <w:rFonts w:hint="eastAsia" w:eastAsia="方正书宋_GBK" w:cs="Times New Roman"/>
                <w:color w:val="auto"/>
                <w:kern w:val="0"/>
                <w:sz w:val="24"/>
                <w:szCs w:val="24"/>
                <w:highlight w:val="none"/>
                <w:u w:val="none"/>
                <w:lang w:val="en-US" w:eastAsia="zh-CN" w:bidi="ar-SA"/>
              </w:rPr>
              <w:t>、</w:t>
            </w:r>
            <w:r>
              <w:rPr>
                <w:rFonts w:hint="eastAsia" w:ascii="Times New Roman" w:hAnsi="Times New Roman" w:eastAsia="方正书宋_GBK" w:cs="Times New Roman"/>
                <w:color w:val="auto"/>
                <w:kern w:val="0"/>
                <w:sz w:val="24"/>
                <w:szCs w:val="24"/>
                <w:highlight w:val="none"/>
                <w:u w:val="none"/>
                <w:lang w:val="en-US" w:eastAsia="zh-CN" w:bidi="ar-SA"/>
              </w:rPr>
              <w:t>养老托幼、增绿提质等关键任务，实施花花集市升级、协信北麓生活服务提升、首玺汽车步行空间提升等项目。</w:t>
            </w:r>
          </w:p>
          <w:p w14:paraId="0ED10B31">
            <w:pPr>
              <w:pStyle w:val="38"/>
              <w:snapToGrid w:val="0"/>
              <w:spacing w:line="380" w:lineRule="exact"/>
              <w:ind w:firstLine="480"/>
              <w:rPr>
                <w:rFonts w:hint="eastAsia" w:ascii="Times New Roman" w:hAnsi="Times New Roman" w:eastAsia="方正书宋_GBK" w:cs="Times New Roman"/>
                <w:color w:val="auto"/>
                <w:kern w:val="0"/>
                <w:sz w:val="24"/>
                <w:szCs w:val="24"/>
                <w:highlight w:val="none"/>
                <w:u w:val="none"/>
                <w:lang w:val="en-US" w:eastAsia="zh-CN" w:bidi="ar-SA"/>
              </w:rPr>
            </w:pPr>
            <w:r>
              <w:rPr>
                <w:rFonts w:hint="eastAsia" w:ascii="Times New Roman" w:hAnsi="Times New Roman" w:eastAsia="方正黑体_GBK" w:cs="方正黑体_GBK"/>
                <w:color w:val="auto"/>
                <w:kern w:val="0"/>
                <w:sz w:val="24"/>
                <w:szCs w:val="24"/>
                <w:highlight w:val="none"/>
                <w:u w:val="none"/>
                <w:lang w:val="en-US" w:eastAsia="zh-CN" w:bidi="ar-SA"/>
              </w:rPr>
              <w:t>5</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szCs w:val="24"/>
                <w:highlight w:val="none"/>
                <w:u w:val="none"/>
                <w:lang w:val="en-US" w:eastAsia="zh-CN" w:bidi="ar-SA"/>
              </w:rPr>
              <w:t>曾家片区。</w:t>
            </w:r>
            <w:r>
              <w:rPr>
                <w:rFonts w:hint="eastAsia" w:ascii="Times New Roman" w:hAnsi="Times New Roman" w:eastAsia="方正书宋_GBK" w:cs="Times New Roman"/>
                <w:color w:val="auto"/>
                <w:kern w:val="0"/>
                <w:sz w:val="24"/>
                <w:szCs w:val="24"/>
                <w:highlight w:val="none"/>
                <w:u w:val="none"/>
                <w:lang w:val="en-US" w:eastAsia="zh-CN" w:bidi="ar-SA"/>
              </w:rPr>
              <w:t>推进曾家中学停车场改造、老旧管网修复、农贸市场功能提升、吴家老院子空间改造等项目。</w:t>
            </w:r>
          </w:p>
          <w:p w14:paraId="2BDBED4E">
            <w:pPr>
              <w:widowControl/>
              <w:overflowPunct w:val="0"/>
              <w:snapToGrid w:val="0"/>
              <w:spacing w:line="380" w:lineRule="exact"/>
              <w:ind w:firstLine="480" w:firstLineChars="200"/>
              <w:jc w:val="left"/>
              <w:rPr>
                <w:rFonts w:hint="eastAsia" w:ascii="Times New Roman" w:hAnsi="Times New Roman" w:eastAsia="方正书宋_GBK" w:cs="Times New Roman"/>
                <w:color w:val="auto"/>
                <w:kern w:val="0"/>
                <w:sz w:val="24"/>
                <w:szCs w:val="24"/>
                <w:highlight w:val="none"/>
                <w:u w:val="none"/>
                <w:lang w:val="en-US" w:eastAsia="zh-CN" w:bidi="ar-SA"/>
              </w:rPr>
            </w:pPr>
            <w:r>
              <w:rPr>
                <w:rFonts w:hint="eastAsia" w:ascii="Times New Roman" w:hAnsi="Times New Roman" w:eastAsia="方正黑体_GBK" w:cs="方正黑体_GBK"/>
                <w:color w:val="auto"/>
                <w:kern w:val="0"/>
                <w:sz w:val="24"/>
                <w:szCs w:val="24"/>
                <w:highlight w:val="none"/>
                <w:u w:val="none"/>
                <w:lang w:val="en-US" w:eastAsia="zh-CN" w:bidi="ar-SA"/>
              </w:rPr>
              <w:t>6</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szCs w:val="24"/>
                <w:highlight w:val="none"/>
                <w:u w:val="none"/>
                <w:lang w:val="en-US" w:eastAsia="zh-CN" w:bidi="ar-SA"/>
              </w:rPr>
              <w:t>含谷片区。</w:t>
            </w:r>
            <w:r>
              <w:rPr>
                <w:rFonts w:hint="eastAsia" w:ascii="Times New Roman" w:hAnsi="Times New Roman" w:eastAsia="方正书宋_GBK" w:cs="Times New Roman"/>
                <w:color w:val="auto"/>
                <w:kern w:val="0"/>
                <w:sz w:val="24"/>
                <w:szCs w:val="24"/>
                <w:highlight w:val="none"/>
                <w:u w:val="none"/>
                <w:lang w:val="en-US" w:eastAsia="zh-CN" w:bidi="ar-SA"/>
              </w:rPr>
              <w:t>推进老场镇老旧小区更新改造、含谷东南片区改造、鑫源立体停车楼、梁滩河沿线公园改造等项目，盘活利用科学会堂周边闲置土地。</w:t>
            </w:r>
          </w:p>
          <w:p w14:paraId="78A61C45">
            <w:pPr>
              <w:widowControl/>
              <w:overflowPunct w:val="0"/>
              <w:snapToGrid w:val="0"/>
              <w:spacing w:line="380" w:lineRule="exact"/>
              <w:ind w:firstLine="480" w:firstLineChars="200"/>
              <w:jc w:val="left"/>
              <w:rPr>
                <w:rFonts w:hint="eastAsia" w:ascii="Times New Roman" w:hAnsi="Times New Roman" w:eastAsia="方正书宋_GBK" w:cs="Times New Roman"/>
                <w:color w:val="auto"/>
                <w:kern w:val="0"/>
                <w:sz w:val="24"/>
                <w:szCs w:val="24"/>
                <w:highlight w:val="none"/>
                <w:u w:val="none"/>
                <w:lang w:val="en-US" w:eastAsia="zh-CN" w:bidi="ar-SA"/>
              </w:rPr>
            </w:pPr>
            <w:r>
              <w:rPr>
                <w:rFonts w:hint="eastAsia" w:ascii="Times New Roman" w:hAnsi="Times New Roman" w:eastAsia="方正黑体_GBK" w:cs="方正黑体_GBK"/>
                <w:color w:val="auto"/>
                <w:kern w:val="0"/>
                <w:sz w:val="24"/>
                <w:szCs w:val="24"/>
                <w:highlight w:val="none"/>
                <w:u w:val="none"/>
                <w:lang w:val="en-US" w:eastAsia="zh-CN" w:bidi="ar-SA"/>
              </w:rPr>
              <w:t>7</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szCs w:val="24"/>
                <w:highlight w:val="none"/>
                <w:u w:val="none"/>
                <w:lang w:val="en-US" w:eastAsia="zh-CN" w:bidi="ar-SA"/>
              </w:rPr>
              <w:t>巴福片区。</w:t>
            </w:r>
            <w:r>
              <w:rPr>
                <w:rFonts w:hint="eastAsia" w:ascii="Times New Roman" w:hAnsi="Times New Roman" w:eastAsia="方正书宋_GBK" w:cs="Times New Roman"/>
                <w:color w:val="auto"/>
                <w:kern w:val="0"/>
                <w:sz w:val="24"/>
                <w:szCs w:val="24"/>
                <w:highlight w:val="none"/>
                <w:u w:val="none"/>
                <w:lang w:val="en-US" w:eastAsia="zh-CN" w:bidi="ar-SA"/>
              </w:rPr>
              <w:t>推进公租房周边更新改造、闲置商业活化、完善停车/口袋公园等基础设施，强化智能制造产业园服务配套、补齐园区停车/道路等项目。</w:t>
            </w:r>
          </w:p>
          <w:p w14:paraId="4F224F5D">
            <w:pPr>
              <w:widowControl/>
              <w:overflowPunct w:val="0"/>
              <w:snapToGrid w:val="0"/>
              <w:spacing w:line="380" w:lineRule="exact"/>
              <w:ind w:firstLine="480" w:firstLineChars="200"/>
              <w:jc w:val="left"/>
              <w:rPr>
                <w:rFonts w:hint="eastAsia" w:ascii="Times New Roman" w:hAnsi="Times New Roman" w:eastAsia="方正书宋_GBK" w:cs="Times New Roman"/>
                <w:color w:val="auto"/>
                <w:kern w:val="0"/>
                <w:sz w:val="24"/>
                <w:szCs w:val="24"/>
                <w:highlight w:val="none"/>
                <w:u w:val="none"/>
                <w:lang w:val="en-US" w:eastAsia="zh-CN" w:bidi="ar-SA"/>
              </w:rPr>
            </w:pPr>
            <w:r>
              <w:rPr>
                <w:rFonts w:hint="eastAsia" w:ascii="Times New Roman" w:hAnsi="Times New Roman" w:eastAsia="方正黑体_GBK" w:cs="方正黑体_GBK"/>
                <w:color w:val="auto"/>
                <w:kern w:val="0"/>
                <w:sz w:val="24"/>
                <w:szCs w:val="24"/>
                <w:highlight w:val="none"/>
                <w:u w:val="none"/>
                <w:lang w:val="en-US" w:eastAsia="zh-CN" w:bidi="ar-SA"/>
              </w:rPr>
              <w:t>8</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szCs w:val="24"/>
                <w:highlight w:val="none"/>
                <w:u w:val="none"/>
                <w:lang w:val="en-US" w:eastAsia="zh-CN" w:bidi="ar-SA"/>
              </w:rPr>
              <w:t>白市驿片区。</w:t>
            </w:r>
            <w:r>
              <w:rPr>
                <w:rFonts w:hint="eastAsia" w:ascii="Times New Roman" w:hAnsi="Times New Roman" w:eastAsia="方正书宋_GBK" w:cs="Times New Roman"/>
                <w:color w:val="auto"/>
                <w:kern w:val="0"/>
                <w:sz w:val="24"/>
                <w:szCs w:val="24"/>
                <w:highlight w:val="none"/>
                <w:u w:val="none"/>
                <w:lang w:val="en-US" w:eastAsia="zh-CN" w:bidi="ar-SA"/>
              </w:rPr>
              <w:t>推进片区周边停车场改造、老旧管网修复、农贸市场功能提升、口袋公园功能提升、底商立面提升，发展特色餐饮与温泉产业，形成匹配本地基因的产业协同。</w:t>
            </w:r>
          </w:p>
        </w:tc>
      </w:tr>
      <w:bookmarkEnd w:id="375"/>
      <w:bookmarkEnd w:id="376"/>
      <w:bookmarkEnd w:id="377"/>
      <w:bookmarkEnd w:id="378"/>
      <w:bookmarkEnd w:id="379"/>
      <w:bookmarkEnd w:id="380"/>
    </w:tbl>
    <w:p w14:paraId="5D8F7E69">
      <w:pPr>
        <w:adjustRightInd/>
        <w:snapToGrid/>
        <w:spacing w:line="240" w:lineRule="auto"/>
        <w:jc w:val="left"/>
        <w:outlineLvl w:val="9"/>
        <w:rPr>
          <w:rFonts w:hint="eastAsia" w:ascii="Times New Roman" w:hAnsi="Times New Roman" w:eastAsia="方正楷体_GBK" w:cs="Times New Roman"/>
          <w:color w:val="auto"/>
          <w:sz w:val="32"/>
          <w:szCs w:val="32"/>
          <w:highlight w:val="none"/>
        </w:rPr>
      </w:pPr>
      <w:bookmarkStart w:id="381" w:name="_Toc29633"/>
      <w:bookmarkStart w:id="382" w:name="_Toc17413"/>
      <w:bookmarkStart w:id="383" w:name="_Toc4478"/>
      <w:bookmarkStart w:id="384" w:name="_Toc1622560663"/>
      <w:bookmarkStart w:id="385" w:name="_Toc860840079"/>
      <w:bookmarkStart w:id="386" w:name="_Toc1909861812"/>
      <w:bookmarkStart w:id="387" w:name="_Toc2851"/>
      <w:bookmarkStart w:id="388" w:name="_Toc17897"/>
      <w:bookmarkStart w:id="389" w:name="_Toc28499"/>
      <w:bookmarkStart w:id="390" w:name="_Toc5908"/>
      <w:r>
        <w:rPr>
          <w:rFonts w:hint="eastAsia" w:ascii="Times New Roman" w:hAnsi="Times New Roman" w:eastAsia="方正楷体_GBK" w:cs="Times New Roman"/>
          <w:color w:val="auto"/>
          <w:sz w:val="32"/>
          <w:szCs w:val="32"/>
          <w:highlight w:val="none"/>
        </w:rPr>
        <w:br w:type="page"/>
      </w:r>
    </w:p>
    <w:p w14:paraId="0B884B60">
      <w:pPr>
        <w:adjustRightInd w:val="0"/>
        <w:snapToGrid w:val="0"/>
        <w:spacing w:line="600" w:lineRule="exact"/>
        <w:jc w:val="center"/>
        <w:outlineLvl w:val="2"/>
        <w:rPr>
          <w:rFonts w:hint="eastAsia" w:ascii="方正仿宋_GBK" w:hAnsi="方正仿宋_GBK" w:eastAsia="方正仿宋_GBK" w:cs="方正仿宋_GBK"/>
          <w:color w:val="auto"/>
          <w:sz w:val="32"/>
          <w:szCs w:val="32"/>
          <w:highlight w:val="none"/>
        </w:rPr>
      </w:pPr>
      <w:r>
        <w:rPr>
          <w:rFonts w:hint="eastAsia" w:ascii="Times New Roman" w:hAnsi="Times New Roman" w:eastAsia="方正楷体_GBK" w:cs="Times New Roman"/>
          <w:color w:val="auto"/>
          <w:sz w:val="32"/>
          <w:szCs w:val="32"/>
          <w:highlight w:val="none"/>
        </w:rPr>
        <w:t>第</w:t>
      </w:r>
      <w:r>
        <w:rPr>
          <w:rFonts w:hint="eastAsia" w:ascii="Times New Roman" w:hAnsi="Times New Roman" w:eastAsia="方正楷体_GBK" w:cs="Times New Roman"/>
          <w:color w:val="auto"/>
          <w:sz w:val="32"/>
          <w:szCs w:val="32"/>
          <w:highlight w:val="none"/>
          <w:lang w:val="en-US" w:eastAsia="zh-CN"/>
        </w:rPr>
        <w:t>三</w:t>
      </w:r>
      <w:r>
        <w:rPr>
          <w:rFonts w:hint="eastAsia" w:ascii="Times New Roman" w:hAnsi="Times New Roman" w:eastAsia="方正楷体_GBK" w:cs="Times New Roman"/>
          <w:color w:val="auto"/>
          <w:sz w:val="32"/>
          <w:szCs w:val="32"/>
          <w:highlight w:val="none"/>
        </w:rPr>
        <w:t xml:space="preserve">节 </w:t>
      </w:r>
      <w:r>
        <w:rPr>
          <w:rFonts w:hint="eastAsia" w:ascii="Times New Roman" w:hAnsi="Times New Roman" w:eastAsia="方正楷体_GBK" w:cs="Times New Roman"/>
          <w:color w:val="auto"/>
          <w:sz w:val="32"/>
          <w:highlight w:val="none"/>
        </w:rPr>
        <w:t>建设青年</w:t>
      </w:r>
      <w:r>
        <w:rPr>
          <w:rFonts w:hint="eastAsia" w:ascii="Times New Roman" w:hAnsi="Times New Roman" w:eastAsia="方正楷体_GBK" w:cs="Times New Roman"/>
          <w:color w:val="auto"/>
          <w:sz w:val="32"/>
          <w:highlight w:val="none"/>
          <w:lang w:val="en-US" w:eastAsia="zh-CN"/>
        </w:rPr>
        <w:t>创新创业</w:t>
      </w:r>
      <w:r>
        <w:rPr>
          <w:rFonts w:hint="eastAsia" w:ascii="Times New Roman" w:hAnsi="Times New Roman" w:eastAsia="方正楷体_GBK" w:cs="Times New Roman"/>
          <w:color w:val="auto"/>
          <w:sz w:val="32"/>
          <w:highlight w:val="none"/>
        </w:rPr>
        <w:t>友好型城市</w:t>
      </w:r>
      <w:bookmarkEnd w:id="381"/>
      <w:bookmarkEnd w:id="382"/>
      <w:bookmarkEnd w:id="383"/>
      <w:bookmarkEnd w:id="384"/>
      <w:bookmarkEnd w:id="385"/>
      <w:bookmarkEnd w:id="386"/>
      <w:bookmarkEnd w:id="387"/>
      <w:bookmarkEnd w:id="388"/>
      <w:bookmarkEnd w:id="389"/>
      <w:bookmarkEnd w:id="390"/>
      <w:bookmarkStart w:id="391" w:name="_Toc541877914"/>
      <w:bookmarkStart w:id="392" w:name="_Toc4770"/>
      <w:bookmarkStart w:id="393" w:name="_Toc12375"/>
      <w:bookmarkStart w:id="394" w:name="_Toc27517"/>
    </w:p>
    <w:p w14:paraId="1068974A">
      <w:pPr>
        <w:overflowPunct w:val="0"/>
        <w:adjustRightInd w:val="0"/>
        <w:snapToGrid w:val="0"/>
        <w:spacing w:line="600" w:lineRule="exact"/>
        <w:ind w:firstLine="640" w:firstLineChars="200"/>
        <w:textAlignment w:val="baseline"/>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rPr>
        <w:t>坚持“学在大学城，留在科学城”理念，</w:t>
      </w:r>
      <w:r>
        <w:rPr>
          <w:rFonts w:hint="eastAsia" w:ascii="Times New Roman" w:hAnsi="Times New Roman" w:eastAsia="方正仿宋_GBK" w:cs="Times New Roman"/>
          <w:color w:val="auto"/>
          <w:sz w:val="32"/>
          <w:szCs w:val="32"/>
          <w:highlight w:val="none"/>
          <w:lang w:val="en-US" w:eastAsia="zh-CN"/>
        </w:rPr>
        <w:t>以</w:t>
      </w:r>
      <w:r>
        <w:rPr>
          <w:rFonts w:hint="eastAsia" w:ascii="Times New Roman" w:hAnsi="Times New Roman" w:eastAsia="方正仿宋_GBK" w:cs="Times New Roman"/>
          <w:color w:val="auto"/>
          <w:sz w:val="32"/>
          <w:szCs w:val="32"/>
          <w:highlight w:val="none"/>
        </w:rPr>
        <w:t>“市场+保障”双轮驱动</w:t>
      </w:r>
      <w:r>
        <w:rPr>
          <w:rFonts w:hint="eastAsia" w:ascii="Times New Roman" w:hAnsi="Times New Roman" w:eastAsia="方正仿宋_GBK" w:cs="Times New Roman"/>
          <w:color w:val="auto"/>
          <w:sz w:val="32"/>
          <w:szCs w:val="32"/>
          <w:highlight w:val="none"/>
          <w:lang w:val="en-US" w:eastAsia="zh-CN"/>
        </w:rPr>
        <w:t>为牵引</w:t>
      </w:r>
      <w:r>
        <w:rPr>
          <w:rFonts w:hint="eastAsia" w:ascii="Times New Roman" w:hAnsi="Times New Roman" w:eastAsia="方正仿宋_GBK" w:cs="Times New Roman"/>
          <w:color w:val="auto"/>
          <w:sz w:val="32"/>
          <w:szCs w:val="32"/>
          <w:highlight w:val="none"/>
        </w:rPr>
        <w:t>，</w:t>
      </w:r>
      <w:r>
        <w:rPr>
          <w:rFonts w:hint="eastAsia" w:ascii="Times New Roman" w:hAnsi="Times New Roman" w:eastAsia="方正仿宋_GBK" w:cs="Times New Roman"/>
          <w:color w:val="auto"/>
          <w:sz w:val="32"/>
          <w:szCs w:val="32"/>
          <w:highlight w:val="none"/>
          <w:lang w:val="en-US" w:eastAsia="zh-CN"/>
        </w:rPr>
        <w:t>推动青年发展全周期服务与城市功能深度融合。</w:t>
      </w:r>
      <w:r>
        <w:rPr>
          <w:rFonts w:hint="eastAsia" w:ascii="Times New Roman" w:hAnsi="Times New Roman" w:eastAsia="方正仿宋_GBK" w:cs="Times New Roman"/>
          <w:color w:val="auto"/>
          <w:sz w:val="32"/>
          <w:szCs w:val="32"/>
          <w:highlight w:val="none"/>
        </w:rPr>
        <w:t>针对科学家、技术专家等高端人才，推动凤栖湖北侧、环寨山坪周边等区域现代社区建设。针对“新市民、青年人”和产业工人，</w:t>
      </w:r>
      <w:r>
        <w:rPr>
          <w:rFonts w:hint="eastAsia" w:eastAsia="方正仿宋_GBK"/>
          <w:sz w:val="32"/>
          <w:szCs w:val="32"/>
          <w:highlight w:val="none"/>
          <w:u w:val="none" w:color="auto"/>
          <w:lang w:val="en-US" w:eastAsia="zh-CN"/>
        </w:rPr>
        <w:t>在</w:t>
      </w:r>
      <w:r>
        <w:rPr>
          <w:rFonts w:eastAsia="方正仿宋_GBK"/>
          <w:sz w:val="32"/>
          <w:szCs w:val="32"/>
          <w:highlight w:val="none"/>
          <w:u w:val="none" w:color="auto"/>
        </w:rPr>
        <w:t>轨道站点、创新平台等</w:t>
      </w:r>
      <w:r>
        <w:rPr>
          <w:rFonts w:hint="eastAsia" w:eastAsia="方正仿宋_GBK"/>
          <w:sz w:val="32"/>
          <w:szCs w:val="32"/>
          <w:highlight w:val="none"/>
          <w:u w:val="none" w:color="auto"/>
          <w:lang w:val="en-US" w:eastAsia="zh-CN"/>
        </w:rPr>
        <w:t>周边</w:t>
      </w:r>
      <w:r>
        <w:rPr>
          <w:rFonts w:eastAsia="方正仿宋_GBK"/>
          <w:sz w:val="32"/>
          <w:szCs w:val="32"/>
          <w:highlight w:val="none"/>
          <w:u w:val="none" w:color="auto"/>
        </w:rPr>
        <w:t>布局建设人才公寓</w:t>
      </w:r>
      <w:r>
        <w:rPr>
          <w:rFonts w:hint="eastAsia" w:eastAsia="方正仿宋_GBK"/>
          <w:sz w:val="32"/>
          <w:szCs w:val="32"/>
          <w:highlight w:val="none"/>
          <w:u w:val="none" w:color="auto"/>
          <w:lang w:eastAsia="zh-CN"/>
        </w:rPr>
        <w:t>，</w:t>
      </w:r>
      <w:r>
        <w:rPr>
          <w:rFonts w:eastAsia="方正仿宋_GBK"/>
          <w:sz w:val="32"/>
          <w:szCs w:val="32"/>
          <w:highlight w:val="none"/>
          <w:u w:val="none" w:color="auto"/>
        </w:rPr>
        <w:t>采用</w:t>
      </w:r>
      <w:r>
        <w:rPr>
          <w:rFonts w:hint="eastAsia" w:eastAsia="方正仿宋_GBK"/>
          <w:sz w:val="32"/>
          <w:szCs w:val="32"/>
          <w:highlight w:val="none"/>
          <w:u w:val="none" w:color="auto"/>
        </w:rPr>
        <w:t>“</w:t>
      </w:r>
      <w:r>
        <w:rPr>
          <w:rFonts w:eastAsia="方正仿宋_GBK"/>
          <w:sz w:val="32"/>
          <w:szCs w:val="32"/>
          <w:highlight w:val="none"/>
          <w:u w:val="none" w:color="auto"/>
        </w:rPr>
        <w:t>小微改造</w:t>
      </w:r>
      <w:r>
        <w:rPr>
          <w:rFonts w:hint="eastAsia" w:ascii="Times New Roman" w:hAnsi="Times New Roman" w:eastAsia="方正仿宋_GBK" w:cs="Times New Roman"/>
          <w:color w:val="auto"/>
          <w:sz w:val="32"/>
          <w:szCs w:val="32"/>
          <w:highlight w:val="none"/>
          <w:lang w:val="en-US" w:eastAsia="zh-CN"/>
        </w:rPr>
        <w:t>+</w:t>
      </w:r>
      <w:r>
        <w:rPr>
          <w:rFonts w:eastAsia="方正仿宋_GBK"/>
          <w:sz w:val="32"/>
          <w:szCs w:val="32"/>
          <w:highlight w:val="none"/>
          <w:u w:val="none" w:color="auto"/>
        </w:rPr>
        <w:t>功能植入</w:t>
      </w:r>
      <w:r>
        <w:rPr>
          <w:rFonts w:hint="eastAsia" w:eastAsia="方正仿宋_GBK"/>
          <w:sz w:val="32"/>
          <w:szCs w:val="32"/>
          <w:highlight w:val="none"/>
          <w:u w:val="none" w:color="auto"/>
        </w:rPr>
        <w:t>”</w:t>
      </w:r>
      <w:r>
        <w:rPr>
          <w:rFonts w:eastAsia="方正仿宋_GBK"/>
          <w:sz w:val="32"/>
          <w:szCs w:val="32"/>
          <w:highlight w:val="none"/>
          <w:u w:val="none" w:color="auto"/>
        </w:rPr>
        <w:t>模式，配套完善无人超市、便民便利店、城市书房等公共服务设施，</w:t>
      </w:r>
      <w:r>
        <w:rPr>
          <w:rFonts w:hint="eastAsia" w:eastAsia="方正仿宋_GBK"/>
          <w:sz w:val="32"/>
          <w:szCs w:val="32"/>
          <w:highlight w:val="none"/>
          <w:u w:val="none" w:color="auto"/>
        </w:rPr>
        <w:t>建设青年发展型园区、社区、街区</w:t>
      </w:r>
      <w:r>
        <w:rPr>
          <w:rFonts w:hint="eastAsia" w:eastAsia="方正仿宋_GBK"/>
          <w:sz w:val="32"/>
          <w:szCs w:val="32"/>
          <w:highlight w:val="none"/>
          <w:u w:val="none" w:color="auto"/>
          <w:lang w:eastAsia="zh-CN"/>
        </w:rPr>
        <w:t>。</w:t>
      </w:r>
      <w:r>
        <w:rPr>
          <w:rFonts w:hint="eastAsia" w:ascii="Times New Roman" w:hAnsi="Times New Roman" w:eastAsia="方正仿宋_GBK" w:cs="Times New Roman"/>
          <w:color w:val="auto"/>
          <w:sz w:val="32"/>
          <w:szCs w:val="32"/>
          <w:highlight w:val="none"/>
        </w:rPr>
        <w:t>优化保障性租赁住房供给，提供人才公寓、产业园区配套宿舍、</w:t>
      </w:r>
      <w:r>
        <w:rPr>
          <w:rFonts w:hint="eastAsia" w:ascii="Times New Roman" w:hAnsi="Times New Roman" w:eastAsia="方正仿宋_GBK" w:cs="Times New Roman"/>
          <w:color w:val="auto"/>
          <w:sz w:val="32"/>
          <w:szCs w:val="32"/>
          <w:highlight w:val="none"/>
          <w:lang w:val="en-US" w:eastAsia="zh-CN"/>
        </w:rPr>
        <w:t>公寓</w:t>
      </w:r>
      <w:r>
        <w:rPr>
          <w:rFonts w:hint="eastAsia" w:ascii="Times New Roman" w:hAnsi="Times New Roman" w:eastAsia="方正仿宋_GBK" w:cs="Times New Roman"/>
          <w:color w:val="auto"/>
          <w:sz w:val="32"/>
          <w:szCs w:val="32"/>
          <w:highlight w:val="none"/>
        </w:rPr>
        <w:t>等多元房源类型，提质扩面青年公寓、青年人才驿站等项目，满足青年多层次住房需求与刚性保障需求。落实“金凤凰”“新凤人才”等人才政策，加大</w:t>
      </w:r>
      <w:r>
        <w:rPr>
          <w:rFonts w:hint="eastAsia" w:ascii="Times New Roman" w:hAnsi="Times New Roman" w:eastAsia="方正仿宋_GBK" w:cs="Times New Roman"/>
          <w:color w:val="auto"/>
          <w:sz w:val="32"/>
          <w:szCs w:val="32"/>
          <w:highlight w:val="none"/>
          <w:lang w:val="en-US" w:eastAsia="zh-CN"/>
        </w:rPr>
        <w:t>免费创业场所、项目资金资助等</w:t>
      </w:r>
      <w:r>
        <w:rPr>
          <w:rFonts w:hint="eastAsia" w:ascii="Times New Roman" w:hAnsi="Times New Roman" w:eastAsia="方正仿宋_GBK" w:cs="Times New Roman"/>
          <w:color w:val="auto"/>
          <w:sz w:val="32"/>
          <w:szCs w:val="32"/>
          <w:highlight w:val="none"/>
        </w:rPr>
        <w:t>青年创新创业扶持。深化“两城融合”高校毕业生就业创业服务，持续开展“青创夜市”“青创夜校”服务行动，搭建青年就业创业服务综合体平台，</w:t>
      </w:r>
      <w:r>
        <w:rPr>
          <w:rFonts w:hint="eastAsia" w:ascii="方正仿宋_GBK" w:hAnsi="方正仿宋_GBK" w:eastAsia="方正仿宋_GBK" w:cs="方正仿宋_GBK"/>
          <w:color w:val="auto"/>
          <w:sz w:val="32"/>
          <w:szCs w:val="32"/>
          <w:highlight w:val="none"/>
        </w:rPr>
        <w:t>滚动实施“我为青年办实事”项目。</w:t>
      </w:r>
      <w:r>
        <w:rPr>
          <w:rFonts w:hint="eastAsia" w:ascii="Times New Roman" w:hAnsi="Times New Roman" w:eastAsia="方正仿宋_GBK" w:cs="Times New Roman"/>
          <w:color w:val="auto"/>
          <w:sz w:val="32"/>
          <w:szCs w:val="32"/>
          <w:highlight w:val="none"/>
        </w:rPr>
        <w:t>大力培育软件</w:t>
      </w:r>
      <w:r>
        <w:rPr>
          <w:rFonts w:hint="eastAsia" w:ascii="Times New Roman" w:hAnsi="Times New Roman" w:eastAsia="方正仿宋_GBK" w:cs="Times New Roman"/>
          <w:color w:val="auto"/>
          <w:sz w:val="32"/>
          <w:szCs w:val="32"/>
          <w:highlight w:val="none"/>
          <w:lang w:val="en-US" w:eastAsia="zh-CN"/>
        </w:rPr>
        <w:t>和</w:t>
      </w:r>
      <w:r>
        <w:rPr>
          <w:rFonts w:hint="eastAsia" w:ascii="Times New Roman" w:hAnsi="Times New Roman" w:eastAsia="方正仿宋_GBK" w:cs="Times New Roman"/>
          <w:color w:val="auto"/>
          <w:sz w:val="32"/>
          <w:szCs w:val="32"/>
          <w:highlight w:val="none"/>
        </w:rPr>
        <w:t>信息服务、数字文创等青年喜爱的就业形态，鼓励发展“一人公司”、青春小店、共享办公室、科技型企业孵化器、青创园区等创新创业平台。紧扣重点产业链发展需求，推动校企合作共建实训基地，强化实践教学与产业需求精准对接。探索举办多功能多样化全时段活动，发展夜经济、潮经济，打造24小时城市社交目的地。到2030年，每年吸引青年留渝来渝在区就业创业1.5万人，提供人才公寓7000套，打造现代社区5个，完整社区覆盖率达80%，职住平衡比达0.7:1。</w:t>
      </w:r>
    </w:p>
    <w:p w14:paraId="14B97DC7">
      <w:pPr>
        <w:numPr>
          <w:ilvl w:val="-1"/>
          <w:numId w:val="0"/>
        </w:numPr>
        <w:overflowPunct/>
        <w:adjustRightInd w:val="0"/>
        <w:snapToGrid w:val="0"/>
        <w:spacing w:line="600" w:lineRule="exact"/>
        <w:ind w:firstLine="640" w:firstLineChars="200"/>
        <w:jc w:val="left"/>
        <w:textAlignment w:val="baseline"/>
        <w:outlineLvl w:val="9"/>
        <w:rPr>
          <w:rFonts w:hint="eastAsia" w:ascii="Times New Roman" w:hAnsi="Times New Roman" w:eastAsia="方正仿宋_GBK" w:cs="Times New Roman"/>
          <w:bCs w:val="0"/>
          <w:color w:val="auto"/>
          <w:sz w:val="32"/>
          <w:szCs w:val="32"/>
          <w:highlight w:val="none"/>
          <w:lang w:val="en-US" w:eastAsia="zh-CN"/>
        </w:rPr>
      </w:pPr>
      <w:bookmarkStart w:id="395" w:name="_Toc17431"/>
      <w:bookmarkStart w:id="396" w:name="_Toc15430"/>
      <w:bookmarkStart w:id="397" w:name="OLE_LINK7"/>
      <w:bookmarkStart w:id="398" w:name="_Toc20914"/>
      <w:bookmarkStart w:id="399" w:name="_Toc609402575"/>
      <w:bookmarkStart w:id="400" w:name="_Toc9089"/>
      <w:bookmarkStart w:id="401" w:name="_Toc1629713435"/>
    </w:p>
    <w:p w14:paraId="2864709C">
      <w:pPr>
        <w:numPr>
          <w:ilvl w:val="-1"/>
          <w:numId w:val="0"/>
        </w:numPr>
        <w:overflowPunct w:val="0"/>
        <w:adjustRightInd w:val="0"/>
        <w:snapToGrid w:val="0"/>
        <w:spacing w:line="600" w:lineRule="exact"/>
        <w:jc w:val="center"/>
        <w:outlineLvl w:val="1"/>
        <w:rPr>
          <w:rFonts w:ascii="Times New Roman" w:hAnsi="Times New Roman" w:eastAsia="方正黑体_GBK" w:cs="Times New Roman"/>
          <w:bCs/>
          <w:color w:val="auto"/>
          <w:sz w:val="32"/>
          <w:szCs w:val="32"/>
          <w:highlight w:val="none"/>
        </w:rPr>
      </w:pPr>
      <w:r>
        <w:rPr>
          <w:rFonts w:hint="eastAsia" w:ascii="Times New Roman" w:hAnsi="Times New Roman" w:eastAsia="方正黑体_GBK" w:cs="Times New Roman"/>
          <w:bCs/>
          <w:color w:val="auto"/>
          <w:sz w:val="32"/>
          <w:szCs w:val="32"/>
          <w:highlight w:val="none"/>
          <w:lang w:val="en-US" w:eastAsia="zh-CN"/>
        </w:rPr>
        <w:t xml:space="preserve">第三章 </w:t>
      </w:r>
      <w:r>
        <w:rPr>
          <w:rFonts w:hint="default" w:ascii="Times New Roman" w:hAnsi="Times New Roman" w:eastAsia="方正黑体_GBK" w:cs="Times New Roman"/>
          <w:bCs/>
          <w:color w:val="auto"/>
          <w:sz w:val="32"/>
          <w:szCs w:val="32"/>
          <w:highlight w:val="none"/>
        </w:rPr>
        <w:t>建设舒适便利的宜居</w:t>
      </w:r>
      <w:r>
        <w:rPr>
          <w:rFonts w:ascii="Times New Roman" w:hAnsi="Times New Roman" w:eastAsia="方正黑体_GBK" w:cs="Times New Roman"/>
          <w:bCs/>
          <w:color w:val="auto"/>
          <w:sz w:val="32"/>
          <w:szCs w:val="32"/>
          <w:highlight w:val="none"/>
        </w:rPr>
        <w:t>城市</w:t>
      </w:r>
      <w:bookmarkEnd w:id="391"/>
      <w:bookmarkEnd w:id="392"/>
      <w:bookmarkEnd w:id="393"/>
      <w:bookmarkEnd w:id="394"/>
      <w:bookmarkEnd w:id="395"/>
      <w:bookmarkEnd w:id="396"/>
      <w:bookmarkEnd w:id="397"/>
      <w:bookmarkEnd w:id="398"/>
      <w:bookmarkEnd w:id="399"/>
      <w:bookmarkEnd w:id="400"/>
      <w:bookmarkEnd w:id="401"/>
    </w:p>
    <w:p w14:paraId="131A07EE">
      <w:pPr>
        <w:widowControl/>
        <w:adjustRightInd w:val="0"/>
        <w:snapToGrid w:val="0"/>
        <w:spacing w:line="600" w:lineRule="exact"/>
        <w:ind w:firstLine="640" w:firstLineChars="200"/>
        <w:jc w:val="left"/>
        <w:outlineLvl w:val="9"/>
        <w:rPr>
          <w:rFonts w:hint="eastAsia" w:ascii="Times New Roman" w:hAnsi="Times New Roman" w:eastAsia="方正楷体_GBK" w:cs="Times New Roman"/>
          <w:color w:val="auto"/>
          <w:sz w:val="32"/>
          <w:highlight w:val="none"/>
        </w:rPr>
      </w:pPr>
      <w:bookmarkStart w:id="402" w:name="_Toc19915"/>
      <w:bookmarkStart w:id="403" w:name="_Toc4253"/>
      <w:bookmarkStart w:id="404" w:name="_Toc2011437318"/>
      <w:bookmarkStart w:id="405" w:name="_Toc20014"/>
      <w:bookmarkStart w:id="406" w:name="_Toc10573"/>
      <w:bookmarkStart w:id="407" w:name="_Toc26613"/>
      <w:r>
        <w:rPr>
          <w:rFonts w:hint="eastAsia" w:ascii="Times New Roman" w:hAnsi="Times New Roman" w:eastAsia="方正仿宋_GBK" w:cs="Times New Roman"/>
          <w:color w:val="auto"/>
          <w:sz w:val="32"/>
          <w:szCs w:val="32"/>
          <w:highlight w:val="none"/>
        </w:rPr>
        <w:t>坚持人口、产业、城镇、交通一体规划，统筹构建现代化综合交通体系，优化配置公共服务资源，健全多层次社会保障体系，全方位提升城市综合服务效能，持续增进民生福祉。</w:t>
      </w:r>
      <w:bookmarkStart w:id="408" w:name="_Toc13869"/>
      <w:bookmarkStart w:id="409" w:name="_Toc5317"/>
      <w:bookmarkStart w:id="410" w:name="_Toc879565482"/>
      <w:bookmarkStart w:id="411" w:name="_Toc1587268207"/>
      <w:bookmarkStart w:id="412" w:name="_Toc18716"/>
      <w:bookmarkStart w:id="413" w:name="_Toc7575"/>
    </w:p>
    <w:p w14:paraId="44502764">
      <w:pPr>
        <w:adjustRightInd w:val="0"/>
        <w:snapToGrid w:val="0"/>
        <w:spacing w:line="600" w:lineRule="exact"/>
        <w:jc w:val="center"/>
        <w:outlineLvl w:val="2"/>
        <w:rPr>
          <w:rFonts w:ascii="Times New Roman" w:hAnsi="Times New Roman" w:eastAsia="方正楷体_GBK" w:cs="Times New Roman"/>
          <w:color w:val="auto"/>
          <w:sz w:val="32"/>
          <w:highlight w:val="none"/>
        </w:rPr>
      </w:pPr>
      <w:r>
        <w:rPr>
          <w:rFonts w:hint="eastAsia" w:ascii="Times New Roman" w:hAnsi="Times New Roman" w:eastAsia="方正楷体_GBK" w:cs="Times New Roman"/>
          <w:color w:val="auto"/>
          <w:sz w:val="32"/>
          <w:highlight w:val="none"/>
        </w:rPr>
        <w:t>第一节 构建现代化综合交通体系</w:t>
      </w:r>
      <w:bookmarkEnd w:id="402"/>
      <w:bookmarkEnd w:id="408"/>
      <w:bookmarkEnd w:id="409"/>
      <w:bookmarkEnd w:id="410"/>
      <w:bookmarkEnd w:id="411"/>
      <w:bookmarkEnd w:id="412"/>
      <w:bookmarkEnd w:id="413"/>
    </w:p>
    <w:p w14:paraId="79ED77E3">
      <w:pPr>
        <w:widowControl/>
        <w:adjustRightInd w:val="0"/>
        <w:snapToGrid w:val="0"/>
        <w:spacing w:line="600" w:lineRule="exact"/>
        <w:ind w:firstLine="640" w:firstLineChars="200"/>
        <w:rPr>
          <w:rFonts w:hint="eastAsia"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加快“四快六普”轨道交通网络建设，提速推进15号线二期、27号线、17号线一期、7号线一期等轨道交通贯通，开展轨道4号线西延伸段二期、19号线等前期工作，全面提升轨道服务覆盖率，实现内部南北轨道贯通以及与中部槽谷、东部槽谷快速轨道直连。完善“六横六纵两环”骨架路网，加快科技大道等跨区域骨架道路建设，协同完善科学会堂、科学谷等片区周边次支道路系统。加快贯通穿山隧道，推动科学城隧道、白市驿隧道2座在建隧道加快投用，争取西永隧道纳入市级重大项目开工建设，增强中西槽谷畅联程度。完善“轨道+公交+慢行”换乘接驳系统，改善站点接驳常规公交、（电动）自行车、步行系统和环境条件，提升换乘便捷性和舒适性。到2030年，轨道运营线路达72公里，新增道路里程100公里，建成通车道路里程864公里，路网密度达5.5千米/平方千米，隧道通行能力提升至6.9万</w:t>
      </w:r>
      <w:r>
        <w:rPr>
          <w:rFonts w:hint="eastAsia" w:ascii="Times New Roman" w:hAnsi="Times New Roman" w:eastAsia="方正仿宋_GBK" w:cs="Times New Roman"/>
          <w:b w:val="0"/>
          <w:bCs w:val="0"/>
          <w:i w:val="0"/>
          <w:iCs w:val="0"/>
          <w:caps w:val="0"/>
          <w:color w:val="auto"/>
          <w:spacing w:val="0"/>
          <w:sz w:val="32"/>
          <w:szCs w:val="32"/>
          <w:highlight w:val="none"/>
          <w:shd w:val="clear"/>
        </w:rPr>
        <w:t>当量标准小客车/小时</w:t>
      </w:r>
      <w:r>
        <w:rPr>
          <w:rFonts w:hint="eastAsia" w:ascii="Times New Roman" w:hAnsi="Times New Roman" w:eastAsia="方正仿宋_GBK" w:cs="Times New Roman"/>
          <w:color w:val="auto"/>
          <w:sz w:val="32"/>
          <w:szCs w:val="32"/>
          <w:highlight w:val="none"/>
        </w:rPr>
        <w:t>，穿山隧道增加至</w:t>
      </w:r>
      <w:r>
        <w:rPr>
          <w:rFonts w:ascii="Times New Roman" w:hAnsi="Times New Roman" w:eastAsia="方正仿宋_GBK" w:cs="Times New Roman"/>
          <w:color w:val="auto"/>
          <w:sz w:val="32"/>
          <w:szCs w:val="32"/>
          <w:highlight w:val="none"/>
        </w:rPr>
        <w:t>11</w:t>
      </w:r>
      <w:r>
        <w:rPr>
          <w:rFonts w:hint="eastAsia" w:ascii="Times New Roman" w:hAnsi="Times New Roman" w:eastAsia="方正仿宋_GBK" w:cs="Times New Roman"/>
          <w:color w:val="auto"/>
          <w:sz w:val="32"/>
          <w:szCs w:val="32"/>
          <w:highlight w:val="none"/>
        </w:rPr>
        <w:t>座。</w:t>
      </w:r>
    </w:p>
    <w:p w14:paraId="31E87BDD">
      <w:pPr>
        <w:widowControl/>
        <w:overflowPunct w:val="0"/>
        <w:jc w:val="center"/>
        <w:rPr>
          <w:rFonts w:hint="eastAsia" w:ascii="Times New Roman" w:hAnsi="Times New Roman" w:eastAsia="方正黑体_GBK" w:cs="方正黑体_GBK"/>
          <w:color w:val="auto"/>
          <w:kern w:val="0"/>
          <w:sz w:val="32"/>
          <w:szCs w:val="32"/>
          <w:highlight w:val="none"/>
          <w:u w:val="none"/>
          <w:lang w:bidi="ar"/>
        </w:rPr>
      </w:pPr>
      <w:r>
        <w:rPr>
          <w:rFonts w:hint="eastAsia" w:ascii="Times New Roman" w:hAnsi="Times New Roman" w:eastAsia="方正黑体_GBK" w:cs="方正黑体_GBK"/>
          <w:color w:val="auto"/>
          <w:kern w:val="0"/>
          <w:sz w:val="32"/>
          <w:szCs w:val="32"/>
          <w:highlight w:val="none"/>
          <w:u w:val="none"/>
          <w:lang w:bidi="ar"/>
        </w:rPr>
        <w:t>专栏2</w:t>
      </w:r>
      <w:r>
        <w:rPr>
          <w:rFonts w:hint="eastAsia" w:ascii="Times New Roman" w:hAnsi="Times New Roman" w:eastAsia="方正黑体_GBK" w:cs="方正黑体_GBK"/>
          <w:color w:val="auto"/>
          <w:kern w:val="0"/>
          <w:sz w:val="32"/>
          <w:szCs w:val="32"/>
          <w:highlight w:val="none"/>
          <w:u w:val="none"/>
          <w:lang w:val="en-US" w:eastAsia="zh-CN" w:bidi="ar"/>
        </w:rPr>
        <w:t>3</w:t>
      </w:r>
      <w:r>
        <w:rPr>
          <w:rFonts w:hint="eastAsia" w:ascii="Times New Roman" w:hAnsi="Times New Roman" w:eastAsia="方正黑体_GBK" w:cs="方正黑体_GBK"/>
          <w:color w:val="auto"/>
          <w:kern w:val="0"/>
          <w:sz w:val="32"/>
          <w:szCs w:val="32"/>
          <w:highlight w:val="none"/>
          <w:u w:val="none"/>
          <w:lang w:bidi="ar"/>
        </w:rPr>
        <w:t xml:space="preserve"> 综合交通体系重点建设项目</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0"/>
      </w:tblGrid>
      <w:tr w14:paraId="67F33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0" w:type="dxa"/>
          </w:tcPr>
          <w:p w14:paraId="0DB4BEA1">
            <w:pPr>
              <w:pStyle w:val="38"/>
              <w:snapToGrid w:val="0"/>
              <w:spacing w:line="380" w:lineRule="exact"/>
              <w:ind w:firstLineChars="200"/>
              <w:rPr>
                <w:rFonts w:hint="eastAsia" w:ascii="Times New Roman" w:hAnsi="Times New Roman" w:eastAsia="方正书宋_GBK" w:cs="Times New Roman"/>
                <w:color w:val="auto"/>
                <w:kern w:val="0"/>
                <w:sz w:val="24"/>
                <w:highlight w:val="none"/>
                <w:u w:val="none"/>
                <w:lang w:bidi="ar-SA"/>
              </w:rPr>
            </w:pPr>
            <w:r>
              <w:rPr>
                <w:rFonts w:hint="eastAsia" w:ascii="Times New Roman" w:hAnsi="Times New Roman" w:eastAsia="方正黑体_GBK" w:cs="方正黑体_GBK"/>
                <w:color w:val="auto"/>
                <w:kern w:val="0"/>
                <w:sz w:val="24"/>
                <w:highlight w:val="none"/>
                <w:u w:val="none"/>
                <w:lang w:val="en-US" w:eastAsia="zh-CN" w:bidi="ar-SA"/>
              </w:rPr>
              <w:t>1</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城市轨道。</w:t>
            </w:r>
            <w:r>
              <w:rPr>
                <w:rFonts w:hint="eastAsia" w:ascii="Times New Roman" w:hAnsi="Times New Roman" w:eastAsia="方正书宋_GBK" w:cs="Times New Roman"/>
                <w:color w:val="auto"/>
                <w:kern w:val="0"/>
                <w:sz w:val="24"/>
                <w:highlight w:val="none"/>
                <w:u w:val="none"/>
                <w:lang w:bidi="ar-SA"/>
              </w:rPr>
              <w:t>4条轨道快线，包括3条在建轨道（15号线、27号线、市郊铁路C4线）、1条规划轨道（19号线）。6条轨道普线，包括2条现状轨道（1号线、江跳线）、2条在建轨道（7号线、17号线）、1条规划轨道（4号线）、1条远景轨道（29号线）。至2027年，15号线二期、27号线、17号线一期建成通车</w:t>
            </w:r>
            <w:r>
              <w:rPr>
                <w:rFonts w:hint="eastAsia" w:eastAsia="方正书宋_GBK" w:cs="Times New Roman"/>
                <w:color w:val="auto"/>
                <w:kern w:val="0"/>
                <w:sz w:val="24"/>
                <w:highlight w:val="none"/>
                <w:u w:val="none"/>
                <w:lang w:eastAsia="zh-CN" w:bidi="ar-SA"/>
              </w:rPr>
              <w:t>。</w:t>
            </w:r>
            <w:r>
              <w:rPr>
                <w:rFonts w:hint="eastAsia" w:ascii="Times New Roman" w:hAnsi="Times New Roman" w:eastAsia="方正书宋_GBK" w:cs="Times New Roman"/>
                <w:color w:val="auto"/>
                <w:kern w:val="0"/>
                <w:sz w:val="24"/>
                <w:highlight w:val="none"/>
                <w:u w:val="none"/>
                <w:lang w:bidi="ar-SA"/>
              </w:rPr>
              <w:t>至2028年，轨道7号线一期建成通车，轨道运营线路达6条</w:t>
            </w:r>
            <w:r>
              <w:rPr>
                <w:rFonts w:hint="eastAsia" w:eastAsia="方正书宋_GBK" w:cs="Times New Roman"/>
                <w:color w:val="auto"/>
                <w:kern w:val="0"/>
                <w:sz w:val="24"/>
                <w:highlight w:val="none"/>
                <w:u w:val="none"/>
                <w:lang w:eastAsia="zh-CN" w:bidi="ar-SA"/>
              </w:rPr>
              <w:t>、</w:t>
            </w:r>
            <w:r>
              <w:rPr>
                <w:rFonts w:hint="eastAsia" w:ascii="Times New Roman" w:hAnsi="Times New Roman" w:eastAsia="方正书宋_GBK" w:cs="Times New Roman"/>
                <w:color w:val="auto"/>
                <w:kern w:val="0"/>
                <w:sz w:val="24"/>
                <w:highlight w:val="none"/>
                <w:u w:val="none"/>
                <w:lang w:bidi="ar-SA"/>
              </w:rPr>
              <w:t>72公里。</w:t>
            </w:r>
          </w:p>
          <w:p w14:paraId="1E6F951D">
            <w:pPr>
              <w:pStyle w:val="38"/>
              <w:widowControl/>
              <w:overflowPunct w:val="0"/>
              <w:snapToGrid w:val="0"/>
              <w:spacing w:line="380" w:lineRule="exact"/>
              <w:ind w:firstLineChars="200"/>
              <w:jc w:val="left"/>
              <w:rPr>
                <w:rFonts w:hint="eastAsia" w:ascii="Times New Roman" w:hAnsi="Times New Roman" w:eastAsia="方正书宋_GBK" w:cs="Times New Roman"/>
                <w:color w:val="auto"/>
                <w:kern w:val="0"/>
                <w:sz w:val="24"/>
                <w:highlight w:val="none"/>
                <w:u w:val="none"/>
                <w:lang w:bidi="ar-SA"/>
              </w:rPr>
            </w:pPr>
            <w:r>
              <w:rPr>
                <w:rFonts w:hint="eastAsia" w:ascii="Times New Roman" w:hAnsi="Times New Roman" w:eastAsia="方正黑体_GBK" w:cs="方正黑体_GBK"/>
                <w:color w:val="auto"/>
                <w:kern w:val="0"/>
                <w:sz w:val="24"/>
                <w:highlight w:val="none"/>
                <w:u w:val="none"/>
                <w:lang w:val="en-US" w:eastAsia="zh-CN" w:bidi="ar-SA"/>
              </w:rPr>
              <w:t>2</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城市道路。</w:t>
            </w:r>
            <w:r>
              <w:rPr>
                <w:rFonts w:hint="eastAsia" w:ascii="Times New Roman" w:hAnsi="Times New Roman" w:eastAsia="方正书宋_GBK" w:cs="Times New Roman"/>
                <w:color w:val="auto"/>
                <w:kern w:val="0"/>
                <w:sz w:val="24"/>
                <w:highlight w:val="none"/>
                <w:u w:val="none"/>
                <w:lang w:bidi="ar-SA"/>
              </w:rPr>
              <w:t>推进科学大道二期、科技大道、新森大道、新宏大道、沿山大道、新州大道、新金大道等主要道路建设。开展虎峰路、地锦路、曾家“科研港”片区路网、金凤</w:t>
            </w:r>
            <w:r>
              <w:rPr>
                <w:rFonts w:hint="eastAsia" w:eastAsia="方正书宋_GBK" w:cs="Times New Roman"/>
                <w:color w:val="auto"/>
                <w:kern w:val="0"/>
                <w:sz w:val="24"/>
                <w:highlight w:val="none"/>
                <w:u w:val="none"/>
                <w:lang w:val="en-US" w:eastAsia="zh-CN" w:bidi="ar-SA"/>
              </w:rPr>
              <w:t>城市中心</w:t>
            </w:r>
            <w:r>
              <w:rPr>
                <w:rFonts w:hint="eastAsia" w:ascii="Times New Roman" w:hAnsi="Times New Roman" w:eastAsia="方正书宋_GBK" w:cs="Times New Roman"/>
                <w:color w:val="auto"/>
                <w:kern w:val="0"/>
                <w:sz w:val="24"/>
                <w:highlight w:val="none"/>
                <w:u w:val="none"/>
                <w:lang w:bidi="ar-SA"/>
              </w:rPr>
              <w:t>片区路网、科学中心配套道路等次支路加密项目。</w:t>
            </w:r>
          </w:p>
          <w:p w14:paraId="540E3438">
            <w:pPr>
              <w:pStyle w:val="38"/>
              <w:widowControl/>
              <w:overflowPunct w:val="0"/>
              <w:snapToGrid w:val="0"/>
              <w:spacing w:line="380" w:lineRule="exact"/>
              <w:ind w:firstLineChars="200"/>
              <w:jc w:val="left"/>
              <w:rPr>
                <w:rFonts w:hint="eastAsia" w:ascii="方正书宋_GBK" w:hAnsi="方正书宋_GBK" w:eastAsia="方正书宋_GBK" w:cs="方正书宋_GBK"/>
                <w:color w:val="auto"/>
                <w:sz w:val="24"/>
                <w:highlight w:val="none"/>
              </w:rPr>
            </w:pPr>
            <w:r>
              <w:rPr>
                <w:rFonts w:hint="eastAsia" w:ascii="Times New Roman" w:hAnsi="Times New Roman" w:eastAsia="方正黑体_GBK" w:cs="方正黑体_GBK"/>
                <w:color w:val="auto"/>
                <w:kern w:val="0"/>
                <w:sz w:val="24"/>
                <w:highlight w:val="none"/>
                <w:u w:val="none"/>
                <w:lang w:val="en-US" w:eastAsia="zh-CN" w:bidi="ar-SA"/>
              </w:rPr>
              <w:t>3</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穿山隧道。</w:t>
            </w:r>
            <w:r>
              <w:rPr>
                <w:rFonts w:hint="eastAsia" w:ascii="Times New Roman" w:hAnsi="Times New Roman" w:eastAsia="方正书宋_GBK" w:cs="Times New Roman"/>
                <w:color w:val="auto"/>
                <w:kern w:val="0"/>
                <w:sz w:val="24"/>
                <w:highlight w:val="none"/>
                <w:u w:val="none"/>
                <w:lang w:bidi="ar-SA"/>
              </w:rPr>
              <w:t>争取科学城隧道2026年完工通车，白市驿隧道202</w:t>
            </w:r>
            <w:r>
              <w:rPr>
                <w:rFonts w:hint="default" w:ascii="Times New Roman" w:hAnsi="Times New Roman" w:eastAsia="方正书宋_GBK" w:cs="Times New Roman"/>
                <w:color w:val="auto"/>
                <w:kern w:val="0"/>
                <w:sz w:val="24"/>
                <w:highlight w:val="none"/>
                <w:u w:val="none"/>
                <w:lang w:val="en-US" w:bidi="ar-SA"/>
              </w:rPr>
              <w:t>8</w:t>
            </w:r>
            <w:r>
              <w:rPr>
                <w:rFonts w:hint="eastAsia" w:ascii="Times New Roman" w:hAnsi="Times New Roman" w:eastAsia="方正书宋_GBK" w:cs="Times New Roman"/>
                <w:color w:val="auto"/>
                <w:kern w:val="0"/>
                <w:sz w:val="24"/>
                <w:highlight w:val="none"/>
                <w:u w:val="none"/>
                <w:lang w:bidi="ar-SA"/>
              </w:rPr>
              <w:t>年完工通车。到2030年，穿山隧道由9座增加至11座。</w:t>
            </w:r>
          </w:p>
        </w:tc>
      </w:tr>
      <w:bookmarkEnd w:id="403"/>
      <w:bookmarkEnd w:id="404"/>
      <w:bookmarkEnd w:id="405"/>
      <w:bookmarkEnd w:id="406"/>
      <w:bookmarkEnd w:id="407"/>
    </w:tbl>
    <w:p w14:paraId="68286016">
      <w:pPr>
        <w:adjustRightInd w:val="0"/>
        <w:snapToGrid w:val="0"/>
        <w:spacing w:line="600" w:lineRule="exact"/>
        <w:jc w:val="center"/>
        <w:outlineLvl w:val="2"/>
        <w:rPr>
          <w:rFonts w:ascii="Times New Roman" w:hAnsi="Times New Roman" w:eastAsia="方正仿宋_GBK" w:cs="方正仿宋_GBK"/>
          <w:color w:val="auto"/>
          <w:sz w:val="32"/>
          <w:szCs w:val="32"/>
          <w:highlight w:val="none"/>
        </w:rPr>
      </w:pPr>
      <w:bookmarkStart w:id="414" w:name="_Toc1922"/>
      <w:bookmarkStart w:id="415" w:name="_Toc28905"/>
      <w:bookmarkStart w:id="416" w:name="_Toc1727113673"/>
      <w:bookmarkStart w:id="417" w:name="_Toc17370"/>
      <w:bookmarkStart w:id="418" w:name="_Toc1174892015"/>
      <w:bookmarkStart w:id="419" w:name="_Toc20555"/>
      <w:bookmarkStart w:id="420" w:name="_Toc11780"/>
      <w:r>
        <w:rPr>
          <w:rFonts w:hint="eastAsia" w:ascii="Times New Roman" w:hAnsi="Times New Roman" w:eastAsia="方正楷体_GBK" w:cs="Times New Roman"/>
          <w:color w:val="auto"/>
          <w:sz w:val="32"/>
          <w:highlight w:val="none"/>
        </w:rPr>
        <w:t>第二节 建立多元优质公共服务体系</w:t>
      </w:r>
      <w:bookmarkEnd w:id="414"/>
      <w:bookmarkEnd w:id="415"/>
      <w:bookmarkEnd w:id="416"/>
      <w:bookmarkEnd w:id="417"/>
      <w:bookmarkEnd w:id="418"/>
      <w:bookmarkEnd w:id="419"/>
      <w:bookmarkEnd w:id="420"/>
    </w:p>
    <w:p w14:paraId="13660CE1">
      <w:pPr>
        <w:adjustRightInd w:val="0"/>
        <w:snapToGrid w:val="0"/>
        <w:spacing w:line="600" w:lineRule="exact"/>
        <w:ind w:firstLine="640" w:firstLineChars="200"/>
        <w:textAlignment w:val="baseline"/>
        <w:rPr>
          <w:rFonts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color w:val="auto"/>
          <w:sz w:val="32"/>
          <w:szCs w:val="32"/>
          <w:highlight w:val="none"/>
        </w:rPr>
        <w:t>紧扣城市人口发展趋势和需求差异，分区差异化布局基础教育设施，实现人口变化与基础教育设施动态匹配。有序推进北师大重庆科学城实验学校、西永L分区公立学校（暂定名）、曾家片区小学校（暂定名）等学校建设。完善教师专业发展支持体系，实施铸魂强师行动，推进强基培优工程，打造适应未来教育需求的卓越教师队伍。推进基础教育阶段数字教育建设，提升数字教育服务效能。深化教育综合改革，健全学校家庭社会协同育人机制，优化终身学习公共服务，构建全民终身学习型社会。到2030年，新增中小学3所，成功创建全国人工智能教育示范区，基本建成西部基础教育改革先行区。</w:t>
      </w:r>
    </w:p>
    <w:p w14:paraId="25726312">
      <w:pPr>
        <w:adjustRightInd w:val="0"/>
        <w:snapToGrid w:val="0"/>
        <w:spacing w:line="600" w:lineRule="exact"/>
        <w:ind w:firstLine="640" w:firstLineChars="200"/>
        <w:jc w:val="left"/>
        <w:textAlignment w:val="baseline"/>
        <w:rPr>
          <w:rFonts w:hint="eastAsia" w:ascii="Times New Roman" w:hAnsi="方正仿宋_GBK" w:eastAsia="方正仿宋_GBK" w:cs="方正仿宋_GBK"/>
          <w:color w:val="auto"/>
          <w:sz w:val="32"/>
          <w:szCs w:val="32"/>
          <w:highlight w:val="none"/>
        </w:rPr>
      </w:pPr>
      <w:r>
        <w:rPr>
          <w:rFonts w:hint="eastAsia" w:ascii="Times New Roman" w:hAnsi="Times New Roman" w:eastAsia="方正仿宋_GBK" w:cs="方正仿宋_GBK"/>
          <w:color w:val="auto"/>
          <w:sz w:val="32"/>
          <w:szCs w:val="32"/>
          <w:highlight w:val="none"/>
        </w:rPr>
        <w:t>打造“高校</w:t>
      </w:r>
      <w:r>
        <w:rPr>
          <w:rFonts w:hint="eastAsia" w:ascii="Times New Roman" w:hAnsi="Times New Roman" w:eastAsia="方正仿宋_GBK" w:cs="方正仿宋_GBK"/>
          <w:color w:val="auto"/>
          <w:sz w:val="32"/>
          <w:szCs w:val="32"/>
          <w:highlight w:val="none"/>
          <w:lang w:val="en-US" w:eastAsia="zh-CN"/>
        </w:rPr>
        <w:t>+</w:t>
      </w:r>
      <w:r>
        <w:rPr>
          <w:rFonts w:hint="eastAsia" w:ascii="Times New Roman" w:hAnsi="Times New Roman" w:eastAsia="方正仿宋_GBK" w:cs="方正仿宋_GBK"/>
          <w:color w:val="auto"/>
          <w:sz w:val="32"/>
          <w:szCs w:val="32"/>
          <w:highlight w:val="none"/>
        </w:rPr>
        <w:t>三甲医院</w:t>
      </w:r>
      <w:r>
        <w:rPr>
          <w:rFonts w:hint="eastAsia" w:ascii="Times New Roman" w:hAnsi="Times New Roman" w:eastAsia="方正仿宋_GBK" w:cs="方正仿宋_GBK"/>
          <w:color w:val="auto"/>
          <w:sz w:val="32"/>
          <w:szCs w:val="32"/>
          <w:highlight w:val="none"/>
          <w:lang w:val="en-US" w:eastAsia="zh-CN"/>
        </w:rPr>
        <w:t>+</w:t>
      </w:r>
      <w:r>
        <w:rPr>
          <w:rFonts w:hint="eastAsia" w:ascii="Times New Roman" w:hAnsi="Times New Roman" w:eastAsia="方正仿宋_GBK" w:cs="方正仿宋_GBK"/>
          <w:color w:val="auto"/>
          <w:sz w:val="32"/>
          <w:szCs w:val="32"/>
          <w:highlight w:val="none"/>
        </w:rPr>
        <w:t>基层医院”创新合作模式，持续推进重庆市第四人民医院科学城院区、重庆大学附属肿瘤医院科学城院区建设。</w:t>
      </w:r>
      <w:r>
        <w:rPr>
          <w:rFonts w:hint="eastAsia" w:ascii="Times New Roman" w:hAnsi="方正仿宋_GBK" w:eastAsia="方正仿宋_GBK" w:cs="方正仿宋_GBK"/>
          <w:color w:val="auto"/>
          <w:sz w:val="32"/>
          <w:szCs w:val="32"/>
          <w:highlight w:val="none"/>
        </w:rPr>
        <w:t>补齐公共卫生体系短板，进一步明晰高新区疾控机构职能定位和能力建设标准，优化疾控机构设置和人员配置，持续推进疾控体制机制创新，探索建立医防融合、平急结合工作模式。</w:t>
      </w:r>
      <w:r>
        <w:rPr>
          <w:rFonts w:hint="eastAsia" w:ascii="Times New Roman" w:hAnsi="Times New Roman" w:eastAsia="方正仿宋_GBK" w:cs="方正仿宋_GBK"/>
          <w:color w:val="auto"/>
          <w:sz w:val="32"/>
          <w:szCs w:val="32"/>
          <w:highlight w:val="none"/>
        </w:rPr>
        <w:t>提升优质医疗服务供给，</w:t>
      </w:r>
      <w:r>
        <w:rPr>
          <w:rFonts w:hint="eastAsia" w:ascii="Times New Roman" w:hAnsi="Times New Roman" w:eastAsia="方正仿宋_GBK" w:cs="Times New Roman"/>
          <w:color w:val="auto"/>
          <w:sz w:val="32"/>
          <w:szCs w:val="32"/>
          <w:highlight w:val="none"/>
        </w:rPr>
        <w:t>创建等级医院和市级重点专科、特色专科，提升区域医疗辐射带动能力。</w:t>
      </w:r>
      <w:r>
        <w:rPr>
          <w:rFonts w:hint="eastAsia" w:ascii="Times New Roman" w:hAnsi="方正仿宋_GBK" w:eastAsia="方正仿宋_GBK" w:cs="方正仿宋_GBK"/>
          <w:color w:val="auto"/>
          <w:sz w:val="32"/>
          <w:szCs w:val="32"/>
          <w:highlight w:val="none"/>
        </w:rPr>
        <w:t>开展数字健康高地建设，加强健康大数据开放共享和应用，优化区域医疗信息化系统，完善智慧医疗基础支撑体系和应急体系。到2030年，三级医院达到4个，二级医院达到4个，公立基层医疗机构达到10个。</w:t>
      </w:r>
    </w:p>
    <w:p w14:paraId="28E92EA0">
      <w:pPr>
        <w:widowControl/>
        <w:overflowPunct w:val="0"/>
        <w:jc w:val="center"/>
        <w:rPr>
          <w:rFonts w:hint="eastAsia" w:ascii="Times New Roman" w:hAnsi="Times New Roman" w:eastAsia="方正黑体_GBK" w:cs="方正黑体_GBK"/>
          <w:color w:val="auto"/>
          <w:kern w:val="0"/>
          <w:sz w:val="32"/>
          <w:szCs w:val="32"/>
          <w:highlight w:val="none"/>
          <w:u w:val="none"/>
          <w:lang w:bidi="ar"/>
        </w:rPr>
      </w:pPr>
      <w:r>
        <w:rPr>
          <w:rFonts w:hint="eastAsia" w:ascii="Times New Roman" w:hAnsi="Times New Roman" w:eastAsia="方正黑体_GBK" w:cs="方正黑体_GBK"/>
          <w:color w:val="auto"/>
          <w:kern w:val="0"/>
          <w:sz w:val="32"/>
          <w:szCs w:val="32"/>
          <w:highlight w:val="none"/>
          <w:u w:val="none"/>
          <w:lang w:bidi="ar"/>
        </w:rPr>
        <w:t>专栏2</w:t>
      </w:r>
      <w:r>
        <w:rPr>
          <w:rFonts w:hint="eastAsia" w:ascii="Times New Roman" w:hAnsi="Times New Roman" w:eastAsia="方正黑体_GBK" w:cs="方正黑体_GBK"/>
          <w:color w:val="auto"/>
          <w:kern w:val="0"/>
          <w:sz w:val="32"/>
          <w:szCs w:val="32"/>
          <w:highlight w:val="none"/>
          <w:u w:val="none"/>
          <w:lang w:val="en-US" w:eastAsia="zh-CN" w:bidi="ar"/>
        </w:rPr>
        <w:t>4</w:t>
      </w:r>
      <w:r>
        <w:rPr>
          <w:rFonts w:hint="eastAsia" w:ascii="Times New Roman" w:hAnsi="Times New Roman" w:eastAsia="方正黑体_GBK" w:cs="方正黑体_GBK"/>
          <w:color w:val="auto"/>
          <w:kern w:val="0"/>
          <w:sz w:val="32"/>
          <w:szCs w:val="32"/>
          <w:highlight w:val="none"/>
          <w:u w:val="none"/>
          <w:lang w:bidi="ar"/>
        </w:rPr>
        <w:t xml:space="preserve"> 教育医疗基础设施重点建设项目及进度计划</w:t>
      </w:r>
    </w:p>
    <w:tbl>
      <w:tblPr>
        <w:tblStyle w:val="22"/>
        <w:tblW w:w="9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0"/>
      </w:tblGrid>
      <w:tr w14:paraId="5A93E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190" w:type="dxa"/>
          </w:tcPr>
          <w:p w14:paraId="09AF9FB3">
            <w:pPr>
              <w:pStyle w:val="38"/>
              <w:widowControl/>
              <w:overflowPunct w:val="0"/>
              <w:snapToGrid w:val="0"/>
              <w:spacing w:line="380" w:lineRule="exact"/>
              <w:ind w:firstLineChars="200"/>
              <w:jc w:val="left"/>
              <w:rPr>
                <w:rFonts w:hint="eastAsia" w:ascii="Times New Roman" w:hAnsi="Times New Roman" w:eastAsia="方正书宋_GBK" w:cs="Times New Roman"/>
                <w:color w:val="auto"/>
                <w:kern w:val="0"/>
                <w:sz w:val="24"/>
                <w:highlight w:val="none"/>
                <w:u w:val="none"/>
                <w:lang w:bidi="ar-SA"/>
              </w:rPr>
            </w:pPr>
            <w:r>
              <w:rPr>
                <w:rFonts w:hint="eastAsia" w:ascii="Times New Roman" w:hAnsi="Times New Roman" w:eastAsia="方正黑体_GBK" w:cs="方正黑体_GBK"/>
                <w:color w:val="auto"/>
                <w:kern w:val="0"/>
                <w:sz w:val="24"/>
                <w:highlight w:val="none"/>
                <w:u w:val="none"/>
                <w:lang w:val="en-US" w:eastAsia="zh-CN" w:bidi="ar-SA"/>
              </w:rPr>
              <w:t>1</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教育设施。</w:t>
            </w:r>
            <w:r>
              <w:rPr>
                <w:rFonts w:hint="eastAsia" w:ascii="Times New Roman" w:hAnsi="Times New Roman" w:eastAsia="方正书宋_GBK" w:cs="Times New Roman"/>
                <w:color w:val="auto"/>
                <w:kern w:val="0"/>
                <w:sz w:val="24"/>
                <w:highlight w:val="none"/>
                <w:u w:val="none"/>
                <w:lang w:bidi="ar-SA"/>
              </w:rPr>
              <w:t>2026年，华中师范大学重庆学校（中学部）、北京师范大学重庆科学城实验学校（小学部）、重庆市八中科学城中学校（西永校区）、西永L分区公立学校（暂定名）一期工程</w:t>
            </w:r>
            <w:r>
              <w:rPr>
                <w:rFonts w:hint="eastAsia" w:eastAsia="方正书宋_GBK" w:cs="Times New Roman"/>
                <w:color w:val="auto"/>
                <w:kern w:val="0"/>
                <w:sz w:val="24"/>
                <w:highlight w:val="none"/>
                <w:u w:val="none"/>
                <w:lang w:val="en-US" w:eastAsia="zh-CN" w:bidi="ar-SA"/>
              </w:rPr>
              <w:t>争取</w:t>
            </w:r>
            <w:r>
              <w:rPr>
                <w:rFonts w:hint="eastAsia" w:ascii="Times New Roman" w:hAnsi="Times New Roman" w:eastAsia="方正书宋_GBK" w:cs="Times New Roman"/>
                <w:color w:val="auto"/>
                <w:kern w:val="0"/>
                <w:sz w:val="24"/>
                <w:highlight w:val="none"/>
                <w:u w:val="none"/>
                <w:lang w:bidi="ar-SA"/>
              </w:rPr>
              <w:t>建成交付。</w:t>
            </w:r>
            <w:r>
              <w:rPr>
                <w:rFonts w:hint="eastAsia" w:eastAsia="方正书宋_GBK" w:cs="Times New Roman"/>
                <w:color w:val="auto"/>
                <w:kern w:val="0"/>
                <w:sz w:val="24"/>
                <w:highlight w:val="none"/>
                <w:u w:val="none"/>
                <w:lang w:val="en-US" w:eastAsia="zh-CN" w:bidi="ar-SA"/>
              </w:rPr>
              <w:t>到</w:t>
            </w:r>
            <w:r>
              <w:rPr>
                <w:rFonts w:hint="eastAsia" w:ascii="Times New Roman" w:hAnsi="Times New Roman" w:eastAsia="方正书宋_GBK" w:cs="Times New Roman"/>
                <w:color w:val="auto"/>
                <w:kern w:val="0"/>
                <w:sz w:val="24"/>
                <w:highlight w:val="none"/>
                <w:u w:val="none"/>
                <w:lang w:bidi="ar-SA"/>
              </w:rPr>
              <w:t>2027年，推动北京师范大学重庆科学城实验学校（中学部）分期建成交付。到2030年，有序推进曾家片区小学校（暂定名）等项目建设。</w:t>
            </w:r>
          </w:p>
          <w:p w14:paraId="2AA3F112">
            <w:pPr>
              <w:pStyle w:val="38"/>
              <w:widowControl/>
              <w:overflowPunct w:val="0"/>
              <w:snapToGrid w:val="0"/>
              <w:spacing w:line="380" w:lineRule="exact"/>
              <w:ind w:firstLineChars="200"/>
              <w:jc w:val="left"/>
              <w:rPr>
                <w:rFonts w:ascii="Times New Roman" w:hAnsi="Times New Roman" w:eastAsia="方正仿宋_GBK" w:cs="Times New Roman"/>
                <w:color w:val="auto"/>
                <w:sz w:val="32"/>
                <w:szCs w:val="32"/>
                <w:highlight w:val="none"/>
              </w:rPr>
            </w:pPr>
            <w:r>
              <w:rPr>
                <w:rFonts w:hint="eastAsia" w:ascii="Times New Roman" w:hAnsi="Times New Roman" w:eastAsia="方正黑体_GBK" w:cs="方正黑体_GBK"/>
                <w:color w:val="auto"/>
                <w:kern w:val="0"/>
                <w:sz w:val="24"/>
                <w:highlight w:val="none"/>
                <w:u w:val="none"/>
                <w:lang w:val="en-US" w:eastAsia="zh-CN" w:bidi="ar-SA"/>
              </w:rPr>
              <w:t>2</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医疗设施。</w:t>
            </w:r>
            <w:r>
              <w:rPr>
                <w:rFonts w:hint="eastAsia" w:ascii="Times New Roman" w:hAnsi="Times New Roman" w:eastAsia="方正书宋_GBK" w:cs="Times New Roman"/>
                <w:color w:val="auto"/>
                <w:kern w:val="0"/>
                <w:sz w:val="24"/>
                <w:highlight w:val="none"/>
                <w:u w:val="none"/>
                <w:lang w:bidi="ar-SA"/>
              </w:rPr>
              <w:t>重庆市第四人民医院科学城院区、重庆大学附属肿瘤医院科学城院区</w:t>
            </w:r>
            <w:r>
              <w:rPr>
                <w:rFonts w:hint="eastAsia" w:eastAsia="方正书宋_GBK" w:cs="Times New Roman"/>
                <w:color w:val="auto"/>
                <w:kern w:val="0"/>
                <w:sz w:val="24"/>
                <w:highlight w:val="none"/>
                <w:u w:val="none"/>
                <w:lang w:val="en-US" w:eastAsia="zh-CN" w:bidi="ar-SA"/>
              </w:rPr>
              <w:t>争取</w:t>
            </w:r>
            <w:r>
              <w:rPr>
                <w:rFonts w:hint="eastAsia" w:ascii="Times New Roman" w:hAnsi="Times New Roman" w:eastAsia="方正书宋_GBK" w:cs="Times New Roman"/>
                <w:color w:val="auto"/>
                <w:kern w:val="0"/>
                <w:sz w:val="24"/>
                <w:highlight w:val="none"/>
                <w:u w:val="none"/>
                <w:lang w:bidi="ar-SA"/>
              </w:rPr>
              <w:t>2026年建成投用，预计新增床位4000张。推动重庆高新区第一人民医院、香炉山卫生服务中心、西永卫生服务中心迁建。</w:t>
            </w:r>
            <w:bookmarkStart w:id="421" w:name="OLE_LINK1"/>
            <w:r>
              <w:rPr>
                <w:rFonts w:hint="eastAsia" w:ascii="Times New Roman" w:hAnsi="Times New Roman" w:eastAsia="方正书宋_GBK" w:cs="Times New Roman"/>
                <w:color w:val="auto"/>
                <w:kern w:val="0"/>
                <w:sz w:val="24"/>
                <w:highlight w:val="none"/>
                <w:u w:val="none"/>
                <w:lang w:bidi="ar-SA"/>
              </w:rPr>
              <w:t>到2030年，三级医院达到4个，二级医院达到4个，公立基层医疗机构达到10个</w:t>
            </w:r>
            <w:bookmarkEnd w:id="421"/>
            <w:r>
              <w:rPr>
                <w:rFonts w:hint="eastAsia" w:ascii="Times New Roman" w:hAnsi="Times New Roman" w:eastAsia="方正书宋_GBK" w:cs="Times New Roman"/>
                <w:color w:val="auto"/>
                <w:kern w:val="0"/>
                <w:sz w:val="24"/>
                <w:highlight w:val="none"/>
                <w:u w:val="none"/>
                <w:lang w:bidi="ar-SA"/>
              </w:rPr>
              <w:t>。</w:t>
            </w:r>
          </w:p>
        </w:tc>
      </w:tr>
    </w:tbl>
    <w:p w14:paraId="4978F2B3">
      <w:pPr>
        <w:adjustRightInd w:val="0"/>
        <w:snapToGrid w:val="0"/>
        <w:spacing w:line="600" w:lineRule="exact"/>
        <w:jc w:val="center"/>
        <w:outlineLvl w:val="2"/>
        <w:rPr>
          <w:rFonts w:ascii="Times New Roman" w:hAnsi="Times New Roman" w:eastAsia="方正楷体_GBK" w:cs="Times New Roman"/>
          <w:color w:val="auto"/>
          <w:sz w:val="32"/>
          <w:highlight w:val="none"/>
        </w:rPr>
      </w:pPr>
      <w:bookmarkStart w:id="422" w:name="_Toc20644"/>
      <w:bookmarkStart w:id="423" w:name="_Toc898162913"/>
      <w:bookmarkStart w:id="424" w:name="_Toc2061944423"/>
      <w:bookmarkStart w:id="425" w:name="_Toc63045612"/>
      <w:bookmarkStart w:id="426" w:name="_Toc20243"/>
      <w:bookmarkStart w:id="427" w:name="_Toc297961940"/>
      <w:bookmarkStart w:id="428" w:name="_Toc29815"/>
      <w:r>
        <w:rPr>
          <w:rFonts w:hint="eastAsia" w:ascii="Times New Roman" w:hAnsi="Times New Roman" w:eastAsia="方正楷体_GBK" w:cs="Times New Roman"/>
          <w:color w:val="auto"/>
          <w:sz w:val="32"/>
          <w:highlight w:val="none"/>
        </w:rPr>
        <w:t>第</w:t>
      </w:r>
      <w:r>
        <w:rPr>
          <w:rFonts w:hint="eastAsia" w:ascii="Times New Roman" w:hAnsi="Times New Roman" w:eastAsia="方正楷体_GBK" w:cs="Times New Roman"/>
          <w:color w:val="auto"/>
          <w:sz w:val="32"/>
          <w:highlight w:val="none"/>
          <w:lang w:val="en-US" w:eastAsia="zh-CN"/>
        </w:rPr>
        <w:t>三</w:t>
      </w:r>
      <w:r>
        <w:rPr>
          <w:rFonts w:hint="eastAsia" w:ascii="Times New Roman" w:hAnsi="Times New Roman" w:eastAsia="方正楷体_GBK" w:cs="Times New Roman"/>
          <w:color w:val="auto"/>
          <w:sz w:val="32"/>
          <w:highlight w:val="none"/>
        </w:rPr>
        <w:t xml:space="preserve">节 </w:t>
      </w:r>
      <w:r>
        <w:rPr>
          <w:rFonts w:ascii="Times New Roman" w:hAnsi="Times New Roman" w:eastAsia="方正楷体_GBK" w:cs="Times New Roman"/>
          <w:color w:val="auto"/>
          <w:sz w:val="32"/>
          <w:highlight w:val="none"/>
        </w:rPr>
        <w:t>打造</w:t>
      </w:r>
      <w:r>
        <w:rPr>
          <w:rFonts w:hint="eastAsia" w:ascii="Times New Roman" w:hAnsi="Times New Roman" w:eastAsia="方正楷体_GBK" w:cs="Times New Roman"/>
          <w:color w:val="auto"/>
          <w:sz w:val="32"/>
          <w:highlight w:val="none"/>
        </w:rPr>
        <w:t>“3+N”</w:t>
      </w:r>
      <w:r>
        <w:rPr>
          <w:rFonts w:ascii="Times New Roman" w:hAnsi="Times New Roman" w:eastAsia="方正楷体_GBK" w:cs="Times New Roman"/>
          <w:color w:val="auto"/>
          <w:sz w:val="32"/>
          <w:highlight w:val="none"/>
        </w:rPr>
        <w:t>15分钟</w:t>
      </w:r>
      <w:r>
        <w:rPr>
          <w:rFonts w:hint="eastAsia" w:ascii="Times New Roman" w:hAnsi="Times New Roman" w:eastAsia="方正楷体_GBK" w:cs="Times New Roman"/>
          <w:color w:val="auto"/>
          <w:sz w:val="32"/>
          <w:highlight w:val="none"/>
        </w:rPr>
        <w:t>高品质</w:t>
      </w:r>
      <w:r>
        <w:rPr>
          <w:rFonts w:ascii="Times New Roman" w:hAnsi="Times New Roman" w:eastAsia="方正楷体_GBK" w:cs="Times New Roman"/>
          <w:color w:val="auto"/>
          <w:sz w:val="32"/>
          <w:highlight w:val="none"/>
        </w:rPr>
        <w:t>生活服务圈</w:t>
      </w:r>
      <w:bookmarkEnd w:id="422"/>
    </w:p>
    <w:p w14:paraId="478AEF55">
      <w:pPr>
        <w:widowControl/>
        <w:adjustRightInd w:val="0"/>
        <w:snapToGrid w:val="0"/>
        <w:spacing w:line="600" w:lineRule="exact"/>
        <w:ind w:firstLine="640" w:firstLineChars="200"/>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“一圈多能”统筹配置基本公共服务设施和“家门口”“家周边”便民生活服务业态，推动“15分钟高品质生活服务圈”全覆盖城市建成区</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rPr>
        <w:t>重点推进3个高品质生活服务圈</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rPr>
        <w:t>虎溪（科教型）生活圈</w:t>
      </w:r>
      <w:r>
        <w:rPr>
          <w:rFonts w:hint="eastAsia" w:ascii="Times New Roman" w:hAnsi="Times New Roman" w:eastAsia="方正仿宋_GBK" w:cs="Times New Roman"/>
          <w:color w:val="auto"/>
          <w:sz w:val="32"/>
          <w:szCs w:val="32"/>
          <w:highlight w:val="none"/>
          <w:lang w:val="en-US" w:eastAsia="zh-CN"/>
        </w:rPr>
        <w:t>推动</w:t>
      </w:r>
      <w:r>
        <w:rPr>
          <w:rFonts w:hint="eastAsia" w:ascii="Times New Roman" w:hAnsi="Times New Roman" w:eastAsia="方正仿宋_GBK" w:cs="Times New Roman"/>
          <w:color w:val="auto"/>
          <w:sz w:val="32"/>
          <w:szCs w:val="32"/>
          <w:highlight w:val="none"/>
        </w:rPr>
        <w:t>校区、园区、社区</w:t>
      </w:r>
      <w:r>
        <w:rPr>
          <w:rFonts w:hint="eastAsia" w:ascii="Times New Roman" w:hAnsi="Times New Roman" w:eastAsia="方正仿宋_GBK" w:cs="Times New Roman"/>
          <w:color w:val="auto"/>
          <w:sz w:val="32"/>
          <w:szCs w:val="32"/>
          <w:highlight w:val="none"/>
          <w:lang w:val="en-US" w:eastAsia="zh-CN"/>
        </w:rPr>
        <w:t>相互</w:t>
      </w:r>
      <w:r>
        <w:rPr>
          <w:rFonts w:hint="eastAsia" w:ascii="Times New Roman" w:hAnsi="Times New Roman" w:eastAsia="方正仿宋_GBK" w:cs="Times New Roman"/>
          <w:color w:val="auto"/>
          <w:sz w:val="32"/>
          <w:szCs w:val="32"/>
          <w:highlight w:val="none"/>
        </w:rPr>
        <w:t>赋能。西永（产业型）生活圈围绕企业与人才需求，以产业服务配套综合体形式，一体化配置生活性服务功能，构建产居共融场景。金凤（商服型）生活圈围绕“一圈多能”统筹配置公共服务设施，实现居住、就业、公共服务深度融合。逐步开展曾家、含谷、白市驿等区域生活圈建设前期研究。到2030年，建成“15分钟高品质生活服务圈”7个、更好覆盖40万群众多样化需求。</w:t>
      </w:r>
    </w:p>
    <w:p w14:paraId="316DDE66">
      <w:pPr>
        <w:widowControl/>
        <w:overflowPunct w:val="0"/>
        <w:jc w:val="center"/>
        <w:rPr>
          <w:rFonts w:hint="eastAsia" w:ascii="Times New Roman" w:hAnsi="Times New Roman" w:eastAsia="方正黑体_GBK" w:cs="方正黑体_GBK"/>
          <w:color w:val="auto"/>
          <w:kern w:val="0"/>
          <w:sz w:val="32"/>
          <w:szCs w:val="32"/>
          <w:highlight w:val="none"/>
          <w:u w:val="none"/>
          <w:lang w:bidi="ar"/>
        </w:rPr>
      </w:pPr>
      <w:r>
        <w:rPr>
          <w:rFonts w:hint="eastAsia" w:ascii="Times New Roman" w:hAnsi="Times New Roman" w:eastAsia="方正黑体_GBK" w:cs="方正黑体_GBK"/>
          <w:color w:val="auto"/>
          <w:kern w:val="0"/>
          <w:sz w:val="32"/>
          <w:szCs w:val="32"/>
          <w:highlight w:val="none"/>
          <w:u w:val="none"/>
          <w:lang w:bidi="ar"/>
        </w:rPr>
        <w:t>专栏2</w:t>
      </w:r>
      <w:r>
        <w:rPr>
          <w:rFonts w:hint="eastAsia" w:ascii="Times New Roman" w:hAnsi="Times New Roman" w:eastAsia="方正黑体_GBK" w:cs="方正黑体_GBK"/>
          <w:color w:val="auto"/>
          <w:kern w:val="0"/>
          <w:sz w:val="32"/>
          <w:szCs w:val="32"/>
          <w:highlight w:val="none"/>
          <w:u w:val="none"/>
          <w:lang w:val="en-US" w:eastAsia="zh-CN" w:bidi="ar"/>
        </w:rPr>
        <w:t>5</w:t>
      </w:r>
      <w:r>
        <w:rPr>
          <w:rFonts w:hint="eastAsia" w:ascii="Times New Roman" w:hAnsi="Times New Roman" w:eastAsia="方正黑体_GBK" w:cs="方正黑体_GBK"/>
          <w:color w:val="auto"/>
          <w:kern w:val="0"/>
          <w:sz w:val="32"/>
          <w:szCs w:val="32"/>
          <w:highlight w:val="none"/>
          <w:u w:val="none"/>
          <w:lang w:bidi="ar"/>
        </w:rPr>
        <w:t xml:space="preserve"> 虎溪、西永、金凤15分钟高品质生活服务圈建设路径</w:t>
      </w:r>
    </w:p>
    <w:tbl>
      <w:tblPr>
        <w:tblStyle w:val="22"/>
        <w:tblW w:w="9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0"/>
      </w:tblGrid>
      <w:tr w14:paraId="6CB69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0" w:type="dxa"/>
          </w:tcPr>
          <w:p w14:paraId="215F9F68">
            <w:pPr>
              <w:pStyle w:val="38"/>
              <w:widowControl/>
              <w:overflowPunct w:val="0"/>
              <w:snapToGrid w:val="0"/>
              <w:spacing w:line="380" w:lineRule="exact"/>
              <w:ind w:firstLineChars="200"/>
              <w:jc w:val="left"/>
              <w:rPr>
                <w:rFonts w:hint="eastAsia" w:ascii="Times New Roman" w:hAnsi="Times New Roman" w:eastAsia="方正书宋_GBK" w:cs="Times New Roman"/>
                <w:color w:val="auto"/>
                <w:kern w:val="0"/>
                <w:sz w:val="24"/>
                <w:highlight w:val="none"/>
                <w:u w:val="none"/>
                <w:lang w:bidi="ar-SA"/>
              </w:rPr>
            </w:pPr>
            <w:r>
              <w:rPr>
                <w:rFonts w:hint="eastAsia" w:ascii="Times New Roman" w:hAnsi="Times New Roman" w:eastAsia="方正黑体_GBK" w:cs="方正黑体_GBK"/>
                <w:color w:val="auto"/>
                <w:kern w:val="0"/>
                <w:sz w:val="24"/>
                <w:highlight w:val="none"/>
                <w:u w:val="none"/>
                <w:lang w:val="en-US" w:eastAsia="zh-CN" w:bidi="ar-SA"/>
              </w:rPr>
              <w:t>1</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虎溪15分钟高品质生活服务圈。</w:t>
            </w:r>
            <w:r>
              <w:rPr>
                <w:rFonts w:hint="eastAsia" w:ascii="Times New Roman" w:hAnsi="Times New Roman" w:eastAsia="方正书宋_GBK" w:cs="Times New Roman"/>
                <w:color w:val="auto"/>
                <w:kern w:val="0"/>
                <w:sz w:val="24"/>
                <w:highlight w:val="none"/>
                <w:u w:val="none"/>
                <w:lang w:bidi="ar-SA"/>
              </w:rPr>
              <w:t>坚持校区、园区、社区“三区联动”，构建“教育驱动创新—产业转化价值—社区承载活力”的可持续发展生态，总体呈现“2+4+N”空间布局，“2”即两个15分钟生活圈中心，分别为缤纷生活芯和青春活力芯，“4”即四个5分钟生活圈中心，分别为花马、学智、学雅、熙美四个社区中心，“N”即因地制宜补齐社区食堂、社区级应急避难场所、社区养老服务驿站等服务设施载体。</w:t>
            </w:r>
          </w:p>
          <w:p w14:paraId="3C7BD60C">
            <w:pPr>
              <w:pStyle w:val="38"/>
              <w:widowControl/>
              <w:overflowPunct w:val="0"/>
              <w:snapToGrid w:val="0"/>
              <w:spacing w:line="380" w:lineRule="exact"/>
              <w:ind w:firstLineChars="200"/>
              <w:jc w:val="left"/>
              <w:rPr>
                <w:rFonts w:hint="eastAsia" w:ascii="Times New Roman" w:hAnsi="Times New Roman" w:eastAsia="方正黑体_GBK" w:cs="方正黑体_GBK"/>
                <w:color w:val="auto"/>
                <w:kern w:val="0"/>
                <w:sz w:val="24"/>
                <w:highlight w:val="none"/>
                <w:u w:val="none"/>
                <w:lang w:bidi="ar-SA"/>
              </w:rPr>
            </w:pPr>
            <w:r>
              <w:rPr>
                <w:rFonts w:hint="eastAsia" w:ascii="Times New Roman" w:hAnsi="Times New Roman" w:eastAsia="方正黑体_GBK" w:cs="方正黑体_GBK"/>
                <w:color w:val="auto"/>
                <w:kern w:val="0"/>
                <w:sz w:val="24"/>
                <w:highlight w:val="none"/>
                <w:u w:val="none"/>
                <w:lang w:val="en-US" w:eastAsia="zh-CN" w:bidi="ar-SA"/>
              </w:rPr>
              <w:t>2</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西永15分钟高品质生活服务圈。</w:t>
            </w:r>
            <w:r>
              <w:rPr>
                <w:rFonts w:hint="eastAsia" w:ascii="Times New Roman" w:hAnsi="Times New Roman" w:eastAsia="方正书宋_GBK" w:cs="Times New Roman"/>
                <w:color w:val="auto"/>
                <w:kern w:val="0"/>
                <w:sz w:val="24"/>
                <w:highlight w:val="none"/>
                <w:u w:val="none"/>
                <w:lang w:bidi="ar-SA"/>
              </w:rPr>
              <w:t>聚焦产业居民需求，优先补足基本服务，构建“产业研发—人才居住—社区服务”闭环生态，总体呈现“1个核心、2个片区、N个服务要素”空间布局，“1”即一个基层智治平台（街镇党群服务中心），“2”即</w:t>
            </w:r>
            <w:r>
              <w:rPr>
                <w:rFonts w:hint="eastAsia" w:eastAsia="方正书宋_GBK" w:cs="Times New Roman"/>
                <w:color w:val="auto"/>
                <w:kern w:val="0"/>
                <w:sz w:val="24"/>
                <w:highlight w:val="none"/>
                <w:u w:val="none"/>
                <w:lang w:val="en-US" w:eastAsia="zh-CN" w:bidi="ar-SA"/>
              </w:rPr>
              <w:t>两</w:t>
            </w:r>
            <w:r>
              <w:rPr>
                <w:rFonts w:hint="eastAsia" w:ascii="Times New Roman" w:hAnsi="Times New Roman" w:eastAsia="方正书宋_GBK" w:cs="Times New Roman"/>
                <w:color w:val="auto"/>
                <w:kern w:val="0"/>
                <w:sz w:val="24"/>
                <w:highlight w:val="none"/>
                <w:u w:val="none"/>
                <w:lang w:bidi="ar-SA"/>
              </w:rPr>
              <w:t>个片区，划分永兴、富康新城</w:t>
            </w:r>
            <w:r>
              <w:rPr>
                <w:rFonts w:hint="eastAsia" w:eastAsia="方正书宋_GBK" w:cs="Times New Roman"/>
                <w:color w:val="auto"/>
                <w:kern w:val="0"/>
                <w:sz w:val="24"/>
                <w:highlight w:val="none"/>
                <w:u w:val="none"/>
                <w:lang w:val="en-US" w:eastAsia="zh-CN" w:bidi="ar-SA"/>
              </w:rPr>
              <w:t>两</w:t>
            </w:r>
            <w:r>
              <w:rPr>
                <w:rFonts w:hint="eastAsia" w:ascii="Times New Roman" w:hAnsi="Times New Roman" w:eastAsia="方正书宋_GBK" w:cs="Times New Roman"/>
                <w:color w:val="auto"/>
                <w:kern w:val="0"/>
                <w:sz w:val="24"/>
                <w:highlight w:val="none"/>
                <w:u w:val="none"/>
                <w:lang w:bidi="ar-SA"/>
              </w:rPr>
              <w:t>个片区单元，“N”即因地制宜补齐嵌入式办公、展示交流中心、社区卫生服务站、社区级应急避难所、老幼复合设施等服务设施载体。</w:t>
            </w:r>
          </w:p>
          <w:p w14:paraId="51D2AE98">
            <w:pPr>
              <w:pStyle w:val="38"/>
              <w:widowControl/>
              <w:overflowPunct w:val="0"/>
              <w:snapToGrid w:val="0"/>
              <w:spacing w:line="380" w:lineRule="exact"/>
              <w:ind w:firstLineChars="200"/>
              <w:jc w:val="left"/>
              <w:rPr>
                <w:rFonts w:hint="eastAsia" w:ascii="方正书宋_GBK" w:hAnsi="方正书宋_GBK" w:eastAsia="方正书宋_GBK" w:cs="方正书宋_GBK"/>
                <w:color w:val="auto"/>
                <w:sz w:val="24"/>
                <w:highlight w:val="none"/>
              </w:rPr>
            </w:pPr>
            <w:r>
              <w:rPr>
                <w:rFonts w:hint="eastAsia" w:ascii="Times New Roman" w:hAnsi="Times New Roman" w:eastAsia="方正黑体_GBK" w:cs="方正黑体_GBK"/>
                <w:color w:val="auto"/>
                <w:kern w:val="0"/>
                <w:sz w:val="24"/>
                <w:highlight w:val="none"/>
                <w:u w:val="none"/>
                <w:lang w:val="en-US" w:eastAsia="zh-CN" w:bidi="ar-SA"/>
              </w:rPr>
              <w:t>3</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金凤15分钟高品质生活服务圈。</w:t>
            </w:r>
            <w:r>
              <w:rPr>
                <w:rFonts w:hint="eastAsia" w:ascii="Times New Roman" w:hAnsi="Times New Roman" w:eastAsia="方正书宋_GBK" w:cs="Times New Roman"/>
                <w:color w:val="auto"/>
                <w:kern w:val="0"/>
                <w:sz w:val="24"/>
                <w:highlight w:val="none"/>
                <w:u w:val="none"/>
                <w:lang w:bidi="ar-SA"/>
              </w:rPr>
              <w:t>规划布局1处15分钟生活圈中心、4个5分钟生活圈中心，结合区、街道级公共服务设施用地和地块配套设施、系统落实综合商场、初中小学、养老院等基础保障型设施，布局儿童托管中心、文化展示厅、城市书房等品质提升型设施，以及长者食堂等特色引导型设施。</w:t>
            </w:r>
          </w:p>
        </w:tc>
      </w:tr>
    </w:tbl>
    <w:p w14:paraId="51E0D068">
      <w:pPr>
        <w:adjustRightInd w:val="0"/>
        <w:snapToGrid w:val="0"/>
        <w:spacing w:line="600" w:lineRule="exact"/>
        <w:jc w:val="center"/>
        <w:outlineLvl w:val="2"/>
        <w:rPr>
          <w:rFonts w:ascii="Times New Roman" w:hAnsi="Times New Roman" w:eastAsia="方正仿宋_GBK" w:cs="Times New Roman"/>
          <w:bCs/>
          <w:snapToGrid w:val="0"/>
          <w:color w:val="auto"/>
          <w:kern w:val="0"/>
          <w:sz w:val="33"/>
          <w:szCs w:val="32"/>
          <w:highlight w:val="none"/>
          <w:lang w:bidi="ar"/>
        </w:rPr>
      </w:pPr>
      <w:bookmarkStart w:id="429" w:name="_Toc2318"/>
      <w:r>
        <w:rPr>
          <w:rFonts w:hint="eastAsia" w:ascii="Times New Roman" w:hAnsi="Times New Roman" w:eastAsia="方正楷体_GBK" w:cs="Times New Roman"/>
          <w:color w:val="auto"/>
          <w:sz w:val="32"/>
          <w:highlight w:val="none"/>
        </w:rPr>
        <w:t>第</w:t>
      </w:r>
      <w:r>
        <w:rPr>
          <w:rFonts w:hint="eastAsia" w:ascii="Times New Roman" w:hAnsi="Times New Roman" w:eastAsia="方正楷体_GBK" w:cs="Times New Roman"/>
          <w:color w:val="auto"/>
          <w:sz w:val="32"/>
          <w:highlight w:val="none"/>
          <w:lang w:val="en-US" w:eastAsia="zh-CN"/>
        </w:rPr>
        <w:t>四</w:t>
      </w:r>
      <w:r>
        <w:rPr>
          <w:rFonts w:hint="eastAsia" w:ascii="Times New Roman" w:hAnsi="Times New Roman" w:eastAsia="方正楷体_GBK" w:cs="Times New Roman"/>
          <w:color w:val="auto"/>
          <w:sz w:val="32"/>
          <w:highlight w:val="none"/>
        </w:rPr>
        <w:t xml:space="preserve">节 </w:t>
      </w:r>
      <w:r>
        <w:rPr>
          <w:rFonts w:ascii="Times New Roman" w:hAnsi="Times New Roman" w:eastAsia="方正楷体_GBK" w:cs="Times New Roman"/>
          <w:color w:val="auto"/>
          <w:sz w:val="32"/>
          <w:highlight w:val="none"/>
        </w:rPr>
        <w:t>健全</w:t>
      </w:r>
      <w:r>
        <w:rPr>
          <w:rFonts w:hint="eastAsia" w:ascii="Times New Roman" w:hAnsi="Times New Roman" w:eastAsia="方正楷体_GBK" w:cs="Times New Roman"/>
          <w:color w:val="auto"/>
          <w:sz w:val="32"/>
          <w:highlight w:val="none"/>
        </w:rPr>
        <w:t>多层次</w:t>
      </w:r>
      <w:r>
        <w:rPr>
          <w:rFonts w:ascii="Times New Roman" w:hAnsi="Times New Roman" w:eastAsia="方正楷体_GBK" w:cs="Times New Roman"/>
          <w:color w:val="auto"/>
          <w:sz w:val="32"/>
          <w:highlight w:val="none"/>
        </w:rPr>
        <w:t>社会保障体系</w:t>
      </w:r>
      <w:bookmarkEnd w:id="423"/>
      <w:bookmarkEnd w:id="424"/>
      <w:bookmarkEnd w:id="429"/>
    </w:p>
    <w:p w14:paraId="6DE7B96F">
      <w:pPr>
        <w:pStyle w:val="35"/>
        <w:spacing w:before="1" w:line="600" w:lineRule="exact"/>
        <w:ind w:firstLine="640" w:firstLineChars="200"/>
        <w:jc w:val="left"/>
        <w:rPr>
          <w:rFonts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推动更高质量充分就业。实施稳岗扩容提质行动，统筹用好税费减免、贷款支持、就业补贴等政策，加强灵活就业、新就业形态和超龄劳动者就业权益保障。实施重点行业领域、城乡基层和中小微企业就业支持计划，挖掘现代制造业、生产性服务业、数字经济、绿色经济、银发经济等领域新就业增长点。开展“春风行动”“春暖农民工”等重点群体就业支持行动，规范建设零工市场、零工驿站等服务载体。实施困难人员就业帮扶行动，开发公益性岗位兜底安置，确保零就业家庭实现动态清零。</w:t>
      </w:r>
    </w:p>
    <w:p w14:paraId="3FB1769C">
      <w:pPr>
        <w:adjustRightInd w:val="0"/>
        <w:snapToGrid w:val="0"/>
        <w:spacing w:line="600" w:lineRule="exact"/>
        <w:ind w:firstLine="640" w:firstLineChars="200"/>
        <w:textAlignment w:val="baseline"/>
        <w:rPr>
          <w:rFonts w:ascii="Times New Roman" w:hAnsi="Times New Roman" w:eastAsia="方正仿宋_GBK" w:cs="Times New Roman"/>
          <w:color w:val="auto"/>
          <w:sz w:val="32"/>
          <w:highlight w:val="none"/>
        </w:rPr>
      </w:pPr>
      <w:r>
        <w:rPr>
          <w:rFonts w:ascii="Times New Roman" w:hAnsi="Times New Roman" w:eastAsia="方正仿宋_GBK" w:cs="Times New Roman"/>
          <w:color w:val="auto"/>
          <w:sz w:val="32"/>
          <w:szCs w:val="32"/>
          <w:highlight w:val="none"/>
        </w:rPr>
        <w:t>完善覆盖全民的社保医保体系</w:t>
      </w:r>
      <w:r>
        <w:rPr>
          <w:rFonts w:hint="eastAsia" w:ascii="Times New Roman" w:hAnsi="Times New Roman" w:eastAsia="方正仿宋_GBK" w:cs="Times New Roman"/>
          <w:color w:val="auto"/>
          <w:sz w:val="32"/>
          <w:szCs w:val="32"/>
          <w:highlight w:val="none"/>
        </w:rPr>
        <w:t>。深入实施高质量参保行动系列惠民举措，持续扩大参保覆盖，完善风险防控机制，强化社保基金安全长效监管。</w:t>
      </w:r>
      <w:r>
        <w:rPr>
          <w:rFonts w:ascii="Times New Roman" w:hAnsi="Times New Roman" w:eastAsia="方正仿宋_GBK" w:cs="Times New Roman"/>
          <w:color w:val="auto"/>
          <w:sz w:val="32"/>
          <w:highlight w:val="none"/>
        </w:rPr>
        <w:t>做好基本医疗保险参保扩面工作</w:t>
      </w:r>
      <w:r>
        <w:rPr>
          <w:rFonts w:hint="eastAsia" w:ascii="Times New Roman" w:hAnsi="Times New Roman" w:eastAsia="方正仿宋_GBK" w:cs="Times New Roman"/>
          <w:color w:val="auto"/>
          <w:sz w:val="32"/>
          <w:highlight w:val="none"/>
        </w:rPr>
        <w:t>，</w:t>
      </w:r>
      <w:r>
        <w:rPr>
          <w:rFonts w:ascii="Times New Roman" w:hAnsi="Times New Roman" w:eastAsia="方正仿宋_GBK" w:cs="Times New Roman"/>
          <w:color w:val="auto"/>
          <w:sz w:val="32"/>
          <w:highlight w:val="none"/>
        </w:rPr>
        <w:t>落实救助对象分类资助参保政策和救助政策</w:t>
      </w:r>
      <w:r>
        <w:rPr>
          <w:rFonts w:hint="eastAsia" w:ascii="Times New Roman" w:hAnsi="Times New Roman" w:eastAsia="方正仿宋_GBK" w:cs="Times New Roman"/>
          <w:color w:val="auto"/>
          <w:sz w:val="32"/>
          <w:highlight w:val="none"/>
        </w:rPr>
        <w:t>，</w:t>
      </w:r>
      <w:r>
        <w:rPr>
          <w:rFonts w:ascii="Times New Roman" w:hAnsi="Times New Roman" w:eastAsia="方正仿宋_GBK" w:cs="Times New Roman"/>
          <w:color w:val="auto"/>
          <w:sz w:val="32"/>
          <w:highlight w:val="none"/>
        </w:rPr>
        <w:t>提升医保经办服务水平</w:t>
      </w:r>
      <w:r>
        <w:rPr>
          <w:rFonts w:hint="eastAsia" w:ascii="Times New Roman" w:hAnsi="Times New Roman" w:eastAsia="方正仿宋_GBK" w:cs="Times New Roman"/>
          <w:color w:val="auto"/>
          <w:sz w:val="32"/>
          <w:highlight w:val="none"/>
        </w:rPr>
        <w:t>。</w:t>
      </w:r>
      <w:r>
        <w:rPr>
          <w:rFonts w:ascii="Times New Roman" w:hAnsi="Times New Roman" w:eastAsia="方正仿宋_GBK" w:cs="Times New Roman"/>
          <w:color w:val="auto"/>
          <w:sz w:val="32"/>
          <w:highlight w:val="none"/>
        </w:rPr>
        <w:t>支持金凤实验室智慧病理研究和成果转化</w:t>
      </w:r>
      <w:r>
        <w:rPr>
          <w:rFonts w:hint="eastAsia" w:ascii="Times New Roman" w:hAnsi="Times New Roman" w:eastAsia="方正仿宋_GBK" w:cs="Times New Roman"/>
          <w:color w:val="auto"/>
          <w:sz w:val="32"/>
          <w:highlight w:val="none"/>
        </w:rPr>
        <w:t>，</w:t>
      </w:r>
      <w:r>
        <w:rPr>
          <w:rFonts w:ascii="Times New Roman" w:hAnsi="Times New Roman" w:eastAsia="方正仿宋_GBK" w:cs="Times New Roman"/>
          <w:color w:val="auto"/>
          <w:sz w:val="32"/>
          <w:highlight w:val="none"/>
        </w:rPr>
        <w:t>创新药械和诊疗技术应用，探索医保行业可信数据空间融合应用。落实疾病诊断相关分组</w:t>
      </w:r>
      <w:r>
        <w:rPr>
          <w:rFonts w:hint="eastAsia" w:ascii="Times New Roman" w:hAnsi="Times New Roman" w:eastAsia="方正仿宋_GBK" w:cs="Times New Roman"/>
          <w:color w:val="auto"/>
          <w:sz w:val="32"/>
          <w:highlight w:val="none"/>
        </w:rPr>
        <w:t>（</w:t>
      </w:r>
      <w:r>
        <w:rPr>
          <w:rFonts w:ascii="Times New Roman" w:hAnsi="Times New Roman" w:eastAsia="方正仿宋_GBK" w:cs="Times New Roman"/>
          <w:color w:val="auto"/>
          <w:sz w:val="32"/>
          <w:highlight w:val="none"/>
        </w:rPr>
        <w:t>DRG</w:t>
      </w:r>
      <w:r>
        <w:rPr>
          <w:rFonts w:hint="eastAsia" w:ascii="Times New Roman" w:hAnsi="Times New Roman" w:eastAsia="方正仿宋_GBK" w:cs="Times New Roman"/>
          <w:color w:val="auto"/>
          <w:sz w:val="32"/>
          <w:highlight w:val="none"/>
        </w:rPr>
        <w:t>）</w:t>
      </w:r>
      <w:r>
        <w:rPr>
          <w:rFonts w:ascii="Times New Roman" w:hAnsi="Times New Roman" w:eastAsia="方正仿宋_GBK" w:cs="Times New Roman"/>
          <w:color w:val="auto"/>
          <w:sz w:val="32"/>
          <w:highlight w:val="none"/>
        </w:rPr>
        <w:t>、药品和医用耗材集中采购、长期护理保险等医疗保障制度改革，降低个人医疗费用负担。</w:t>
      </w:r>
    </w:p>
    <w:p w14:paraId="7BB87111">
      <w:pPr>
        <w:adjustRightInd w:val="0"/>
        <w:snapToGrid w:val="0"/>
        <w:spacing w:line="600" w:lineRule="exact"/>
        <w:ind w:firstLine="640" w:firstLineChars="200"/>
        <w:textAlignment w:val="baseline"/>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保障妇女、未成年人、退役军人和残疾人权益。落实妇女就业创业扶持与劳动权益保护政策，完善妇女健康服务体系，持续开展适龄女性“两癌”筛查和救助。保障未成年人权益，提质扩容社区“儿童之家”，健全困境未成年人“三级联动”关爱机制。落实优待抚恤政策，推进军地互提需求、互办实事“双清单”制度落地见效，持续深化区、镇（街道）、村（社区）三级退役军人服务中心（站）标准化规范化建设，提升退役军人服务保障工作质效。提升残疾人服务水平，扩容“渝馨家园”服务载体，完善助残志愿服务体系。</w:t>
      </w:r>
    </w:p>
    <w:p w14:paraId="5967DC80">
      <w:pPr>
        <w:adjustRightInd w:val="0"/>
        <w:snapToGrid w:val="0"/>
        <w:spacing w:line="600" w:lineRule="exact"/>
        <w:ind w:firstLine="640" w:firstLineChars="200"/>
        <w:textAlignment w:val="baseline"/>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完善多元化养老服务体系。强化居家社区养老服务供给，推进15分钟社区居家养老服务圈提质，盘活存量资源建设社区老年食堂、嵌入式服务点，完善助餐、助医、助行等便民服务，扩大困难老年人居家适老化改造覆盖面。提升机构养老服务质效，鼓励社会力量参与公建民营，优化护理型床位供给结构。深化智慧养老赋能，精准对接独居、失能老人健康监测与个性化服务需求。</w:t>
      </w:r>
    </w:p>
    <w:p w14:paraId="60E6CE49">
      <w:pPr>
        <w:adjustRightInd w:val="0"/>
        <w:snapToGrid w:val="0"/>
        <w:spacing w:line="600" w:lineRule="exact"/>
        <w:ind w:firstLine="640" w:firstLineChars="200"/>
        <w:textAlignment w:val="baseline"/>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健全分层分类社会救助体系。完善基本生活救助，规范救助标准，健全医疗、教育、就业、住房等救助制度。完善“一户一档一策”帮扶机制，加大重特大疾病医疗救助力度，精准帮扶低保人员、低保边缘人员和特殊残疾等困难群众。通过志愿服务和购买社会服务等方式提升救助效果，优化救助审核程序，提升救助管理水平。</w:t>
      </w:r>
    </w:p>
    <w:p w14:paraId="6732674F">
      <w:pPr>
        <w:adjustRightInd w:val="0"/>
        <w:snapToGrid w:val="0"/>
        <w:spacing w:line="600" w:lineRule="exact"/>
        <w:ind w:firstLine="640" w:firstLineChars="200"/>
        <w:rPr>
          <w:rFonts w:hint="eastAsia" w:ascii="Times New Roman" w:hAnsi="Times New Roman" w:eastAsia="方正仿宋_GBK" w:cs="Times New Roman"/>
          <w:color w:val="auto"/>
          <w:sz w:val="32"/>
          <w:szCs w:val="32"/>
          <w:highlight w:val="none"/>
        </w:rPr>
      </w:pPr>
      <w:bookmarkStart w:id="430" w:name="_Toc24072"/>
      <w:bookmarkStart w:id="431" w:name="_Toc9579"/>
      <w:r>
        <w:rPr>
          <w:rFonts w:hint="eastAsia" w:ascii="Times New Roman" w:hAnsi="Times New Roman" w:eastAsia="方正仿宋_GBK" w:cs="Times New Roman"/>
          <w:color w:val="auto"/>
          <w:sz w:val="32"/>
          <w:szCs w:val="32"/>
          <w:highlight w:val="none"/>
        </w:rPr>
        <w:t>强化生育支持激励。推动</w:t>
      </w:r>
      <w:bookmarkStart w:id="432" w:name="OLE_LINK34"/>
      <w:r>
        <w:rPr>
          <w:rFonts w:hint="eastAsia" w:ascii="Times New Roman" w:hAnsi="Times New Roman" w:eastAsia="方正仿宋_GBK" w:cs="Times New Roman"/>
          <w:color w:val="auto"/>
          <w:sz w:val="32"/>
          <w:szCs w:val="32"/>
          <w:highlight w:val="none"/>
        </w:rPr>
        <w:t>生育友好医院</w:t>
      </w:r>
      <w:bookmarkEnd w:id="432"/>
      <w:r>
        <w:rPr>
          <w:rFonts w:hint="eastAsia" w:ascii="Times New Roman" w:hAnsi="Times New Roman" w:eastAsia="方正仿宋_GBK" w:cs="Times New Roman"/>
          <w:color w:val="auto"/>
          <w:sz w:val="32"/>
          <w:szCs w:val="32"/>
          <w:highlight w:val="none"/>
        </w:rPr>
        <w:t>建设，推进免费婚前医学检查和孕前优生健康检查，健全生殖健康、妇幼保健等生育全流程服务体系。推进普惠托育服务发展，支持有条件的幼儿园招收3岁以下婴幼儿，创新公建民营、民办公助等方式，发展社区嵌入式托育、家庭托育点等多种模式和医育结合服务。减轻生育养育教育负担，落实个税专项附加扣除政策，优化普惠性学前教育资源配置。</w:t>
      </w:r>
      <w:bookmarkEnd w:id="430"/>
      <w:bookmarkEnd w:id="431"/>
    </w:p>
    <w:p w14:paraId="6B988E00">
      <w:pPr>
        <w:numPr>
          <w:ilvl w:val="-1"/>
          <w:numId w:val="0"/>
        </w:numPr>
        <w:adjustRightInd w:val="0"/>
        <w:snapToGrid w:val="0"/>
        <w:spacing w:line="600" w:lineRule="exact"/>
        <w:ind w:firstLine="640" w:firstLineChars="200"/>
        <w:jc w:val="left"/>
        <w:textAlignment w:val="auto"/>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强化劳动权益保障。健全劳动关系协商协调机制，加强劳动用工合规管理，全面保障劳动者获得劳动报酬、休息休假、工伤保障等基本权益。加强新就业形态劳动者权益保障，公平落实平台企业劳动规则、依法合规用工，构建和谐劳动关系。加强劳动保障监察执法，治理欠薪欠保、违法裁员等乱象，提升劳动关系矛盾调解仲裁效能。</w:t>
      </w:r>
    </w:p>
    <w:bookmarkEnd w:id="425"/>
    <w:bookmarkEnd w:id="426"/>
    <w:bookmarkEnd w:id="427"/>
    <w:bookmarkEnd w:id="428"/>
    <w:p w14:paraId="0D6AE40F">
      <w:pPr>
        <w:numPr>
          <w:ilvl w:val="-1"/>
          <w:numId w:val="0"/>
        </w:numPr>
        <w:adjustRightInd w:val="0"/>
        <w:snapToGrid w:val="0"/>
        <w:spacing w:line="600" w:lineRule="exact"/>
        <w:ind w:firstLine="640" w:firstLineChars="200"/>
        <w:jc w:val="left"/>
        <w:textAlignment w:val="auto"/>
        <w:rPr>
          <w:rFonts w:hint="eastAsia" w:ascii="Times New Roman" w:hAnsi="Times New Roman" w:eastAsia="方正仿宋_GBK" w:cs="Times New Roman"/>
          <w:color w:val="auto"/>
          <w:sz w:val="32"/>
          <w:szCs w:val="32"/>
          <w:highlight w:val="none"/>
          <w:lang w:val="en-US" w:eastAsia="zh-CN"/>
        </w:rPr>
      </w:pPr>
      <w:bookmarkStart w:id="433" w:name="_Toc15133"/>
      <w:bookmarkStart w:id="434" w:name="_Toc1156305722"/>
      <w:bookmarkStart w:id="435" w:name="_Toc28103"/>
      <w:bookmarkStart w:id="436" w:name="_Toc3680"/>
      <w:bookmarkStart w:id="437" w:name="_Toc12238"/>
      <w:bookmarkStart w:id="438" w:name="_Toc27374"/>
      <w:bookmarkStart w:id="439" w:name="_Toc761524028"/>
      <w:bookmarkStart w:id="440" w:name="_Toc550720067"/>
      <w:bookmarkStart w:id="441" w:name="_Toc15435"/>
      <w:bookmarkStart w:id="442" w:name="_Toc30076"/>
      <w:bookmarkStart w:id="443" w:name="_Toc31782"/>
      <w:bookmarkStart w:id="444" w:name="_Toc26300"/>
    </w:p>
    <w:p w14:paraId="79916C36">
      <w:pPr>
        <w:numPr>
          <w:ilvl w:val="-1"/>
          <w:numId w:val="0"/>
        </w:numPr>
        <w:overflowPunct w:val="0"/>
        <w:adjustRightInd w:val="0"/>
        <w:snapToGrid w:val="0"/>
        <w:spacing w:line="600" w:lineRule="exact"/>
        <w:jc w:val="center"/>
        <w:outlineLvl w:val="1"/>
        <w:rPr>
          <w:rFonts w:ascii="Times New Roman" w:hAnsi="Times New Roman" w:eastAsia="方正黑体_GBK" w:cs="Times New Roman"/>
          <w:bCs/>
          <w:color w:val="auto"/>
          <w:sz w:val="32"/>
          <w:szCs w:val="32"/>
          <w:highlight w:val="none"/>
        </w:rPr>
      </w:pPr>
      <w:r>
        <w:rPr>
          <w:rFonts w:hint="eastAsia" w:ascii="Times New Roman" w:hAnsi="Times New Roman" w:eastAsia="方正黑体_GBK" w:cs="Times New Roman"/>
          <w:bCs/>
          <w:color w:val="auto"/>
          <w:sz w:val="32"/>
          <w:szCs w:val="32"/>
          <w:highlight w:val="none"/>
          <w:lang w:val="en-US" w:eastAsia="zh-CN"/>
        </w:rPr>
        <w:t xml:space="preserve">第四章 </w:t>
      </w:r>
      <w:r>
        <w:rPr>
          <w:rFonts w:hint="default" w:ascii="Times New Roman" w:hAnsi="Times New Roman" w:eastAsia="方正黑体_GBK" w:cs="Times New Roman"/>
          <w:bCs/>
          <w:color w:val="auto"/>
          <w:sz w:val="32"/>
          <w:szCs w:val="32"/>
          <w:highlight w:val="none"/>
        </w:rPr>
        <w:t>建设绿色低碳的美丽城市</w:t>
      </w:r>
      <w:bookmarkEnd w:id="433"/>
      <w:bookmarkEnd w:id="434"/>
      <w:bookmarkEnd w:id="435"/>
      <w:bookmarkEnd w:id="436"/>
      <w:bookmarkEnd w:id="437"/>
      <w:bookmarkEnd w:id="438"/>
      <w:bookmarkEnd w:id="439"/>
    </w:p>
    <w:p w14:paraId="6B935F21">
      <w:pPr>
        <w:adjustRightInd w:val="0"/>
        <w:snapToGrid w:val="0"/>
        <w:spacing w:line="600" w:lineRule="exact"/>
        <w:ind w:firstLine="640" w:firstLineChars="200"/>
        <w:textAlignment w:val="baseline"/>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秉持生态优先、绿色发展理念，紧扣美丽高新建设，持续改善生态环境质量，着力提升生态系统稳定性，全面推行绿色低碳生产生活方式，构建安全可控、循环高效的绿色发展格局，打造人与自然和谐共生的美丽示范城区。</w:t>
      </w:r>
    </w:p>
    <w:p w14:paraId="21B5A23E">
      <w:pPr>
        <w:adjustRightInd w:val="0"/>
        <w:snapToGrid w:val="0"/>
        <w:spacing w:line="600" w:lineRule="exact"/>
        <w:jc w:val="center"/>
        <w:outlineLvl w:val="2"/>
        <w:rPr>
          <w:rFonts w:ascii="Times New Roman" w:hAnsi="Times New Roman" w:eastAsia="方正楷体_GBK" w:cs="Times New Roman"/>
          <w:color w:val="auto"/>
          <w:sz w:val="32"/>
          <w:highlight w:val="none"/>
        </w:rPr>
      </w:pPr>
      <w:bookmarkStart w:id="445" w:name="_Toc17220"/>
      <w:bookmarkStart w:id="446" w:name="_Toc32342"/>
      <w:bookmarkStart w:id="447" w:name="_Toc32365"/>
      <w:bookmarkStart w:id="448" w:name="_Toc3169"/>
      <w:bookmarkStart w:id="449" w:name="_Toc290336027"/>
      <w:bookmarkStart w:id="450" w:name="_Toc18873"/>
      <w:bookmarkStart w:id="451" w:name="_Toc1450747951"/>
      <w:bookmarkStart w:id="452" w:name="_Toc2079286123"/>
      <w:bookmarkStart w:id="453" w:name="_Toc7961"/>
      <w:bookmarkStart w:id="454" w:name="_Toc18194"/>
      <w:bookmarkStart w:id="455" w:name="_Toc11816"/>
      <w:bookmarkStart w:id="456" w:name="_Toc27461"/>
      <w:r>
        <w:rPr>
          <w:rFonts w:hint="eastAsia" w:ascii="Times New Roman" w:hAnsi="Times New Roman" w:eastAsia="方正楷体_GBK" w:cs="Times New Roman"/>
          <w:color w:val="auto"/>
          <w:sz w:val="32"/>
          <w:highlight w:val="none"/>
        </w:rPr>
        <w:t xml:space="preserve">第一节 </w:t>
      </w:r>
      <w:bookmarkEnd w:id="445"/>
      <w:bookmarkEnd w:id="446"/>
      <w:bookmarkEnd w:id="447"/>
      <w:bookmarkEnd w:id="448"/>
      <w:bookmarkEnd w:id="449"/>
      <w:bookmarkEnd w:id="450"/>
      <w:r>
        <w:rPr>
          <w:rFonts w:hint="eastAsia" w:ascii="Times New Roman" w:hAnsi="Times New Roman" w:eastAsia="方正楷体_GBK" w:cs="Times New Roman"/>
          <w:color w:val="auto"/>
          <w:sz w:val="32"/>
          <w:highlight w:val="none"/>
        </w:rPr>
        <w:t>持续</w:t>
      </w:r>
      <w:r>
        <w:rPr>
          <w:rFonts w:ascii="Times New Roman" w:hAnsi="Times New Roman" w:eastAsia="方正楷体_GBK" w:cs="Times New Roman"/>
          <w:color w:val="auto"/>
          <w:sz w:val="32"/>
          <w:highlight w:val="none"/>
        </w:rPr>
        <w:t>改善生态环境质量</w:t>
      </w:r>
      <w:bookmarkEnd w:id="451"/>
      <w:bookmarkEnd w:id="452"/>
      <w:bookmarkEnd w:id="453"/>
      <w:bookmarkEnd w:id="454"/>
      <w:bookmarkEnd w:id="455"/>
      <w:bookmarkEnd w:id="456"/>
    </w:p>
    <w:p w14:paraId="731641DD">
      <w:pPr>
        <w:widowControl/>
        <w:spacing w:line="600" w:lineRule="exact"/>
        <w:ind w:firstLine="640" w:firstLineChars="200"/>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强化水资源、水环境、水生态“三水统筹”，持续推进梁滩河流域打造美丽（幸福）河湖，莲花滩河、虎溪河干支流协同治理和生态修复。加快补齐城镇生活污水、工业园区污水、农村生活污水治理设施短板，提升流域水环境质量，实现重点流域水质达标。推进空气环境治理，以降低细颗粒物（PM</w:t>
      </w:r>
      <w:r>
        <w:rPr>
          <w:rFonts w:hint="eastAsia" w:ascii="Times New Roman" w:hAnsi="Times New Roman" w:eastAsia="方正仿宋_GBK" w:cs="Times New Roman"/>
          <w:color w:val="auto"/>
          <w:sz w:val="32"/>
          <w:szCs w:val="32"/>
          <w:highlight w:val="none"/>
          <w:vertAlign w:val="subscript"/>
        </w:rPr>
        <w:t>2.5</w:t>
      </w:r>
      <w:r>
        <w:rPr>
          <w:rFonts w:hint="eastAsia" w:ascii="Times New Roman" w:hAnsi="Times New Roman" w:eastAsia="方正仿宋_GBK" w:cs="Times New Roman"/>
          <w:color w:val="auto"/>
          <w:sz w:val="32"/>
          <w:szCs w:val="32"/>
          <w:highlight w:val="none"/>
        </w:rPr>
        <w:t>）浓度为主线，统筹推进结构减排、工程减排、管理减排、应急减排协同发力，精细化防控扬尘污染，加强生活源污染防治，深化重点行业大气污染防治绩效分级管理，</w:t>
      </w:r>
      <w:r>
        <w:rPr>
          <w:rFonts w:hint="eastAsia" w:ascii="Times New Roman" w:hAnsi="Times New Roman" w:eastAsia="方正仿宋_GBK" w:cs="Times New Roman"/>
          <w:i w:val="0"/>
          <w:iCs w:val="0"/>
          <w:caps w:val="0"/>
          <w:color w:val="auto"/>
          <w:spacing w:val="0"/>
          <w:sz w:val="32"/>
          <w:szCs w:val="32"/>
          <w:highlight w:val="none"/>
          <w:shd w:val="clear" w:fill="auto"/>
        </w:rPr>
        <w:t>基本淘汰国四及以下标准营运车辆</w:t>
      </w:r>
      <w:r>
        <w:rPr>
          <w:rFonts w:hint="eastAsia" w:ascii="Times New Roman" w:hAnsi="Times New Roman" w:eastAsia="方正仿宋_GBK" w:cs="Times New Roman"/>
          <w:color w:val="auto"/>
          <w:sz w:val="32"/>
          <w:szCs w:val="32"/>
          <w:highlight w:val="none"/>
        </w:rPr>
        <w:t>。推进土壤环境治理，强化建设用地土壤污染程度分级和用途分类管控，推进建设用地土壤环境质量与国土空间规划“一张图”信息共享。推进固废治理，加强生活垃圾、建筑垃圾、危险（医疗）废物综合治理，健全源头分类、专业分拣、智能清运和资源化利用的固体废物治理体系。到2030年，细颗粒物（PM</w:t>
      </w:r>
      <w:r>
        <w:rPr>
          <w:rFonts w:hint="eastAsia" w:ascii="Times New Roman" w:hAnsi="Times New Roman" w:eastAsia="方正仿宋_GBK" w:cs="Times New Roman"/>
          <w:color w:val="auto"/>
          <w:sz w:val="32"/>
          <w:szCs w:val="32"/>
          <w:highlight w:val="none"/>
          <w:vertAlign w:val="subscript"/>
        </w:rPr>
        <w:t>2.5</w:t>
      </w:r>
      <w:r>
        <w:rPr>
          <w:rFonts w:hint="eastAsia" w:ascii="Times New Roman" w:hAnsi="Times New Roman" w:eastAsia="方正仿宋_GBK" w:cs="Times New Roman"/>
          <w:color w:val="auto"/>
          <w:sz w:val="32"/>
          <w:szCs w:val="32"/>
          <w:highlight w:val="none"/>
        </w:rPr>
        <w:t>）年平均浓度控制在30微克/立方米以内，</w:t>
      </w:r>
      <w:r>
        <w:rPr>
          <w:rFonts w:hint="eastAsia" w:ascii="Times New Roman" w:hAnsi="Times New Roman" w:eastAsia="方正仿宋_GBK" w:cs="Times New Roman"/>
          <w:color w:val="auto"/>
          <w:sz w:val="32"/>
          <w:szCs w:val="32"/>
          <w:highlight w:val="none"/>
          <w:lang w:bidi="ar"/>
        </w:rPr>
        <w:t>虎溪河、莲花滩河</w:t>
      </w:r>
      <w:r>
        <w:rPr>
          <w:rFonts w:hint="eastAsia" w:ascii="Times New Roman" w:hAnsi="Times New Roman" w:eastAsia="方正仿宋_GBK" w:cs="Times New Roman"/>
          <w:color w:val="auto"/>
          <w:sz w:val="32"/>
          <w:szCs w:val="32"/>
          <w:highlight w:val="none"/>
        </w:rPr>
        <w:t>、梁滩河3条河流断面水质稳定达标，集中式饮用水水源地水质达标率稳定保持在100%</w:t>
      </w:r>
      <w:r>
        <w:rPr>
          <w:rFonts w:hint="eastAsia" w:ascii="Times New Roman" w:hAnsi="Times New Roman" w:eastAsia="方正仿宋_GBK" w:cs="Times New Roman"/>
          <w:color w:val="auto"/>
          <w:sz w:val="32"/>
          <w:szCs w:val="32"/>
          <w:highlight w:val="none"/>
          <w:lang w:eastAsia="zh-CN"/>
        </w:rPr>
        <w:t>，打造虎溪河、马家沟水库、金凤湖3个美丽（幸福）河湖</w:t>
      </w:r>
      <w:r>
        <w:rPr>
          <w:rFonts w:hint="eastAsia" w:ascii="Times New Roman" w:hAnsi="Times New Roman" w:eastAsia="方正仿宋_GBK" w:cs="Times New Roman"/>
          <w:color w:val="auto"/>
          <w:sz w:val="32"/>
          <w:szCs w:val="32"/>
          <w:highlight w:val="none"/>
        </w:rPr>
        <w:t>。</w:t>
      </w:r>
    </w:p>
    <w:p w14:paraId="0BDB065F">
      <w:pPr>
        <w:adjustRightInd w:val="0"/>
        <w:snapToGrid w:val="0"/>
        <w:spacing w:line="600" w:lineRule="exact"/>
        <w:jc w:val="center"/>
        <w:outlineLvl w:val="2"/>
        <w:rPr>
          <w:rFonts w:ascii="Times New Roman" w:hAnsi="Times New Roman" w:eastAsia="方正楷体_GBK" w:cs="Times New Roman"/>
          <w:color w:val="auto"/>
          <w:sz w:val="32"/>
          <w:highlight w:val="none"/>
        </w:rPr>
      </w:pPr>
      <w:bookmarkStart w:id="457" w:name="_Toc560481630"/>
      <w:bookmarkStart w:id="458" w:name="_Toc191484419"/>
      <w:bookmarkStart w:id="459" w:name="_Toc10405"/>
      <w:bookmarkStart w:id="460" w:name="_Toc19293"/>
      <w:bookmarkStart w:id="461" w:name="_Toc5817"/>
      <w:bookmarkStart w:id="462" w:name="_Toc380"/>
      <w:r>
        <w:rPr>
          <w:rFonts w:hint="eastAsia" w:ascii="Times New Roman" w:hAnsi="Times New Roman" w:eastAsia="方正楷体_GBK" w:cs="Times New Roman"/>
          <w:color w:val="auto"/>
          <w:sz w:val="32"/>
          <w:highlight w:val="none"/>
        </w:rPr>
        <w:t xml:space="preserve">第二节 </w:t>
      </w:r>
      <w:r>
        <w:rPr>
          <w:rFonts w:ascii="Times New Roman" w:hAnsi="Times New Roman" w:eastAsia="方正楷体_GBK" w:cs="Times New Roman"/>
          <w:color w:val="auto"/>
          <w:sz w:val="32"/>
          <w:highlight w:val="none"/>
        </w:rPr>
        <w:t>提升生态系统稳定性</w:t>
      </w:r>
      <w:bookmarkEnd w:id="457"/>
      <w:bookmarkEnd w:id="458"/>
      <w:bookmarkEnd w:id="459"/>
      <w:bookmarkEnd w:id="460"/>
      <w:bookmarkEnd w:id="461"/>
      <w:bookmarkEnd w:id="462"/>
    </w:p>
    <w:p w14:paraId="3AD1CC76">
      <w:pPr>
        <w:adjustRightInd w:val="0"/>
        <w:snapToGrid w:val="0"/>
        <w:spacing w:line="600" w:lineRule="exact"/>
        <w:ind w:firstLine="640" w:firstLineChars="200"/>
        <w:textAlignment w:val="baseline"/>
        <w:rPr>
          <w:rFonts w:ascii="Times New Roman" w:hAnsi="Times New Roman" w:eastAsia="方正仿宋_GBK" w:cs="Times New Roman"/>
          <w:color w:val="auto"/>
          <w:sz w:val="32"/>
          <w:szCs w:val="32"/>
          <w:highlight w:val="none"/>
        </w:rPr>
      </w:pPr>
      <w:bookmarkStart w:id="463" w:name="OLE_LINK2"/>
      <w:r>
        <w:rPr>
          <w:rFonts w:hint="eastAsia" w:ascii="Times New Roman" w:hAnsi="Times New Roman" w:eastAsia="方正仿宋_GBK" w:cs="Times New Roman"/>
          <w:color w:val="auto"/>
          <w:sz w:val="32"/>
          <w:szCs w:val="32"/>
          <w:highlight w:val="none"/>
        </w:rPr>
        <w:t>深化生态环境分区管控。聚焦森林、小微湿地、河湖等核心生态资源，深化“三线一单”生态环境分区管控。</w:t>
      </w:r>
      <w:bookmarkStart w:id="464" w:name="OLE_LINK4"/>
      <w:r>
        <w:rPr>
          <w:rFonts w:hint="eastAsia" w:ascii="Times New Roman" w:hAnsi="Times New Roman" w:eastAsia="方正仿宋_GBK" w:cs="Times New Roman"/>
          <w:color w:val="auto"/>
          <w:sz w:val="32"/>
          <w:szCs w:val="32"/>
          <w:highlight w:val="none"/>
        </w:rPr>
        <w:t>优化优先保护单元、重点管控单元布局，</w:t>
      </w:r>
      <w:bookmarkEnd w:id="464"/>
      <w:bookmarkStart w:id="465" w:name="OLE_LINK17"/>
      <w:r>
        <w:rPr>
          <w:rFonts w:hint="eastAsia" w:ascii="Times New Roman" w:hAnsi="Times New Roman" w:eastAsia="方正仿宋_GBK" w:cs="Times New Roman"/>
          <w:color w:val="auto"/>
          <w:sz w:val="32"/>
          <w:szCs w:val="32"/>
          <w:highlight w:val="none"/>
        </w:rPr>
        <w:t>推动</w:t>
      </w:r>
      <w:bookmarkEnd w:id="465"/>
      <w:r>
        <w:rPr>
          <w:rFonts w:hint="eastAsia" w:ascii="Times New Roman" w:hAnsi="Times New Roman" w:eastAsia="方正仿宋_GBK" w:cs="Times New Roman"/>
          <w:color w:val="auto"/>
          <w:sz w:val="32"/>
          <w:szCs w:val="32"/>
          <w:highlight w:val="none"/>
        </w:rPr>
        <w:t>优先保护单元与生态保护红线精准衔接，推动重点管控单元适配产业园区与城镇开发边界。完善生态环境准入清单体系，结合空间布局、污染物排放、风险防控等维度细化各环境管控单元管控要求。强化清单刚性约束，将管控要求嵌入项目审批、产业布局等环节，动态更新管控成果。</w:t>
      </w:r>
    </w:p>
    <w:p w14:paraId="0B411107">
      <w:pPr>
        <w:widowControl/>
        <w:overflowPunct/>
        <w:spacing w:line="600" w:lineRule="exact"/>
        <w:ind w:firstLine="640" w:firstLineChars="200"/>
        <w:jc w:val="left"/>
        <w:rPr>
          <w:rFonts w:hint="eastAsia" w:ascii="Times New Roman" w:hAnsi="Times New Roman" w:eastAsia="方正黑体_GBK" w:cs="方正黑体_GBK"/>
          <w:color w:val="auto"/>
          <w:kern w:val="0"/>
          <w:sz w:val="32"/>
          <w:szCs w:val="32"/>
          <w:highlight w:val="none"/>
          <w:u w:val="none"/>
          <w:lang w:bidi="ar"/>
        </w:rPr>
      </w:pPr>
      <w:r>
        <w:rPr>
          <w:rFonts w:hint="eastAsia" w:ascii="Times New Roman" w:hAnsi="Times New Roman" w:eastAsia="方正仿宋_GBK" w:cs="Times New Roman"/>
          <w:color w:val="auto"/>
          <w:sz w:val="32"/>
          <w:szCs w:val="32"/>
          <w:highlight w:val="none"/>
        </w:rPr>
        <w:t>加强生态系统保护修复</w:t>
      </w:r>
      <w:bookmarkEnd w:id="463"/>
      <w:r>
        <w:rPr>
          <w:rFonts w:hint="eastAsia" w:ascii="Times New Roman" w:hAnsi="Times New Roman" w:eastAsia="方正仿宋_GBK" w:cs="Times New Roman"/>
          <w:color w:val="auto"/>
          <w:sz w:val="32"/>
          <w:szCs w:val="32"/>
          <w:highlight w:val="none"/>
        </w:rPr>
        <w:t>。筑牢缙云山、中梁山生态屏障，实施森林质量提升工程，以生态公益林建设、城中林地质量提升为重点，巩固水土保持、水源涵养功能。开展莲花滩河水环境综合治理，保持河道生态廊道畅通。推进金凤湖水库、牟家湾水库改扩建工程、童善湖水库等水利工程建设。优化耕地生态功能，加强耕地数量、质量、生态“三位一体”保护，维护农田生物栖息环境。深化绿色基础设施布局建设，建设绿化隔离带、绿道、绿廊，发挥生态廊道过渡、隔离功能，合理避让生态环境敏感和脆弱区域。</w:t>
      </w:r>
    </w:p>
    <w:p w14:paraId="1AA19949">
      <w:pPr>
        <w:widowControl/>
        <w:overflowPunct w:val="0"/>
        <w:jc w:val="center"/>
        <w:rPr>
          <w:rFonts w:hint="eastAsia" w:ascii="Times New Roman" w:hAnsi="Times New Roman" w:eastAsia="方正黑体_GBK" w:cs="方正黑体_GBK"/>
          <w:color w:val="auto"/>
          <w:kern w:val="0"/>
          <w:sz w:val="32"/>
          <w:szCs w:val="32"/>
          <w:highlight w:val="none"/>
          <w:u w:val="none"/>
          <w:lang w:bidi="ar"/>
        </w:rPr>
      </w:pPr>
      <w:r>
        <w:rPr>
          <w:rFonts w:hint="eastAsia" w:ascii="Times New Roman" w:hAnsi="Times New Roman" w:eastAsia="方正黑体_GBK" w:cs="方正黑体_GBK"/>
          <w:color w:val="auto"/>
          <w:kern w:val="0"/>
          <w:sz w:val="32"/>
          <w:szCs w:val="32"/>
          <w:highlight w:val="none"/>
          <w:u w:val="none"/>
          <w:lang w:bidi="ar"/>
        </w:rPr>
        <w:t>专栏2</w:t>
      </w:r>
      <w:r>
        <w:rPr>
          <w:rFonts w:hint="eastAsia" w:ascii="Times New Roman" w:hAnsi="Times New Roman" w:eastAsia="方正黑体_GBK" w:cs="方正黑体_GBK"/>
          <w:color w:val="auto"/>
          <w:kern w:val="0"/>
          <w:sz w:val="32"/>
          <w:szCs w:val="32"/>
          <w:highlight w:val="none"/>
          <w:u w:val="none"/>
          <w:lang w:val="en-US" w:eastAsia="zh-CN" w:bidi="ar"/>
        </w:rPr>
        <w:t>6</w:t>
      </w:r>
      <w:r>
        <w:rPr>
          <w:rFonts w:hint="eastAsia" w:ascii="Times New Roman" w:hAnsi="Times New Roman" w:eastAsia="方正黑体_GBK" w:cs="方正黑体_GBK"/>
          <w:color w:val="auto"/>
          <w:kern w:val="0"/>
          <w:sz w:val="32"/>
          <w:szCs w:val="32"/>
          <w:highlight w:val="none"/>
          <w:u w:val="none"/>
          <w:lang w:bidi="ar"/>
        </w:rPr>
        <w:t xml:space="preserve"> 生态环境治理重大事项</w:t>
      </w:r>
    </w:p>
    <w:tbl>
      <w:tblPr>
        <w:tblStyle w:val="22"/>
        <w:tblW w:w="9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0"/>
      </w:tblGrid>
      <w:tr w14:paraId="47EF1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0" w:type="dxa"/>
          </w:tcPr>
          <w:p w14:paraId="6A87D2EE">
            <w:pPr>
              <w:widowControl/>
              <w:overflowPunct w:val="0"/>
              <w:snapToGrid w:val="0"/>
              <w:spacing w:line="380" w:lineRule="exact"/>
              <w:ind w:firstLine="480" w:firstLineChars="200"/>
              <w:jc w:val="left"/>
              <w:rPr>
                <w:rFonts w:hint="eastAsia" w:ascii="Times New Roman" w:hAnsi="Times New Roman" w:eastAsia="方正书宋_GBK" w:cs="Times New Roman"/>
                <w:color w:val="auto"/>
                <w:kern w:val="0"/>
                <w:sz w:val="24"/>
                <w:highlight w:val="none"/>
                <w:u w:val="none"/>
                <w:lang w:bidi="ar-SA"/>
              </w:rPr>
            </w:pPr>
            <w:r>
              <w:rPr>
                <w:rFonts w:hint="eastAsia" w:ascii="Times New Roman" w:hAnsi="Times New Roman" w:eastAsia="方正黑体_GBK" w:cs="方正黑体_GBK"/>
                <w:color w:val="auto"/>
                <w:kern w:val="0"/>
                <w:sz w:val="24"/>
                <w:highlight w:val="none"/>
                <w:u w:val="none"/>
                <w:lang w:val="en-US" w:eastAsia="zh-CN" w:bidi="ar-SA"/>
              </w:rPr>
              <w:t>1</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金凤湖水库工程。</w:t>
            </w:r>
            <w:r>
              <w:rPr>
                <w:rFonts w:hint="eastAsia" w:ascii="Times New Roman" w:hAnsi="Times New Roman" w:eastAsia="方正书宋_GBK" w:cs="Times New Roman"/>
                <w:color w:val="auto"/>
                <w:kern w:val="0"/>
                <w:sz w:val="24"/>
                <w:highlight w:val="none"/>
                <w:u w:val="none"/>
                <w:lang w:bidi="ar-SA"/>
              </w:rPr>
              <w:t>建设以防洪、生态补水为主的综合性小（1）型水利工程，库容711万立方米，主要包括拦河主坝、副坝、泄水建筑物、生态放水建筑物、管理房等。</w:t>
            </w:r>
          </w:p>
          <w:p w14:paraId="33C2E650">
            <w:pPr>
              <w:widowControl/>
              <w:overflowPunct w:val="0"/>
              <w:snapToGrid w:val="0"/>
              <w:spacing w:line="380" w:lineRule="exact"/>
              <w:ind w:firstLine="480" w:firstLineChars="200"/>
              <w:jc w:val="left"/>
              <w:rPr>
                <w:rFonts w:hint="eastAsia" w:ascii="Times New Roman" w:hAnsi="Times New Roman" w:eastAsia="方正书宋_GBK" w:cs="Times New Roman"/>
                <w:color w:val="auto"/>
                <w:kern w:val="0"/>
                <w:sz w:val="24"/>
                <w:highlight w:val="none"/>
                <w:u w:val="none"/>
                <w:lang w:bidi="ar-SA"/>
              </w:rPr>
            </w:pPr>
            <w:r>
              <w:rPr>
                <w:rFonts w:hint="eastAsia" w:ascii="Times New Roman" w:hAnsi="Times New Roman" w:eastAsia="方正黑体_GBK" w:cs="方正黑体_GBK"/>
                <w:color w:val="auto"/>
                <w:kern w:val="0"/>
                <w:sz w:val="24"/>
                <w:highlight w:val="none"/>
                <w:u w:val="none"/>
                <w:lang w:val="en-US" w:eastAsia="zh-CN" w:bidi="ar-SA"/>
              </w:rPr>
              <w:t>2</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玉龙湖（牟家湾水库改扩建工程）。</w:t>
            </w:r>
            <w:r>
              <w:rPr>
                <w:rFonts w:hint="eastAsia" w:ascii="Times New Roman" w:hAnsi="Times New Roman" w:eastAsia="方正书宋_GBK" w:cs="Times New Roman"/>
                <w:color w:val="auto"/>
                <w:kern w:val="0"/>
                <w:sz w:val="24"/>
                <w:highlight w:val="none"/>
                <w:u w:val="none"/>
                <w:lang w:bidi="ar-SA"/>
              </w:rPr>
              <w:t>建设一座具有都市农业灌溉、生态补水、防洪、森林防火用水等综合利用功能的小（1）型水利工程。水库正常蓄水位327</w:t>
            </w:r>
            <w:r>
              <w:rPr>
                <w:rFonts w:hint="eastAsia" w:ascii="Times New Roman" w:hAnsi="Times New Roman" w:eastAsia="方正书宋_GBK" w:cs="Times New Roman"/>
                <w:color w:val="auto"/>
                <w:kern w:val="0"/>
                <w:sz w:val="24"/>
                <w:highlight w:val="none"/>
                <w:u w:val="none"/>
                <w:lang w:val="en-US" w:eastAsia="zh-CN" w:bidi="ar-SA"/>
              </w:rPr>
              <w:t>米，</w:t>
            </w:r>
            <w:r>
              <w:rPr>
                <w:rFonts w:hint="eastAsia" w:ascii="Times New Roman" w:hAnsi="Times New Roman" w:eastAsia="方正书宋_GBK" w:cs="Times New Roman"/>
                <w:color w:val="auto"/>
                <w:kern w:val="0"/>
                <w:sz w:val="24"/>
                <w:highlight w:val="none"/>
                <w:u w:val="none"/>
                <w:lang w:bidi="ar-SA"/>
              </w:rPr>
              <w:t>校核洪水位327.43</w:t>
            </w:r>
            <w:r>
              <w:rPr>
                <w:rFonts w:hint="eastAsia" w:ascii="Times New Roman" w:hAnsi="Times New Roman" w:eastAsia="方正书宋_GBK" w:cs="Times New Roman"/>
                <w:color w:val="auto"/>
                <w:kern w:val="0"/>
                <w:sz w:val="24"/>
                <w:highlight w:val="none"/>
                <w:u w:val="none"/>
                <w:lang w:val="en-US" w:eastAsia="zh-CN" w:bidi="ar-SA"/>
              </w:rPr>
              <w:t>米</w:t>
            </w:r>
            <w:r>
              <w:rPr>
                <w:rFonts w:hint="eastAsia" w:ascii="Times New Roman" w:hAnsi="Times New Roman" w:eastAsia="方正书宋_GBK" w:cs="Times New Roman"/>
                <w:color w:val="auto"/>
                <w:kern w:val="0"/>
                <w:sz w:val="24"/>
                <w:highlight w:val="none"/>
                <w:u w:val="none"/>
                <w:lang w:bidi="ar-SA"/>
              </w:rPr>
              <w:t>，最大坝高24.5</w:t>
            </w:r>
            <w:r>
              <w:rPr>
                <w:rFonts w:hint="eastAsia" w:ascii="Times New Roman" w:hAnsi="Times New Roman" w:eastAsia="方正书宋_GBK" w:cs="Times New Roman"/>
                <w:color w:val="auto"/>
                <w:kern w:val="0"/>
                <w:sz w:val="24"/>
                <w:highlight w:val="none"/>
                <w:u w:val="none"/>
                <w:lang w:val="en-US" w:eastAsia="zh-CN" w:bidi="ar-SA"/>
              </w:rPr>
              <w:t>米</w:t>
            </w:r>
            <w:r>
              <w:rPr>
                <w:rFonts w:hint="eastAsia" w:ascii="Times New Roman" w:hAnsi="Times New Roman" w:eastAsia="方正书宋_GBK" w:cs="Times New Roman"/>
                <w:color w:val="auto"/>
                <w:kern w:val="0"/>
                <w:sz w:val="24"/>
                <w:highlight w:val="none"/>
                <w:u w:val="none"/>
                <w:lang w:bidi="ar-SA"/>
              </w:rPr>
              <w:t>，总库容139万立方米。</w:t>
            </w:r>
          </w:p>
          <w:p w14:paraId="69DE2998">
            <w:pPr>
              <w:widowControl/>
              <w:overflowPunct w:val="0"/>
              <w:snapToGrid w:val="0"/>
              <w:spacing w:line="380" w:lineRule="exact"/>
              <w:ind w:firstLine="480" w:firstLineChars="200"/>
              <w:jc w:val="left"/>
              <w:rPr>
                <w:rFonts w:ascii="Times New Roman" w:hAnsi="Times New Roman" w:eastAsia="方正仿宋_GBK" w:cs="Times New Roman"/>
                <w:color w:val="auto"/>
                <w:sz w:val="32"/>
                <w:szCs w:val="32"/>
                <w:highlight w:val="none"/>
              </w:rPr>
            </w:pPr>
            <w:r>
              <w:rPr>
                <w:rFonts w:hint="eastAsia" w:ascii="Times New Roman" w:hAnsi="Times New Roman" w:eastAsia="方正黑体_GBK" w:cs="方正黑体_GBK"/>
                <w:color w:val="auto"/>
                <w:kern w:val="0"/>
                <w:sz w:val="24"/>
                <w:highlight w:val="none"/>
                <w:u w:val="none"/>
                <w:lang w:val="en-US" w:eastAsia="zh-CN" w:bidi="ar-SA"/>
              </w:rPr>
              <w:t>3</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莲花滩河水环境综合治理项目。</w:t>
            </w:r>
            <w:r>
              <w:rPr>
                <w:rFonts w:hint="eastAsia" w:ascii="Times New Roman" w:hAnsi="Times New Roman" w:eastAsia="方正书宋_GBK" w:cs="Times New Roman"/>
                <w:color w:val="auto"/>
                <w:kern w:val="0"/>
                <w:sz w:val="24"/>
                <w:highlight w:val="none"/>
                <w:u w:val="none"/>
                <w:lang w:bidi="ar-SA"/>
              </w:rPr>
              <w:t>建设生态缓冲带，恢复水生植被及生态湿地。新建生态护岸、生态隔离带、生态沟渠，清理河道湖库垃圾及污染底泥。</w:t>
            </w:r>
          </w:p>
        </w:tc>
      </w:tr>
    </w:tbl>
    <w:p w14:paraId="4F1BA0BF">
      <w:pPr>
        <w:adjustRightInd w:val="0"/>
        <w:snapToGrid w:val="0"/>
        <w:spacing w:line="600" w:lineRule="exact"/>
        <w:jc w:val="center"/>
        <w:outlineLvl w:val="2"/>
        <w:rPr>
          <w:rFonts w:ascii="Times New Roman" w:hAnsi="Times New Roman" w:eastAsia="方正仿宋_GBK" w:cs="Times New Roman"/>
          <w:color w:val="auto"/>
          <w:sz w:val="32"/>
          <w:szCs w:val="32"/>
          <w:highlight w:val="none"/>
        </w:rPr>
      </w:pPr>
      <w:bookmarkStart w:id="466" w:name="_Toc1348126927"/>
      <w:bookmarkStart w:id="467" w:name="_Toc4126"/>
      <w:bookmarkStart w:id="468" w:name="_Toc32565"/>
      <w:bookmarkStart w:id="469" w:name="_Toc27693"/>
      <w:bookmarkStart w:id="470" w:name="_Toc15673"/>
      <w:bookmarkStart w:id="471" w:name="_Toc6853"/>
      <w:bookmarkStart w:id="472" w:name="_Toc1151479668"/>
      <w:r>
        <w:rPr>
          <w:rFonts w:hint="eastAsia" w:ascii="Times New Roman" w:hAnsi="Times New Roman" w:eastAsia="方正楷体_GBK" w:cs="Times New Roman"/>
          <w:color w:val="auto"/>
          <w:sz w:val="32"/>
          <w:szCs w:val="32"/>
          <w:highlight w:val="none"/>
        </w:rPr>
        <w:t xml:space="preserve">第三节 </w:t>
      </w:r>
      <w:r>
        <w:rPr>
          <w:rFonts w:hint="eastAsia" w:ascii="Times New Roman" w:hAnsi="Times New Roman" w:eastAsia="方正楷体_GBK" w:cs="Times New Roman"/>
          <w:color w:val="auto"/>
          <w:sz w:val="32"/>
          <w:highlight w:val="none"/>
        </w:rPr>
        <w:t>全面推行绿色生产生活方式</w:t>
      </w:r>
      <w:bookmarkEnd w:id="466"/>
      <w:bookmarkEnd w:id="467"/>
      <w:bookmarkEnd w:id="468"/>
      <w:bookmarkEnd w:id="469"/>
      <w:bookmarkEnd w:id="470"/>
      <w:bookmarkEnd w:id="471"/>
      <w:bookmarkEnd w:id="472"/>
    </w:p>
    <w:p w14:paraId="1B360D17">
      <w:pPr>
        <w:adjustRightInd w:val="0"/>
        <w:snapToGrid w:val="0"/>
        <w:spacing w:line="600" w:lineRule="exact"/>
        <w:ind w:firstLine="640" w:firstLineChars="200"/>
        <w:textAlignment w:val="baseline"/>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提升园区绿色低碳发展水平。统筹推动“无废园区”“零碳园区”“绿色园区”建设，完善园区环保基础设施共建共享，推进集中供气供热、有机废气集中处理设施建设。推广合同能源管理、合同节水管理、环境污染第三方治理等模式，培育ESG综合服务、碳</w:t>
      </w:r>
      <w:r>
        <w:rPr>
          <w:rFonts w:hint="eastAsia" w:ascii="Times New Roman" w:hAnsi="Times New Roman" w:eastAsia="方正仿宋_GBK" w:cs="Times New Roman"/>
          <w:color w:val="auto"/>
          <w:sz w:val="32"/>
          <w:szCs w:val="32"/>
          <w:highlight w:val="none"/>
          <w:lang w:val="en-US" w:eastAsia="zh-CN"/>
        </w:rPr>
        <w:t>资</w:t>
      </w:r>
      <w:r>
        <w:rPr>
          <w:rFonts w:hint="eastAsia" w:ascii="Times New Roman" w:hAnsi="Times New Roman" w:eastAsia="方正仿宋_GBK" w:cs="Times New Roman"/>
          <w:color w:val="auto"/>
          <w:sz w:val="32"/>
          <w:szCs w:val="32"/>
          <w:highlight w:val="none"/>
        </w:rPr>
        <w:t>产管理等绿色低碳新业态。深化“工业绿效码”应用，联动绿色金融、财政奖补政策，开展绿色诊断和节能改造指导，引导企业实施降碳减污扩绿行动。</w:t>
      </w:r>
    </w:p>
    <w:p w14:paraId="1187CDAC">
      <w:pPr>
        <w:adjustRightInd w:val="0"/>
        <w:snapToGrid w:val="0"/>
        <w:spacing w:line="600" w:lineRule="exact"/>
        <w:ind w:firstLine="640" w:firstLineChars="200"/>
        <w:textAlignment w:val="baseline"/>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践行绿色低碳生活方式。完善慢行交通网络，依托绿道体系打造文化观光、滨水休闲型慢行廊道，串联公园、社区与商业节点，在轨道站点、商圈周边配套自行车停放设施，解决“最后一公里”出行难题。</w:t>
      </w:r>
      <w:r>
        <w:rPr>
          <w:rFonts w:hint="eastAsia" w:ascii="Times New Roman" w:hAnsi="Times New Roman" w:eastAsia="方正仿宋_GBK" w:cs="Times New Roman"/>
          <w:color w:val="auto"/>
          <w:sz w:val="32"/>
          <w:szCs w:val="32"/>
          <w:highlight w:val="none"/>
          <w:lang w:val="en-US" w:eastAsia="zh-CN"/>
        </w:rPr>
        <w:t>配合</w:t>
      </w:r>
      <w:r>
        <w:rPr>
          <w:rFonts w:hint="eastAsia" w:ascii="Times New Roman" w:hAnsi="Times New Roman" w:eastAsia="方正仿宋_GBK" w:cs="Times New Roman"/>
          <w:color w:val="auto"/>
          <w:sz w:val="32"/>
          <w:szCs w:val="32"/>
          <w:highlight w:val="none"/>
        </w:rPr>
        <w:t>推广新能源公交，扩大清洁能源车辆应用范围。实施制冷能效提升和绿色照明行动，加强既有建筑和市政基础设施节能改造，加快超低能耗建筑、低碳建筑规模化发展，深化全国装配式建筑范例城市建设。深化生活垃圾分类治理改革。</w:t>
      </w:r>
    </w:p>
    <w:p w14:paraId="5E87A273">
      <w:pPr>
        <w:widowControl/>
        <w:overflowPunct/>
        <w:spacing w:line="600" w:lineRule="exact"/>
        <w:ind w:firstLine="640" w:firstLineChars="200"/>
        <w:jc w:val="left"/>
        <w:rPr>
          <w:rFonts w:hint="eastAsia" w:ascii="Times New Roman" w:hAnsi="Times New Roman" w:eastAsia="方正黑体_GBK" w:cs="方正黑体_GBK"/>
          <w:color w:val="auto"/>
          <w:kern w:val="0"/>
          <w:sz w:val="32"/>
          <w:szCs w:val="32"/>
          <w:highlight w:val="none"/>
          <w:u w:val="none"/>
          <w:lang w:bidi="ar"/>
        </w:rPr>
      </w:pPr>
      <w:bookmarkStart w:id="473" w:name="_Toc5682"/>
      <w:bookmarkStart w:id="474" w:name="_Toc20354"/>
      <w:bookmarkStart w:id="475" w:name="_Toc8272"/>
      <w:bookmarkStart w:id="476" w:name="_Toc16139"/>
      <w:bookmarkStart w:id="477" w:name="_Toc1943636959"/>
      <w:bookmarkStart w:id="478" w:name="_Toc2016786239"/>
      <w:bookmarkStart w:id="479" w:name="_Toc25704"/>
    </w:p>
    <w:p w14:paraId="1E2AA787">
      <w:pPr>
        <w:numPr>
          <w:ilvl w:val="-1"/>
          <w:numId w:val="0"/>
        </w:numPr>
        <w:overflowPunct w:val="0"/>
        <w:adjustRightInd w:val="0"/>
        <w:snapToGrid w:val="0"/>
        <w:spacing w:line="600" w:lineRule="exact"/>
        <w:jc w:val="center"/>
        <w:outlineLvl w:val="1"/>
        <w:rPr>
          <w:rFonts w:ascii="Times New Roman" w:hAnsi="Times New Roman" w:eastAsia="方正黑体_GBK" w:cs="Times New Roman"/>
          <w:bCs/>
          <w:color w:val="auto"/>
          <w:sz w:val="32"/>
          <w:szCs w:val="32"/>
          <w:highlight w:val="none"/>
        </w:rPr>
      </w:pPr>
      <w:r>
        <w:rPr>
          <w:rFonts w:hint="eastAsia" w:ascii="Times New Roman" w:hAnsi="Times New Roman" w:eastAsia="方正黑体_GBK" w:cs="Times New Roman"/>
          <w:bCs/>
          <w:color w:val="auto"/>
          <w:sz w:val="32"/>
          <w:szCs w:val="32"/>
          <w:highlight w:val="none"/>
          <w:lang w:val="en-US" w:eastAsia="zh-CN"/>
        </w:rPr>
        <w:t xml:space="preserve">第五章 </w:t>
      </w:r>
      <w:r>
        <w:rPr>
          <w:rFonts w:hint="default" w:ascii="Times New Roman" w:hAnsi="Times New Roman" w:eastAsia="方正黑体_GBK" w:cs="Times New Roman"/>
          <w:bCs/>
          <w:color w:val="auto"/>
          <w:sz w:val="32"/>
          <w:szCs w:val="32"/>
          <w:highlight w:val="none"/>
        </w:rPr>
        <w:t>建设安全可靠的韧性城市</w:t>
      </w:r>
      <w:bookmarkEnd w:id="473"/>
      <w:bookmarkEnd w:id="474"/>
      <w:bookmarkEnd w:id="475"/>
      <w:bookmarkEnd w:id="476"/>
      <w:bookmarkEnd w:id="477"/>
      <w:bookmarkEnd w:id="478"/>
      <w:bookmarkEnd w:id="479"/>
    </w:p>
    <w:p w14:paraId="674BFDDA">
      <w:pPr>
        <w:adjustRightInd w:val="0"/>
        <w:snapToGrid w:val="0"/>
        <w:spacing w:line="600" w:lineRule="exact"/>
        <w:ind w:firstLine="640" w:firstLineChars="200"/>
        <w:textAlignment w:val="baseline"/>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锚定韧性城市建设核心要求，聚焦安全高效新型能源，加强自然灾害防治能力，提升防洪排涝综合水平，筑牢城市安全防护屏障，增强城市抗风险与应急保障能力，夯实高质量发展的安全根基。</w:t>
      </w:r>
    </w:p>
    <w:p w14:paraId="3D798347">
      <w:pPr>
        <w:adjustRightInd w:val="0"/>
        <w:snapToGrid w:val="0"/>
        <w:spacing w:line="600" w:lineRule="exact"/>
        <w:jc w:val="center"/>
        <w:outlineLvl w:val="2"/>
        <w:rPr>
          <w:rFonts w:ascii="Times New Roman" w:hAnsi="Times New Roman" w:eastAsia="方正楷体_GBK" w:cs="Times New Roman"/>
          <w:color w:val="auto"/>
          <w:sz w:val="32"/>
          <w:highlight w:val="none"/>
        </w:rPr>
      </w:pPr>
      <w:bookmarkStart w:id="480" w:name="_Toc244434625"/>
      <w:bookmarkStart w:id="481" w:name="_Toc31939"/>
      <w:bookmarkStart w:id="482" w:name="_Toc6424"/>
      <w:bookmarkStart w:id="483" w:name="_Toc1332615396"/>
      <w:bookmarkStart w:id="484" w:name="_Toc15772"/>
      <w:bookmarkStart w:id="485" w:name="_Toc1290"/>
      <w:bookmarkStart w:id="486" w:name="_Toc32761"/>
      <w:bookmarkStart w:id="487" w:name="_Toc26863"/>
      <w:bookmarkStart w:id="488" w:name="_Toc32436"/>
      <w:bookmarkStart w:id="489" w:name="_Toc31232"/>
      <w:bookmarkStart w:id="490" w:name="_Toc11672"/>
      <w:bookmarkStart w:id="491" w:name="_Toc594759805"/>
      <w:bookmarkStart w:id="492" w:name="_Toc1967"/>
      <w:bookmarkStart w:id="493" w:name="_Toc19032"/>
      <w:bookmarkStart w:id="494" w:name="_Toc20815"/>
      <w:bookmarkStart w:id="495" w:name="_Toc768061792"/>
      <w:bookmarkStart w:id="496" w:name="_Toc24633"/>
      <w:r>
        <w:rPr>
          <w:rFonts w:hint="eastAsia" w:ascii="Times New Roman" w:hAnsi="Times New Roman" w:eastAsia="方正楷体_GBK" w:cs="Times New Roman"/>
          <w:color w:val="auto"/>
          <w:sz w:val="32"/>
          <w:highlight w:val="none"/>
        </w:rPr>
        <w:t>第一节 完善新型能源基础设施</w:t>
      </w:r>
      <w:bookmarkEnd w:id="480"/>
      <w:bookmarkEnd w:id="481"/>
      <w:bookmarkEnd w:id="482"/>
      <w:bookmarkEnd w:id="483"/>
      <w:bookmarkEnd w:id="484"/>
    </w:p>
    <w:p w14:paraId="0954900F">
      <w:pPr>
        <w:adjustRightInd w:val="0"/>
        <w:snapToGrid w:val="0"/>
        <w:spacing w:line="600" w:lineRule="exact"/>
        <w:ind w:firstLine="640" w:firstLineChars="200"/>
        <w:textAlignment w:val="baseline"/>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提升水气基础设施配套。推进老旧供水管网更新改造，严控管网漏损率，结合储备土地开发完善供水管网布局，优先保障金凤城市中心、产业园区等重点区域用水需求，同步强化二次供水设施专业化运营管理。优化天然气管网“低压成网、中压成环”布局，推进老旧小区燃气管道及户内设施改造，加装智能物联网表与泄漏报警装置，提升供气稳定性，保障居民与产业用气安全。</w:t>
      </w:r>
    </w:p>
    <w:p w14:paraId="2405CDC2">
      <w:pPr>
        <w:adjustRightInd w:val="0"/>
        <w:snapToGrid w:val="0"/>
        <w:spacing w:line="600" w:lineRule="exact"/>
        <w:ind w:firstLine="640" w:firstLineChars="200"/>
        <w:textAlignment w:val="baseline"/>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完善全域骨干电网架构。推动“2</w:t>
      </w:r>
      <w:r>
        <w:rPr>
          <w:rFonts w:hint="eastAsia" w:ascii="宋体" w:hAnsi="宋体" w:eastAsia="宋体" w:cs="宋体"/>
          <w:color w:val="auto"/>
          <w:sz w:val="32"/>
          <w:szCs w:val="32"/>
          <w:highlight w:val="none"/>
        </w:rPr>
        <w:t>+</w:t>
      </w:r>
      <w:r>
        <w:rPr>
          <w:rFonts w:hint="eastAsia" w:ascii="Times New Roman" w:hAnsi="Times New Roman" w:eastAsia="方正仿宋_GBK" w:cs="Times New Roman"/>
          <w:color w:val="auto"/>
          <w:sz w:val="32"/>
          <w:szCs w:val="32"/>
          <w:highlight w:val="none"/>
        </w:rPr>
        <w:t>5”变电站建设全面提速，推进220千伏花朝门、虎风变电站建设和110千伏文昌、走马、高龙、团碾槽、清河等变电站建设，形成“陈家桥—龙荫—花朝门—虎风—陈家桥”220千伏电网“扇形”主网架与金凤城市中心内部10千伏“目”字形双环网架，打造计划检修“零停电”示范区。推进虚拟电厂、源网荷储一体化等新型需求侧管理模式，保障高质量电网建设。</w:t>
      </w:r>
    </w:p>
    <w:p w14:paraId="292A5A37">
      <w:pPr>
        <w:adjustRightInd w:val="0"/>
        <w:snapToGrid w:val="0"/>
        <w:spacing w:line="600" w:lineRule="exact"/>
        <w:ind w:firstLine="640" w:firstLineChars="200"/>
        <w:textAlignment w:val="baseline"/>
        <w:rPr>
          <w:rFonts w:hint="eastAsia"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深化新能源多元协同布局。加大清洁能源供给，在科学谷、金凤软件园等载体推广分布式光伏，因地制宜布局风电项目，推动新增用电量逐步实现清洁能源全覆盖。升级科学谷储能电站运营模式，深化“低谷储电、高峰放电”调节功能，提升可再生能源规模化消纳能力。依托西部（重庆）科学城虚拟电厂平台，聚合可调资源实现与电网协同调度。按计划推进超充站建设，优化充电桩、换电站布局，推广“光储充一体化”服务，构建多能互补、智慧高效的新能源应用生态。到2030年，建成220千伏花朝门、虎风变电站，建成110千伏文昌、走马、高龙、团碾槽、清河变电站，建成中梁山26万千瓦光旅共生绿色能源走廊等项目。</w:t>
      </w:r>
      <w:bookmarkEnd w:id="485"/>
      <w:bookmarkEnd w:id="486"/>
      <w:bookmarkStart w:id="497" w:name="_Toc1160006009"/>
      <w:bookmarkStart w:id="498" w:name="_Toc25631"/>
      <w:bookmarkStart w:id="499" w:name="_Toc76525664"/>
      <w:bookmarkStart w:id="500" w:name="_Toc13454"/>
      <w:bookmarkStart w:id="501" w:name="_Toc25906"/>
    </w:p>
    <w:p w14:paraId="5B4DB2F3">
      <w:pPr>
        <w:tabs>
          <w:tab w:val="left" w:pos="0"/>
        </w:tabs>
        <w:adjustRightInd w:val="0"/>
        <w:snapToGrid w:val="0"/>
        <w:spacing w:line="600" w:lineRule="exact"/>
        <w:jc w:val="center"/>
        <w:outlineLvl w:val="2"/>
        <w:rPr>
          <w:rFonts w:hint="eastAsia" w:ascii="Times New Roman" w:hAnsi="Times New Roman" w:eastAsia="方正楷体_GBK" w:cs="Times New Roman"/>
          <w:color w:val="auto"/>
          <w:sz w:val="32"/>
          <w:szCs w:val="24"/>
          <w:highlight w:val="none"/>
        </w:rPr>
      </w:pPr>
      <w:bookmarkStart w:id="502" w:name="_Toc23210"/>
      <w:r>
        <w:rPr>
          <w:rFonts w:hint="eastAsia" w:ascii="Times New Roman" w:hAnsi="Times New Roman" w:eastAsia="方正楷体_GBK" w:cs="Times New Roman"/>
          <w:color w:val="auto"/>
          <w:sz w:val="32"/>
          <w:highlight w:val="none"/>
        </w:rPr>
        <w:t>第二节 加强</w:t>
      </w:r>
      <w:r>
        <w:rPr>
          <w:rFonts w:ascii="Times New Roman" w:hAnsi="Times New Roman" w:eastAsia="方正楷体_GBK" w:cs="Times New Roman"/>
          <w:color w:val="auto"/>
          <w:sz w:val="32"/>
          <w:highlight w:val="none"/>
        </w:rPr>
        <w:t>自然灾害防治</w:t>
      </w:r>
      <w:bookmarkEnd w:id="497"/>
      <w:bookmarkEnd w:id="498"/>
      <w:bookmarkEnd w:id="499"/>
      <w:bookmarkEnd w:id="500"/>
      <w:bookmarkEnd w:id="502"/>
    </w:p>
    <w:p w14:paraId="5A760B98">
      <w:pPr>
        <w:widowControl w:val="0"/>
        <w:adjustRightInd w:val="0"/>
        <w:spacing w:line="600" w:lineRule="exact"/>
        <w:ind w:firstLine="640"/>
        <w:textAlignment w:val="baseline"/>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构建</w:t>
      </w:r>
      <w:r>
        <w:rPr>
          <w:rFonts w:hint="eastAsia" w:ascii="Times New Roman" w:hAnsi="Times New Roman" w:eastAsia="方正仿宋_GBK" w:cs="Times New Roman"/>
          <w:color w:val="auto"/>
          <w:sz w:val="32"/>
          <w:szCs w:val="32"/>
          <w:highlight w:val="none"/>
        </w:rPr>
        <w:t>“</w:t>
      </w:r>
      <w:r>
        <w:rPr>
          <w:rFonts w:ascii="Times New Roman" w:hAnsi="Times New Roman" w:eastAsia="方正仿宋_GBK" w:cs="Times New Roman"/>
          <w:color w:val="auto"/>
          <w:sz w:val="32"/>
          <w:szCs w:val="32"/>
          <w:highlight w:val="none"/>
        </w:rPr>
        <w:t>源头防控、监测预警、应急处置</w:t>
      </w:r>
      <w:r>
        <w:rPr>
          <w:rFonts w:hint="eastAsia" w:ascii="Times New Roman" w:hAnsi="Times New Roman" w:eastAsia="方正仿宋_GBK" w:cs="Times New Roman"/>
          <w:color w:val="auto"/>
          <w:sz w:val="32"/>
          <w:szCs w:val="32"/>
          <w:highlight w:val="none"/>
        </w:rPr>
        <w:t>”</w:t>
      </w:r>
      <w:r>
        <w:rPr>
          <w:rFonts w:ascii="Times New Roman" w:hAnsi="Times New Roman" w:eastAsia="方正仿宋_GBK" w:cs="Times New Roman"/>
          <w:color w:val="auto"/>
          <w:sz w:val="32"/>
          <w:szCs w:val="32"/>
          <w:highlight w:val="none"/>
        </w:rPr>
        <w:t>三位一体防治体系</w:t>
      </w:r>
      <w:r>
        <w:rPr>
          <w:rFonts w:hint="eastAsia" w:ascii="Times New Roman" w:hAnsi="Times New Roman" w:eastAsia="方正仿宋_GBK" w:cs="Times New Roman"/>
          <w:color w:val="auto"/>
          <w:sz w:val="32"/>
          <w:szCs w:val="32"/>
          <w:highlight w:val="none"/>
        </w:rPr>
        <w:t>。</w:t>
      </w:r>
      <w:r>
        <w:rPr>
          <w:rFonts w:ascii="Times New Roman" w:hAnsi="Times New Roman" w:eastAsia="方正仿宋_GBK" w:cs="Times New Roman"/>
          <w:color w:val="auto"/>
          <w:sz w:val="32"/>
          <w:szCs w:val="32"/>
          <w:highlight w:val="none"/>
        </w:rPr>
        <w:t>强化风险防控源头治理，健全</w:t>
      </w:r>
      <w:r>
        <w:rPr>
          <w:rFonts w:hint="eastAsia" w:ascii="方正仿宋_GBK" w:hAnsi="方正仿宋_GBK" w:eastAsia="方正仿宋_GBK" w:cs="方正仿宋_GBK"/>
          <w:color w:val="auto"/>
          <w:sz w:val="32"/>
          <w:szCs w:val="32"/>
          <w:highlight w:val="none"/>
        </w:rPr>
        <w:t>“</w:t>
      </w:r>
      <w:r>
        <w:rPr>
          <w:rFonts w:ascii="Times New Roman" w:hAnsi="Times New Roman" w:eastAsia="方正仿宋_GBK" w:cs="Times New Roman"/>
          <w:color w:val="auto"/>
          <w:sz w:val="32"/>
          <w:szCs w:val="32"/>
          <w:highlight w:val="none"/>
        </w:rPr>
        <w:t>排查</w:t>
      </w:r>
      <w:r>
        <w:rPr>
          <w:rFonts w:hint="eastAsia" w:ascii="Times New Roman" w:hAnsi="Times New Roman" w:eastAsia="方正仿宋_GBK" w:cs="Times New Roman"/>
          <w:color w:val="auto"/>
          <w:sz w:val="32"/>
          <w:szCs w:val="32"/>
          <w:highlight w:val="none"/>
          <w:lang w:val="en-US" w:eastAsia="zh-CN"/>
        </w:rPr>
        <w:t>—</w:t>
      </w:r>
      <w:r>
        <w:rPr>
          <w:rFonts w:ascii="Times New Roman" w:hAnsi="Times New Roman" w:eastAsia="方正仿宋_GBK" w:cs="Times New Roman"/>
          <w:color w:val="auto"/>
          <w:sz w:val="32"/>
          <w:szCs w:val="32"/>
          <w:highlight w:val="none"/>
        </w:rPr>
        <w:t>研判</w:t>
      </w:r>
      <w:r>
        <w:rPr>
          <w:rFonts w:hint="eastAsia" w:ascii="Times New Roman" w:hAnsi="Times New Roman" w:eastAsia="方正仿宋_GBK" w:cs="Times New Roman"/>
          <w:color w:val="auto"/>
          <w:sz w:val="32"/>
          <w:szCs w:val="32"/>
          <w:highlight w:val="none"/>
          <w:lang w:val="en-US" w:eastAsia="zh-CN"/>
        </w:rPr>
        <w:t>—</w:t>
      </w:r>
      <w:r>
        <w:rPr>
          <w:rFonts w:ascii="Times New Roman" w:hAnsi="Times New Roman" w:eastAsia="方正仿宋_GBK" w:cs="Times New Roman"/>
          <w:color w:val="auto"/>
          <w:sz w:val="32"/>
          <w:szCs w:val="32"/>
          <w:highlight w:val="none"/>
        </w:rPr>
        <w:t>整改</w:t>
      </w:r>
      <w:r>
        <w:rPr>
          <w:rFonts w:hint="eastAsia" w:ascii="Times New Roman" w:hAnsi="Times New Roman" w:eastAsia="方正仿宋_GBK" w:cs="Times New Roman"/>
          <w:color w:val="auto"/>
          <w:sz w:val="32"/>
          <w:szCs w:val="32"/>
          <w:highlight w:val="none"/>
          <w:lang w:val="en-US" w:eastAsia="zh-CN"/>
        </w:rPr>
        <w:t>—</w:t>
      </w:r>
      <w:r>
        <w:rPr>
          <w:rFonts w:ascii="Times New Roman" w:hAnsi="Times New Roman" w:eastAsia="方正仿宋_GBK" w:cs="Times New Roman"/>
          <w:color w:val="auto"/>
          <w:sz w:val="32"/>
          <w:szCs w:val="32"/>
          <w:highlight w:val="none"/>
        </w:rPr>
        <w:t>销号</w:t>
      </w:r>
      <w:r>
        <w:rPr>
          <w:rFonts w:hint="eastAsia" w:ascii="方正仿宋_GBK" w:hAnsi="方正仿宋_GBK" w:eastAsia="方正仿宋_GBK" w:cs="方正仿宋_GBK"/>
          <w:color w:val="auto"/>
          <w:sz w:val="32"/>
          <w:szCs w:val="32"/>
          <w:highlight w:val="none"/>
        </w:rPr>
        <w:t>”</w:t>
      </w:r>
      <w:r>
        <w:rPr>
          <w:rFonts w:ascii="Times New Roman" w:hAnsi="Times New Roman" w:eastAsia="方正仿宋_GBK" w:cs="Times New Roman"/>
          <w:color w:val="auto"/>
          <w:sz w:val="32"/>
          <w:szCs w:val="32"/>
          <w:highlight w:val="none"/>
        </w:rPr>
        <w:t>闭环机制，聚焦</w:t>
      </w:r>
      <w:r>
        <w:rPr>
          <w:rFonts w:hint="eastAsia" w:ascii="Times New Roman" w:hAnsi="Times New Roman" w:eastAsia="方正仿宋_GBK" w:cs="Times New Roman"/>
          <w:color w:val="auto"/>
          <w:sz w:val="32"/>
          <w:szCs w:val="32"/>
          <w:highlight w:val="none"/>
        </w:rPr>
        <w:t>森林火灾、</w:t>
      </w:r>
      <w:r>
        <w:rPr>
          <w:rFonts w:ascii="Times New Roman" w:hAnsi="Times New Roman" w:eastAsia="方正仿宋_GBK" w:cs="Times New Roman"/>
          <w:color w:val="auto"/>
          <w:sz w:val="32"/>
          <w:szCs w:val="32"/>
          <w:highlight w:val="none"/>
        </w:rPr>
        <w:t>地质灾害、</w:t>
      </w:r>
      <w:r>
        <w:rPr>
          <w:rFonts w:hint="eastAsia" w:ascii="Times New Roman" w:hAnsi="Times New Roman" w:eastAsia="方正仿宋_GBK" w:cs="Times New Roman"/>
          <w:color w:val="auto"/>
          <w:sz w:val="32"/>
          <w:szCs w:val="32"/>
          <w:highlight w:val="none"/>
        </w:rPr>
        <w:t>气象灾害</w:t>
      </w:r>
      <w:r>
        <w:rPr>
          <w:rFonts w:ascii="Times New Roman" w:hAnsi="Times New Roman" w:eastAsia="方正仿宋_GBK" w:cs="Times New Roman"/>
          <w:color w:val="auto"/>
          <w:sz w:val="32"/>
          <w:szCs w:val="32"/>
          <w:highlight w:val="none"/>
        </w:rPr>
        <w:t>等领域，推进重大隐患点工程治理。健全监测预警体系，搭建智慧监测平台，完善市、区、街道、社区四级预警传播体系。加强应急指挥</w:t>
      </w:r>
      <w:r>
        <w:rPr>
          <w:rFonts w:hint="eastAsia" w:ascii="Times New Roman" w:hAnsi="Times New Roman" w:eastAsia="方正仿宋_GBK" w:cs="Times New Roman"/>
          <w:color w:val="auto"/>
          <w:sz w:val="32"/>
          <w:szCs w:val="32"/>
          <w:highlight w:val="none"/>
        </w:rPr>
        <w:t>、</w:t>
      </w:r>
      <w:r>
        <w:rPr>
          <w:rFonts w:ascii="Times New Roman" w:hAnsi="Times New Roman" w:eastAsia="方正仿宋_GBK" w:cs="Times New Roman"/>
          <w:color w:val="auto"/>
          <w:sz w:val="32"/>
          <w:szCs w:val="32"/>
          <w:highlight w:val="none"/>
        </w:rPr>
        <w:t>处置和救援体系建设，</w:t>
      </w:r>
      <w:r>
        <w:rPr>
          <w:rFonts w:hint="eastAsia" w:ascii="Times New Roman" w:hAnsi="Times New Roman" w:eastAsia="方正仿宋_GBK" w:cs="Times New Roman"/>
          <w:color w:val="auto"/>
          <w:sz w:val="32"/>
          <w:szCs w:val="32"/>
          <w:highlight w:val="none"/>
        </w:rPr>
        <w:t>推进“区—镇街”两级专业救援队伍体系建设，标准化建成区专业救援支队和镇街专业救援大队，</w:t>
      </w:r>
      <w:r>
        <w:rPr>
          <w:rFonts w:ascii="Times New Roman" w:hAnsi="Times New Roman" w:eastAsia="方正仿宋_GBK" w:cs="Times New Roman"/>
          <w:color w:val="auto"/>
          <w:sz w:val="32"/>
          <w:szCs w:val="32"/>
          <w:highlight w:val="none"/>
        </w:rPr>
        <w:t>加快高新区</w:t>
      </w:r>
      <w:r>
        <w:rPr>
          <w:rFonts w:hint="eastAsia" w:ascii="Times New Roman" w:hAnsi="Times New Roman" w:eastAsia="方正仿宋_GBK" w:cs="Times New Roman"/>
          <w:color w:val="auto"/>
          <w:sz w:val="32"/>
          <w:szCs w:val="32"/>
          <w:highlight w:val="none"/>
        </w:rPr>
        <w:t>消防</w:t>
      </w:r>
      <w:r>
        <w:rPr>
          <w:rFonts w:ascii="Times New Roman" w:hAnsi="Times New Roman" w:eastAsia="方正仿宋_GBK" w:cs="Times New Roman"/>
          <w:color w:val="auto"/>
          <w:sz w:val="32"/>
          <w:szCs w:val="32"/>
          <w:highlight w:val="none"/>
        </w:rPr>
        <w:t>指挥中心、火调技术中心、大数据运营和灾备中心</w:t>
      </w:r>
      <w:r>
        <w:rPr>
          <w:rFonts w:hint="eastAsia" w:ascii="Times New Roman" w:hAnsi="Times New Roman" w:eastAsia="方正仿宋_GBK" w:cs="Times New Roman"/>
          <w:color w:val="auto"/>
          <w:sz w:val="32"/>
          <w:szCs w:val="32"/>
          <w:highlight w:val="none"/>
        </w:rPr>
        <w:t>建设</w:t>
      </w:r>
      <w:r>
        <w:rPr>
          <w:rFonts w:ascii="Times New Roman" w:hAnsi="Times New Roman" w:eastAsia="方正仿宋_GBK" w:cs="Times New Roman"/>
          <w:color w:val="auto"/>
          <w:sz w:val="32"/>
          <w:szCs w:val="32"/>
          <w:highlight w:val="none"/>
        </w:rPr>
        <w:t>，</w:t>
      </w:r>
      <w:r>
        <w:rPr>
          <w:rFonts w:hint="eastAsia" w:ascii="Times New Roman" w:hAnsi="Times New Roman" w:eastAsia="方正仿宋_GBK" w:cs="Times New Roman"/>
          <w:color w:val="auto"/>
          <w:sz w:val="32"/>
          <w:szCs w:val="32"/>
          <w:highlight w:val="none"/>
        </w:rPr>
        <w:t>改造现有消防救援训练基地设施，并增建大空间（地下）建筑火灾扑救、烟热特性</w:t>
      </w:r>
      <w:r>
        <w:rPr>
          <w:rFonts w:hint="eastAsia" w:ascii="Times New Roman" w:hAnsi="Times New Roman" w:eastAsia="方正仿宋_GBK" w:cs="Times New Roman"/>
          <w:color w:val="auto"/>
          <w:sz w:val="32"/>
          <w:szCs w:val="32"/>
          <w:highlight w:val="none"/>
          <w:lang w:val="en-US" w:eastAsia="zh-CN"/>
        </w:rPr>
        <w:t>及</w:t>
      </w:r>
      <w:r>
        <w:rPr>
          <w:rFonts w:hint="eastAsia" w:ascii="Times New Roman" w:hAnsi="Times New Roman" w:eastAsia="方正仿宋_GBK" w:cs="Times New Roman"/>
          <w:color w:val="auto"/>
          <w:sz w:val="32"/>
          <w:szCs w:val="32"/>
          <w:highlight w:val="none"/>
        </w:rPr>
        <w:t>紧急救援、城市高空等训练设施，改造扩建后满足300人驻训需求，逐步在曾家、走马、石板镇建设小型消防站</w:t>
      </w:r>
      <w:r>
        <w:rPr>
          <w:rFonts w:hint="eastAsia" w:ascii="Times New Roman" w:hAnsi="Times New Roman" w:eastAsia="方正仿宋_GBK" w:cs="Times New Roman"/>
          <w:color w:val="auto"/>
          <w:sz w:val="32"/>
          <w:szCs w:val="32"/>
          <w:highlight w:val="none"/>
          <w:lang w:eastAsia="zh-CN"/>
        </w:rPr>
        <w:t>，推动基层“应消一体”建设</w:t>
      </w:r>
      <w:r>
        <w:rPr>
          <w:rFonts w:hint="eastAsia" w:ascii="Times New Roman" w:hAnsi="Times New Roman" w:eastAsia="方正仿宋_GBK" w:cs="Times New Roman"/>
          <w:color w:val="auto"/>
          <w:sz w:val="32"/>
          <w:szCs w:val="32"/>
          <w:highlight w:val="none"/>
        </w:rPr>
        <w:t>。</w:t>
      </w:r>
      <w:r>
        <w:rPr>
          <w:rFonts w:ascii="Times New Roman" w:hAnsi="Times New Roman" w:eastAsia="方正仿宋_GBK" w:cs="Times New Roman"/>
          <w:color w:val="auto"/>
          <w:sz w:val="32"/>
          <w:szCs w:val="32"/>
          <w:highlight w:val="none"/>
        </w:rPr>
        <w:t>统筹利用地上地下空间，加强</w:t>
      </w:r>
      <w:r>
        <w:rPr>
          <w:rFonts w:hint="eastAsia" w:ascii="Times New Roman" w:hAnsi="Times New Roman" w:eastAsia="方正仿宋_GBK" w:cs="Times New Roman"/>
          <w:color w:val="auto"/>
          <w:sz w:val="32"/>
          <w:szCs w:val="32"/>
          <w:highlight w:val="none"/>
        </w:rPr>
        <w:t>“</w:t>
      </w:r>
      <w:r>
        <w:rPr>
          <w:rFonts w:ascii="Times New Roman" w:hAnsi="Times New Roman" w:eastAsia="方正仿宋_GBK" w:cs="Times New Roman"/>
          <w:color w:val="auto"/>
          <w:sz w:val="32"/>
          <w:szCs w:val="32"/>
          <w:highlight w:val="none"/>
        </w:rPr>
        <w:t>平急两用</w:t>
      </w:r>
      <w:r>
        <w:rPr>
          <w:rFonts w:hint="eastAsia" w:ascii="Times New Roman" w:hAnsi="Times New Roman" w:eastAsia="方正仿宋_GBK" w:cs="Times New Roman"/>
          <w:color w:val="auto"/>
          <w:sz w:val="32"/>
          <w:szCs w:val="32"/>
          <w:highlight w:val="none"/>
        </w:rPr>
        <w:t>”</w:t>
      </w:r>
      <w:r>
        <w:rPr>
          <w:rFonts w:ascii="Times New Roman" w:hAnsi="Times New Roman" w:eastAsia="方正仿宋_GBK" w:cs="Times New Roman"/>
          <w:color w:val="auto"/>
          <w:sz w:val="32"/>
          <w:szCs w:val="32"/>
          <w:highlight w:val="none"/>
        </w:rPr>
        <w:t>公共基础设施建设，构建总量充足，布局合理的应急避难场所体系。</w:t>
      </w:r>
    </w:p>
    <w:p w14:paraId="020EE78C">
      <w:pPr>
        <w:widowControl/>
        <w:overflowPunct w:val="0"/>
        <w:jc w:val="center"/>
        <w:rPr>
          <w:rFonts w:hint="eastAsia" w:ascii="Times New Roman" w:hAnsi="Times New Roman" w:eastAsia="方正黑体_GBK" w:cs="方正黑体_GBK"/>
          <w:color w:val="auto"/>
          <w:kern w:val="0"/>
          <w:sz w:val="32"/>
          <w:szCs w:val="32"/>
          <w:highlight w:val="none"/>
          <w:u w:val="none"/>
          <w:lang w:bidi="ar"/>
        </w:rPr>
      </w:pPr>
      <w:r>
        <w:rPr>
          <w:rFonts w:hint="eastAsia" w:ascii="Times New Roman" w:hAnsi="Times New Roman" w:eastAsia="方正黑体_GBK" w:cs="方正黑体_GBK"/>
          <w:color w:val="auto"/>
          <w:kern w:val="0"/>
          <w:sz w:val="32"/>
          <w:szCs w:val="32"/>
          <w:highlight w:val="none"/>
          <w:u w:val="none"/>
          <w:lang w:bidi="ar"/>
        </w:rPr>
        <w:t>专栏2</w:t>
      </w:r>
      <w:r>
        <w:rPr>
          <w:rFonts w:hint="eastAsia" w:ascii="Times New Roman" w:hAnsi="Times New Roman" w:eastAsia="方正黑体_GBK" w:cs="方正黑体_GBK"/>
          <w:color w:val="auto"/>
          <w:kern w:val="0"/>
          <w:sz w:val="32"/>
          <w:szCs w:val="32"/>
          <w:highlight w:val="none"/>
          <w:u w:val="none"/>
          <w:lang w:val="en-US" w:eastAsia="zh-CN" w:bidi="ar"/>
        </w:rPr>
        <w:t>7</w:t>
      </w:r>
      <w:r>
        <w:rPr>
          <w:rFonts w:hint="eastAsia" w:ascii="Times New Roman" w:hAnsi="Times New Roman" w:eastAsia="方正黑体_GBK" w:cs="方正黑体_GBK"/>
          <w:color w:val="auto"/>
          <w:kern w:val="0"/>
          <w:sz w:val="32"/>
          <w:szCs w:val="32"/>
          <w:highlight w:val="none"/>
          <w:u w:val="none"/>
          <w:lang w:bidi="ar"/>
        </w:rPr>
        <w:t xml:space="preserve"> 消防安全基础设施重点项目</w:t>
      </w:r>
    </w:p>
    <w:tbl>
      <w:tblPr>
        <w:tblStyle w:val="22"/>
        <w:tblW w:w="9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0"/>
      </w:tblGrid>
      <w:tr w14:paraId="3713B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0" w:type="dxa"/>
          </w:tcPr>
          <w:p w14:paraId="6DFA531F">
            <w:pPr>
              <w:pStyle w:val="19"/>
              <w:overflowPunct w:val="0"/>
              <w:snapToGrid w:val="0"/>
              <w:spacing w:beforeAutospacing="0" w:afterAutospacing="0" w:line="380" w:lineRule="exact"/>
              <w:ind w:firstLine="480" w:firstLineChars="200"/>
              <w:jc w:val="both"/>
              <w:rPr>
                <w:rFonts w:hint="eastAsia" w:ascii="方正书宋_GBK" w:hAnsi="方正书宋_GBK" w:eastAsia="方正书宋_GBK" w:cs="方正书宋_GBK"/>
                <w:color w:val="auto"/>
                <w:highlight w:val="none"/>
              </w:rPr>
            </w:pPr>
            <w:r>
              <w:rPr>
                <w:rFonts w:hint="eastAsia" w:ascii="Times New Roman" w:hAnsi="Times New Roman" w:eastAsia="方正黑体_GBK" w:cs="方正黑体_GBK"/>
                <w:color w:val="auto"/>
                <w:highlight w:val="none"/>
                <w:u w:val="none"/>
                <w:lang w:val="en-US" w:eastAsia="zh-CN"/>
              </w:rPr>
              <w:t>1</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highlight w:val="none"/>
                <w:u w:val="none"/>
              </w:rPr>
              <w:t>金凤消防救援站项目。</w:t>
            </w:r>
            <w:r>
              <w:rPr>
                <w:rFonts w:hint="eastAsia" w:ascii="方正书宋_GBK" w:hAnsi="方正书宋_GBK" w:eastAsia="方正书宋_GBK" w:cs="方正书宋_GBK"/>
                <w:color w:val="auto"/>
                <w:highlight w:val="none"/>
              </w:rPr>
              <w:t>规划建设用地</w:t>
            </w:r>
            <w:r>
              <w:rPr>
                <w:rFonts w:hint="default" w:ascii="Times New Roman" w:hAnsi="Times New Roman" w:eastAsia="方正书宋_GBK" w:cs="Times New Roman"/>
                <w:color w:val="auto"/>
                <w:highlight w:val="none"/>
              </w:rPr>
              <w:t>面积12亩，建筑面积7311平方</w:t>
            </w:r>
            <w:r>
              <w:rPr>
                <w:rFonts w:hint="eastAsia" w:ascii="方正书宋_GBK" w:hAnsi="方正书宋_GBK" w:eastAsia="方正书宋_GBK" w:cs="方正书宋_GBK"/>
                <w:color w:val="auto"/>
                <w:highlight w:val="none"/>
              </w:rPr>
              <w:t>米，建成集执勤、办公、训练</w:t>
            </w:r>
            <w:r>
              <w:rPr>
                <w:rFonts w:hint="eastAsia" w:ascii="方正书宋_GBK" w:hAnsi="方正书宋_GBK" w:eastAsia="方正书宋_GBK" w:cs="方正书宋_GBK"/>
                <w:color w:val="auto"/>
                <w:highlight w:val="none"/>
                <w:lang w:val="en-US" w:eastAsia="zh-CN"/>
              </w:rPr>
              <w:t>于</w:t>
            </w:r>
            <w:r>
              <w:rPr>
                <w:rFonts w:hint="eastAsia" w:ascii="方正书宋_GBK" w:hAnsi="方正书宋_GBK" w:eastAsia="方正书宋_GBK" w:cs="方正书宋_GBK"/>
                <w:color w:val="auto"/>
                <w:highlight w:val="none"/>
              </w:rPr>
              <w:t>一体的消防救援站。</w:t>
            </w:r>
          </w:p>
          <w:p w14:paraId="3DA1B1DC">
            <w:pPr>
              <w:widowControl/>
              <w:overflowPunct w:val="0"/>
              <w:snapToGrid w:val="0"/>
              <w:spacing w:line="380" w:lineRule="exact"/>
              <w:ind w:firstLine="480" w:firstLineChars="200"/>
              <w:jc w:val="left"/>
              <w:rPr>
                <w:rFonts w:ascii="Times New Roman" w:hAnsi="Times New Roman" w:eastAsia="方正仿宋_GBK" w:cs="Times New Roman"/>
                <w:color w:val="auto"/>
                <w:sz w:val="24"/>
                <w:szCs w:val="24"/>
                <w:highlight w:val="none"/>
              </w:rPr>
            </w:pPr>
            <w:r>
              <w:rPr>
                <w:rFonts w:hint="eastAsia" w:ascii="Times New Roman" w:hAnsi="Times New Roman" w:eastAsia="方正黑体_GBK" w:cs="方正黑体_GBK"/>
                <w:color w:val="auto"/>
                <w:sz w:val="24"/>
                <w:highlight w:val="none"/>
                <w:u w:val="none"/>
                <w:lang w:val="en-US" w:eastAsia="zh-CN"/>
              </w:rPr>
              <w:t>2</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sz w:val="24"/>
                <w:highlight w:val="none"/>
                <w:u w:val="none"/>
              </w:rPr>
              <w:t>含谷消防救援站项目。</w:t>
            </w:r>
            <w:r>
              <w:rPr>
                <w:rFonts w:hint="eastAsia" w:ascii="方正书宋_GBK" w:hAnsi="方正书宋_GBK" w:eastAsia="方正书宋_GBK" w:cs="方正书宋_GBK"/>
                <w:color w:val="auto"/>
                <w:sz w:val="24"/>
                <w:highlight w:val="none"/>
              </w:rPr>
              <w:t>规划建设用地面</w:t>
            </w:r>
            <w:r>
              <w:rPr>
                <w:rFonts w:hint="default" w:ascii="Times New Roman" w:hAnsi="Times New Roman" w:eastAsia="方正书宋_GBK" w:cs="Times New Roman"/>
                <w:color w:val="auto"/>
                <w:sz w:val="24"/>
                <w:highlight w:val="none"/>
              </w:rPr>
              <w:t>积31.6亩，建筑面积约7000平方</w:t>
            </w:r>
            <w:r>
              <w:rPr>
                <w:rFonts w:hint="eastAsia" w:ascii="方正书宋_GBK" w:hAnsi="方正书宋_GBK" w:eastAsia="方正书宋_GBK" w:cs="方正书宋_GBK"/>
                <w:color w:val="auto"/>
                <w:sz w:val="24"/>
                <w:highlight w:val="none"/>
              </w:rPr>
              <w:t>米。为促进土地集约利用，在该地块建设高新区指挥中心、火调技术中心、大数据运营和灾备中心，逐步建成集消防指挥调度、火灾调查研究、消防数据智能分析、救援物资备份等多功能的区域消防救援中心。</w:t>
            </w:r>
          </w:p>
        </w:tc>
      </w:tr>
    </w:tbl>
    <w:p w14:paraId="0E738B57">
      <w:pPr>
        <w:tabs>
          <w:tab w:val="left" w:pos="0"/>
        </w:tabs>
        <w:adjustRightInd w:val="0"/>
        <w:snapToGrid w:val="0"/>
        <w:spacing w:line="600" w:lineRule="exact"/>
        <w:jc w:val="center"/>
        <w:outlineLvl w:val="2"/>
        <w:rPr>
          <w:rFonts w:ascii="Times New Roman" w:hAnsi="Times New Roman" w:eastAsia="方正仿宋_GBK" w:cs="Times New Roman"/>
          <w:color w:val="auto"/>
          <w:sz w:val="32"/>
          <w:szCs w:val="32"/>
          <w:highlight w:val="none"/>
        </w:rPr>
      </w:pPr>
      <w:bookmarkStart w:id="503" w:name="_Toc1971613942"/>
      <w:bookmarkStart w:id="504" w:name="_Toc16140"/>
      <w:bookmarkStart w:id="505" w:name="_Toc16004"/>
      <w:bookmarkStart w:id="506" w:name="_Toc15191"/>
      <w:bookmarkStart w:id="507" w:name="_Toc31170"/>
      <w:bookmarkStart w:id="508" w:name="_Toc1364445797"/>
      <w:r>
        <w:rPr>
          <w:rFonts w:hint="eastAsia" w:ascii="Times New Roman" w:hAnsi="Times New Roman" w:eastAsia="方正楷体_GBK" w:cs="Times New Roman"/>
          <w:color w:val="auto"/>
          <w:sz w:val="32"/>
          <w:highlight w:val="none"/>
        </w:rPr>
        <w:t>第三节 强化城市防洪和内涝治理</w:t>
      </w:r>
      <w:bookmarkEnd w:id="487"/>
      <w:bookmarkEnd w:id="488"/>
      <w:bookmarkEnd w:id="489"/>
      <w:bookmarkEnd w:id="490"/>
      <w:bookmarkEnd w:id="491"/>
      <w:bookmarkEnd w:id="501"/>
      <w:bookmarkEnd w:id="503"/>
      <w:bookmarkEnd w:id="504"/>
      <w:bookmarkEnd w:id="505"/>
      <w:bookmarkEnd w:id="506"/>
      <w:bookmarkEnd w:id="507"/>
      <w:bookmarkEnd w:id="508"/>
      <w:bookmarkStart w:id="509" w:name="_Toc12247"/>
    </w:p>
    <w:p w14:paraId="2BD9B48F">
      <w:pPr>
        <w:adjustRightInd w:val="0"/>
        <w:snapToGrid w:val="0"/>
        <w:spacing w:line="600" w:lineRule="exact"/>
        <w:ind w:firstLine="640" w:firstLineChars="200"/>
        <w:textAlignment w:val="baseline"/>
        <w:rPr>
          <w:rFonts w:hint="eastAsia" w:ascii="Times New Roman" w:hAnsi="Times New Roman" w:eastAsia="方正仿宋_GBK" w:cs="Times New Roman"/>
          <w:color w:val="auto"/>
          <w:sz w:val="32"/>
          <w:szCs w:val="32"/>
          <w:highlight w:val="none"/>
          <w:lang w:eastAsia="zh-CN"/>
        </w:rPr>
      </w:pPr>
      <w:r>
        <w:rPr>
          <w:rFonts w:ascii="Times New Roman" w:hAnsi="Times New Roman" w:eastAsia="方正仿宋_GBK" w:cs="Times New Roman"/>
          <w:color w:val="auto"/>
          <w:sz w:val="32"/>
          <w:szCs w:val="32"/>
          <w:highlight w:val="none"/>
        </w:rPr>
        <w:t>健全洪涝联排联调机制，提升城市排水防涝能力，统筹推进排水设施升级、易涝点治理与海绵城市建设</w:t>
      </w:r>
      <w:r>
        <w:rPr>
          <w:rFonts w:hint="eastAsia" w:ascii="Times New Roman" w:hAnsi="Times New Roman" w:eastAsia="方正仿宋_GBK" w:cs="Times New Roman"/>
          <w:color w:val="auto"/>
          <w:sz w:val="32"/>
          <w:szCs w:val="32"/>
          <w:highlight w:val="none"/>
        </w:rPr>
        <w:t>。加快排水设施建设与市政排水管网改造，排查管网隐患，建立“管网病历本”，系统修复功能性缺陷管网，完善市政排水管网布局，提升雨水排放承载能力。持续推进易涝积水点治理，落实“一点一策”整治方案，加快剩余易涝点清零。加快推进海绵城市建设，联动园区与居住区落实“渗、滞、蓄”措施，推动建成区海绵化改造。</w:t>
      </w:r>
      <w:bookmarkEnd w:id="509"/>
      <w:r>
        <w:rPr>
          <w:rFonts w:hint="eastAsia" w:ascii="Times New Roman" w:hAnsi="Times New Roman" w:eastAsia="方正仿宋_GBK" w:cs="Times New Roman"/>
          <w:color w:val="auto"/>
          <w:sz w:val="32"/>
          <w:szCs w:val="32"/>
          <w:highlight w:val="none"/>
        </w:rPr>
        <w:t>统筹推进骨干河道堤防达标与河道清障整治，保障河道行洪通畅，确保超标洪水及时外排、有序下泄。到2030年，新建及改造排水管网200公里以上，建成区80%以上面积达到海绵城市要求</w:t>
      </w:r>
      <w:r>
        <w:rPr>
          <w:rFonts w:hint="eastAsia" w:ascii="Times New Roman" w:hAnsi="Times New Roman" w:eastAsia="方正仿宋_GBK" w:cs="Times New Roman"/>
          <w:color w:val="auto"/>
          <w:sz w:val="32"/>
          <w:szCs w:val="32"/>
          <w:highlight w:val="none"/>
          <w:lang w:eastAsia="zh-CN"/>
        </w:rPr>
        <w:t>。</w:t>
      </w:r>
    </w:p>
    <w:bookmarkEnd w:id="492"/>
    <w:bookmarkEnd w:id="493"/>
    <w:bookmarkEnd w:id="494"/>
    <w:bookmarkEnd w:id="495"/>
    <w:bookmarkEnd w:id="496"/>
    <w:p w14:paraId="75DCFA23">
      <w:pPr>
        <w:widowControl/>
        <w:overflowPunct/>
        <w:spacing w:line="600" w:lineRule="exact"/>
        <w:ind w:firstLine="640" w:firstLineChars="200"/>
        <w:jc w:val="left"/>
        <w:rPr>
          <w:rFonts w:hint="eastAsia" w:ascii="Times New Roman" w:hAnsi="Times New Roman" w:eastAsia="方正黑体_GBK" w:cs="方正黑体_GBK"/>
          <w:color w:val="auto"/>
          <w:kern w:val="0"/>
          <w:sz w:val="32"/>
          <w:szCs w:val="32"/>
          <w:highlight w:val="none"/>
          <w:u w:val="none"/>
          <w:lang w:bidi="ar"/>
        </w:rPr>
      </w:pPr>
      <w:bookmarkStart w:id="510" w:name="OLE_LINK10"/>
      <w:bookmarkStart w:id="511" w:name="_Toc10498"/>
      <w:bookmarkStart w:id="512" w:name="_Toc1410127513"/>
      <w:bookmarkStart w:id="513" w:name="_Toc8215"/>
      <w:bookmarkStart w:id="514" w:name="_Toc12516"/>
      <w:bookmarkStart w:id="515" w:name="_Toc16400"/>
      <w:bookmarkStart w:id="516" w:name="_Toc3110"/>
      <w:bookmarkStart w:id="517" w:name="_Toc1242849984"/>
    </w:p>
    <w:p w14:paraId="4C37D212">
      <w:pPr>
        <w:numPr>
          <w:ilvl w:val="-1"/>
          <w:numId w:val="0"/>
        </w:numPr>
        <w:overflowPunct w:val="0"/>
        <w:adjustRightInd w:val="0"/>
        <w:snapToGrid w:val="0"/>
        <w:spacing w:line="600" w:lineRule="exact"/>
        <w:jc w:val="center"/>
        <w:outlineLvl w:val="1"/>
        <w:rPr>
          <w:rFonts w:ascii="Times New Roman" w:hAnsi="Times New Roman" w:eastAsia="方正黑体_GBK" w:cs="Times New Roman"/>
          <w:bCs/>
          <w:color w:val="auto"/>
          <w:sz w:val="32"/>
          <w:szCs w:val="32"/>
          <w:highlight w:val="none"/>
        </w:rPr>
      </w:pPr>
      <w:r>
        <w:rPr>
          <w:rFonts w:hint="eastAsia" w:ascii="Times New Roman" w:hAnsi="Times New Roman" w:eastAsia="方正黑体_GBK" w:cs="Times New Roman"/>
          <w:bCs/>
          <w:color w:val="auto"/>
          <w:sz w:val="32"/>
          <w:szCs w:val="32"/>
          <w:highlight w:val="none"/>
          <w:lang w:val="en-US" w:eastAsia="zh-CN"/>
        </w:rPr>
        <w:t xml:space="preserve">第六章 </w:t>
      </w:r>
      <w:r>
        <w:rPr>
          <w:rFonts w:hint="default" w:ascii="Times New Roman" w:hAnsi="Times New Roman" w:eastAsia="方正黑体_GBK" w:cs="Times New Roman"/>
          <w:bCs/>
          <w:color w:val="auto"/>
          <w:sz w:val="32"/>
          <w:szCs w:val="32"/>
          <w:highlight w:val="none"/>
        </w:rPr>
        <w:t>建设崇德向善的文明城市</w:t>
      </w:r>
      <w:bookmarkEnd w:id="510"/>
      <w:bookmarkEnd w:id="511"/>
      <w:bookmarkEnd w:id="512"/>
      <w:bookmarkEnd w:id="513"/>
      <w:bookmarkEnd w:id="514"/>
      <w:bookmarkEnd w:id="515"/>
      <w:bookmarkEnd w:id="516"/>
      <w:bookmarkEnd w:id="517"/>
    </w:p>
    <w:p w14:paraId="1FCAC59B">
      <w:pPr>
        <w:adjustRightInd w:val="0"/>
        <w:snapToGrid w:val="0"/>
        <w:spacing w:line="600" w:lineRule="exact"/>
        <w:ind w:firstLine="640" w:firstLineChars="200"/>
        <w:textAlignment w:val="baseline"/>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统筹推进城市风貌塑造、文体事业提质、历史文化传承三大重点，以景观营造彰显城市魅力，以文体赋能丰富民生供给，以文化传承筑牢精神根基，构建兼具生态颜值、文化内涵与文明温度的城市发展格局。</w:t>
      </w:r>
    </w:p>
    <w:p w14:paraId="09167D21">
      <w:pPr>
        <w:adjustRightInd w:val="0"/>
        <w:snapToGrid w:val="0"/>
        <w:spacing w:line="600" w:lineRule="exact"/>
        <w:jc w:val="center"/>
        <w:outlineLvl w:val="2"/>
        <w:rPr>
          <w:rFonts w:ascii="Times New Roman" w:hAnsi="Times New Roman" w:eastAsia="方正楷体_GBK" w:cs="Times New Roman"/>
          <w:color w:val="auto"/>
          <w:sz w:val="32"/>
          <w:highlight w:val="none"/>
        </w:rPr>
      </w:pPr>
      <w:bookmarkStart w:id="518" w:name="_Toc244"/>
      <w:bookmarkStart w:id="519" w:name="_Toc20471"/>
      <w:bookmarkStart w:id="520" w:name="_Toc383582699"/>
      <w:bookmarkStart w:id="521" w:name="_Toc722"/>
      <w:bookmarkStart w:id="522" w:name="_Toc6246719"/>
      <w:bookmarkStart w:id="523" w:name="_Toc3545"/>
      <w:bookmarkStart w:id="524" w:name="_Toc25614"/>
      <w:r>
        <w:rPr>
          <w:rFonts w:hint="eastAsia" w:ascii="Times New Roman" w:hAnsi="Times New Roman" w:eastAsia="方正楷体_GBK" w:cs="Times New Roman"/>
          <w:color w:val="auto"/>
          <w:sz w:val="32"/>
          <w:highlight w:val="none"/>
        </w:rPr>
        <w:t xml:space="preserve">第一节 </w:t>
      </w:r>
      <w:bookmarkEnd w:id="518"/>
      <w:r>
        <w:rPr>
          <w:rFonts w:hint="eastAsia" w:ascii="Times New Roman" w:hAnsi="Times New Roman" w:eastAsia="方正楷体_GBK" w:cs="Times New Roman"/>
          <w:color w:val="auto"/>
          <w:sz w:val="32"/>
          <w:highlight w:val="none"/>
        </w:rPr>
        <w:t>塑造大美山水</w:t>
      </w:r>
      <w:r>
        <w:rPr>
          <w:rFonts w:hint="eastAsia" w:ascii="Times New Roman" w:hAnsi="Times New Roman" w:eastAsia="方正楷体_GBK" w:cs="Times New Roman"/>
          <w:color w:val="auto"/>
          <w:sz w:val="32"/>
          <w:highlight w:val="none"/>
          <w:lang w:val="en-US" w:eastAsia="zh-CN"/>
        </w:rPr>
        <w:t>城市</w:t>
      </w:r>
      <w:r>
        <w:rPr>
          <w:rFonts w:hint="eastAsia" w:ascii="Times New Roman" w:hAnsi="Times New Roman" w:eastAsia="方正楷体_GBK" w:cs="Times New Roman"/>
          <w:color w:val="auto"/>
          <w:sz w:val="32"/>
          <w:highlight w:val="none"/>
        </w:rPr>
        <w:t>风貌</w:t>
      </w:r>
      <w:bookmarkEnd w:id="519"/>
      <w:bookmarkEnd w:id="520"/>
      <w:bookmarkEnd w:id="521"/>
      <w:bookmarkEnd w:id="522"/>
      <w:bookmarkEnd w:id="523"/>
      <w:bookmarkEnd w:id="524"/>
    </w:p>
    <w:p w14:paraId="12A9F553">
      <w:pPr>
        <w:adjustRightInd w:val="0"/>
        <w:snapToGrid w:val="0"/>
        <w:spacing w:line="600" w:lineRule="exact"/>
        <w:ind w:firstLine="640" w:firstLineChars="200"/>
        <w:textAlignment w:val="baseline"/>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坚守“一心一带、两屏四河”生态空间格局。构建以中梁山、缙云山为骨架，河流水系、城中山体、城市田园为补充，道路市政绿化为廊道，山城步道为线，城市公园广场为点，疏密有致、亲水宜人、贴近自然的山水园林城市形态。建设城市生态绿廊、公园绿心，连通生态水系网络、修复滨水生态岸线，统筹推进各类公园绿地建设，加快推进建设大学城院士廷口袋公园、小微绿地，实施虎溪街道便民登山步道、金凤湖慢行系统等项目，形成布局均衡、功能完备的公园体系。到2030年，建成1</w:t>
      </w:r>
      <w:r>
        <w:rPr>
          <w:rFonts w:hint="eastAsia" w:ascii="Times New Roman" w:hAnsi="Times New Roman" w:eastAsia="方正仿宋_GBK" w:cs="Times New Roman"/>
          <w:color w:val="auto"/>
          <w:sz w:val="32"/>
          <w:szCs w:val="32"/>
          <w:highlight w:val="none"/>
          <w:lang w:val="en-US" w:eastAsia="zh-CN"/>
        </w:rPr>
        <w:t>0</w:t>
      </w:r>
      <w:r>
        <w:rPr>
          <w:rFonts w:hint="eastAsia" w:ascii="Times New Roman" w:hAnsi="Times New Roman" w:eastAsia="方正仿宋_GBK" w:cs="Times New Roman"/>
          <w:color w:val="auto"/>
          <w:sz w:val="32"/>
          <w:szCs w:val="32"/>
          <w:highlight w:val="none"/>
        </w:rPr>
        <w:t>个口袋公园，总面积约7万平方米，新增公园绿地10万平方米，建成区绿地率达</w:t>
      </w:r>
      <w:r>
        <w:rPr>
          <w:rFonts w:hint="eastAsia" w:ascii="Times New Roman" w:hAnsi="Times New Roman" w:eastAsia="方正仿宋_GBK" w:cs="Times New Roman"/>
          <w:color w:val="auto"/>
          <w:sz w:val="32"/>
          <w:szCs w:val="32"/>
          <w:highlight w:val="none"/>
          <w:lang w:val="en-US" w:eastAsia="zh-CN"/>
        </w:rPr>
        <w:t>38</w:t>
      </w:r>
      <w:r>
        <w:rPr>
          <w:rFonts w:hint="eastAsia" w:ascii="Times New Roman" w:hAnsi="Times New Roman" w:eastAsia="方正仿宋_GBK" w:cs="Times New Roman"/>
          <w:color w:val="auto"/>
          <w:sz w:val="32"/>
          <w:szCs w:val="32"/>
          <w:highlight w:val="none"/>
        </w:rPr>
        <w:t>%。</w:t>
      </w:r>
    </w:p>
    <w:p w14:paraId="5DF8353F">
      <w:pPr>
        <w:spacing w:line="600" w:lineRule="exact"/>
        <w:ind w:firstLine="640" w:firstLineChars="200"/>
        <w:jc w:val="both"/>
        <w:textAlignment w:val="baseline"/>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强化城市风貌塑造和管控。按照“中心地区和轨道站点周边宜高则高宜密则密、临山临水临绿地区宜低则低宜疏则疏”的原则，塑造平缓舒展、显山露水的天际线，构建高低有序、山水特色的立体城市形态。发挥整体规划和城市设计统筹作用，从风貌、强度、高度、密度分区及审查报批流程等方面对建设项目实行分级分类管控。从控制风光眺望点、景观视廊、城市天际线、城市界面等方面营造景观格局。打造城市重要标志性空间形态，塑造科学大道、大学城北路—西双大道两条城市空间轴线，强化沿线建筑界面设计引导</w:t>
      </w:r>
      <w:bookmarkStart w:id="525" w:name="_Toc14227"/>
      <w:bookmarkStart w:id="526" w:name="_Toc3584"/>
      <w:r>
        <w:rPr>
          <w:rFonts w:hint="eastAsia" w:ascii="Times New Roman" w:hAnsi="Times New Roman" w:eastAsia="方正仿宋_GBK" w:cs="Times New Roman"/>
          <w:color w:val="auto"/>
          <w:sz w:val="32"/>
          <w:szCs w:val="32"/>
          <w:highlight w:val="none"/>
        </w:rPr>
        <w:t>，精雕金凤城市中心空间形态和中心景观风貌，依托科技创新和产业发展根基营造面向未来的现代化科学城城市场景。</w:t>
      </w:r>
    </w:p>
    <w:p w14:paraId="7A7B5C1C">
      <w:pPr>
        <w:adjustRightInd w:val="0"/>
        <w:snapToGrid w:val="0"/>
        <w:spacing w:line="600" w:lineRule="exact"/>
        <w:jc w:val="center"/>
        <w:outlineLvl w:val="2"/>
        <w:rPr>
          <w:rFonts w:ascii="Times New Roman" w:hAnsi="Times New Roman" w:eastAsia="方正楷体_GBK" w:cs="Times New Roman"/>
          <w:color w:val="auto"/>
          <w:sz w:val="32"/>
          <w:highlight w:val="none"/>
        </w:rPr>
      </w:pPr>
      <w:bookmarkStart w:id="527" w:name="_Toc1909391177"/>
      <w:bookmarkStart w:id="528" w:name="_Toc15534"/>
      <w:bookmarkStart w:id="529" w:name="_Toc22231"/>
      <w:bookmarkStart w:id="530" w:name="_Toc13127"/>
      <w:bookmarkStart w:id="531" w:name="_Toc32511"/>
      <w:bookmarkStart w:id="532" w:name="_Toc128513799"/>
      <w:r>
        <w:rPr>
          <w:rFonts w:hint="eastAsia" w:ascii="Times New Roman" w:hAnsi="Times New Roman" w:eastAsia="方正楷体_GBK" w:cs="Times New Roman"/>
          <w:color w:val="auto"/>
          <w:sz w:val="32"/>
          <w:highlight w:val="none"/>
        </w:rPr>
        <w:t>第二节 加强历史文化保护传承</w:t>
      </w:r>
      <w:bookmarkEnd w:id="527"/>
      <w:bookmarkEnd w:id="528"/>
      <w:bookmarkEnd w:id="529"/>
      <w:bookmarkEnd w:id="530"/>
      <w:bookmarkEnd w:id="531"/>
      <w:bookmarkEnd w:id="532"/>
    </w:p>
    <w:p w14:paraId="0DEE0F71">
      <w:pPr>
        <w:adjustRightInd w:val="0"/>
        <w:snapToGrid w:val="0"/>
        <w:spacing w:line="600" w:lineRule="exact"/>
        <w:ind w:firstLine="640" w:firstLineChars="200"/>
        <w:textAlignment w:val="baseline"/>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加强走马古镇、含谷镇寨山坪村、走马镇椒园村传统格局、历史风貌和空间尺度保护，延续特色空间肌理，打造主题传统风貌空间。深化文物及历史建筑保护，推动孙家大院、</w:t>
      </w:r>
      <w:r>
        <w:rPr>
          <w:rFonts w:ascii="Times New Roman" w:hAnsi="Times New Roman" w:eastAsia="方正仿宋_GBK" w:cs="Times New Roman"/>
          <w:color w:val="auto"/>
          <w:sz w:val="32"/>
          <w:szCs w:val="32"/>
          <w:highlight w:val="none"/>
        </w:rPr>
        <w:t>走马关武庙戏楼</w:t>
      </w:r>
      <w:r>
        <w:rPr>
          <w:rFonts w:hint="eastAsia" w:ascii="Times New Roman" w:hAnsi="Times New Roman" w:eastAsia="方正仿宋_GBK" w:cs="Times New Roman"/>
          <w:color w:val="auto"/>
          <w:sz w:val="32"/>
          <w:szCs w:val="32"/>
          <w:highlight w:val="none"/>
        </w:rPr>
        <w:t>等文保单位修缮修复。</w:t>
      </w:r>
      <w:r>
        <w:rPr>
          <w:rFonts w:hint="eastAsia" w:ascii="Times New Roman" w:hAnsi="Times New Roman" w:eastAsia="方正仿宋_GBK" w:cs="方正仿宋_GBK"/>
          <w:color w:val="auto"/>
          <w:sz w:val="32"/>
          <w:szCs w:val="32"/>
          <w:highlight w:val="none"/>
        </w:rPr>
        <w:t>开展历史文化资源如</w:t>
      </w:r>
      <w:r>
        <w:rPr>
          <w:rFonts w:hint="eastAsia" w:ascii="Times New Roman" w:hAnsi="Times New Roman" w:eastAsia="方正仿宋_GBK" w:cs="Times New Roman"/>
          <w:color w:val="auto"/>
          <w:sz w:val="32"/>
          <w:szCs w:val="32"/>
          <w:highlight w:val="none"/>
        </w:rPr>
        <w:t>走马渡槽、红卫渡槽等</w:t>
      </w:r>
      <w:r>
        <w:rPr>
          <w:rFonts w:hint="eastAsia" w:ascii="Times New Roman" w:hAnsi="Times New Roman" w:eastAsia="方正仿宋_GBK" w:cs="方正仿宋_GBK"/>
          <w:color w:val="auto"/>
          <w:sz w:val="32"/>
          <w:szCs w:val="32"/>
          <w:highlight w:val="none"/>
        </w:rPr>
        <w:t>活化利用，深挖成渝古驿道、万寿宫等历史文化元素再利用，实现傅抱石旧居项目建成开馆，推进布局文化驿站、展览馆、非遗文化体验馆等文化新空间。以红色文化为引领，乡村场景为支撑，加快建设津巴特区新屋基活动点旧址陈列馆和红色原乡体验园，打造“红情绿意”的科学城红色旅游高地。</w:t>
      </w:r>
      <w:r>
        <w:rPr>
          <w:rFonts w:hint="eastAsia" w:ascii="Times New Roman" w:hAnsi="Times New Roman" w:eastAsia="方正仿宋_GBK" w:cs="Times New Roman"/>
          <w:color w:val="auto"/>
          <w:sz w:val="32"/>
          <w:szCs w:val="32"/>
          <w:highlight w:val="none"/>
        </w:rPr>
        <w:t>深化非物质文化遗产传承，围绕传统技艺、民间文学和传统戏剧等领域，持续开展非遗资源挖掘，系统培育本土特色非遗资源。支持非遗文化表演团发展，重点培育走马镇民间故事、“川剧”等非遗表演队伍。严格落实文物保护责任制，</w:t>
      </w:r>
      <w:r>
        <w:rPr>
          <w:rFonts w:hint="eastAsia" w:ascii="Times New Roman" w:hAnsi="Times New Roman" w:eastAsia="方正仿宋_GBK" w:cs="Times New Roman"/>
          <w:color w:val="auto"/>
          <w:sz w:val="32"/>
          <w:szCs w:val="32"/>
          <w:highlight w:val="none"/>
          <w:lang w:val="en-US" w:eastAsia="zh-CN"/>
        </w:rPr>
        <w:t>推行</w:t>
      </w:r>
      <w:r>
        <w:rPr>
          <w:rFonts w:hint="eastAsia" w:ascii="Times New Roman" w:hAnsi="Times New Roman" w:eastAsia="方正仿宋_GBK" w:cs="Times New Roman"/>
          <w:color w:val="auto"/>
          <w:sz w:val="32"/>
          <w:szCs w:val="32"/>
          <w:highlight w:val="none"/>
        </w:rPr>
        <w:t>“</w:t>
      </w:r>
      <w:r>
        <w:rPr>
          <w:rFonts w:ascii="Times New Roman" w:hAnsi="Times New Roman" w:eastAsia="方正仿宋_GBK" w:cs="Times New Roman"/>
          <w:color w:val="auto"/>
          <w:sz w:val="32"/>
          <w:szCs w:val="32"/>
          <w:highlight w:val="none"/>
        </w:rPr>
        <w:t>巴渝文物</w:t>
      </w:r>
      <w:r>
        <w:rPr>
          <w:rFonts w:hint="eastAsia" w:ascii="Times New Roman" w:hAnsi="Times New Roman" w:eastAsia="方正仿宋_GBK" w:cs="Times New Roman"/>
          <w:color w:val="auto"/>
          <w:sz w:val="32"/>
          <w:szCs w:val="32"/>
          <w:highlight w:val="none"/>
        </w:rPr>
        <w:t>”</w:t>
      </w:r>
      <w:r>
        <w:rPr>
          <w:rFonts w:ascii="Times New Roman" w:hAnsi="Times New Roman" w:eastAsia="方正仿宋_GBK" w:cs="Times New Roman"/>
          <w:color w:val="auto"/>
          <w:sz w:val="32"/>
          <w:szCs w:val="32"/>
          <w:highlight w:val="none"/>
        </w:rPr>
        <w:t>文物安全监管系统</w:t>
      </w:r>
      <w:r>
        <w:rPr>
          <w:rFonts w:hint="eastAsia" w:ascii="Times New Roman" w:hAnsi="Times New Roman" w:eastAsia="方正仿宋_GBK" w:cs="Times New Roman"/>
          <w:color w:val="auto"/>
          <w:sz w:val="32"/>
          <w:szCs w:val="32"/>
          <w:highlight w:val="none"/>
          <w:lang w:eastAsia="zh-CN"/>
        </w:rPr>
        <w:t>“</w:t>
      </w:r>
      <w:r>
        <w:rPr>
          <w:rFonts w:ascii="Times New Roman" w:hAnsi="Times New Roman" w:eastAsia="方正仿宋_GBK" w:cs="Times New Roman"/>
          <w:color w:val="auto"/>
          <w:sz w:val="32"/>
          <w:szCs w:val="32"/>
          <w:highlight w:val="none"/>
        </w:rPr>
        <w:t>线上巡查+线下巡查</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lang w:val="en-US" w:eastAsia="zh-CN"/>
        </w:rPr>
        <w:t>模式</w:t>
      </w:r>
      <w:r>
        <w:rPr>
          <w:rFonts w:hint="eastAsia" w:ascii="Times New Roman" w:hAnsi="Times New Roman" w:eastAsia="方正仿宋_GBK" w:cs="Times New Roman"/>
          <w:color w:val="auto"/>
          <w:sz w:val="32"/>
          <w:szCs w:val="32"/>
          <w:highlight w:val="none"/>
        </w:rPr>
        <w:t>，精准梳理巡查发现问题，持续开展文物安全隐患整治工作。</w:t>
      </w:r>
    </w:p>
    <w:p w14:paraId="7F480691">
      <w:pPr>
        <w:adjustRightInd w:val="0"/>
        <w:snapToGrid w:val="0"/>
        <w:spacing w:line="600" w:lineRule="exact"/>
        <w:jc w:val="center"/>
        <w:outlineLvl w:val="2"/>
        <w:rPr>
          <w:rFonts w:ascii="Times New Roman" w:hAnsi="Times New Roman" w:eastAsia="方正楷体_GBK" w:cs="Times New Roman"/>
          <w:color w:val="auto"/>
          <w:sz w:val="32"/>
          <w:highlight w:val="none"/>
        </w:rPr>
      </w:pPr>
      <w:bookmarkStart w:id="533" w:name="_Toc9788"/>
      <w:bookmarkStart w:id="534" w:name="_Toc1710354558"/>
      <w:bookmarkStart w:id="535" w:name="_Toc1289374718"/>
      <w:bookmarkStart w:id="536" w:name="_Toc2791"/>
      <w:r>
        <w:rPr>
          <w:rFonts w:hint="eastAsia" w:ascii="Times New Roman" w:hAnsi="Times New Roman" w:eastAsia="方正楷体_GBK" w:cs="Times New Roman"/>
          <w:color w:val="auto"/>
          <w:sz w:val="32"/>
          <w:highlight w:val="none"/>
        </w:rPr>
        <w:t>第三节 推动</w:t>
      </w:r>
      <w:r>
        <w:rPr>
          <w:rFonts w:hint="eastAsia" w:ascii="Times New Roman" w:hAnsi="Times New Roman" w:eastAsia="方正楷体_GBK" w:cs="Times New Roman"/>
          <w:color w:val="auto"/>
          <w:sz w:val="32"/>
          <w:highlight w:val="none"/>
          <w:lang w:val="en-US" w:eastAsia="zh-CN"/>
        </w:rPr>
        <w:t>文化</w:t>
      </w:r>
      <w:r>
        <w:rPr>
          <w:rFonts w:hint="eastAsia" w:ascii="Times New Roman" w:hAnsi="Times New Roman" w:eastAsia="方正楷体_GBK" w:cs="Times New Roman"/>
          <w:color w:val="auto"/>
          <w:sz w:val="32"/>
          <w:highlight w:val="none"/>
        </w:rPr>
        <w:t>体育事业</w:t>
      </w:r>
      <w:r>
        <w:rPr>
          <w:rFonts w:hint="eastAsia" w:ascii="Times New Roman" w:hAnsi="Times New Roman" w:eastAsia="方正楷体_GBK" w:cs="Times New Roman"/>
          <w:color w:val="auto"/>
          <w:sz w:val="32"/>
          <w:highlight w:val="none"/>
          <w:lang w:val="en-US" w:eastAsia="zh-CN"/>
        </w:rPr>
        <w:t>高质量</w:t>
      </w:r>
      <w:r>
        <w:rPr>
          <w:rFonts w:hint="eastAsia" w:ascii="Times New Roman" w:hAnsi="Times New Roman" w:eastAsia="方正楷体_GBK" w:cs="Times New Roman"/>
          <w:color w:val="auto"/>
          <w:sz w:val="32"/>
          <w:highlight w:val="none"/>
        </w:rPr>
        <w:t>发展</w:t>
      </w:r>
      <w:bookmarkEnd w:id="525"/>
      <w:bookmarkEnd w:id="526"/>
      <w:bookmarkEnd w:id="533"/>
      <w:bookmarkEnd w:id="534"/>
      <w:bookmarkEnd w:id="535"/>
      <w:bookmarkEnd w:id="536"/>
    </w:p>
    <w:p w14:paraId="1FE2F76A">
      <w:pPr>
        <w:adjustRightInd w:val="0"/>
        <w:snapToGrid w:val="0"/>
        <w:spacing w:line="600" w:lineRule="exact"/>
        <w:ind w:firstLine="640" w:firstLineChars="200"/>
        <w:textAlignment w:val="baseline"/>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rPr>
        <w:t>健全特色体育赛事体系，依托重庆市射击射箭运动管理中心、重庆大学羽毛球中心及马术、高尔夫等场地资源优势，举办射击、羽毛球、马术、高尔夫等具有科学城特色的体育赛事活动。高标准推进公共体育设施专项规划，综合考虑人口分布、群众需求、山水湖泊等自然资源，因地制宜</w:t>
      </w:r>
      <w:r>
        <w:rPr>
          <w:rFonts w:hint="eastAsia" w:ascii="Times New Roman" w:hAnsi="Times New Roman" w:eastAsia="方正仿宋_GBK" w:cs="Times New Roman"/>
          <w:color w:val="auto"/>
          <w:sz w:val="32"/>
          <w:szCs w:val="32"/>
          <w:highlight w:val="none"/>
          <w:lang w:val="en-US" w:eastAsia="zh-CN"/>
        </w:rPr>
        <w:t>布局</w:t>
      </w:r>
      <w:r>
        <w:rPr>
          <w:rFonts w:hint="eastAsia" w:ascii="Times New Roman" w:hAnsi="Times New Roman" w:eastAsia="方正仿宋_GBK" w:cs="Times New Roman"/>
          <w:color w:val="auto"/>
          <w:sz w:val="32"/>
          <w:szCs w:val="32"/>
          <w:highlight w:val="none"/>
        </w:rPr>
        <w:t>区级体育场馆、体育公园、健身步道等体育设施，支持、鼓励公共体育设施向社会免费或低收费开放。推动竞技体育改革发展走深走实，深化体教融合发展，坚持以人才培养为核心，以政策机制为保障，构建政府主导、学校支持、社会参与的竞技体育发展格局。</w:t>
      </w:r>
      <w:r>
        <w:rPr>
          <w:rFonts w:hint="eastAsia" w:ascii="Times New Roman" w:hAnsi="Times New Roman" w:eastAsia="方正仿宋_GBK" w:cs="Times New Roman"/>
          <w:color w:val="auto"/>
          <w:sz w:val="32"/>
          <w:szCs w:val="32"/>
          <w:highlight w:val="none"/>
          <w:lang w:val="en-US" w:eastAsia="zh-CN"/>
        </w:rPr>
        <w:t>加快数字图书馆、智慧文化馆建设，拓展AR导览、数字展陈等科技应用场景，推动公共文化服务数智化升级。依托科学会堂、科技馆等重大文化地标，举办国际科技艺术节、科普嘉年华等品牌活动，打造具有科学城辨识度的公共文化服务标杆。</w:t>
      </w:r>
    </w:p>
    <w:p w14:paraId="796928B2">
      <w:pPr>
        <w:numPr>
          <w:ilvl w:val="-1"/>
          <w:numId w:val="0"/>
        </w:numPr>
        <w:overflowPunct w:val="0"/>
        <w:adjustRightInd w:val="0"/>
        <w:snapToGrid w:val="0"/>
        <w:spacing w:line="600" w:lineRule="exact"/>
        <w:jc w:val="center"/>
        <w:outlineLvl w:val="1"/>
        <w:rPr>
          <w:rFonts w:ascii="Times New Roman" w:hAnsi="Times New Roman" w:eastAsia="方正黑体_GBK" w:cs="Times New Roman"/>
          <w:bCs/>
          <w:color w:val="auto"/>
          <w:sz w:val="32"/>
          <w:szCs w:val="32"/>
          <w:highlight w:val="none"/>
        </w:rPr>
      </w:pPr>
      <w:bookmarkStart w:id="537" w:name="_Toc29543"/>
      <w:bookmarkStart w:id="538" w:name="_Toc263403549"/>
      <w:bookmarkStart w:id="539" w:name="_Toc28589"/>
      <w:bookmarkStart w:id="540" w:name="_Toc6734"/>
      <w:bookmarkStart w:id="541" w:name="_Toc476"/>
      <w:bookmarkStart w:id="542" w:name="_Toc1860441211"/>
      <w:bookmarkStart w:id="543" w:name="_Toc3964"/>
      <w:r>
        <w:rPr>
          <w:rFonts w:hint="eastAsia" w:ascii="Times New Roman" w:hAnsi="Times New Roman" w:eastAsia="方正黑体_GBK" w:cs="Times New Roman"/>
          <w:bCs/>
          <w:color w:val="auto"/>
          <w:sz w:val="32"/>
          <w:szCs w:val="32"/>
          <w:highlight w:val="none"/>
          <w:lang w:val="en-US" w:eastAsia="zh-CN"/>
        </w:rPr>
        <w:t xml:space="preserve">第七章 </w:t>
      </w:r>
      <w:r>
        <w:rPr>
          <w:rFonts w:hint="default" w:ascii="Times New Roman" w:hAnsi="Times New Roman" w:eastAsia="方正黑体_GBK" w:cs="Times New Roman"/>
          <w:bCs/>
          <w:color w:val="auto"/>
          <w:sz w:val="32"/>
          <w:szCs w:val="32"/>
          <w:highlight w:val="none"/>
        </w:rPr>
        <w:t>建设便捷高效的智慧城市</w:t>
      </w:r>
      <w:bookmarkEnd w:id="537"/>
      <w:bookmarkEnd w:id="538"/>
      <w:bookmarkEnd w:id="539"/>
      <w:bookmarkEnd w:id="540"/>
      <w:bookmarkEnd w:id="541"/>
      <w:bookmarkEnd w:id="542"/>
      <w:bookmarkEnd w:id="543"/>
    </w:p>
    <w:p w14:paraId="4FB411E5">
      <w:pPr>
        <w:adjustRightInd w:val="0"/>
        <w:snapToGrid w:val="0"/>
        <w:spacing w:line="600" w:lineRule="exact"/>
        <w:ind w:firstLine="640" w:firstLineChars="200"/>
        <w:textAlignment w:val="baseline"/>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紧扣数字重庆“1361”工作部署，以筑牢新型数字基建为支撑，提升“大综合一体化”治理效能，打造AI赋能城市治理场景，构建科技驱动、协同高效、精准便民的智慧城市体系。</w:t>
      </w:r>
    </w:p>
    <w:p w14:paraId="2C454935">
      <w:pPr>
        <w:adjustRightInd w:val="0"/>
        <w:snapToGrid w:val="0"/>
        <w:spacing w:line="600" w:lineRule="exact"/>
        <w:jc w:val="center"/>
        <w:outlineLvl w:val="2"/>
        <w:rPr>
          <w:rFonts w:ascii="Times New Roman" w:hAnsi="Times New Roman" w:eastAsia="方正楷体_GBK" w:cs="Times New Roman"/>
          <w:color w:val="auto"/>
          <w:sz w:val="32"/>
          <w:highlight w:val="none"/>
        </w:rPr>
      </w:pPr>
      <w:bookmarkStart w:id="544" w:name="_Toc1073532957"/>
      <w:bookmarkStart w:id="545" w:name="_Toc21543"/>
      <w:bookmarkStart w:id="546" w:name="_Toc5768"/>
      <w:bookmarkStart w:id="547" w:name="_Toc1059651576"/>
      <w:bookmarkStart w:id="548" w:name="_Toc19475"/>
      <w:bookmarkStart w:id="549" w:name="_Toc27253"/>
      <w:bookmarkStart w:id="550" w:name="_Toc14026"/>
      <w:bookmarkStart w:id="551" w:name="_Toc1594514140"/>
      <w:bookmarkStart w:id="552" w:name="_Toc25009"/>
      <w:bookmarkStart w:id="553" w:name="_Toc3743"/>
      <w:bookmarkStart w:id="554" w:name="_Toc14340"/>
      <w:bookmarkStart w:id="555" w:name="_Toc21613"/>
      <w:r>
        <w:rPr>
          <w:rFonts w:hint="eastAsia" w:ascii="Times New Roman" w:hAnsi="Times New Roman" w:eastAsia="方正楷体_GBK" w:cs="Times New Roman"/>
          <w:color w:val="auto"/>
          <w:sz w:val="32"/>
          <w:highlight w:val="none"/>
        </w:rPr>
        <w:t>第一节 强化新型数字基础设施建设</w:t>
      </w:r>
      <w:bookmarkEnd w:id="544"/>
      <w:bookmarkEnd w:id="545"/>
      <w:bookmarkEnd w:id="546"/>
      <w:bookmarkEnd w:id="547"/>
      <w:bookmarkEnd w:id="548"/>
      <w:bookmarkEnd w:id="549"/>
      <w:bookmarkEnd w:id="550"/>
    </w:p>
    <w:p w14:paraId="6F3BE19B">
      <w:pPr>
        <w:adjustRightInd w:val="0"/>
        <w:snapToGrid w:val="0"/>
        <w:spacing w:line="600" w:lineRule="exact"/>
        <w:ind w:firstLine="640" w:firstLineChars="200"/>
        <w:textAlignment w:val="baseline"/>
        <w:rPr>
          <w:rFonts w:ascii="Times New Roman" w:hAnsi="Times New Roman" w:eastAsia="方正仿宋_GBK" w:cs="Times New Roman"/>
          <w:color w:val="auto"/>
          <w:sz w:val="32"/>
          <w:szCs w:val="32"/>
          <w:highlight w:val="none"/>
        </w:rPr>
      </w:pPr>
      <w:bookmarkStart w:id="556" w:name="_Toc3251"/>
      <w:r>
        <w:rPr>
          <w:rFonts w:hint="eastAsia" w:ascii="Times New Roman" w:hAnsi="Times New Roman" w:eastAsia="方正仿宋_GBK" w:cs="Times New Roman"/>
          <w:color w:val="auto"/>
          <w:sz w:val="32"/>
          <w:szCs w:val="32"/>
          <w:highlight w:val="none"/>
        </w:rPr>
        <w:t>升级新一代通信网络基础设施，加快5G-A/6G网络规模化部署，重点推进生命岛、科学谷、科研港等科创核心片区及轨道交通沿线、产业园区周边5G-A网络深度覆盖，实现辖区重点园区、重点企业5G网络全覆盖，拓展千兆光纤网络在老旧小区、镇街区域的覆盖范围。依托中国电信西部（重庆）科学城数字产业基地，推进数据中心扩建和算力供给扩容，打造云网融合枢纽，在金凤城市中心、大学城、西永微电园等核心区域建设边缘计算中心，支撑智能交通、应急指挥、工业互联网等场景化即时应用。整合多部门感知数据，建设虚实交互的数字孪生城市平台，构建智能化数字城市治理底座。</w:t>
      </w:r>
    </w:p>
    <w:p w14:paraId="167E4CD8">
      <w:pPr>
        <w:adjustRightInd w:val="0"/>
        <w:snapToGrid w:val="0"/>
        <w:spacing w:line="600" w:lineRule="exact"/>
        <w:jc w:val="center"/>
        <w:outlineLvl w:val="2"/>
        <w:rPr>
          <w:rFonts w:ascii="Times New Roman" w:hAnsi="Times New Roman" w:eastAsia="方正楷体_GBK" w:cs="Times New Roman"/>
          <w:color w:val="auto"/>
          <w:sz w:val="32"/>
          <w:highlight w:val="none"/>
        </w:rPr>
      </w:pPr>
      <w:bookmarkStart w:id="557" w:name="_Toc11155"/>
      <w:bookmarkStart w:id="558" w:name="_Toc482153261"/>
      <w:bookmarkStart w:id="559" w:name="_Toc13323"/>
      <w:bookmarkStart w:id="560" w:name="_Toc1858289852"/>
      <w:bookmarkStart w:id="561" w:name="_Toc3250"/>
      <w:bookmarkStart w:id="562" w:name="_Toc12604"/>
      <w:r>
        <w:rPr>
          <w:rFonts w:hint="eastAsia" w:ascii="Times New Roman" w:hAnsi="Times New Roman" w:eastAsia="方正楷体_GBK" w:cs="Times New Roman"/>
          <w:color w:val="auto"/>
          <w:sz w:val="32"/>
          <w:highlight w:val="none"/>
        </w:rPr>
        <w:t xml:space="preserve">第二节 </w:t>
      </w:r>
      <w:bookmarkStart w:id="563" w:name="OLE_LINK12"/>
      <w:r>
        <w:rPr>
          <w:rFonts w:hint="eastAsia" w:ascii="Times New Roman" w:hAnsi="Times New Roman" w:eastAsia="方正楷体_GBK" w:cs="Times New Roman"/>
          <w:color w:val="auto"/>
          <w:sz w:val="32"/>
          <w:highlight w:val="none"/>
        </w:rPr>
        <w:t>提升“大综合一体化”治理能力</w:t>
      </w:r>
      <w:bookmarkEnd w:id="556"/>
      <w:bookmarkEnd w:id="557"/>
      <w:bookmarkEnd w:id="558"/>
      <w:bookmarkEnd w:id="559"/>
      <w:bookmarkEnd w:id="560"/>
      <w:bookmarkEnd w:id="561"/>
      <w:bookmarkEnd w:id="562"/>
      <w:bookmarkEnd w:id="563"/>
    </w:p>
    <w:p w14:paraId="637B836B">
      <w:pPr>
        <w:adjustRightInd w:val="0"/>
        <w:snapToGrid w:val="0"/>
        <w:spacing w:line="600" w:lineRule="exact"/>
        <w:ind w:firstLine="640" w:firstLineChars="200"/>
        <w:rPr>
          <w:rFonts w:ascii="Times New Roman" w:hAnsi="Times New Roman" w:eastAsia="方正楷体_GBK" w:cs="Times New Roman"/>
          <w:color w:val="auto"/>
          <w:sz w:val="32"/>
          <w:highlight w:val="none"/>
        </w:rPr>
      </w:pPr>
      <w:bookmarkStart w:id="564" w:name="OLE_LINK35"/>
      <w:bookmarkStart w:id="565" w:name="_Toc8629"/>
      <w:r>
        <w:rPr>
          <w:rFonts w:hint="eastAsia" w:ascii="Times New Roman" w:hAnsi="Times New Roman" w:eastAsia="方正仿宋_GBK" w:cs="Times New Roman"/>
          <w:color w:val="auto"/>
          <w:sz w:val="32"/>
          <w:szCs w:val="32"/>
          <w:highlight w:val="none"/>
        </w:rPr>
        <w:t>健全“大综合一体化”城市综合治理体制机制，构建区级统筹、横向协同、纵向贯通的城市治理新格局。健全城市规建运治一体管控机制，贯通人工智能赋能城市规建运治综合场景，实现规划建设运营治理一体管控。迭代“多规合一”国土空间规划体系，用好市国土空间数据综合信息系统（G</w:t>
      </w:r>
      <w:r>
        <w:rPr>
          <w:rFonts w:ascii="Times New Roman" w:hAnsi="Times New Roman" w:eastAsia="方正仿宋_GBK" w:cs="Times New Roman"/>
          <w:color w:val="auto"/>
          <w:sz w:val="32"/>
          <w:szCs w:val="32"/>
          <w:highlight w:val="none"/>
        </w:rPr>
        <w:t>IS</w:t>
      </w:r>
      <w:r>
        <w:rPr>
          <w:rFonts w:hint="eastAsia" w:ascii="Times New Roman" w:hAnsi="Times New Roman" w:eastAsia="方正仿宋_GBK" w:cs="Times New Roman"/>
          <w:color w:val="auto"/>
          <w:sz w:val="32"/>
          <w:szCs w:val="32"/>
          <w:highlight w:val="none"/>
        </w:rPr>
        <w:t>），贯通“挂图作战”智能体系。构建韧性可靠敏捷高效的城市安全新体系，深化行政执法一体化改革，贯通“执法+监督”应用，运用“信用+”赋能城市治理，落实信用系统与专业执法、综合执法一体关联。</w:t>
      </w:r>
      <w:bookmarkEnd w:id="564"/>
      <w:r>
        <w:rPr>
          <w:rFonts w:hint="eastAsia" w:ascii="Times New Roman" w:hAnsi="Times New Roman" w:eastAsia="方正仿宋_GBK" w:cs="Times New Roman"/>
          <w:color w:val="auto"/>
          <w:sz w:val="32"/>
          <w:szCs w:val="32"/>
          <w:highlight w:val="none"/>
        </w:rPr>
        <w:t>到2030年，“水电气讯路桥隧轨”数字化管理率达96%。</w:t>
      </w:r>
      <w:bookmarkStart w:id="566" w:name="_Toc806"/>
      <w:bookmarkStart w:id="567" w:name="_Toc30348"/>
      <w:bookmarkStart w:id="568" w:name="_Toc26263"/>
    </w:p>
    <w:p w14:paraId="6CBFD70E">
      <w:pPr>
        <w:adjustRightInd w:val="0"/>
        <w:snapToGrid w:val="0"/>
        <w:spacing w:line="600" w:lineRule="exact"/>
        <w:jc w:val="center"/>
        <w:outlineLvl w:val="2"/>
        <w:rPr>
          <w:rFonts w:ascii="Times New Roman" w:hAnsi="Times New Roman" w:eastAsia="方正楷体_GBK" w:cs="Times New Roman"/>
          <w:color w:val="auto"/>
          <w:sz w:val="32"/>
          <w:highlight w:val="none"/>
        </w:rPr>
      </w:pPr>
      <w:bookmarkStart w:id="569" w:name="_Toc1094057496"/>
      <w:bookmarkStart w:id="570" w:name="_Toc11191"/>
      <w:bookmarkStart w:id="571" w:name="_Toc1422864243"/>
      <w:r>
        <w:rPr>
          <w:rFonts w:hint="eastAsia" w:ascii="Times New Roman" w:hAnsi="Times New Roman" w:eastAsia="方正楷体_GBK" w:cs="Times New Roman"/>
          <w:color w:val="auto"/>
          <w:sz w:val="32"/>
          <w:highlight w:val="none"/>
        </w:rPr>
        <w:t>第三节</w:t>
      </w:r>
      <w:bookmarkStart w:id="572" w:name="OLE_LINK16"/>
      <w:r>
        <w:rPr>
          <w:rFonts w:hint="eastAsia" w:ascii="Times New Roman" w:hAnsi="Times New Roman" w:eastAsia="方正楷体_GBK" w:cs="Times New Roman"/>
          <w:color w:val="auto"/>
          <w:sz w:val="32"/>
          <w:highlight w:val="none"/>
        </w:rPr>
        <w:t xml:space="preserve"> 迭代升级“AI+城市治理”模式</w:t>
      </w:r>
      <w:bookmarkEnd w:id="565"/>
      <w:bookmarkEnd w:id="566"/>
      <w:bookmarkEnd w:id="567"/>
      <w:bookmarkEnd w:id="568"/>
      <w:bookmarkEnd w:id="569"/>
      <w:bookmarkEnd w:id="570"/>
      <w:bookmarkEnd w:id="571"/>
      <w:bookmarkEnd w:id="572"/>
    </w:p>
    <w:bookmarkEnd w:id="551"/>
    <w:bookmarkEnd w:id="552"/>
    <w:bookmarkEnd w:id="553"/>
    <w:bookmarkEnd w:id="554"/>
    <w:bookmarkEnd w:id="555"/>
    <w:p w14:paraId="40DFF82B">
      <w:pPr>
        <w:adjustRightInd w:val="0"/>
        <w:snapToGrid w:val="0"/>
        <w:spacing w:line="600" w:lineRule="exact"/>
        <w:ind w:firstLine="640" w:firstLineChars="200"/>
        <w:textAlignment w:val="baseline"/>
        <w:rPr>
          <w:rFonts w:ascii="Times New Roman" w:hAnsi="Times New Roman" w:eastAsia="方正仿宋_GBK" w:cs="Times New Roman"/>
          <w:color w:val="auto"/>
          <w:sz w:val="32"/>
          <w:szCs w:val="32"/>
          <w:highlight w:val="none"/>
        </w:rPr>
      </w:pPr>
      <w:bookmarkStart w:id="573" w:name="OLE_LINK11"/>
      <w:r>
        <w:rPr>
          <w:rFonts w:hint="eastAsia" w:ascii="Times New Roman" w:hAnsi="Times New Roman" w:eastAsia="方正仿宋_GBK" w:cs="Times New Roman"/>
          <w:color w:val="auto"/>
          <w:sz w:val="32"/>
          <w:szCs w:val="32"/>
          <w:highlight w:val="none"/>
        </w:rPr>
        <w:t>实施“人工智能+城市治理”提升工程，围绕城市规划建设、社区治理、交通智慧管理、生态环境监管等重点领域，建设高能级城市运行和治理中心中枢，强化数字化城市运行和治理中心主轴功能，健全感知预警、决策处置、监督评价、复盘改进闭环工作体系，迭代</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rPr>
        <w:t>八大板块</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rPr>
        <w:t>及跑道矩阵，构建城市运行生命体征指标体系和关键绩效指标体系，完善“全灾种、全覆盖、扁平化、可视化”融合通信体系，落实数字驾驶舱体系。探索推进城市发展、服务、安全、治理等重点工作基于治理中心全量部署、统筹调度，推动构建区、镇街高效衔接、整体智治的指挥作战体系和落地执行体系，全面提升各级各部门围绕主轴高效协同的数智化治理能力。</w:t>
      </w:r>
    </w:p>
    <w:bookmarkEnd w:id="440"/>
    <w:bookmarkEnd w:id="441"/>
    <w:bookmarkEnd w:id="442"/>
    <w:bookmarkEnd w:id="443"/>
    <w:bookmarkEnd w:id="444"/>
    <w:bookmarkEnd w:id="573"/>
    <w:p w14:paraId="7C8713D4">
      <w:pPr>
        <w:rPr>
          <w:rFonts w:ascii="Times New Roman" w:hAnsi="Times New Roman" w:eastAsia="方正黑体_GBK" w:cs="方正黑体_GBK"/>
          <w:color w:val="auto"/>
          <w:sz w:val="32"/>
          <w:szCs w:val="32"/>
          <w:highlight w:val="none"/>
        </w:rPr>
      </w:pPr>
    </w:p>
    <w:p w14:paraId="1C2E2AD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方正黑体_GBK" w:cs="方正黑体_GBK"/>
          <w:color w:val="auto"/>
          <w:sz w:val="32"/>
          <w:szCs w:val="32"/>
          <w:highlight w:val="none"/>
          <w:lang w:val="en-US" w:eastAsia="zh-CN"/>
        </w:rPr>
      </w:pPr>
      <w:bookmarkStart w:id="574" w:name="_Toc1069349658"/>
      <w:bookmarkStart w:id="575" w:name="_Toc1848922756"/>
      <w:r>
        <w:rPr>
          <w:rFonts w:hint="eastAsia" w:ascii="Times New Roman" w:hAnsi="Times New Roman" w:eastAsia="方正黑体_GBK" w:cs="方正黑体_GBK"/>
          <w:color w:val="auto"/>
          <w:sz w:val="32"/>
          <w:szCs w:val="32"/>
          <w:highlight w:val="none"/>
        </w:rPr>
        <w:br w:type="page"/>
      </w:r>
      <w:bookmarkStart w:id="576" w:name="_Toc1429614027"/>
      <w:bookmarkStart w:id="577" w:name="_Toc25944"/>
      <w:bookmarkStart w:id="578" w:name="_Toc1701045038"/>
      <w:r>
        <w:rPr>
          <w:rFonts w:hint="eastAsia" w:ascii="Times New Roman" w:hAnsi="Times New Roman" w:eastAsia="方正黑体_GBK" w:cs="方正黑体_GBK"/>
          <w:color w:val="auto"/>
          <w:sz w:val="32"/>
          <w:szCs w:val="32"/>
          <w:highlight w:val="none"/>
        </w:rPr>
        <w:t>第</w:t>
      </w:r>
      <w:r>
        <w:rPr>
          <w:rFonts w:hint="eastAsia" w:ascii="Times New Roman" w:hAnsi="Times New Roman" w:eastAsia="方正黑体_GBK" w:cs="方正黑体_GBK"/>
          <w:color w:val="auto"/>
          <w:sz w:val="32"/>
          <w:szCs w:val="32"/>
          <w:highlight w:val="none"/>
          <w:lang w:val="en-US" w:eastAsia="zh-CN"/>
        </w:rPr>
        <w:t>五</w:t>
      </w:r>
      <w:r>
        <w:rPr>
          <w:rFonts w:hint="eastAsia" w:ascii="Times New Roman" w:hAnsi="Times New Roman" w:eastAsia="方正黑体_GBK" w:cs="方正黑体_GBK"/>
          <w:color w:val="auto"/>
          <w:sz w:val="32"/>
          <w:szCs w:val="32"/>
          <w:highlight w:val="none"/>
        </w:rPr>
        <w:t>篇 落实扩大内需战略 大力提振消费扩大有效投资</w:t>
      </w:r>
      <w:bookmarkEnd w:id="576"/>
      <w:bookmarkEnd w:id="577"/>
      <w:bookmarkEnd w:id="578"/>
    </w:p>
    <w:p w14:paraId="0964441D">
      <w:pPr>
        <w:overflowPunct w:val="0"/>
        <w:adjustRightInd w:val="0"/>
        <w:snapToGrid w:val="0"/>
        <w:spacing w:line="600" w:lineRule="exact"/>
        <w:ind w:firstLine="640" w:firstLineChars="200"/>
        <w:rPr>
          <w:rFonts w:ascii="Times New Roman" w:hAnsi="Times New Roman" w:eastAsia="方正仿宋_GBK" w:cs="Times New Roman"/>
          <w:color w:val="auto"/>
          <w:sz w:val="32"/>
          <w:szCs w:val="32"/>
          <w:highlight w:val="none"/>
        </w:rPr>
      </w:pPr>
    </w:p>
    <w:p w14:paraId="166754EA">
      <w:pPr>
        <w:adjustRightInd w:val="0"/>
        <w:snapToGrid w:val="0"/>
        <w:spacing w:line="600" w:lineRule="exact"/>
        <w:ind w:firstLine="640" w:firstLineChars="200"/>
        <w:textAlignment w:val="baseline"/>
        <w:rPr>
          <w:rFonts w:ascii="Times New Roman" w:hAnsi="Times New Roman" w:eastAsia="方正仿宋_GBK" w:cs="Times New Roman"/>
          <w:bCs/>
          <w:color w:val="auto"/>
          <w:kern w:val="0"/>
          <w:sz w:val="32"/>
          <w:szCs w:val="32"/>
          <w:highlight w:val="none"/>
        </w:rPr>
      </w:pPr>
      <w:r>
        <w:rPr>
          <w:rFonts w:hint="eastAsia" w:ascii="Times New Roman" w:hAnsi="Times New Roman" w:eastAsia="方正仿宋_GBK" w:cs="Times New Roman"/>
          <w:bCs/>
          <w:color w:val="auto"/>
          <w:kern w:val="0"/>
          <w:sz w:val="32"/>
          <w:szCs w:val="32"/>
          <w:highlight w:val="none"/>
        </w:rPr>
        <w:t>坚持惠民生和促消费、投资于物和投资于人紧密结合，</w:t>
      </w:r>
      <w:r>
        <w:rPr>
          <w:rFonts w:hint="eastAsia" w:ascii="Times New Roman" w:hAnsi="Times New Roman" w:eastAsia="方正仿宋_GBK" w:cs="Times New Roman"/>
          <w:bCs/>
          <w:color w:val="auto"/>
          <w:kern w:val="0"/>
          <w:sz w:val="32"/>
          <w:szCs w:val="32"/>
          <w:highlight w:val="none"/>
          <w:lang w:val="en-US" w:eastAsia="zh-CN"/>
        </w:rPr>
        <w:t>突出“科产城”深度融合特色，持续扩大有效投资规模，深度融入全国统一大市场建设，促进消费与投资双向赋能、协同发力。</w:t>
      </w:r>
    </w:p>
    <w:p w14:paraId="3136E3F7">
      <w:pPr>
        <w:adjustRightInd w:val="0"/>
        <w:snapToGrid w:val="0"/>
        <w:spacing w:line="600" w:lineRule="exact"/>
        <w:ind w:firstLine="640" w:firstLineChars="200"/>
        <w:textAlignment w:val="baseline"/>
        <w:rPr>
          <w:rFonts w:ascii="Times New Roman" w:hAnsi="Times New Roman" w:eastAsia="方正仿宋_GBK" w:cs="Times New Roman"/>
          <w:bCs/>
          <w:color w:val="auto"/>
          <w:kern w:val="0"/>
          <w:sz w:val="32"/>
          <w:szCs w:val="32"/>
          <w:highlight w:val="none"/>
        </w:rPr>
      </w:pPr>
    </w:p>
    <w:p w14:paraId="570BEBD1">
      <w:pPr>
        <w:numPr>
          <w:ilvl w:val="-1"/>
          <w:numId w:val="0"/>
        </w:numPr>
        <w:overflowPunct w:val="0"/>
        <w:adjustRightInd w:val="0"/>
        <w:snapToGrid w:val="0"/>
        <w:spacing w:line="600" w:lineRule="exact"/>
        <w:jc w:val="center"/>
        <w:outlineLvl w:val="1"/>
        <w:rPr>
          <w:rFonts w:hint="eastAsia" w:ascii="Times New Roman" w:hAnsi="Times New Roman" w:eastAsia="方正黑体_GBK" w:cs="方正黑体_GBK"/>
          <w:color w:val="auto"/>
          <w:sz w:val="32"/>
          <w:szCs w:val="32"/>
          <w:highlight w:val="none"/>
        </w:rPr>
      </w:pPr>
      <w:bookmarkStart w:id="579" w:name="_Toc14161155"/>
      <w:bookmarkStart w:id="580" w:name="_Toc15544"/>
      <w:bookmarkStart w:id="581" w:name="_Toc1475909153"/>
      <w:r>
        <w:rPr>
          <w:rFonts w:hint="eastAsia" w:ascii="Times New Roman" w:hAnsi="Times New Roman" w:eastAsia="方正黑体_GBK" w:cs="方正黑体_GBK"/>
          <w:color w:val="auto"/>
          <w:sz w:val="32"/>
          <w:szCs w:val="32"/>
          <w:highlight w:val="none"/>
          <w:lang w:val="en-US" w:eastAsia="zh-CN"/>
        </w:rPr>
        <w:t>第一章 支撑打造</w:t>
      </w:r>
      <w:r>
        <w:rPr>
          <w:rFonts w:hint="eastAsia" w:ascii="Times New Roman" w:hAnsi="Times New Roman" w:eastAsia="方正黑体_GBK" w:cs="方正黑体_GBK"/>
          <w:color w:val="auto"/>
          <w:sz w:val="32"/>
          <w:szCs w:val="32"/>
          <w:highlight w:val="none"/>
        </w:rPr>
        <w:t>国际消费中心城市</w:t>
      </w:r>
      <w:bookmarkEnd w:id="579"/>
      <w:bookmarkEnd w:id="580"/>
      <w:bookmarkEnd w:id="581"/>
    </w:p>
    <w:p w14:paraId="27BF1F70">
      <w:pPr>
        <w:numPr>
          <w:ilvl w:val="0"/>
          <w:numId w:val="0"/>
        </w:numPr>
        <w:adjustRightInd w:val="0"/>
        <w:snapToGrid w:val="0"/>
        <w:spacing w:line="600" w:lineRule="exact"/>
        <w:ind w:firstLine="640" w:firstLineChars="200"/>
        <w:jc w:val="left"/>
        <w:textAlignment w:val="baseline"/>
        <w:outlineLvl w:val="9"/>
        <w:rPr>
          <w:rFonts w:hint="eastAsia" w:ascii="Times New Roman" w:hAnsi="Times New Roman" w:eastAsia="方正楷体_GBK" w:cs="方正楷体_GBK"/>
          <w:color w:val="auto"/>
          <w:sz w:val="32"/>
          <w:szCs w:val="32"/>
          <w:highlight w:val="none"/>
          <w:lang w:val="en-US" w:eastAsia="zh-CN" w:bidi="ar"/>
        </w:rPr>
      </w:pPr>
      <w:r>
        <w:rPr>
          <w:rFonts w:hint="eastAsia" w:ascii="Times New Roman" w:hAnsi="Times New Roman" w:eastAsia="方正仿宋_GBK" w:cs="Times New Roman"/>
          <w:color w:val="auto"/>
          <w:sz w:val="32"/>
          <w:szCs w:val="32"/>
          <w:highlight w:val="none"/>
          <w:lang w:val="en-US" w:eastAsia="zh-CN"/>
        </w:rPr>
        <w:t>优化大众消费、品质消费、高端消费供给，培育消费新业态新模式新场景，深化科文商旅融合发展，打造一批主题鲜明、体验独特的标志性消费场景、打卡目的地与消费集聚区，支撑全市打造国际消费中心城市。</w:t>
      </w:r>
      <w:bookmarkStart w:id="582" w:name="_Toc1783330915"/>
      <w:bookmarkStart w:id="583" w:name="_Toc21527974"/>
    </w:p>
    <w:p w14:paraId="0D92E9C4">
      <w:pPr>
        <w:numPr>
          <w:ilvl w:val="255"/>
          <w:numId w:val="0"/>
        </w:numPr>
        <w:overflowPunct w:val="0"/>
        <w:adjustRightInd w:val="0"/>
        <w:snapToGrid w:val="0"/>
        <w:spacing w:line="600" w:lineRule="exact"/>
        <w:ind w:firstLine="0" w:firstLineChars="0"/>
        <w:jc w:val="center"/>
        <w:textAlignment w:val="auto"/>
        <w:outlineLvl w:val="2"/>
        <w:rPr>
          <w:rFonts w:hint="eastAsia" w:ascii="Times New Roman" w:hAnsi="Times New Roman" w:eastAsia="方正楷体_GBK" w:cs="方正楷体_GBK"/>
          <w:color w:val="auto"/>
          <w:sz w:val="32"/>
          <w:szCs w:val="32"/>
          <w:highlight w:val="none"/>
        </w:rPr>
      </w:pPr>
      <w:bookmarkStart w:id="584" w:name="_Toc14140"/>
      <w:r>
        <w:rPr>
          <w:rFonts w:hint="eastAsia" w:ascii="Times New Roman" w:hAnsi="Times New Roman" w:eastAsia="方正楷体_GBK" w:cs="方正楷体_GBK"/>
          <w:color w:val="auto"/>
          <w:sz w:val="32"/>
          <w:szCs w:val="32"/>
          <w:highlight w:val="none"/>
          <w:lang w:val="en-US" w:eastAsia="zh-CN" w:bidi="ar"/>
        </w:rPr>
        <w:t xml:space="preserve">第一节 </w:t>
      </w:r>
      <w:r>
        <w:rPr>
          <w:rFonts w:hint="eastAsia" w:ascii="Times New Roman" w:hAnsi="Times New Roman" w:eastAsia="方正楷体_GBK" w:cs="方正楷体_GBK"/>
          <w:color w:val="auto"/>
          <w:sz w:val="32"/>
          <w:szCs w:val="32"/>
          <w:highlight w:val="none"/>
          <w:lang w:bidi="ar"/>
        </w:rPr>
        <w:t>打造“1+2+N”消费集聚区</w:t>
      </w:r>
      <w:bookmarkEnd w:id="582"/>
      <w:bookmarkEnd w:id="583"/>
      <w:bookmarkEnd w:id="584"/>
    </w:p>
    <w:p w14:paraId="1F342034">
      <w:pPr>
        <w:adjustRightInd w:val="0"/>
        <w:snapToGrid w:val="0"/>
        <w:spacing w:line="600" w:lineRule="exact"/>
        <w:ind w:firstLine="640" w:firstLineChars="200"/>
        <w:textAlignment w:val="baseline"/>
        <w:rPr>
          <w:rFonts w:hint="eastAsia"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推动构建金凤城市中心城市级商业主中心，大学城商业集聚区和西永商业集聚区两个片区级商业副中心，曾家、走马、白市驿、石板—巴福等N个社区级商业节点的“1+2+N”全域商业空间格局。打造金凤城市中心商业主中心，</w:t>
      </w:r>
      <w:r>
        <w:rPr>
          <w:rFonts w:hint="eastAsia" w:ascii="Times New Roman" w:hAnsi="Times New Roman" w:eastAsia="方正仿宋_GBK" w:cs="Times New Roman"/>
          <w:color w:val="auto"/>
          <w:sz w:val="32"/>
          <w:szCs w:val="32"/>
          <w:highlight w:val="none"/>
          <w:lang w:val="en-US" w:eastAsia="zh-CN"/>
        </w:rPr>
        <w:t>提质建设</w:t>
      </w:r>
      <w:r>
        <w:rPr>
          <w:rFonts w:hint="eastAsia" w:ascii="Times New Roman" w:hAnsi="Times New Roman" w:eastAsia="方正仿宋_GBK" w:cs="Times New Roman"/>
          <w:color w:val="auto"/>
          <w:sz w:val="32"/>
          <w:szCs w:val="32"/>
          <w:highlight w:val="none"/>
        </w:rPr>
        <w:t>环科学会堂、科学谷等区域，打造数字总部办公区、服务贸易总部长廊、科学里等重点商业载体空间，引入高端商业商务、科技金融、国际交流、文化休闲等业态，建设集品质消费、科创体验、文化休闲于一体的现代化商业地标。</w:t>
      </w:r>
    </w:p>
    <w:p w14:paraId="04F67AF8">
      <w:pPr>
        <w:adjustRightInd w:val="0"/>
        <w:snapToGrid w:val="0"/>
        <w:spacing w:line="600" w:lineRule="exact"/>
        <w:ind w:firstLine="640" w:firstLineChars="200"/>
        <w:textAlignment w:val="baseline"/>
        <w:rPr>
          <w:rFonts w:hint="eastAsia"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打造大学城商业集聚区，围绕既有</w:t>
      </w:r>
      <w:r>
        <w:rPr>
          <w:rFonts w:hint="eastAsia" w:ascii="Times New Roman" w:hAnsi="Times New Roman" w:eastAsia="方正仿宋_GBK" w:cs="Times New Roman"/>
          <w:color w:val="auto"/>
          <w:sz w:val="32"/>
          <w:szCs w:val="32"/>
          <w:highlight w:val="none"/>
          <w:lang w:val="en-US" w:eastAsia="zh-CN"/>
        </w:rPr>
        <w:t>商业</w:t>
      </w:r>
      <w:r>
        <w:rPr>
          <w:rFonts w:hint="eastAsia" w:ascii="Times New Roman" w:hAnsi="Times New Roman" w:eastAsia="方正仿宋_GBK" w:cs="Times New Roman"/>
          <w:color w:val="auto"/>
          <w:sz w:val="32"/>
          <w:szCs w:val="32"/>
          <w:highlight w:val="none"/>
        </w:rPr>
        <w:t>载体，发挥独特文化、艺术、创新优势，大力发展谷子经济、潮玩经济、美丽经济，打造面向年轻群体的文化艺术消费中心。</w:t>
      </w:r>
    </w:p>
    <w:p w14:paraId="5FE42F63">
      <w:pPr>
        <w:adjustRightInd w:val="0"/>
        <w:snapToGrid w:val="0"/>
        <w:spacing w:line="600" w:lineRule="exact"/>
        <w:ind w:firstLine="640" w:firstLineChars="200"/>
        <w:textAlignment w:val="baseline"/>
        <w:rPr>
          <w:rFonts w:hint="eastAsia"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壮大西永商业集聚区，推动传统购物型商圈转型升级，汇聚零售、餐饮、专卖店、超市、酒店等多元功能，发展智慧商圈、智慧街区、智慧门店等新模式，打造线上线下融合消费新场景。</w:t>
      </w:r>
    </w:p>
    <w:p w14:paraId="426AE9A7">
      <w:pPr>
        <w:adjustRightInd w:val="0"/>
        <w:snapToGrid w:val="0"/>
        <w:spacing w:line="600" w:lineRule="exact"/>
        <w:ind w:firstLine="640" w:firstLineChars="200"/>
        <w:textAlignment w:val="baseline"/>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引导曾家、走马、白市驿、石板—巴福等商业节点完善购物、餐饮、娱乐、休闲等基本功能，搭建层级清晰、业态互补、活力多元的消费生态体系。</w:t>
      </w:r>
    </w:p>
    <w:p w14:paraId="12EB6C46">
      <w:pPr>
        <w:numPr>
          <w:ilvl w:val="255"/>
          <w:numId w:val="0"/>
        </w:numPr>
        <w:overflowPunct w:val="0"/>
        <w:adjustRightInd w:val="0"/>
        <w:snapToGrid w:val="0"/>
        <w:spacing w:line="600" w:lineRule="exact"/>
        <w:ind w:firstLine="0" w:firstLineChars="0"/>
        <w:jc w:val="center"/>
        <w:textAlignment w:val="auto"/>
        <w:outlineLvl w:val="2"/>
        <w:rPr>
          <w:rFonts w:hint="eastAsia" w:ascii="Times New Roman" w:hAnsi="Times New Roman" w:eastAsia="方正楷体_GBK" w:cs="方正楷体_GBK"/>
          <w:color w:val="auto"/>
          <w:sz w:val="32"/>
          <w:szCs w:val="32"/>
          <w:highlight w:val="none"/>
        </w:rPr>
      </w:pPr>
      <w:bookmarkStart w:id="585" w:name="_Toc13427226"/>
      <w:bookmarkStart w:id="586" w:name="_Toc1043406322"/>
      <w:bookmarkStart w:id="587" w:name="_Toc23930"/>
      <w:r>
        <w:rPr>
          <w:rFonts w:hint="eastAsia" w:ascii="Times New Roman" w:hAnsi="Times New Roman" w:eastAsia="方正楷体_GBK" w:cs="方正楷体_GBK"/>
          <w:color w:val="auto"/>
          <w:sz w:val="32"/>
          <w:szCs w:val="32"/>
          <w:highlight w:val="none"/>
          <w:lang w:val="en-US" w:eastAsia="zh-CN" w:bidi="ar"/>
        </w:rPr>
        <w:t>第二节 建设一批标志性城市打卡目的地</w:t>
      </w:r>
      <w:bookmarkEnd w:id="585"/>
      <w:bookmarkEnd w:id="586"/>
      <w:bookmarkEnd w:id="587"/>
    </w:p>
    <w:p w14:paraId="5572D7EB">
      <w:pPr>
        <w:adjustRightInd w:val="0"/>
        <w:snapToGrid w:val="0"/>
        <w:spacing w:line="600" w:lineRule="exact"/>
        <w:ind w:firstLine="640" w:firstLineChars="200"/>
        <w:textAlignment w:val="baseline"/>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深度挖掘整合科创、艺术、文化、生态四类核心资源，</w:t>
      </w:r>
      <w:r>
        <w:rPr>
          <w:rFonts w:ascii="Times New Roman" w:hAnsi="Times New Roman" w:eastAsia="方正仿宋_GBK" w:cs="Times New Roman"/>
          <w:color w:val="auto"/>
          <w:sz w:val="32"/>
          <w:szCs w:val="32"/>
          <w:highlight w:val="none"/>
        </w:rPr>
        <w:t>建设</w:t>
      </w:r>
      <w:r>
        <w:rPr>
          <w:rFonts w:hint="eastAsia" w:ascii="Times New Roman" w:hAnsi="Times New Roman" w:eastAsia="方正仿宋_GBK" w:cs="Times New Roman"/>
          <w:color w:val="auto"/>
          <w:sz w:val="32"/>
          <w:szCs w:val="32"/>
          <w:highlight w:val="none"/>
        </w:rPr>
        <w:t>一批标志性城市打卡目的地。分类培育特色打卡场景，科创类重点依托重大科技基础设施、</w:t>
      </w:r>
      <w:r>
        <w:rPr>
          <w:rFonts w:hint="eastAsia" w:ascii="Times New Roman" w:hAnsi="Times New Roman" w:eastAsia="方正仿宋_GBK" w:cs="Times New Roman"/>
          <w:color w:val="auto"/>
          <w:sz w:val="32"/>
          <w:szCs w:val="32"/>
          <w:highlight w:val="none"/>
          <w:lang w:val="en-US" w:eastAsia="zh-CN"/>
        </w:rPr>
        <w:t>重庆</w:t>
      </w:r>
      <w:r>
        <w:rPr>
          <w:rFonts w:hint="eastAsia" w:ascii="Times New Roman" w:hAnsi="Times New Roman" w:eastAsia="方正仿宋_GBK" w:cs="Times New Roman"/>
          <w:color w:val="auto"/>
          <w:sz w:val="32"/>
          <w:szCs w:val="32"/>
          <w:highlight w:val="none"/>
        </w:rPr>
        <w:t>实验室、前沿技术研究院等载体，打造科技成果展示馆、未来科技体验中心等沉浸式场景。艺术类聚焦高校美术馆等平台，引入先锋艺术展览、光影艺术装置等业态。文化类深挖走马古镇非遗文化、</w:t>
      </w:r>
      <w:r>
        <w:rPr>
          <w:rFonts w:hint="eastAsia" w:ascii="方正仿宋_GBK" w:hAnsi="方正仿宋_GBK" w:eastAsia="方正仿宋_GBK" w:cs="方正仿宋_GBK"/>
          <w:color w:val="auto"/>
          <w:sz w:val="32"/>
          <w:szCs w:val="32"/>
          <w:highlight w:val="none"/>
        </w:rPr>
        <w:t>走马镇曲艺特色文化、</w:t>
      </w:r>
      <w:r>
        <w:rPr>
          <w:rFonts w:hint="eastAsia" w:ascii="Times New Roman" w:hAnsi="Times New Roman" w:eastAsia="方正仿宋_GBK" w:cs="Times New Roman"/>
          <w:color w:val="auto"/>
          <w:sz w:val="32"/>
          <w:szCs w:val="32"/>
          <w:highlight w:val="none"/>
        </w:rPr>
        <w:t>机车小镇工业文化等资源，打造民俗体验街区、工业风文创聚落。生态类串联河湖绿地和慢行步道等打造景观节点。</w:t>
      </w:r>
    </w:p>
    <w:p w14:paraId="4B25FBDA">
      <w:pPr>
        <w:widowControl/>
        <w:overflowPunct w:val="0"/>
        <w:jc w:val="center"/>
        <w:rPr>
          <w:rFonts w:hint="eastAsia" w:ascii="Times New Roman" w:hAnsi="Times New Roman" w:eastAsia="方正黑体_GBK" w:cs="方正黑体_GBK"/>
          <w:color w:val="auto"/>
          <w:kern w:val="0"/>
          <w:sz w:val="32"/>
          <w:szCs w:val="32"/>
          <w:highlight w:val="none"/>
          <w:u w:val="none"/>
          <w:lang w:bidi="ar"/>
        </w:rPr>
      </w:pPr>
      <w:r>
        <w:rPr>
          <w:rFonts w:hint="eastAsia" w:ascii="Times New Roman" w:hAnsi="Times New Roman" w:eastAsia="方正黑体_GBK" w:cs="方正黑体_GBK"/>
          <w:color w:val="auto"/>
          <w:kern w:val="0"/>
          <w:sz w:val="32"/>
          <w:szCs w:val="32"/>
          <w:highlight w:val="none"/>
          <w:u w:val="none"/>
          <w:lang w:bidi="ar"/>
        </w:rPr>
        <w:t>专栏2</w:t>
      </w:r>
      <w:r>
        <w:rPr>
          <w:rFonts w:hint="eastAsia" w:ascii="Times New Roman" w:hAnsi="Times New Roman" w:eastAsia="方正黑体_GBK" w:cs="方正黑体_GBK"/>
          <w:color w:val="auto"/>
          <w:kern w:val="0"/>
          <w:sz w:val="32"/>
          <w:szCs w:val="32"/>
          <w:highlight w:val="none"/>
          <w:u w:val="none"/>
          <w:lang w:val="en-US" w:eastAsia="zh-CN" w:bidi="ar"/>
        </w:rPr>
        <w:t>8</w:t>
      </w:r>
      <w:r>
        <w:rPr>
          <w:rFonts w:hint="eastAsia" w:ascii="Times New Roman" w:hAnsi="Times New Roman" w:eastAsia="方正黑体_GBK" w:cs="方正黑体_GBK"/>
          <w:color w:val="auto"/>
          <w:kern w:val="0"/>
          <w:sz w:val="32"/>
          <w:szCs w:val="32"/>
          <w:highlight w:val="none"/>
          <w:u w:val="none"/>
          <w:lang w:bidi="ar"/>
        </w:rPr>
        <w:t xml:space="preserve"> 城市打卡</w:t>
      </w:r>
      <w:r>
        <w:rPr>
          <w:rFonts w:hint="eastAsia" w:ascii="Times New Roman" w:hAnsi="Times New Roman" w:eastAsia="方正黑体_GBK" w:cs="方正黑体_GBK"/>
          <w:color w:val="auto"/>
          <w:kern w:val="0"/>
          <w:sz w:val="32"/>
          <w:szCs w:val="32"/>
          <w:highlight w:val="none"/>
          <w:u w:val="none"/>
          <w:lang w:val="en-US" w:eastAsia="zh-CN" w:bidi="ar"/>
        </w:rPr>
        <w:t>目的地</w:t>
      </w:r>
      <w:r>
        <w:rPr>
          <w:rFonts w:hint="eastAsia" w:ascii="Times New Roman" w:hAnsi="Times New Roman" w:eastAsia="方正黑体_GBK" w:cs="方正黑体_GBK"/>
          <w:color w:val="auto"/>
          <w:kern w:val="0"/>
          <w:sz w:val="32"/>
          <w:szCs w:val="32"/>
          <w:highlight w:val="none"/>
          <w:u w:val="none"/>
          <w:lang w:bidi="ar"/>
        </w:rPr>
        <w:t>重点项目</w:t>
      </w:r>
    </w:p>
    <w:tbl>
      <w:tblPr>
        <w:tblStyle w:val="22"/>
        <w:tblW w:w="9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0"/>
      </w:tblGrid>
      <w:tr w14:paraId="5B26E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0" w:type="dxa"/>
          </w:tcPr>
          <w:p w14:paraId="01A5B372">
            <w:pPr>
              <w:pStyle w:val="38"/>
              <w:spacing w:line="380" w:lineRule="exact"/>
              <w:rPr>
                <w:rFonts w:hint="eastAsia" w:ascii="方正书宋_GBK" w:hAnsi="方正书宋_GBK" w:eastAsia="方正书宋_GBK" w:cs="方正书宋_GBK"/>
                <w:color w:val="auto"/>
                <w:kern w:val="0"/>
                <w:sz w:val="24"/>
                <w:highlight w:val="none"/>
                <w:lang w:bidi="ar-SA"/>
              </w:rPr>
            </w:pPr>
            <w:r>
              <w:rPr>
                <w:rFonts w:hint="eastAsia" w:ascii="Times New Roman" w:hAnsi="Times New Roman" w:eastAsia="方正黑体_GBK" w:cs="方正黑体_GBK"/>
                <w:color w:val="auto"/>
                <w:kern w:val="0"/>
                <w:sz w:val="24"/>
                <w:highlight w:val="none"/>
                <w:u w:val="none"/>
                <w:lang w:val="en-US" w:eastAsia="zh-CN" w:bidi="ar-SA"/>
              </w:rPr>
              <w:t>1</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科创类。</w:t>
            </w:r>
            <w:r>
              <w:rPr>
                <w:rFonts w:hint="eastAsia" w:ascii="方正书宋_GBK" w:hAnsi="方正书宋_GBK" w:eastAsia="方正书宋_GBK" w:cs="方正书宋_GBK"/>
                <w:color w:val="auto"/>
                <w:kern w:val="0"/>
                <w:sz w:val="24"/>
                <w:highlight w:val="none"/>
                <w:lang w:bidi="ar-SA"/>
              </w:rPr>
              <w:t>科技观光目的地。依托超瞬态实验装置、嘉陵江实验室、</w:t>
            </w:r>
            <w:r>
              <w:rPr>
                <w:rFonts w:hint="eastAsia" w:ascii="方正书宋_GBK" w:hAnsi="方正书宋_GBK" w:eastAsia="方正书宋_GBK" w:cs="方正书宋_GBK"/>
                <w:color w:val="auto"/>
                <w:kern w:val="0"/>
                <w:sz w:val="24"/>
                <w:highlight w:val="none"/>
                <w:lang w:val="en-US" w:eastAsia="zh-CN" w:bidi="ar-SA"/>
              </w:rPr>
              <w:t>金凤实验室</w:t>
            </w:r>
            <w:r>
              <w:rPr>
                <w:rFonts w:hint="eastAsia" w:ascii="方正书宋_GBK" w:hAnsi="方正书宋_GBK" w:eastAsia="方正书宋_GBK" w:cs="方正书宋_GBK"/>
                <w:color w:val="auto"/>
                <w:kern w:val="0"/>
                <w:sz w:val="24"/>
                <w:highlight w:val="none"/>
                <w:lang w:bidi="ar-SA"/>
              </w:rPr>
              <w:t>等大装置、大平台，打造集科技、文化、体验为一体的科技旅游目的地。科学会堂。依托山水相融的现代建筑风貌，打造具有科技主题展陈、科创光影</w:t>
            </w:r>
            <w:r>
              <w:rPr>
                <w:rFonts w:hint="eastAsia" w:ascii="方正书宋_GBK" w:hAnsi="方正书宋_GBK" w:eastAsia="方正书宋_GBK" w:cs="方正书宋_GBK"/>
                <w:color w:val="auto"/>
                <w:kern w:val="0"/>
                <w:sz w:val="24"/>
                <w:highlight w:val="none"/>
                <w:lang w:val="en-US" w:eastAsia="zh-CN" w:bidi="ar-SA"/>
              </w:rPr>
              <w:t>展示</w:t>
            </w:r>
            <w:r>
              <w:rPr>
                <w:rFonts w:hint="eastAsia" w:ascii="方正书宋_GBK" w:hAnsi="方正书宋_GBK" w:eastAsia="方正书宋_GBK" w:cs="方正书宋_GBK"/>
                <w:color w:val="auto"/>
                <w:kern w:val="0"/>
                <w:sz w:val="24"/>
                <w:highlight w:val="none"/>
                <w:lang w:bidi="ar-SA"/>
              </w:rPr>
              <w:t>等科创</w:t>
            </w:r>
            <w:r>
              <w:rPr>
                <w:rFonts w:hint="eastAsia" w:ascii="方正书宋_GBK" w:hAnsi="方正书宋_GBK" w:eastAsia="方正书宋_GBK" w:cs="方正书宋_GBK"/>
                <w:color w:val="auto"/>
                <w:kern w:val="0"/>
                <w:sz w:val="24"/>
                <w:highlight w:val="none"/>
                <w:lang w:val="en-US" w:eastAsia="zh-CN" w:bidi="ar-SA"/>
              </w:rPr>
              <w:t>功能</w:t>
            </w:r>
            <w:r>
              <w:rPr>
                <w:rFonts w:hint="eastAsia" w:ascii="方正书宋_GBK" w:hAnsi="方正书宋_GBK" w:eastAsia="方正书宋_GBK" w:cs="方正书宋_GBK"/>
                <w:color w:val="auto"/>
                <w:kern w:val="0"/>
                <w:sz w:val="24"/>
                <w:highlight w:val="none"/>
                <w:lang w:bidi="ar-SA"/>
              </w:rPr>
              <w:t>的特色地标。</w:t>
            </w:r>
          </w:p>
          <w:p w14:paraId="6B3874B9">
            <w:pPr>
              <w:pStyle w:val="38"/>
              <w:spacing w:line="380" w:lineRule="exact"/>
              <w:rPr>
                <w:rFonts w:hint="eastAsia" w:ascii="方正书宋_GBK" w:hAnsi="方正书宋_GBK" w:eastAsia="方正书宋_GBK" w:cs="方正书宋_GBK"/>
                <w:color w:val="auto"/>
                <w:kern w:val="0"/>
                <w:sz w:val="24"/>
                <w:highlight w:val="none"/>
                <w:lang w:bidi="ar-SA"/>
              </w:rPr>
            </w:pPr>
            <w:r>
              <w:rPr>
                <w:rFonts w:hint="eastAsia" w:ascii="Times New Roman" w:hAnsi="Times New Roman" w:eastAsia="方正黑体_GBK" w:cs="方正黑体_GBK"/>
                <w:color w:val="auto"/>
                <w:kern w:val="0"/>
                <w:sz w:val="24"/>
                <w:highlight w:val="none"/>
                <w:u w:val="none"/>
                <w:lang w:val="en-US" w:eastAsia="zh-CN" w:bidi="ar-SA"/>
              </w:rPr>
              <w:t>2</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艺术类。</w:t>
            </w:r>
            <w:r>
              <w:rPr>
                <w:rFonts w:hint="eastAsia" w:ascii="方正书宋_GBK" w:hAnsi="方正书宋_GBK" w:eastAsia="方正书宋_GBK" w:cs="方正书宋_GBK"/>
                <w:color w:val="auto"/>
                <w:kern w:val="0"/>
                <w:sz w:val="24"/>
                <w:highlight w:val="none"/>
                <w:lang w:bidi="ar-SA"/>
              </w:rPr>
              <w:t>川美美术馆。活化标志性瓷片立面、艺术雕塑群，规划美术馆专属打卡动线，推出艺术光影秀、文创打卡角，打造集展览、美育于一体的打卡地。</w:t>
            </w:r>
          </w:p>
          <w:p w14:paraId="5728B8EB">
            <w:pPr>
              <w:pStyle w:val="38"/>
              <w:spacing w:line="380" w:lineRule="exact"/>
              <w:rPr>
                <w:rFonts w:hint="eastAsia" w:ascii="方正书宋_GBK" w:hAnsi="方正书宋_GBK" w:eastAsia="方正书宋_GBK" w:cs="方正书宋_GBK"/>
                <w:color w:val="auto"/>
                <w:kern w:val="0"/>
                <w:sz w:val="24"/>
                <w:highlight w:val="none"/>
                <w:lang w:bidi="ar-SA"/>
              </w:rPr>
            </w:pPr>
            <w:r>
              <w:rPr>
                <w:rFonts w:hint="eastAsia" w:ascii="Times New Roman" w:hAnsi="Times New Roman" w:eastAsia="方正黑体_GBK" w:cs="方正黑体_GBK"/>
                <w:color w:val="auto"/>
                <w:kern w:val="0"/>
                <w:sz w:val="24"/>
                <w:highlight w:val="none"/>
                <w:u w:val="none"/>
                <w:lang w:val="en-US" w:eastAsia="zh-CN" w:bidi="ar-SA"/>
              </w:rPr>
              <w:t>3</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文化类。</w:t>
            </w:r>
            <w:r>
              <w:rPr>
                <w:rFonts w:hint="eastAsia" w:ascii="方正书宋_GBK" w:hAnsi="方正书宋_GBK" w:eastAsia="方正书宋_GBK" w:cs="方正书宋_GBK"/>
                <w:color w:val="auto"/>
                <w:kern w:val="0"/>
                <w:sz w:val="24"/>
                <w:highlight w:val="none"/>
                <w:lang w:bidi="ar-SA"/>
              </w:rPr>
              <w:t>走马古镇。盘活古镇老剧院、非遗体验馆、古驿道等特色空间，打造民俗体验打卡场景。科学城川剧艺术中心。保留川剧文化内核，打造“非遗+潮玩”融合模式。汽摩文创园。谋划布局赛车、卡丁车、特色机车道路等休闲娱乐项目，打造集文化展示、改装、体验、赛事为主题的潮玩地标。</w:t>
            </w:r>
          </w:p>
          <w:p w14:paraId="738C1155">
            <w:pPr>
              <w:pStyle w:val="38"/>
              <w:spacing w:line="380" w:lineRule="exact"/>
              <w:rPr>
                <w:rFonts w:hint="eastAsia" w:ascii="方正书宋_GBK" w:hAnsi="方正书宋_GBK" w:eastAsia="方正书宋_GBK" w:cs="方正书宋_GBK"/>
                <w:color w:val="auto"/>
                <w:sz w:val="24"/>
                <w:highlight w:val="none"/>
              </w:rPr>
            </w:pPr>
            <w:r>
              <w:rPr>
                <w:rFonts w:hint="eastAsia" w:ascii="Times New Roman" w:hAnsi="Times New Roman" w:eastAsia="方正黑体_GBK" w:cs="方正黑体_GBK"/>
                <w:color w:val="auto"/>
                <w:kern w:val="0"/>
                <w:sz w:val="24"/>
                <w:highlight w:val="none"/>
                <w:u w:val="none"/>
                <w:lang w:val="en-US" w:eastAsia="zh-CN" w:bidi="ar-SA"/>
              </w:rPr>
              <w:t>4</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highlight w:val="none"/>
                <w:u w:val="none"/>
                <w:lang w:bidi="ar-SA"/>
              </w:rPr>
              <w:t>生态类。</w:t>
            </w:r>
            <w:r>
              <w:rPr>
                <w:rFonts w:hint="eastAsia" w:ascii="方正书宋_GBK" w:hAnsi="方正书宋_GBK" w:eastAsia="方正书宋_GBK" w:cs="方正书宋_GBK"/>
                <w:color w:val="auto"/>
                <w:kern w:val="0"/>
                <w:sz w:val="24"/>
                <w:highlight w:val="none"/>
                <w:lang w:bidi="ar-SA"/>
              </w:rPr>
              <w:t>金凤湖。集聚展示交流、商业商务、品质居住、滨湖休闲等功能，打造集生态观光、科创科普、休闲体验于一体的复合型生态打卡地。成渝古驿道。依托走马老街古驿站、白市驿半边街古驿站等历史遗存资源，打造集“历史溯源、生态吸氧、亲子休闲”</w:t>
            </w:r>
            <w:r>
              <w:rPr>
                <w:rFonts w:hint="eastAsia" w:ascii="方正书宋_GBK" w:hAnsi="方正书宋_GBK" w:eastAsia="方正书宋_GBK" w:cs="方正书宋_GBK"/>
                <w:color w:val="auto"/>
                <w:kern w:val="0"/>
                <w:sz w:val="24"/>
                <w:highlight w:val="none"/>
                <w:lang w:val="en-US" w:eastAsia="zh-CN" w:bidi="ar-SA"/>
              </w:rPr>
              <w:t>于一体的</w:t>
            </w:r>
            <w:r>
              <w:rPr>
                <w:rFonts w:hint="eastAsia" w:ascii="方正书宋_GBK" w:hAnsi="方正书宋_GBK" w:eastAsia="方正书宋_GBK" w:cs="方正书宋_GBK"/>
                <w:color w:val="auto"/>
                <w:kern w:val="0"/>
                <w:sz w:val="24"/>
                <w:highlight w:val="none"/>
                <w:lang w:bidi="ar-SA"/>
              </w:rPr>
              <w:t>徒步打卡路线。虎峰山艺术群落。升级松石涧、鸡冠石、红枫林等旅游景点，沿登山步道布局林影迷宫、湖畔咖啡角、露营基地等打卡点。</w:t>
            </w:r>
          </w:p>
        </w:tc>
      </w:tr>
    </w:tbl>
    <w:p w14:paraId="46D4787A">
      <w:pPr>
        <w:numPr>
          <w:ilvl w:val="255"/>
          <w:numId w:val="0"/>
        </w:numPr>
        <w:overflowPunct w:val="0"/>
        <w:adjustRightInd w:val="0"/>
        <w:snapToGrid w:val="0"/>
        <w:spacing w:line="600" w:lineRule="exact"/>
        <w:ind w:firstLine="0" w:firstLineChars="0"/>
        <w:jc w:val="center"/>
        <w:textAlignment w:val="auto"/>
        <w:outlineLvl w:val="2"/>
        <w:rPr>
          <w:rFonts w:hint="eastAsia" w:ascii="Times New Roman" w:hAnsi="Times New Roman" w:eastAsia="方正楷体_GBK" w:cs="方正楷体_GBK"/>
          <w:color w:val="auto"/>
          <w:sz w:val="32"/>
          <w:szCs w:val="32"/>
          <w:highlight w:val="none"/>
          <w:lang w:bidi="ar"/>
        </w:rPr>
      </w:pPr>
      <w:bookmarkStart w:id="588" w:name="_Toc185604447"/>
      <w:bookmarkStart w:id="589" w:name="_Toc178592452"/>
      <w:bookmarkStart w:id="590" w:name="_Toc8785"/>
      <w:r>
        <w:rPr>
          <w:rFonts w:hint="eastAsia" w:ascii="Times New Roman" w:hAnsi="Times New Roman" w:eastAsia="方正楷体_GBK" w:cs="方正楷体_GBK"/>
          <w:color w:val="auto"/>
          <w:sz w:val="32"/>
          <w:szCs w:val="32"/>
          <w:highlight w:val="none"/>
          <w:lang w:val="en-US" w:eastAsia="zh-CN" w:bidi="ar"/>
        </w:rPr>
        <w:t xml:space="preserve">第三节 </w:t>
      </w:r>
      <w:r>
        <w:rPr>
          <w:rFonts w:hint="eastAsia" w:ascii="Times New Roman" w:hAnsi="Times New Roman" w:eastAsia="方正楷体_GBK" w:cs="方正楷体_GBK"/>
          <w:color w:val="auto"/>
          <w:sz w:val="32"/>
          <w:szCs w:val="32"/>
          <w:highlight w:val="none"/>
          <w:lang w:bidi="ar"/>
        </w:rPr>
        <w:t>全面营造活力特色消费新场景</w:t>
      </w:r>
      <w:bookmarkEnd w:id="588"/>
      <w:bookmarkEnd w:id="589"/>
      <w:bookmarkEnd w:id="590"/>
    </w:p>
    <w:p w14:paraId="52F4EF24">
      <w:pPr>
        <w:adjustRightInd w:val="0"/>
        <w:snapToGrid w:val="0"/>
        <w:spacing w:line="600" w:lineRule="exact"/>
        <w:ind w:firstLine="640" w:firstLineChars="200"/>
        <w:textAlignment w:val="baseline"/>
        <w:outlineLvl w:val="9"/>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rPr>
        <w:t>聚焦消费场景多元化、智能化、融合化升级，</w:t>
      </w:r>
      <w:r>
        <w:rPr>
          <w:rFonts w:hint="eastAsia" w:ascii="Times New Roman" w:hAnsi="Times New Roman" w:eastAsia="方正仿宋_GBK" w:cs="Times New Roman"/>
          <w:color w:val="auto"/>
          <w:sz w:val="32"/>
          <w:szCs w:val="32"/>
          <w:highlight w:val="none"/>
          <w:lang w:val="en-US" w:eastAsia="zh-CN"/>
        </w:rPr>
        <w:t>全面营造科技赋能、全龄友好的消费场景体系。推动</w:t>
      </w:r>
      <w:r>
        <w:rPr>
          <w:rFonts w:hint="eastAsia" w:ascii="Times New Roman" w:hAnsi="Times New Roman" w:eastAsia="方正仿宋_GBK" w:cs="Times New Roman"/>
          <w:color w:val="auto"/>
          <w:sz w:val="32"/>
          <w:szCs w:val="32"/>
          <w:highlight w:val="none"/>
        </w:rPr>
        <w:t>“1+2+N”消费集聚区</w:t>
      </w:r>
      <w:r>
        <w:rPr>
          <w:rFonts w:hint="eastAsia" w:ascii="Times New Roman" w:hAnsi="Times New Roman" w:eastAsia="方正仿宋_GBK" w:cs="Times New Roman"/>
          <w:color w:val="auto"/>
          <w:sz w:val="32"/>
          <w:szCs w:val="32"/>
          <w:highlight w:val="none"/>
          <w:lang w:val="en-US" w:eastAsia="zh-CN"/>
        </w:rPr>
        <w:t>数字化改造，建设一批智慧街区、智慧商店、智慧餐厅，推广无接触配送、无人零售、VR/AR虚拟导购等新业态，探索虚拟商场、数字人在线导购等新模式。围绕大学城熙街、科学会堂等重点区域，打造“科学城之夜”品牌，培育夜间演艺、夜间市集、深夜书房、星空露营等多元化夜间消费场景，丰富夜购、夜游、夜娱、夜宿等全链条体验。鼓励传统购物商超转型升级，向“一站式”、体验式融合消费场景转型。丰富银发康养、亲子研学、文体教培、医美美妆等细分场景，优化多孩家庭消费服务供给，推动文化、商业、旅游、体育、康养、农业深度融合发展。</w:t>
      </w:r>
    </w:p>
    <w:p w14:paraId="39EAF731">
      <w:pPr>
        <w:numPr>
          <w:ilvl w:val="-1"/>
          <w:numId w:val="0"/>
        </w:numPr>
        <w:adjustRightInd w:val="0"/>
        <w:snapToGrid w:val="0"/>
        <w:spacing w:line="600" w:lineRule="exact"/>
        <w:ind w:firstLine="640" w:firstLineChars="200"/>
        <w:textAlignment w:val="baseline"/>
        <w:outlineLvl w:val="9"/>
        <w:rPr>
          <w:rFonts w:hint="eastAsia" w:ascii="Times New Roman" w:hAnsi="Times New Roman" w:eastAsia="方正仿宋_GBK" w:cs="Times New Roman"/>
          <w:color w:val="auto"/>
          <w:sz w:val="32"/>
          <w:szCs w:val="32"/>
          <w:highlight w:val="none"/>
          <w:lang w:val="en-US" w:eastAsia="zh-CN"/>
        </w:rPr>
      </w:pPr>
    </w:p>
    <w:p w14:paraId="67B73688">
      <w:pPr>
        <w:numPr>
          <w:ilvl w:val="-1"/>
          <w:numId w:val="0"/>
        </w:numPr>
        <w:overflowPunct/>
        <w:adjustRightInd/>
        <w:snapToGrid/>
        <w:spacing w:line="240" w:lineRule="auto"/>
        <w:jc w:val="left"/>
        <w:outlineLvl w:val="9"/>
        <w:rPr>
          <w:rFonts w:hint="eastAsia" w:ascii="Times New Roman" w:hAnsi="Times New Roman" w:eastAsia="方正黑体_GBK" w:cs="方正黑体_GBK"/>
          <w:color w:val="auto"/>
          <w:sz w:val="32"/>
          <w:szCs w:val="32"/>
          <w:highlight w:val="none"/>
          <w:lang w:val="en-US" w:eastAsia="zh-CN"/>
        </w:rPr>
      </w:pPr>
      <w:bookmarkStart w:id="591" w:name="_Toc1307685285"/>
      <w:bookmarkStart w:id="592" w:name="_Toc1568685905"/>
      <w:bookmarkStart w:id="593" w:name="_Toc578"/>
      <w:r>
        <w:rPr>
          <w:rFonts w:hint="eastAsia" w:ascii="Times New Roman" w:hAnsi="Times New Roman" w:eastAsia="方正黑体_GBK" w:cs="方正黑体_GBK"/>
          <w:color w:val="auto"/>
          <w:sz w:val="32"/>
          <w:szCs w:val="32"/>
          <w:highlight w:val="none"/>
          <w:lang w:val="en-US" w:eastAsia="zh-CN"/>
        </w:rPr>
        <w:br w:type="page"/>
      </w:r>
    </w:p>
    <w:p w14:paraId="0C8F57E2">
      <w:pPr>
        <w:numPr>
          <w:ilvl w:val="-1"/>
          <w:numId w:val="0"/>
        </w:numPr>
        <w:overflowPunct w:val="0"/>
        <w:adjustRightInd w:val="0"/>
        <w:snapToGrid w:val="0"/>
        <w:spacing w:line="600" w:lineRule="exact"/>
        <w:jc w:val="center"/>
        <w:outlineLvl w:val="1"/>
        <w:rPr>
          <w:rFonts w:hint="eastAsia" w:ascii="Times New Roman" w:hAnsi="Times New Roman" w:eastAsia="方正黑体_GBK" w:cs="方正黑体_GBK"/>
          <w:color w:val="auto"/>
          <w:sz w:val="32"/>
          <w:szCs w:val="32"/>
          <w:highlight w:val="none"/>
        </w:rPr>
      </w:pPr>
      <w:r>
        <w:rPr>
          <w:rFonts w:hint="eastAsia" w:ascii="Times New Roman" w:hAnsi="Times New Roman" w:eastAsia="方正黑体_GBK" w:cs="方正黑体_GBK"/>
          <w:color w:val="auto"/>
          <w:sz w:val="32"/>
          <w:szCs w:val="32"/>
          <w:highlight w:val="none"/>
          <w:lang w:val="en-US" w:eastAsia="zh-CN"/>
        </w:rPr>
        <w:t xml:space="preserve">第二章 </w:t>
      </w:r>
      <w:r>
        <w:rPr>
          <w:rFonts w:hint="eastAsia" w:ascii="Times New Roman" w:hAnsi="Times New Roman" w:eastAsia="方正黑体_GBK" w:cs="方正黑体_GBK"/>
          <w:color w:val="auto"/>
          <w:sz w:val="32"/>
          <w:szCs w:val="32"/>
          <w:highlight w:val="none"/>
        </w:rPr>
        <w:t>扩大有效投资</w:t>
      </w:r>
      <w:bookmarkEnd w:id="591"/>
      <w:bookmarkEnd w:id="592"/>
      <w:bookmarkEnd w:id="593"/>
    </w:p>
    <w:p w14:paraId="1AAE168C">
      <w:pPr>
        <w:numPr>
          <w:ilvl w:val="0"/>
          <w:numId w:val="0"/>
        </w:numPr>
        <w:snapToGrid w:val="0"/>
        <w:spacing w:line="600" w:lineRule="exact"/>
        <w:ind w:firstLine="640"/>
        <w:textAlignment w:val="baseline"/>
        <w:rPr>
          <w:rFonts w:hint="default"/>
          <w:color w:val="auto"/>
          <w:highlight w:val="none"/>
          <w:lang w:val="en-US" w:eastAsia="zh-CN"/>
        </w:rPr>
      </w:pPr>
      <w:r>
        <w:rPr>
          <w:rFonts w:hint="eastAsia" w:ascii="Times New Roman" w:hAnsi="Times New Roman" w:eastAsia="方正仿宋_GBK" w:cs="Times New Roman"/>
          <w:color w:val="auto"/>
          <w:sz w:val="32"/>
          <w:szCs w:val="32"/>
          <w:highlight w:val="none"/>
          <w:lang w:val="en-US" w:eastAsia="zh-CN"/>
        </w:rPr>
        <w:t>增强投资对优化供给结构的支撑作用，加大重点领域投资力度，完善政府引导、市场主导的投融资机制，通过优化投资结构、创新投融资模式、提高投资效益，实现投资增速与结构、规模与效益的有机统一。</w:t>
      </w:r>
    </w:p>
    <w:p w14:paraId="703306DF">
      <w:pPr>
        <w:overflowPunct w:val="0"/>
        <w:adjustRightInd w:val="0"/>
        <w:snapToGrid w:val="0"/>
        <w:spacing w:line="600" w:lineRule="exact"/>
        <w:jc w:val="center"/>
        <w:outlineLvl w:val="2"/>
        <w:rPr>
          <w:rFonts w:hint="eastAsia" w:ascii="Times New Roman" w:hAnsi="Times New Roman" w:eastAsia="方正楷体_GBK" w:cs="方正楷体_GBK"/>
          <w:color w:val="auto"/>
          <w:sz w:val="32"/>
          <w:szCs w:val="32"/>
          <w:highlight w:val="none"/>
        </w:rPr>
      </w:pPr>
      <w:bookmarkStart w:id="594" w:name="_Toc6017"/>
      <w:bookmarkStart w:id="595" w:name="_Toc247271116"/>
      <w:r>
        <w:rPr>
          <w:rFonts w:hint="eastAsia" w:ascii="Times New Roman" w:hAnsi="Times New Roman" w:eastAsia="方正楷体_GBK" w:cs="方正楷体_GBK"/>
          <w:color w:val="auto"/>
          <w:sz w:val="32"/>
          <w:szCs w:val="32"/>
          <w:highlight w:val="none"/>
        </w:rPr>
        <w:fldChar w:fldCharType="begin"/>
      </w:r>
      <w:r>
        <w:rPr>
          <w:rFonts w:hint="eastAsia" w:ascii="Times New Roman" w:hAnsi="Times New Roman" w:eastAsia="方正楷体_GBK" w:cs="方正楷体_GBK"/>
          <w:color w:val="auto"/>
          <w:sz w:val="32"/>
          <w:szCs w:val="32"/>
          <w:highlight w:val="none"/>
        </w:rPr>
        <w:instrText xml:space="preserve"> HYPERLINK \l "_Toc29292" </w:instrText>
      </w:r>
      <w:r>
        <w:rPr>
          <w:rFonts w:hint="eastAsia" w:ascii="Times New Roman" w:hAnsi="Times New Roman" w:eastAsia="方正楷体_GBK" w:cs="方正楷体_GBK"/>
          <w:color w:val="auto"/>
          <w:sz w:val="32"/>
          <w:szCs w:val="32"/>
          <w:highlight w:val="none"/>
        </w:rPr>
        <w:fldChar w:fldCharType="separate"/>
      </w:r>
      <w:r>
        <w:rPr>
          <w:rFonts w:hint="eastAsia" w:ascii="Times New Roman" w:hAnsi="Times New Roman" w:eastAsia="方正楷体_GBK" w:cs="方正楷体_GBK"/>
          <w:color w:val="auto"/>
          <w:sz w:val="32"/>
          <w:szCs w:val="32"/>
          <w:highlight w:val="none"/>
        </w:rPr>
        <w:t>第一节 加强科产城重点领域投资</w:t>
      </w:r>
      <w:r>
        <w:rPr>
          <w:rFonts w:hint="eastAsia" w:ascii="Times New Roman" w:hAnsi="Times New Roman" w:eastAsia="方正楷体_GBK" w:cs="方正楷体_GBK"/>
          <w:color w:val="auto"/>
          <w:sz w:val="32"/>
          <w:szCs w:val="32"/>
          <w:highlight w:val="none"/>
        </w:rPr>
        <w:fldChar w:fldCharType="end"/>
      </w:r>
      <w:bookmarkEnd w:id="594"/>
      <w:bookmarkEnd w:id="595"/>
    </w:p>
    <w:p w14:paraId="10E0C52C">
      <w:pPr>
        <w:widowControl/>
        <w:adjustRightInd w:val="0"/>
        <w:snapToGrid w:val="0"/>
        <w:spacing w:line="600" w:lineRule="exact"/>
        <w:ind w:firstLine="640" w:firstLineChars="200"/>
        <w:textAlignment w:val="baseline"/>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val="en-US" w:eastAsia="zh-CN"/>
        </w:rPr>
        <w:t>引导资金投向重大科创平台、数字新基建、产业转型升级、现代基础设施、民生保障等领域，谋划推进一批强基础、增功能、利长远的重大项目，以高质量投资推动创新资源集聚、产业能级跃升、城市功能完善。加大科技创新投资力度，强化重大科技基础设施建设和高能级创新平台建设。加大现代制造业和新兴产业投资力度，实施一批建链补链延链强链重大项目，积极引导各类优质资源要素投向空天信息及低空经济、人工智能等未来产业。</w:t>
      </w:r>
      <w:r>
        <w:rPr>
          <w:rFonts w:hint="eastAsia" w:ascii="Times New Roman" w:hAnsi="Times New Roman" w:eastAsia="方正仿宋_GBK" w:cs="Times New Roman"/>
          <w:color w:val="auto"/>
          <w:sz w:val="32"/>
          <w:szCs w:val="32"/>
          <w:highlight w:val="none"/>
        </w:rPr>
        <w:t>引导企业加大设备更新、节能降碳、智能化改造、安全提升等领域投入力度，鼓励现有企业开展增产扩能型、提质增效型改造，加强技术改造投资和现有企业扩大再投资。推进基础设施投资放量，持续加强轨道交通、骨干交通路网、城市干道、市政管网等传统基础设施项目建设，积极布局5G-A/6G基站、工业互联网、</w:t>
      </w:r>
      <w:r>
        <w:rPr>
          <w:rFonts w:hint="eastAsia" w:ascii="Times New Roman" w:hAnsi="Times New Roman" w:eastAsia="方正仿宋_GBK" w:cs="Times New Roman"/>
          <w:color w:val="auto"/>
          <w:sz w:val="32"/>
          <w:szCs w:val="32"/>
          <w:highlight w:val="none"/>
          <w:lang w:val="en-US" w:eastAsia="zh-CN"/>
        </w:rPr>
        <w:t>算力中心</w:t>
      </w:r>
      <w:r>
        <w:rPr>
          <w:rFonts w:hint="eastAsia" w:ascii="Times New Roman" w:hAnsi="Times New Roman" w:eastAsia="方正仿宋_GBK" w:cs="Times New Roman"/>
          <w:color w:val="auto"/>
          <w:sz w:val="32"/>
          <w:szCs w:val="32"/>
          <w:highlight w:val="none"/>
        </w:rPr>
        <w:t>等新型基础设施项目</w:t>
      </w:r>
      <w:r>
        <w:rPr>
          <w:rFonts w:hint="eastAsia" w:ascii="Times New Roman" w:hAnsi="Times New Roman" w:eastAsia="方正仿宋_GBK" w:cs="Times New Roman"/>
          <w:color w:val="auto"/>
          <w:sz w:val="32"/>
          <w:szCs w:val="32"/>
          <w:highlight w:val="none"/>
          <w:lang w:eastAsia="zh-CN"/>
        </w:rPr>
        <w:t>。</w:t>
      </w:r>
    </w:p>
    <w:p w14:paraId="71D41B57">
      <w:pPr>
        <w:overflowPunct w:val="0"/>
        <w:adjustRightInd w:val="0"/>
        <w:snapToGrid w:val="0"/>
        <w:spacing w:line="600" w:lineRule="exact"/>
        <w:ind w:firstLine="0" w:firstLineChars="0"/>
        <w:jc w:val="center"/>
        <w:outlineLvl w:val="2"/>
        <w:rPr>
          <w:rFonts w:hint="eastAsia" w:ascii="Times New Roman" w:hAnsi="Times New Roman" w:eastAsia="方正楷体_GBK" w:cs="方正楷体_GBK"/>
          <w:color w:val="auto"/>
          <w:sz w:val="32"/>
          <w:szCs w:val="32"/>
          <w:highlight w:val="none"/>
        </w:rPr>
      </w:pPr>
      <w:bookmarkStart w:id="596" w:name="_Toc14148"/>
      <w:bookmarkStart w:id="597" w:name="_Toc504789667"/>
      <w:r>
        <w:rPr>
          <w:rFonts w:hint="eastAsia" w:ascii="Times New Roman" w:hAnsi="Times New Roman" w:eastAsia="方正楷体_GBK" w:cs="方正楷体_GBK"/>
          <w:color w:val="auto"/>
          <w:sz w:val="32"/>
          <w:szCs w:val="32"/>
          <w:highlight w:val="none"/>
        </w:rPr>
        <w:fldChar w:fldCharType="begin"/>
      </w:r>
      <w:r>
        <w:rPr>
          <w:rFonts w:hint="eastAsia" w:ascii="Times New Roman" w:hAnsi="Times New Roman" w:eastAsia="方正楷体_GBK" w:cs="方正楷体_GBK"/>
          <w:color w:val="auto"/>
          <w:sz w:val="32"/>
          <w:szCs w:val="32"/>
          <w:highlight w:val="none"/>
        </w:rPr>
        <w:instrText xml:space="preserve"> HYPERLINK \l "_Toc2603" </w:instrText>
      </w:r>
      <w:r>
        <w:rPr>
          <w:rFonts w:hint="eastAsia" w:ascii="Times New Roman" w:hAnsi="Times New Roman" w:eastAsia="方正楷体_GBK" w:cs="方正楷体_GBK"/>
          <w:color w:val="auto"/>
          <w:sz w:val="32"/>
          <w:szCs w:val="32"/>
          <w:highlight w:val="none"/>
        </w:rPr>
        <w:fldChar w:fldCharType="separate"/>
      </w:r>
      <w:r>
        <w:rPr>
          <w:rFonts w:hint="eastAsia" w:ascii="Times New Roman" w:hAnsi="Times New Roman" w:eastAsia="方正楷体_GBK" w:cs="方正楷体_GBK"/>
          <w:color w:val="auto"/>
          <w:sz w:val="32"/>
          <w:szCs w:val="32"/>
          <w:highlight w:val="none"/>
        </w:rPr>
        <w:t>第二节 优化政府主导型投资模式</w:t>
      </w:r>
      <w:r>
        <w:rPr>
          <w:rFonts w:hint="eastAsia" w:ascii="Times New Roman" w:hAnsi="Times New Roman" w:eastAsia="方正楷体_GBK" w:cs="方正楷体_GBK"/>
          <w:color w:val="auto"/>
          <w:sz w:val="32"/>
          <w:szCs w:val="32"/>
          <w:highlight w:val="none"/>
        </w:rPr>
        <w:fldChar w:fldCharType="end"/>
      </w:r>
      <w:bookmarkEnd w:id="596"/>
      <w:bookmarkEnd w:id="597"/>
    </w:p>
    <w:p w14:paraId="2BDB5402">
      <w:pPr>
        <w:overflowPunct w:val="0"/>
        <w:adjustRightInd w:val="0"/>
        <w:snapToGrid w:val="0"/>
        <w:spacing w:line="600" w:lineRule="exact"/>
        <w:ind w:firstLine="640" w:firstLineChars="200"/>
        <w:rPr>
          <w:rFonts w:hint="eastAsia"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lang w:val="en-US" w:eastAsia="zh-CN"/>
        </w:rPr>
        <w:t>完善政府投资管理方式，</w:t>
      </w:r>
      <w:r>
        <w:rPr>
          <w:rFonts w:hint="eastAsia" w:ascii="Times New Roman" w:hAnsi="Times New Roman" w:eastAsia="方正仿宋_GBK" w:cs="Times New Roman"/>
          <w:color w:val="auto"/>
          <w:sz w:val="32"/>
          <w:szCs w:val="32"/>
          <w:highlight w:val="none"/>
        </w:rPr>
        <w:t>编制全口径政府投资计划，明确重点投资方向和领域，深化落实开工、在建、完工、储备“四个一批”项目滚动推进机制，推动投融资与重大战略、产业政策</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lang w:val="en-US" w:eastAsia="zh-CN"/>
        </w:rPr>
        <w:t>社会民生保障</w:t>
      </w:r>
      <w:r>
        <w:rPr>
          <w:rFonts w:hint="eastAsia" w:ascii="Times New Roman" w:hAnsi="Times New Roman" w:eastAsia="方正仿宋_GBK" w:cs="Times New Roman"/>
          <w:color w:val="auto"/>
          <w:sz w:val="32"/>
          <w:szCs w:val="32"/>
          <w:highlight w:val="none"/>
        </w:rPr>
        <w:t>等紧密衔接</w:t>
      </w:r>
      <w:r>
        <w:rPr>
          <w:rFonts w:hint="eastAsia" w:ascii="Times New Roman" w:hAnsi="Times New Roman" w:eastAsia="方正仿宋_GBK" w:cs="Times New Roman"/>
          <w:color w:val="auto"/>
          <w:sz w:val="32"/>
          <w:szCs w:val="32"/>
          <w:highlight w:val="none"/>
          <w:lang w:eastAsia="zh-CN"/>
        </w:rPr>
        <w:t>。统筹用好各类政策性资金，顶格争取国家和市级各类专项资金、政策性金融工具支持，优化地方政府专项债券使用，用足用好新型政策性金融工具。健全咨询机构评估、专家评议、公众参与等政府投资决策机制，</w:t>
      </w:r>
      <w:r>
        <w:rPr>
          <w:rFonts w:hint="eastAsia" w:ascii="Times New Roman" w:hAnsi="Times New Roman" w:eastAsia="方正仿宋_GBK" w:cs="Times New Roman"/>
          <w:color w:val="auto"/>
          <w:sz w:val="32"/>
          <w:szCs w:val="32"/>
          <w:highlight w:val="none"/>
        </w:rPr>
        <w:t>强化政府投资项目可行性及投资效益研究论证，</w:t>
      </w:r>
      <w:r>
        <w:rPr>
          <w:rFonts w:hint="eastAsia" w:ascii="Times New Roman" w:hAnsi="Times New Roman" w:eastAsia="方正仿宋_GBK" w:cs="Times New Roman"/>
          <w:color w:val="auto"/>
          <w:sz w:val="32"/>
          <w:szCs w:val="32"/>
          <w:highlight w:val="none"/>
          <w:lang w:val="en-US" w:eastAsia="zh-CN"/>
        </w:rPr>
        <w:t>确保项目投资的科学性、前瞻性和可操作性。做好项目谋划储备和申报、审核工作，对项目的建设进度、资金使用、产出效益等进行全程跟踪和监测。创新项目管理方式，引入数字化、智能化手段，探索使用“AI+项目管理”“AI+评审”等方法，提升项目管理效率。健全完善项目后评价体系，加强资产移交和转固管理，加强绩效管理和审计监督、财会监督，实行全生命周期管理。</w:t>
      </w:r>
    </w:p>
    <w:p w14:paraId="2CED6A8A">
      <w:pPr>
        <w:overflowPunct w:val="0"/>
        <w:adjustRightInd w:val="0"/>
        <w:snapToGrid w:val="0"/>
        <w:spacing w:line="600" w:lineRule="exact"/>
        <w:ind w:firstLine="0" w:firstLineChars="0"/>
        <w:jc w:val="center"/>
        <w:outlineLvl w:val="2"/>
        <w:rPr>
          <w:rFonts w:hint="eastAsia" w:ascii="Times New Roman" w:hAnsi="Times New Roman" w:eastAsia="方正楷体_GBK" w:cs="方正楷体_GBK"/>
          <w:color w:val="auto"/>
          <w:sz w:val="32"/>
          <w:szCs w:val="32"/>
          <w:highlight w:val="none"/>
        </w:rPr>
      </w:pPr>
      <w:bookmarkStart w:id="598" w:name="_Toc32106"/>
      <w:bookmarkStart w:id="599" w:name="_Toc1439527619"/>
      <w:r>
        <w:rPr>
          <w:rFonts w:hint="eastAsia" w:ascii="Times New Roman" w:hAnsi="Times New Roman" w:eastAsia="方正楷体_GBK" w:cs="方正楷体_GBK"/>
          <w:color w:val="auto"/>
          <w:sz w:val="32"/>
          <w:szCs w:val="32"/>
          <w:highlight w:val="none"/>
        </w:rPr>
        <w:fldChar w:fldCharType="begin"/>
      </w:r>
      <w:r>
        <w:rPr>
          <w:rFonts w:hint="eastAsia" w:ascii="Times New Roman" w:hAnsi="Times New Roman" w:eastAsia="方正楷体_GBK" w:cs="方正楷体_GBK"/>
          <w:color w:val="auto"/>
          <w:sz w:val="32"/>
          <w:szCs w:val="32"/>
          <w:highlight w:val="none"/>
        </w:rPr>
        <w:instrText xml:space="preserve"> HYPERLINK \l "_Toc2603" </w:instrText>
      </w:r>
      <w:r>
        <w:rPr>
          <w:rFonts w:hint="eastAsia" w:ascii="Times New Roman" w:hAnsi="Times New Roman" w:eastAsia="方正楷体_GBK" w:cs="方正楷体_GBK"/>
          <w:color w:val="auto"/>
          <w:sz w:val="32"/>
          <w:szCs w:val="32"/>
          <w:highlight w:val="none"/>
        </w:rPr>
        <w:fldChar w:fldCharType="separate"/>
      </w:r>
      <w:r>
        <w:rPr>
          <w:rFonts w:hint="eastAsia" w:ascii="Times New Roman" w:hAnsi="Times New Roman" w:eastAsia="方正楷体_GBK" w:cs="方正楷体_GBK"/>
          <w:color w:val="auto"/>
          <w:sz w:val="32"/>
          <w:szCs w:val="32"/>
          <w:highlight w:val="none"/>
        </w:rPr>
        <w:t>第</w:t>
      </w:r>
      <w:r>
        <w:rPr>
          <w:rFonts w:hint="eastAsia" w:ascii="Times New Roman" w:hAnsi="Times New Roman" w:eastAsia="方正楷体_GBK" w:cs="方正楷体_GBK"/>
          <w:color w:val="auto"/>
          <w:sz w:val="32"/>
          <w:szCs w:val="32"/>
          <w:highlight w:val="none"/>
          <w:lang w:val="en-US" w:eastAsia="zh-CN"/>
        </w:rPr>
        <w:t>三</w:t>
      </w:r>
      <w:r>
        <w:rPr>
          <w:rFonts w:hint="eastAsia" w:ascii="Times New Roman" w:hAnsi="Times New Roman" w:eastAsia="方正楷体_GBK" w:cs="方正楷体_GBK"/>
          <w:color w:val="auto"/>
          <w:sz w:val="32"/>
          <w:szCs w:val="32"/>
          <w:highlight w:val="none"/>
        </w:rPr>
        <w:t xml:space="preserve">节 </w:t>
      </w:r>
      <w:r>
        <w:rPr>
          <w:rFonts w:hint="eastAsia" w:ascii="Times New Roman" w:hAnsi="Times New Roman" w:eastAsia="方正楷体_GBK" w:cs="方正楷体_GBK"/>
          <w:color w:val="auto"/>
          <w:sz w:val="32"/>
          <w:szCs w:val="32"/>
          <w:highlight w:val="none"/>
          <w:lang w:bidi="ar"/>
        </w:rPr>
        <w:t>创新市场主导的有效投资内生增长机制</w:t>
      </w:r>
      <w:r>
        <w:rPr>
          <w:rFonts w:hint="eastAsia" w:ascii="Times New Roman" w:hAnsi="Times New Roman" w:eastAsia="方正楷体_GBK" w:cs="方正楷体_GBK"/>
          <w:color w:val="auto"/>
          <w:sz w:val="32"/>
          <w:szCs w:val="32"/>
          <w:highlight w:val="none"/>
        </w:rPr>
        <w:fldChar w:fldCharType="end"/>
      </w:r>
      <w:bookmarkEnd w:id="598"/>
      <w:bookmarkEnd w:id="599"/>
    </w:p>
    <w:p w14:paraId="39CDED31">
      <w:pPr>
        <w:overflowPunct w:val="0"/>
        <w:adjustRightInd w:val="0"/>
        <w:snapToGrid w:val="0"/>
        <w:spacing w:line="600" w:lineRule="exact"/>
        <w:ind w:firstLine="640" w:firstLineChars="200"/>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大力促进民间投资发展，</w:t>
      </w:r>
      <w:r>
        <w:rPr>
          <w:rFonts w:hint="eastAsia" w:ascii="Times New Roman" w:hAnsi="Times New Roman" w:eastAsia="方正仿宋_GBK" w:cs="Times New Roman"/>
          <w:color w:val="auto"/>
          <w:sz w:val="32"/>
          <w:szCs w:val="32"/>
          <w:highlight w:val="none"/>
        </w:rPr>
        <w:t>全面落实关于鼓励民间投资的各项政策措施，放宽准入门槛，推进基础设施竞争性领域向民营企业公平开放。规范实施政府和社会资本合作机制，</w:t>
      </w:r>
      <w:r>
        <w:rPr>
          <w:rFonts w:hint="eastAsia" w:ascii="Times New Roman" w:hAnsi="Times New Roman" w:eastAsia="方正仿宋_GBK" w:cs="Times New Roman"/>
          <w:color w:val="auto"/>
          <w:sz w:val="32"/>
          <w:szCs w:val="32"/>
          <w:highlight w:val="none"/>
          <w:lang w:val="en-US" w:eastAsia="zh-CN"/>
        </w:rPr>
        <w:t>通过</w:t>
      </w:r>
      <w:r>
        <w:rPr>
          <w:rFonts w:hint="eastAsia" w:ascii="Times New Roman" w:hAnsi="Times New Roman" w:eastAsia="方正仿宋_GBK" w:cs="Times New Roman"/>
          <w:color w:val="auto"/>
          <w:sz w:val="32"/>
          <w:szCs w:val="32"/>
          <w:highlight w:val="none"/>
        </w:rPr>
        <w:t>动态发布推介项目清单</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lang w:val="en-US" w:eastAsia="zh-CN"/>
        </w:rPr>
        <w:t>搭建政企金对接平台等多种方式</w:t>
      </w:r>
      <w:r>
        <w:rPr>
          <w:rFonts w:hint="eastAsia" w:ascii="Times New Roman" w:hAnsi="Times New Roman" w:eastAsia="方正仿宋_GBK" w:cs="Times New Roman"/>
          <w:color w:val="auto"/>
          <w:sz w:val="32"/>
          <w:szCs w:val="32"/>
          <w:highlight w:val="none"/>
        </w:rPr>
        <w:t>，拓宽社会资本对接途径和参与空间</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lang w:val="en-US" w:eastAsia="zh-CN"/>
        </w:rPr>
        <w:t>引导社会资本参与</w:t>
      </w:r>
      <w:r>
        <w:rPr>
          <w:rFonts w:hint="eastAsia" w:ascii="Times New Roman" w:hAnsi="Times New Roman" w:eastAsia="方正仿宋_GBK" w:cs="Times New Roman"/>
          <w:color w:val="auto"/>
          <w:sz w:val="32"/>
          <w:szCs w:val="32"/>
          <w:highlight w:val="none"/>
        </w:rPr>
        <w:t>基础设施、公用事业、科技创新等重大项目建设和长效运营</w:t>
      </w:r>
      <w:r>
        <w:rPr>
          <w:rFonts w:hint="eastAsia" w:ascii="Times New Roman" w:hAnsi="Times New Roman" w:eastAsia="方正仿宋_GBK" w:cs="Times New Roman"/>
          <w:color w:val="auto"/>
          <w:sz w:val="32"/>
          <w:szCs w:val="32"/>
          <w:highlight w:val="none"/>
          <w:lang w:val="en-US" w:eastAsia="zh-CN"/>
        </w:rPr>
        <w:t>。拓展多元市场化融资渠道，鼓励引导社会资本通过股权投资、发行债券等多种方式参与重大项目建设，探索推进不动产投资信托基金（REITs）、城市建设公益性项目与经营性项目综合开发，</w:t>
      </w:r>
      <w:r>
        <w:rPr>
          <w:rFonts w:hint="eastAsia" w:ascii="Times New Roman" w:hAnsi="Times New Roman" w:eastAsia="方正仿宋_GBK" w:cs="Times New Roman"/>
          <w:color w:val="auto"/>
          <w:sz w:val="32"/>
          <w:szCs w:val="32"/>
          <w:highlight w:val="none"/>
        </w:rPr>
        <w:t>支持民间资本通过兼并重组、特许经营等</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lang w:val="en-US" w:eastAsia="zh-CN"/>
        </w:rPr>
        <w:t>土地出让等</w:t>
      </w:r>
      <w:r>
        <w:rPr>
          <w:rFonts w:hint="eastAsia" w:ascii="Times New Roman" w:hAnsi="Times New Roman" w:eastAsia="方正仿宋_GBK" w:cs="Times New Roman"/>
          <w:color w:val="auto"/>
          <w:sz w:val="32"/>
          <w:szCs w:val="32"/>
          <w:highlight w:val="none"/>
        </w:rPr>
        <w:t>方式参与</w:t>
      </w:r>
      <w:r>
        <w:rPr>
          <w:rFonts w:hint="eastAsia" w:ascii="Times New Roman" w:hAnsi="Times New Roman" w:eastAsia="方正仿宋_GBK" w:cs="Times New Roman"/>
          <w:color w:val="auto"/>
          <w:sz w:val="32"/>
          <w:szCs w:val="32"/>
          <w:highlight w:val="none"/>
          <w:lang w:val="en-US" w:eastAsia="zh-CN"/>
        </w:rPr>
        <w:t>闲置房产、参股股权等</w:t>
      </w:r>
      <w:r>
        <w:rPr>
          <w:rFonts w:hint="eastAsia" w:ascii="Times New Roman" w:hAnsi="Times New Roman" w:eastAsia="方正仿宋_GBK" w:cs="Times New Roman"/>
          <w:color w:val="auto"/>
          <w:sz w:val="32"/>
          <w:szCs w:val="32"/>
          <w:highlight w:val="none"/>
        </w:rPr>
        <w:t>存量资产盘活。</w:t>
      </w:r>
      <w:r>
        <w:rPr>
          <w:rFonts w:hint="eastAsia" w:ascii="Times New Roman" w:hAnsi="Times New Roman" w:eastAsia="方正仿宋_GBK" w:cs="Times New Roman"/>
          <w:color w:val="auto"/>
          <w:sz w:val="32"/>
          <w:szCs w:val="32"/>
          <w:highlight w:val="none"/>
          <w:lang w:val="en-US" w:eastAsia="zh-CN"/>
        </w:rPr>
        <w:t>发挥政府投资基金牵引作用，支持区级基金与市级基金在前沿科技领域和产业链关键环节加强联动，带动社会资本有效参与现代化产业体系建设。</w:t>
      </w:r>
    </w:p>
    <w:p w14:paraId="424E071C">
      <w:pPr>
        <w:numPr>
          <w:ilvl w:val="-1"/>
          <w:numId w:val="0"/>
        </w:numPr>
        <w:overflowPunct w:val="0"/>
        <w:adjustRightInd w:val="0"/>
        <w:snapToGrid w:val="0"/>
        <w:spacing w:line="600" w:lineRule="exact"/>
        <w:ind w:firstLine="640" w:firstLineChars="200"/>
        <w:jc w:val="left"/>
        <w:outlineLvl w:val="9"/>
        <w:rPr>
          <w:rFonts w:hint="eastAsia" w:ascii="Times New Roman" w:hAnsi="Times New Roman" w:eastAsia="方正黑体_GBK" w:cs="方正黑体_GBK"/>
          <w:color w:val="auto"/>
          <w:sz w:val="32"/>
          <w:szCs w:val="32"/>
          <w:highlight w:val="none"/>
          <w:lang w:val="en-US" w:eastAsia="zh-CN"/>
        </w:rPr>
      </w:pPr>
      <w:bookmarkStart w:id="600" w:name="_Toc2092204265"/>
      <w:bookmarkStart w:id="601" w:name="_Toc918941597"/>
      <w:bookmarkStart w:id="602" w:name="_Toc11994"/>
    </w:p>
    <w:p w14:paraId="7130ADE4">
      <w:pPr>
        <w:numPr>
          <w:ilvl w:val="-1"/>
          <w:numId w:val="0"/>
        </w:numPr>
        <w:overflowPunct w:val="0"/>
        <w:adjustRightInd w:val="0"/>
        <w:snapToGrid w:val="0"/>
        <w:spacing w:line="600" w:lineRule="exact"/>
        <w:jc w:val="center"/>
        <w:outlineLvl w:val="1"/>
        <w:rPr>
          <w:rFonts w:hint="eastAsia" w:ascii="Times New Roman" w:hAnsi="Times New Roman" w:eastAsia="方正黑体_GBK" w:cs="方正黑体_GBK"/>
          <w:color w:val="auto"/>
          <w:sz w:val="32"/>
          <w:szCs w:val="32"/>
          <w:highlight w:val="none"/>
        </w:rPr>
      </w:pPr>
      <w:r>
        <w:rPr>
          <w:rFonts w:hint="eastAsia" w:ascii="Times New Roman" w:hAnsi="Times New Roman" w:eastAsia="方正黑体_GBK" w:cs="方正黑体_GBK"/>
          <w:color w:val="auto"/>
          <w:sz w:val="32"/>
          <w:szCs w:val="32"/>
          <w:highlight w:val="none"/>
          <w:lang w:val="en-US" w:eastAsia="zh-CN"/>
        </w:rPr>
        <w:t>第三章 深度融入全国统一大市场建设</w:t>
      </w:r>
      <w:bookmarkEnd w:id="600"/>
      <w:bookmarkEnd w:id="601"/>
      <w:bookmarkEnd w:id="602"/>
    </w:p>
    <w:p w14:paraId="65DA11F3">
      <w:pPr>
        <w:overflowPunct w:val="0"/>
        <w:adjustRightInd w:val="0"/>
        <w:snapToGrid w:val="0"/>
        <w:spacing w:line="600" w:lineRule="exact"/>
        <w:ind w:firstLine="640" w:firstLineChars="200"/>
        <w:jc w:val="left"/>
        <w:outlineLvl w:val="9"/>
        <w:rPr>
          <w:rFonts w:hint="eastAsia" w:ascii="Times New Roman" w:hAnsi="Times New Roman" w:eastAsia="方正仿宋_GBK" w:cs="Times New Roman"/>
          <w:b w:val="0"/>
          <w:bCs w:val="0"/>
          <w:i w:val="0"/>
          <w:color w:val="auto"/>
          <w:kern w:val="2"/>
          <w:sz w:val="32"/>
          <w:szCs w:val="32"/>
          <w:highlight w:val="none"/>
          <w:lang w:val="en-US" w:eastAsia="zh-CN" w:bidi="ar"/>
        </w:rPr>
      </w:pPr>
      <w:r>
        <w:rPr>
          <w:rFonts w:hint="eastAsia" w:ascii="Times New Roman" w:hAnsi="Times New Roman" w:eastAsia="方正仿宋_GBK" w:cs="Times New Roman"/>
          <w:b w:val="0"/>
          <w:bCs w:val="0"/>
          <w:i w:val="0"/>
          <w:color w:val="auto"/>
          <w:kern w:val="2"/>
          <w:sz w:val="32"/>
          <w:szCs w:val="32"/>
          <w:highlight w:val="none"/>
          <w:lang w:val="en-US" w:eastAsia="zh-CN" w:bidi="ar"/>
        </w:rPr>
        <w:t>强化公平竞争审查，严格履行公平竞争审查程序，全面清理妨碍统一市场和公平竞争的政策举措，坚决查处限制企业要素资源自由流通行为，</w:t>
      </w:r>
      <w:r>
        <w:rPr>
          <w:rFonts w:hint="eastAsia" w:ascii="Times New Roman" w:hAnsi="Times New Roman" w:eastAsia="方正仿宋_GBK" w:cs="Times New Roman"/>
          <w:color w:val="auto"/>
          <w:sz w:val="32"/>
          <w:szCs w:val="32"/>
          <w:highlight w:val="none"/>
          <w:lang w:bidi="ar"/>
        </w:rPr>
        <w:t>依法保障民营企业平等参与市场竞争的权益。完善投诉举报机制，畅通企业监督投诉渠道，加大对不正当竞争行为的查处力度。</w:t>
      </w:r>
      <w:r>
        <w:rPr>
          <w:rFonts w:hint="eastAsia" w:ascii="Times New Roman" w:hAnsi="Times New Roman" w:eastAsia="方正仿宋_GBK" w:cs="Times New Roman"/>
          <w:b w:val="0"/>
          <w:bCs w:val="0"/>
          <w:i w:val="0"/>
          <w:color w:val="auto"/>
          <w:kern w:val="2"/>
          <w:sz w:val="32"/>
          <w:szCs w:val="32"/>
          <w:highlight w:val="none"/>
          <w:lang w:val="en-US" w:eastAsia="zh-CN" w:bidi="ar"/>
        </w:rPr>
        <w:t>加强招商引资统筹协调和政策指导，完善规范不当招商引资行为长效机制。</w:t>
      </w:r>
      <w:r>
        <w:rPr>
          <w:rFonts w:hint="eastAsia" w:ascii="Times New Roman" w:hAnsi="Times New Roman" w:eastAsia="方正仿宋_GBK" w:cs="Times New Roman"/>
          <w:color w:val="auto"/>
          <w:sz w:val="32"/>
          <w:szCs w:val="32"/>
          <w:highlight w:val="none"/>
          <w:lang w:bidi="ar"/>
        </w:rPr>
        <w:t>持续优化市场准入退出</w:t>
      </w:r>
      <w:r>
        <w:rPr>
          <w:rFonts w:hint="eastAsia" w:ascii="Times New Roman" w:hAnsi="Times New Roman" w:eastAsia="方正仿宋_GBK" w:cs="Times New Roman"/>
          <w:color w:val="auto"/>
          <w:sz w:val="32"/>
          <w:szCs w:val="32"/>
          <w:highlight w:val="none"/>
          <w:lang w:val="en-US" w:eastAsia="zh-CN" w:bidi="ar"/>
        </w:rPr>
        <w:t>机制</w:t>
      </w:r>
      <w:r>
        <w:rPr>
          <w:rFonts w:hint="eastAsia" w:ascii="Times New Roman" w:hAnsi="Times New Roman" w:eastAsia="方正仿宋_GBK" w:cs="Times New Roman"/>
          <w:color w:val="auto"/>
          <w:sz w:val="32"/>
          <w:szCs w:val="32"/>
          <w:highlight w:val="none"/>
          <w:lang w:bidi="ar"/>
        </w:rPr>
        <w:t>，推进企业开办标准化、规范化和电子证照印章应用，畅通经营主体退出机制。深化行政审批制度改革和“证照分离”改革，运用数字化手段优化审批流程，实现跨部门数据共享和业务协同，提升市场准入效能。</w:t>
      </w:r>
      <w:r>
        <w:rPr>
          <w:rFonts w:hint="eastAsia" w:ascii="Times New Roman" w:hAnsi="Times New Roman" w:eastAsia="方正仿宋_GBK" w:cs="Times New Roman"/>
          <w:b w:val="0"/>
          <w:bCs w:val="0"/>
          <w:i w:val="0"/>
          <w:color w:val="auto"/>
          <w:kern w:val="2"/>
          <w:sz w:val="32"/>
          <w:szCs w:val="32"/>
          <w:highlight w:val="none"/>
          <w:lang w:val="en-US" w:eastAsia="zh-CN" w:bidi="ar"/>
        </w:rPr>
        <w:t>积极融入统一规范、信息共享的招标投标和政府、事业单位、国有企业采购等公共资源交易平台体系，实现项目全流程公开管理。</w:t>
      </w:r>
    </w:p>
    <w:p w14:paraId="63C87272">
      <w:pPr>
        <w:overflowPunct/>
        <w:adjustRightInd/>
        <w:snapToGrid/>
        <w:spacing w:line="240" w:lineRule="auto"/>
        <w:jc w:val="left"/>
        <w:outlineLvl w:val="9"/>
        <w:rPr>
          <w:rFonts w:hint="eastAsia" w:ascii="Times New Roman" w:hAnsi="Times New Roman" w:eastAsia="方正黑体_GBK" w:cs="方正黑体_GBK"/>
          <w:color w:val="auto"/>
          <w:sz w:val="32"/>
          <w:szCs w:val="32"/>
          <w:highlight w:val="none"/>
        </w:rPr>
      </w:pPr>
      <w:r>
        <w:rPr>
          <w:rFonts w:hint="eastAsia" w:ascii="Times New Roman" w:hAnsi="Times New Roman" w:eastAsia="方正黑体_GBK" w:cs="方正黑体_GBK"/>
          <w:color w:val="auto"/>
          <w:sz w:val="32"/>
          <w:szCs w:val="32"/>
          <w:highlight w:val="none"/>
        </w:rPr>
        <w:br w:type="page"/>
      </w:r>
    </w:p>
    <w:p w14:paraId="672F1581">
      <w:pPr>
        <w:overflowPunct w:val="0"/>
        <w:spacing w:line="600" w:lineRule="exact"/>
        <w:jc w:val="center"/>
        <w:outlineLvl w:val="0"/>
        <w:rPr>
          <w:rFonts w:ascii="Times New Roman" w:hAnsi="Times New Roman" w:eastAsia="方正黑体_GBK" w:cs="方正黑体_GBK"/>
          <w:color w:val="auto"/>
          <w:sz w:val="32"/>
          <w:szCs w:val="32"/>
          <w:highlight w:val="none"/>
        </w:rPr>
      </w:pPr>
      <w:bookmarkStart w:id="603" w:name="_Toc29267"/>
      <w:r>
        <w:rPr>
          <w:rFonts w:hint="eastAsia" w:ascii="Times New Roman" w:hAnsi="Times New Roman" w:eastAsia="方正黑体_GBK" w:cs="方正黑体_GBK"/>
          <w:color w:val="auto"/>
          <w:sz w:val="32"/>
          <w:szCs w:val="32"/>
          <w:highlight w:val="none"/>
        </w:rPr>
        <w:t>第</w:t>
      </w:r>
      <w:r>
        <w:rPr>
          <w:rFonts w:hint="eastAsia" w:ascii="Times New Roman" w:hAnsi="Times New Roman" w:eastAsia="方正黑体_GBK" w:cs="方正黑体_GBK"/>
          <w:color w:val="auto"/>
          <w:sz w:val="32"/>
          <w:szCs w:val="32"/>
          <w:highlight w:val="none"/>
          <w:lang w:val="en-US" w:eastAsia="zh-CN"/>
        </w:rPr>
        <w:t>六</w:t>
      </w:r>
      <w:r>
        <w:rPr>
          <w:rFonts w:hint="eastAsia" w:ascii="Times New Roman" w:hAnsi="Times New Roman" w:eastAsia="方正黑体_GBK" w:cs="方正黑体_GBK"/>
          <w:color w:val="auto"/>
          <w:sz w:val="32"/>
          <w:szCs w:val="32"/>
          <w:highlight w:val="none"/>
        </w:rPr>
        <w:t>篇 建设</w:t>
      </w:r>
      <w:bookmarkEnd w:id="327"/>
      <w:bookmarkEnd w:id="328"/>
      <w:r>
        <w:rPr>
          <w:rFonts w:hint="eastAsia" w:ascii="Times New Roman" w:hAnsi="Times New Roman" w:eastAsia="方正黑体_GBK" w:cs="方正黑体_GBK"/>
          <w:color w:val="auto"/>
          <w:sz w:val="32"/>
          <w:szCs w:val="32"/>
          <w:highlight w:val="none"/>
        </w:rPr>
        <w:t>全面深化改革扩大开放的先行示范</w:t>
      </w:r>
      <w:bookmarkEnd w:id="574"/>
      <w:bookmarkEnd w:id="575"/>
      <w:bookmarkEnd w:id="603"/>
    </w:p>
    <w:p w14:paraId="4F03C19D">
      <w:pPr>
        <w:overflowPunct w:val="0"/>
        <w:spacing w:line="600" w:lineRule="exact"/>
        <w:rPr>
          <w:rFonts w:ascii="Times New Roman" w:hAnsi="Times New Roman" w:eastAsia="方正仿宋_GBK" w:cs="Times New Roman"/>
          <w:color w:val="auto"/>
          <w:sz w:val="32"/>
          <w:szCs w:val="32"/>
          <w:highlight w:val="none"/>
        </w:rPr>
      </w:pPr>
    </w:p>
    <w:p w14:paraId="7DFB081A">
      <w:pPr>
        <w:spacing w:line="600" w:lineRule="exact"/>
        <w:ind w:firstLine="640" w:firstLineChars="200"/>
        <w:textAlignment w:val="baseline"/>
        <w:rPr>
          <w:rFonts w:hint="eastAsia" w:ascii="方正仿宋_GBK" w:hAnsi="方正仿宋_GBK" w:eastAsia="方正仿宋_GBK" w:cs="方正仿宋_GBK"/>
          <w:color w:val="auto"/>
          <w:sz w:val="32"/>
          <w:szCs w:val="32"/>
          <w:highlight w:val="none"/>
        </w:rPr>
      </w:pPr>
      <w:r>
        <w:rPr>
          <w:rFonts w:hint="eastAsia" w:ascii="Times New Roman" w:hAnsi="Times New Roman" w:eastAsia="方正仿宋_GBK" w:cs="Times New Roman"/>
          <w:color w:val="auto"/>
          <w:sz w:val="32"/>
          <w:szCs w:val="32"/>
          <w:highlight w:val="none"/>
        </w:rPr>
        <w:t>突出改革聚能、开放提能，</w:t>
      </w:r>
      <w:r>
        <w:rPr>
          <w:rFonts w:hint="eastAsia" w:ascii="Times New Roman" w:hAnsi="Times New Roman" w:eastAsia="方正仿宋_GBK" w:cs="Times New Roman"/>
          <w:color w:val="auto"/>
          <w:sz w:val="32"/>
          <w:szCs w:val="32"/>
          <w:highlight w:val="none"/>
          <w:lang w:val="en-US" w:eastAsia="zh-CN"/>
        </w:rPr>
        <w:t>依托</w:t>
      </w:r>
      <w:r>
        <w:rPr>
          <w:rFonts w:hint="eastAsia" w:ascii="Times New Roman" w:hAnsi="Times New Roman" w:eastAsia="方正仿宋_GBK" w:cs="Times New Roman"/>
          <w:color w:val="auto"/>
          <w:sz w:val="32"/>
          <w:szCs w:val="32"/>
          <w:highlight w:val="none"/>
        </w:rPr>
        <w:t>西部陆海新通道牵引作用，深度融入成渝地区双城经济圈战略布局，</w:t>
      </w:r>
      <w:r>
        <w:rPr>
          <w:rFonts w:hint="eastAsia" w:ascii="方正仿宋_GBK" w:hAnsi="方正仿宋_GBK" w:eastAsia="方正仿宋_GBK" w:cs="方正仿宋_GBK"/>
          <w:color w:val="auto"/>
          <w:sz w:val="32"/>
          <w:szCs w:val="32"/>
          <w:highlight w:val="none"/>
        </w:rPr>
        <w:t>集成放大自由贸易试验区、西永综合保税区、重庆市物流枢纽经济区高新区功能区综合叠加效应</w:t>
      </w:r>
      <w:r>
        <w:rPr>
          <w:rFonts w:hint="eastAsia" w:ascii="Times New Roman" w:hAnsi="Times New Roman" w:eastAsia="方正仿宋_GBK" w:cs="Times New Roman"/>
          <w:color w:val="auto"/>
          <w:sz w:val="32"/>
          <w:szCs w:val="32"/>
          <w:highlight w:val="none"/>
        </w:rPr>
        <w:t>，</w:t>
      </w:r>
      <w:r>
        <w:rPr>
          <w:rFonts w:hint="eastAsia" w:ascii="方正仿宋_GBK" w:hAnsi="Calibri" w:eastAsia="方正仿宋_GBK" w:cs="Times New Roman"/>
          <w:bCs/>
          <w:sz w:val="32"/>
          <w:szCs w:val="32"/>
          <w:highlight w:val="none"/>
          <w:u w:val="none" w:color="auto"/>
          <w:lang w:val="en-US" w:eastAsia="zh-CN"/>
        </w:rPr>
        <w:t>着力完善高质量发展体制机制</w:t>
      </w:r>
      <w:r>
        <w:rPr>
          <w:rFonts w:hint="default" w:ascii="方正仿宋_GBK" w:hAnsi="Calibri" w:eastAsia="方正仿宋_GBK" w:cs="Times New Roman"/>
          <w:bCs/>
          <w:sz w:val="32"/>
          <w:szCs w:val="32"/>
          <w:highlight w:val="none"/>
          <w:u w:val="none" w:color="auto"/>
          <w:lang w:val="en-US" w:eastAsia="zh-CN"/>
        </w:rPr>
        <w:t>，全面激发发展活力内生动力</w:t>
      </w:r>
      <w:r>
        <w:rPr>
          <w:rFonts w:hint="eastAsia" w:ascii="方正仿宋_GBK" w:hAnsi="方正仿宋_GBK" w:eastAsia="方正仿宋_GBK" w:cs="方正仿宋_GBK"/>
          <w:color w:val="auto"/>
          <w:sz w:val="32"/>
          <w:szCs w:val="32"/>
          <w:highlight w:val="none"/>
        </w:rPr>
        <w:t>。</w:t>
      </w:r>
      <w:bookmarkStart w:id="604" w:name="_Toc28082"/>
      <w:bookmarkStart w:id="605" w:name="_Toc29345"/>
      <w:bookmarkStart w:id="606" w:name="_Toc28268"/>
      <w:bookmarkStart w:id="607" w:name="_Toc6278"/>
      <w:bookmarkStart w:id="608" w:name="_Toc15947"/>
      <w:bookmarkStart w:id="609" w:name="_Toc19411"/>
      <w:bookmarkStart w:id="610" w:name="_Toc10503"/>
    </w:p>
    <w:p w14:paraId="21FF977B">
      <w:pPr>
        <w:rPr>
          <w:rFonts w:hint="eastAsia" w:ascii="Times New Roman" w:hAnsi="Times New Roman" w:eastAsia="方正黑体_GBK" w:cs="方正黑体_GBK"/>
          <w:color w:val="auto"/>
          <w:sz w:val="32"/>
          <w:szCs w:val="32"/>
          <w:highlight w:val="none"/>
        </w:rPr>
      </w:pPr>
      <w:bookmarkStart w:id="611" w:name="_Toc756388002"/>
      <w:bookmarkStart w:id="612" w:name="_Toc269060263"/>
    </w:p>
    <w:p w14:paraId="19C8CACF">
      <w:pPr>
        <w:numPr>
          <w:ilvl w:val="255"/>
          <w:numId w:val="0"/>
        </w:numPr>
        <w:overflowPunct w:val="0"/>
        <w:spacing w:line="600" w:lineRule="exact"/>
        <w:jc w:val="center"/>
        <w:outlineLvl w:val="1"/>
        <w:rPr>
          <w:rFonts w:ascii="Times New Roman" w:hAnsi="Times New Roman" w:eastAsia="方正黑体_GBK" w:cs="方正黑体_GBK"/>
          <w:color w:val="auto"/>
          <w:sz w:val="32"/>
          <w:szCs w:val="32"/>
          <w:highlight w:val="none"/>
        </w:rPr>
      </w:pPr>
      <w:bookmarkStart w:id="613" w:name="_Toc13883"/>
      <w:r>
        <w:rPr>
          <w:rFonts w:hint="eastAsia" w:ascii="Times New Roman" w:hAnsi="Times New Roman" w:eastAsia="方正黑体_GBK" w:cs="方正黑体_GBK"/>
          <w:color w:val="auto"/>
          <w:sz w:val="32"/>
          <w:szCs w:val="32"/>
          <w:highlight w:val="none"/>
        </w:rPr>
        <w:t>第一章 以“一城多园”共建西部科学城</w:t>
      </w:r>
      <w:bookmarkEnd w:id="604"/>
      <w:bookmarkEnd w:id="605"/>
      <w:bookmarkEnd w:id="606"/>
      <w:bookmarkEnd w:id="607"/>
      <w:bookmarkEnd w:id="608"/>
      <w:bookmarkEnd w:id="609"/>
      <w:bookmarkEnd w:id="610"/>
      <w:bookmarkEnd w:id="611"/>
      <w:bookmarkEnd w:id="612"/>
      <w:bookmarkEnd w:id="613"/>
    </w:p>
    <w:p w14:paraId="5015B745">
      <w:pPr>
        <w:overflowPunct w:val="0"/>
        <w:spacing w:line="600" w:lineRule="exact"/>
        <w:ind w:firstLine="640" w:firstLineChars="200"/>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优化共建西部科学城推进机制，推动与西部（成都）科学城、成都高新区、绵阳科技城等重点地区合作，增强协同创新发展能力，加快吸引集聚全球高端创新资源要素。</w:t>
      </w:r>
      <w:bookmarkStart w:id="614" w:name="_Toc11393"/>
      <w:bookmarkStart w:id="615" w:name="_Toc10843"/>
      <w:bookmarkStart w:id="616" w:name="_Toc20605"/>
      <w:bookmarkStart w:id="617" w:name="_Toc8723"/>
      <w:bookmarkStart w:id="618" w:name="_Toc4622"/>
      <w:bookmarkStart w:id="619" w:name="_Toc3171"/>
    </w:p>
    <w:p w14:paraId="3918DF46">
      <w:pPr>
        <w:numPr>
          <w:ilvl w:val="255"/>
          <w:numId w:val="0"/>
        </w:numPr>
        <w:overflowPunct w:val="0"/>
        <w:spacing w:line="600" w:lineRule="exact"/>
        <w:jc w:val="center"/>
        <w:outlineLvl w:val="2"/>
        <w:rPr>
          <w:rFonts w:ascii="Times New Roman" w:hAnsi="Times New Roman" w:eastAsia="方正楷体_GBK" w:cs="方正楷体_GBK"/>
          <w:color w:val="auto"/>
          <w:sz w:val="32"/>
          <w:szCs w:val="32"/>
          <w:highlight w:val="none"/>
        </w:rPr>
      </w:pPr>
      <w:bookmarkStart w:id="620" w:name="_Toc15995"/>
      <w:bookmarkStart w:id="621" w:name="_Toc1642763306"/>
      <w:bookmarkStart w:id="622" w:name="_Toc1657443021"/>
      <w:r>
        <w:rPr>
          <w:rFonts w:hint="eastAsia" w:ascii="Times New Roman" w:hAnsi="Times New Roman" w:eastAsia="方正楷体_GBK" w:cs="方正楷体_GBK"/>
          <w:color w:val="auto"/>
          <w:sz w:val="32"/>
          <w:szCs w:val="32"/>
          <w:highlight w:val="none"/>
        </w:rPr>
        <w:t>第一节 推动与西部（成都）科学城、成都高新区联建</w:t>
      </w:r>
      <w:bookmarkEnd w:id="614"/>
      <w:bookmarkEnd w:id="615"/>
      <w:bookmarkEnd w:id="616"/>
      <w:bookmarkEnd w:id="617"/>
      <w:bookmarkEnd w:id="618"/>
      <w:bookmarkEnd w:id="619"/>
      <w:bookmarkEnd w:id="620"/>
      <w:bookmarkEnd w:id="621"/>
      <w:bookmarkEnd w:id="622"/>
    </w:p>
    <w:p w14:paraId="0772BC9B">
      <w:pPr>
        <w:overflowPunct w:val="0"/>
        <w:spacing w:line="600" w:lineRule="exact"/>
        <w:ind w:firstLine="640" w:firstLineChars="200"/>
        <w:rPr>
          <w:color w:val="auto"/>
          <w:highlight w:val="none"/>
        </w:rPr>
      </w:pPr>
      <w:r>
        <w:rPr>
          <w:rFonts w:hint="eastAsia" w:ascii="Times New Roman" w:hAnsi="Times New Roman" w:eastAsia="方正仿宋_GBK" w:cs="Times New Roman"/>
          <w:bCs/>
          <w:color w:val="auto"/>
          <w:kern w:val="0"/>
          <w:sz w:val="32"/>
          <w:szCs w:val="32"/>
          <w:highlight w:val="none"/>
        </w:rPr>
        <w:t>持续健全与西部（成都）科学城、成都高新区常态化沟通、高层互访、人才交流等机制，联合向上争取平台、项目、政策、资金等。积极培育川渝共建重点实验室，推动金凤实验室与锦城实验室、四川省人民医院等深化协同，共建智慧医疗产业创新综合体。联合承接相关领域国家实验室川渝基地和“平急两用”科研基地，打造国家重要的科研备份基地。依托国家药监局药品和医疗器械审评检查西南分中心，加快建设西南地区医药产业创新孵化平台，共建成渝生物医药协同创新网络。加强与成都高新区等共建国家级未来产业先导区。支持重庆人工智能创新中心与成都智算中心共建“东数西算”国家一体化大数据中心成渝枢纽节点。围绕集成电路、</w:t>
      </w:r>
      <w:r>
        <w:rPr>
          <w:rFonts w:hint="eastAsia" w:ascii="Times New Roman" w:hAnsi="Times New Roman" w:eastAsia="方正仿宋_GBK" w:cs="Times New Roman"/>
          <w:bCs/>
          <w:color w:val="auto"/>
          <w:kern w:val="0"/>
          <w:sz w:val="32"/>
          <w:szCs w:val="32"/>
          <w:highlight w:val="none"/>
          <w:lang w:val="en-US" w:eastAsia="zh-CN"/>
        </w:rPr>
        <w:t>新能源汽摩</w:t>
      </w:r>
      <w:r>
        <w:rPr>
          <w:rFonts w:hint="eastAsia" w:ascii="Times New Roman" w:hAnsi="Times New Roman" w:eastAsia="方正仿宋_GBK" w:cs="Times New Roman"/>
          <w:bCs/>
          <w:color w:val="auto"/>
          <w:kern w:val="0"/>
          <w:sz w:val="32"/>
          <w:szCs w:val="32"/>
          <w:highlight w:val="none"/>
        </w:rPr>
        <w:t>、生物医药等产业链，探索与西部（成都）科学城、成都高新区共建一批概念验证中心、制造业中试平台，构建成渝地区共享型“中试+”服务网络。联合推动全国高校区域技术转移转化中心（成渝地区）建设。加快推进智能网联示范区二期建设，持续强化“车路云一体化”场景培育和开放。做实双城基金和双城信用增进公司，推动区内产业基金与四川省相关基金深化合作，引导天使基金加大双城协同创新项目投资力度，推动重庆科技要素交易中心、知识产权运营中心</w:t>
      </w:r>
      <w:r>
        <w:rPr>
          <w:rFonts w:hint="eastAsia" w:ascii="Times New Roman" w:hAnsi="Times New Roman" w:eastAsia="方正仿宋_GBK" w:cs="Times New Roman"/>
          <w:bCs/>
          <w:color w:val="auto"/>
          <w:kern w:val="0"/>
          <w:sz w:val="32"/>
          <w:szCs w:val="32"/>
          <w:highlight w:val="none"/>
          <w:lang w:val="en-US" w:eastAsia="zh-CN"/>
        </w:rPr>
        <w:t>加快</w:t>
      </w:r>
      <w:r>
        <w:rPr>
          <w:rFonts w:hint="eastAsia" w:ascii="Times New Roman" w:hAnsi="Times New Roman" w:eastAsia="方正仿宋_GBK" w:cs="Times New Roman"/>
          <w:bCs/>
          <w:color w:val="auto"/>
          <w:kern w:val="0"/>
          <w:sz w:val="32"/>
          <w:szCs w:val="32"/>
          <w:highlight w:val="none"/>
        </w:rPr>
        <w:t>融入国家统一技术交易服务平台西南节点建设。深化政务服务“跨域办”，推动政务服务线上“虚拟综窗”通办提质扩面，推行就近收件、异地通办、邮寄送达，打造智慧服务协同场景。</w:t>
      </w:r>
    </w:p>
    <w:p w14:paraId="58E32381">
      <w:pPr>
        <w:numPr>
          <w:ilvl w:val="255"/>
          <w:numId w:val="0"/>
        </w:numPr>
        <w:overflowPunct w:val="0"/>
        <w:spacing w:line="600" w:lineRule="exact"/>
        <w:jc w:val="center"/>
        <w:outlineLvl w:val="2"/>
        <w:rPr>
          <w:rFonts w:ascii="Times New Roman" w:hAnsi="Times New Roman" w:eastAsia="方正楷体_GBK" w:cs="方正楷体_GBK"/>
          <w:color w:val="auto"/>
          <w:sz w:val="32"/>
          <w:szCs w:val="32"/>
          <w:highlight w:val="none"/>
        </w:rPr>
      </w:pPr>
      <w:bookmarkStart w:id="623" w:name="_Toc19473"/>
      <w:bookmarkStart w:id="624" w:name="_Toc27909"/>
      <w:bookmarkStart w:id="625" w:name="_Toc1634468710"/>
      <w:bookmarkStart w:id="626" w:name="_Toc24506"/>
      <w:bookmarkStart w:id="627" w:name="_Toc18218"/>
      <w:bookmarkStart w:id="628" w:name="_Toc1873118110"/>
      <w:bookmarkStart w:id="629" w:name="_Toc12799"/>
      <w:r>
        <w:rPr>
          <w:rFonts w:hint="eastAsia" w:ascii="Times New Roman" w:hAnsi="Times New Roman" w:eastAsia="方正楷体_GBK" w:cs="方正楷体_GBK"/>
          <w:color w:val="auto"/>
          <w:sz w:val="32"/>
          <w:szCs w:val="32"/>
          <w:highlight w:val="none"/>
        </w:rPr>
        <w:t>第二节 推动与绵阳科技城联动</w:t>
      </w:r>
      <w:bookmarkEnd w:id="623"/>
      <w:bookmarkEnd w:id="624"/>
      <w:bookmarkEnd w:id="625"/>
      <w:bookmarkEnd w:id="626"/>
      <w:bookmarkEnd w:id="627"/>
      <w:bookmarkEnd w:id="628"/>
      <w:bookmarkEnd w:id="629"/>
    </w:p>
    <w:p w14:paraId="5A51A5D6">
      <w:pPr>
        <w:overflowPunct w:val="0"/>
        <w:spacing w:line="600" w:lineRule="exact"/>
        <w:ind w:firstLine="640" w:firstLineChars="200"/>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推动区内现有生物医药、集成电路等领域中试平台与中国（绵阳）科技城中试服务公共平台加强协作。围绕半导体、智能网联新能源汽车等领域，加强与绵阳科技城产业协作，联合探索构建“基础研究—技术攻关—成果转化—产业发展”全链条产业创新生态。联合构建高水平实验室体系，支持嘉陵江实验室、金凤实验室等与</w:t>
      </w:r>
      <w:r>
        <w:rPr>
          <w:rFonts w:hint="eastAsia" w:ascii="Times New Roman" w:hAnsi="Times New Roman" w:eastAsia="方正仿宋_GBK" w:cs="Times New Roman"/>
          <w:color w:val="auto"/>
          <w:sz w:val="32"/>
          <w:szCs w:val="32"/>
          <w:highlight w:val="none"/>
          <w:lang w:val="en-US" w:eastAsia="zh-CN"/>
        </w:rPr>
        <w:t>涪江实验室等</w:t>
      </w:r>
      <w:r>
        <w:rPr>
          <w:rFonts w:hint="eastAsia" w:ascii="Times New Roman" w:hAnsi="Times New Roman" w:eastAsia="方正仿宋_GBK" w:cs="Times New Roman"/>
          <w:color w:val="auto"/>
          <w:sz w:val="32"/>
          <w:szCs w:val="32"/>
          <w:highlight w:val="none"/>
        </w:rPr>
        <w:t>协同向上争取重大平台布局，联合共建一批国家级创新平台。支持重庆大学等与西南科技大学加强交流互动，瞄准航空航天、人工智能、机器人、智能装备等领域，开展重大项目联合申报、基础前沿技术和共性技术联合攻关、科研仪器开放共享等合作。依托中国西部国际博览会、“一带一路”科技交流大会、世界智能产业博览会、中国（绵阳）科技城国际科技博览会等现有展会平台，设置西部科学城展区、组织企业参展，在会期共同举办活动。探索联合实施“科技顾问”“科技助理”制度，推动创新人才互动交流。</w:t>
      </w:r>
    </w:p>
    <w:p w14:paraId="5F7CAE7F">
      <w:pPr>
        <w:spacing w:line="600" w:lineRule="exact"/>
        <w:ind w:firstLine="640" w:firstLineChars="200"/>
        <w:textAlignment w:val="baseline"/>
        <w:rPr>
          <w:rFonts w:ascii="Times New Roman" w:hAnsi="Times New Roman" w:eastAsia="方正仿宋_GBK" w:cs="Times New Roman"/>
          <w:color w:val="auto"/>
          <w:sz w:val="32"/>
          <w:szCs w:val="32"/>
          <w:highlight w:val="none"/>
        </w:rPr>
      </w:pPr>
    </w:p>
    <w:p w14:paraId="6880AF8A">
      <w:pPr>
        <w:numPr>
          <w:ilvl w:val="255"/>
          <w:numId w:val="0"/>
        </w:numPr>
        <w:overflowPunct w:val="0"/>
        <w:spacing w:line="600" w:lineRule="exact"/>
        <w:jc w:val="center"/>
        <w:outlineLvl w:val="1"/>
        <w:rPr>
          <w:rFonts w:ascii="Times New Roman" w:hAnsi="Times New Roman" w:eastAsia="方正黑体_GBK" w:cs="方正黑体_GBK"/>
          <w:color w:val="auto"/>
          <w:sz w:val="32"/>
          <w:szCs w:val="32"/>
          <w:highlight w:val="none"/>
        </w:rPr>
      </w:pPr>
      <w:bookmarkStart w:id="630" w:name="_Toc2052280193"/>
      <w:bookmarkStart w:id="631" w:name="_Toc1533293397"/>
      <w:bookmarkStart w:id="632" w:name="_Toc502"/>
      <w:bookmarkStart w:id="633" w:name="_Toc8187"/>
      <w:bookmarkStart w:id="634" w:name="_Toc14032"/>
      <w:r>
        <w:rPr>
          <w:rFonts w:hint="eastAsia" w:ascii="Times New Roman" w:hAnsi="Times New Roman" w:eastAsia="方正黑体_GBK" w:cs="方正黑体_GBK"/>
          <w:color w:val="auto"/>
          <w:sz w:val="32"/>
          <w:szCs w:val="32"/>
          <w:highlight w:val="none"/>
        </w:rPr>
        <w:t xml:space="preserve">第二章 </w:t>
      </w:r>
      <w:bookmarkStart w:id="635" w:name="_Toc26271"/>
      <w:bookmarkStart w:id="636" w:name="_Toc21631"/>
      <w:r>
        <w:rPr>
          <w:rFonts w:hint="eastAsia" w:ascii="Times New Roman" w:hAnsi="Times New Roman" w:eastAsia="方正黑体_GBK" w:cs="方正黑体_GBK"/>
          <w:color w:val="auto"/>
          <w:sz w:val="32"/>
          <w:szCs w:val="32"/>
          <w:highlight w:val="none"/>
        </w:rPr>
        <w:t>融入市域高质量发展新格局</w:t>
      </w:r>
      <w:bookmarkEnd w:id="630"/>
      <w:bookmarkEnd w:id="631"/>
      <w:bookmarkEnd w:id="632"/>
      <w:bookmarkEnd w:id="633"/>
      <w:bookmarkEnd w:id="634"/>
      <w:bookmarkEnd w:id="635"/>
      <w:bookmarkEnd w:id="636"/>
    </w:p>
    <w:p w14:paraId="27363996">
      <w:pPr>
        <w:overflowPunct w:val="0"/>
        <w:snapToGrid w:val="0"/>
        <w:spacing w:line="600" w:lineRule="exact"/>
        <w:ind w:firstLine="640" w:firstLineChars="200"/>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充分发挥极核引领作用，提升服务市域科创走廊建设的支撑力，优化西部（重庆）科学城“一核五区”一体化发展机制，加强区域对口协同合作，构建跨区合作发展机制，加快融入优势互补功能协调的市域高质量发展新格局。</w:t>
      </w:r>
    </w:p>
    <w:p w14:paraId="6300C091">
      <w:pPr>
        <w:numPr>
          <w:ilvl w:val="255"/>
          <w:numId w:val="0"/>
        </w:numPr>
        <w:overflowPunct w:val="0"/>
        <w:spacing w:line="600" w:lineRule="exact"/>
        <w:jc w:val="center"/>
        <w:outlineLvl w:val="2"/>
        <w:rPr>
          <w:color w:val="auto"/>
          <w:highlight w:val="none"/>
        </w:rPr>
      </w:pPr>
      <w:bookmarkStart w:id="637" w:name="_Toc15909"/>
      <w:bookmarkStart w:id="638" w:name="_Toc21534"/>
      <w:bookmarkStart w:id="639" w:name="_Toc258359379"/>
      <w:bookmarkStart w:id="640" w:name="_Toc8078"/>
      <w:bookmarkStart w:id="641" w:name="_Toc9121"/>
      <w:bookmarkStart w:id="642" w:name="_Toc1938349284"/>
      <w:r>
        <w:rPr>
          <w:rFonts w:hint="eastAsia" w:ascii="Times New Roman" w:hAnsi="Times New Roman" w:eastAsia="方正楷体_GBK" w:cs="方正楷体_GBK"/>
          <w:color w:val="auto"/>
          <w:sz w:val="32"/>
          <w:szCs w:val="32"/>
          <w:highlight w:val="none"/>
        </w:rPr>
        <w:t>第一节 融入市域科创走廊建设</w:t>
      </w:r>
      <w:bookmarkEnd w:id="637"/>
      <w:bookmarkEnd w:id="638"/>
      <w:bookmarkEnd w:id="639"/>
      <w:bookmarkEnd w:id="640"/>
      <w:bookmarkEnd w:id="641"/>
      <w:bookmarkEnd w:id="642"/>
    </w:p>
    <w:p w14:paraId="3E4C325A">
      <w:pPr>
        <w:overflowPunct w:val="0"/>
        <w:snapToGrid w:val="0"/>
        <w:spacing w:line="600" w:lineRule="exact"/>
        <w:ind w:firstLine="640" w:firstLineChars="200"/>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发挥全市科技创新主引擎示范作用，加快建设成渝（金凤）综合性科学中心，推动超瞬态实验装置等重大科技基础设施科研成果转化，加速一批技术成果外溢转化。联动产业互补、创新协作的中心城区，联合向上申报一批高能级创新平台，开展重大科技成果生成转化。做强做优重庆大学国家科技园，打造环大学创新生态圈，率先探索形成教育科技人才一体化改革创新成果。按照“416”科技创新布局，围绕“基础研究—应用研究—技术创新”全链条体系强化与两江新区科创城双极联动，共同提升全市产业技术创新策源能力。围绕新型智能终端、新能源汽摩等共同优势产业，加强与渝西地区、渝东新城构建“研发设计在重庆高新区、制造配套在区县”的协同创新网络。依托重庆高新区科创资源，为山区库区特色技术创新和应用项目提供前端研发支持、技术解决方案和孵化服务，实现全域创新能力整体提升。</w:t>
      </w:r>
    </w:p>
    <w:p w14:paraId="5339B84C">
      <w:pPr>
        <w:numPr>
          <w:ilvl w:val="255"/>
          <w:numId w:val="0"/>
        </w:numPr>
        <w:overflowPunct w:val="0"/>
        <w:spacing w:line="600" w:lineRule="exact"/>
        <w:jc w:val="center"/>
        <w:outlineLvl w:val="2"/>
        <w:rPr>
          <w:rFonts w:ascii="Times New Roman" w:hAnsi="Times New Roman" w:eastAsia="方正楷体_GBK" w:cs="方正楷体_GBK"/>
          <w:color w:val="auto"/>
          <w:sz w:val="32"/>
          <w:szCs w:val="32"/>
          <w:highlight w:val="none"/>
        </w:rPr>
      </w:pPr>
      <w:bookmarkStart w:id="643" w:name="_Toc34148619"/>
      <w:bookmarkStart w:id="644" w:name="_Toc25926"/>
      <w:bookmarkStart w:id="645" w:name="_Toc17027"/>
      <w:bookmarkStart w:id="646" w:name="_Toc243"/>
      <w:bookmarkStart w:id="647" w:name="_Toc14905"/>
      <w:bookmarkStart w:id="648" w:name="_Toc509491198"/>
      <w:r>
        <w:rPr>
          <w:rFonts w:hint="eastAsia" w:ascii="Times New Roman" w:hAnsi="Times New Roman" w:eastAsia="方正楷体_GBK" w:cs="方正楷体_GBK"/>
          <w:color w:val="auto"/>
          <w:sz w:val="32"/>
          <w:szCs w:val="32"/>
          <w:highlight w:val="none"/>
        </w:rPr>
        <w:t>第二节 推动西部（重庆）科学城“一核五区”一体化发展</w:t>
      </w:r>
      <w:bookmarkEnd w:id="643"/>
      <w:bookmarkEnd w:id="644"/>
      <w:bookmarkEnd w:id="645"/>
      <w:bookmarkEnd w:id="646"/>
      <w:bookmarkEnd w:id="647"/>
      <w:bookmarkEnd w:id="648"/>
    </w:p>
    <w:p w14:paraId="2B0B3531">
      <w:pPr>
        <w:overflowPunct w:val="0"/>
        <w:snapToGrid w:val="0"/>
        <w:spacing w:before="5" w:line="600" w:lineRule="exact"/>
        <w:ind w:firstLine="640" w:firstLineChars="200"/>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实施强化组织领导、完善运行机制、健全规划体系“三个统筹”，由西部（重庆）科学城建设专项小组统筹负责科学城建设发展工作，进一步充实专项小组办公室力量。建立健全科学城重大事项、重大项目等决策机制，形成全域改革集成、项目安排、资源共享、要素流动、督查考核等一体化机制和工作运行体系。落实科学城国土空间规划，编制全域“十五五”发展规划和各片区详细规划及五年专项规划。强化科技共创，统筹全域科技创新规划布局，协同共建重大科技基础设施和实验室体系，联合开展关键核心技术攻关，推动各类创新资源开放共享，推动科学城和大学城深度融合，探索全域推行教育科技人才一体化改革。强化产业共谋，建立科学城统一的经济、创新等指标统计监测体系，探索全域推广产业链“链长制”，研究编制全域统一产业发展指导目录和产业地图，推动研发在核心区、制造在功能区的飞地合作模式，建立联合招商团队，探索建立跨区域产值、税收分配机制。强化交通共联，加快推进在建轨道7号线一期、15号线二期等轨道线路以及科学城、白市驿2座隧道，支持轨道15号线三期、17号线二期等轨道线路纳入第五轮轨道建设规划报批</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rPr>
        <w:t>打通科学城片区与第二国际机场的快速通道。强化生态共建，建立联合河长制，统筹做好梁滩河、大溪河等生态共建和修复保护</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rPr>
        <w:t>探索建立“科学城蓝天行动”协同工作机制和统一的生态环境监测信息发布和共享机制。强化服务共用，推动科学城全域优质教育资源共建共享，协同建设“医共体”“医联体”。强化人才共育</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rPr>
        <w:t>探索全域推广“金凤凰”人才政策，开展干部人才双向交流，探索联合共同举办电子信息、招商引资等专题培训。强化环境共优</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lang w:val="en-US" w:eastAsia="zh-CN"/>
        </w:rPr>
        <w:t>联合争取</w:t>
      </w:r>
      <w:r>
        <w:rPr>
          <w:rFonts w:hint="eastAsia" w:ascii="Times New Roman" w:hAnsi="Times New Roman" w:eastAsia="方正仿宋_GBK" w:cs="Times New Roman"/>
          <w:color w:val="auto"/>
          <w:sz w:val="32"/>
          <w:szCs w:val="32"/>
          <w:highlight w:val="none"/>
        </w:rPr>
        <w:t>市级行政权限下放，积极争取经济区和行政区分离改革、科技体制机制改革等在科学城先行先试</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rPr>
        <w:t>深化政务服务“全面通办”改革，优化政务服务事项线上全程网办、线下“全渝通办”和“一站式”服务，各片区间推广“交地领证”等改革经验</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rPr>
        <w:t>推动打造营商环境创新试点区。强化成果共享</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rPr>
        <w:t>定期或不定期组织科学城重大项目集中开工仪式，以西部（重庆）科学城的名义联合参展。</w:t>
      </w:r>
    </w:p>
    <w:p w14:paraId="5656D54B">
      <w:pPr>
        <w:overflowPunct w:val="0"/>
        <w:spacing w:line="600" w:lineRule="exact"/>
        <w:jc w:val="center"/>
        <w:outlineLvl w:val="2"/>
        <w:rPr>
          <w:color w:val="auto"/>
          <w:highlight w:val="none"/>
        </w:rPr>
      </w:pPr>
      <w:bookmarkStart w:id="649" w:name="_Toc557705784"/>
      <w:bookmarkStart w:id="650" w:name="_Toc19671"/>
      <w:bookmarkStart w:id="651" w:name="_Toc6215"/>
      <w:bookmarkStart w:id="652" w:name="_Toc1001264197"/>
      <w:bookmarkStart w:id="653" w:name="_Toc1418"/>
      <w:bookmarkStart w:id="654" w:name="_Toc26631"/>
      <w:r>
        <w:rPr>
          <w:rFonts w:hint="eastAsia" w:ascii="Times New Roman" w:hAnsi="Times New Roman" w:eastAsia="方正楷体_GBK" w:cs="方正楷体_GBK"/>
          <w:color w:val="auto"/>
          <w:sz w:val="32"/>
          <w:szCs w:val="32"/>
          <w:highlight w:val="none"/>
        </w:rPr>
        <w:t>第三节 深化区域对口协同发展</w:t>
      </w:r>
      <w:bookmarkEnd w:id="649"/>
      <w:bookmarkEnd w:id="650"/>
      <w:bookmarkEnd w:id="651"/>
      <w:bookmarkEnd w:id="652"/>
      <w:bookmarkEnd w:id="653"/>
      <w:bookmarkEnd w:id="654"/>
    </w:p>
    <w:p w14:paraId="55300E6B">
      <w:pPr>
        <w:overflowPunct w:val="0"/>
        <w:snapToGrid w:val="0"/>
        <w:spacing w:line="600" w:lineRule="exact"/>
        <w:ind w:firstLine="640" w:firstLineChars="200"/>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持续完善与黔江等结对区县常态化协调机制。聚焦产业培育、科技赋能、要素流动等重点领域创新合作事项，充分发挥两地互补优势，推动资源共享、互惠互利、协同联动，加快落地见效合作项目。拓宽产业协作领域，探索“市场+产品”“总部+基地”等合作模式，联合共建特色产业园、“飞地”园区。强化科技与人才支撑，通过共建技术创新平台、派遣科技特派员、联合开展技术攻关等方式向区县导入科技创新资源要素。建立结对区县定点收购机制，对帮扶区县的耕地占补平衡指标、碳汇指标等进行优先收购。推动公共服务资源共享，深化教育、医疗、数字治理等领域远程协作，建立劳动力供应双向互动调配机制，助力补齐结对区县基本公共服务短板。创新投融资与利益分享模式，提升对口协同发展项目资金使用效益，引导企业、社会组织等积极参与项目建设，形成一批具有辨识度和影响力的协同成果。</w:t>
      </w:r>
    </w:p>
    <w:p w14:paraId="02658FDF">
      <w:pPr>
        <w:spacing w:line="600" w:lineRule="exact"/>
        <w:ind w:firstLine="640" w:firstLineChars="200"/>
        <w:textAlignment w:val="baseline"/>
        <w:rPr>
          <w:rFonts w:ascii="Times New Roman" w:hAnsi="Times New Roman" w:eastAsia="方正仿宋_GBK" w:cs="Times New Roman"/>
          <w:color w:val="auto"/>
          <w:sz w:val="32"/>
          <w:szCs w:val="32"/>
          <w:highlight w:val="none"/>
        </w:rPr>
      </w:pPr>
    </w:p>
    <w:p w14:paraId="7C29A4BE">
      <w:pPr>
        <w:numPr>
          <w:ilvl w:val="255"/>
          <w:numId w:val="0"/>
        </w:numPr>
        <w:overflowPunct w:val="0"/>
        <w:adjustRightInd w:val="0"/>
        <w:snapToGrid w:val="0"/>
        <w:spacing w:line="600" w:lineRule="exact"/>
        <w:ind w:left="0" w:leftChars="0" w:firstLine="0" w:firstLineChars="0"/>
        <w:jc w:val="center"/>
        <w:outlineLvl w:val="1"/>
        <w:rPr>
          <w:rFonts w:hint="eastAsia" w:ascii="Times New Roman" w:hAnsi="Times New Roman" w:eastAsia="方正黑体_GBK" w:cs="方正黑体_GBK"/>
          <w:color w:val="auto"/>
          <w:sz w:val="32"/>
          <w:szCs w:val="32"/>
          <w:highlight w:val="none"/>
        </w:rPr>
      </w:pPr>
      <w:bookmarkStart w:id="655" w:name="_Toc26347"/>
      <w:bookmarkStart w:id="656" w:name="_Toc15039"/>
      <w:bookmarkStart w:id="657" w:name="_Toc12865"/>
      <w:bookmarkStart w:id="658" w:name="_Toc565501087"/>
      <w:bookmarkStart w:id="659" w:name="_Toc8088"/>
      <w:bookmarkStart w:id="660" w:name="_Toc1742476180"/>
      <w:bookmarkStart w:id="661" w:name="_Toc17205"/>
      <w:bookmarkStart w:id="662" w:name="_Toc20092"/>
      <w:bookmarkStart w:id="663" w:name="_Toc15942"/>
      <w:bookmarkStart w:id="664" w:name="_Toc24828"/>
      <w:r>
        <w:rPr>
          <w:rFonts w:hint="eastAsia" w:ascii="Times New Roman" w:hAnsi="Times New Roman" w:eastAsia="方正黑体_GBK" w:cs="方正黑体_GBK"/>
          <w:color w:val="auto"/>
          <w:sz w:val="32"/>
          <w:szCs w:val="32"/>
          <w:highlight w:val="none"/>
          <w:lang w:val="en-US" w:eastAsia="zh-CN"/>
        </w:rPr>
        <w:t xml:space="preserve">第三章 </w:t>
      </w:r>
      <w:r>
        <w:rPr>
          <w:rFonts w:hint="eastAsia" w:ascii="Times New Roman" w:hAnsi="Times New Roman" w:eastAsia="方正黑体_GBK" w:cs="方正黑体_GBK"/>
          <w:color w:val="auto"/>
          <w:sz w:val="32"/>
          <w:szCs w:val="32"/>
          <w:highlight w:val="none"/>
        </w:rPr>
        <w:t>全力建设</w:t>
      </w:r>
      <w:bookmarkEnd w:id="655"/>
      <w:bookmarkEnd w:id="656"/>
      <w:bookmarkEnd w:id="657"/>
      <w:bookmarkEnd w:id="658"/>
      <w:bookmarkEnd w:id="659"/>
      <w:bookmarkEnd w:id="660"/>
      <w:bookmarkEnd w:id="661"/>
      <w:bookmarkEnd w:id="662"/>
      <w:bookmarkEnd w:id="663"/>
      <w:bookmarkStart w:id="665" w:name="_Toc2535"/>
      <w:bookmarkStart w:id="666" w:name="_Toc11982"/>
      <w:bookmarkStart w:id="667" w:name="_Toc12109"/>
      <w:bookmarkStart w:id="668" w:name="_Toc30482"/>
      <w:bookmarkStart w:id="669" w:name="_Toc25742"/>
      <w:bookmarkStart w:id="670" w:name="_Toc30706"/>
      <w:bookmarkStart w:id="671" w:name="_Toc10851"/>
      <w:r>
        <w:rPr>
          <w:rFonts w:hint="eastAsia" w:ascii="Times New Roman" w:hAnsi="Times New Roman" w:eastAsia="方正黑体_GBK" w:cs="方正黑体_GBK"/>
          <w:color w:val="auto"/>
          <w:sz w:val="32"/>
          <w:szCs w:val="32"/>
          <w:highlight w:val="none"/>
        </w:rPr>
        <w:t>重庆市物流枢纽经济区高新区功能区</w:t>
      </w:r>
      <w:bookmarkEnd w:id="664"/>
    </w:p>
    <w:p w14:paraId="5EE037BA">
      <w:pPr>
        <w:numPr>
          <w:ilvl w:val="0"/>
          <w:numId w:val="0"/>
        </w:numPr>
        <w:overflowPunct w:val="0"/>
        <w:snapToGrid w:val="0"/>
        <w:spacing w:line="600" w:lineRule="exact"/>
        <w:ind w:leftChars="0" w:firstLine="640" w:firstLineChars="200"/>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按照全市“一区两廊”总体部署，构建“产业集群+物流枢纽+通道共建”新模式，积极争取承接重大产业项目、重大功能性平台建设</w:t>
      </w:r>
      <w:r>
        <w:rPr>
          <w:rFonts w:hint="eastAsia" w:ascii="Times New Roman" w:hAnsi="Times New Roman" w:eastAsia="方正仿宋_GBK" w:cs="Times New Roman"/>
          <w:color w:val="auto"/>
          <w:sz w:val="32"/>
          <w:szCs w:val="32"/>
          <w:highlight w:val="none"/>
          <w:lang w:eastAsia="zh-CN"/>
        </w:rPr>
        <w:t>，支撑全市建设枢纽经济高质量发展示范区。推动产业集群能级跃升，</w:t>
      </w:r>
      <w:r>
        <w:rPr>
          <w:rFonts w:hint="eastAsia" w:ascii="Times New Roman" w:hAnsi="Times New Roman" w:eastAsia="方正仿宋_GBK" w:cs="Times New Roman"/>
          <w:color w:val="auto"/>
          <w:sz w:val="32"/>
          <w:szCs w:val="32"/>
          <w:highlight w:val="none"/>
        </w:rPr>
        <w:t>依托北部组团聚焦发展特色航空装备、高端服务器、高端摩托车三大产业，拓展具身智能、低空经济、功率半导体及集成电路等“智造”产业，依托南部组团重点发展智能网联新能源汽车及核心器件、高端摩托车及通机农机装备三大产业，打造优势产业集聚区。围绕国家检验检测高技术服务业集聚区建设，依托嘉陵江实验室、超瞬态实验装置、国家智能网联汽车质检中心等载体，加快研发、中试、检验检测等科技服务业布局，搭建科学技术实验、工业设计、数字创新等平台，面向内陆地区物流领域提供整体性高技术服务。联动团结村、珞璜港、</w:t>
      </w:r>
      <w:r>
        <w:rPr>
          <w:rFonts w:hint="eastAsia" w:ascii="Times New Roman" w:hAnsi="Times New Roman" w:eastAsia="方正仿宋_GBK"/>
          <w:color w:val="auto"/>
          <w:sz w:val="32"/>
          <w:szCs w:val="32"/>
          <w:highlight w:val="none"/>
        </w:rPr>
        <w:t>黄磏港、重庆第二机场等“铁空水”枢纽，</w:t>
      </w:r>
      <w:r>
        <w:rPr>
          <w:rFonts w:hint="eastAsia" w:ascii="Times New Roman" w:hAnsi="Times New Roman" w:eastAsia="方正仿宋_GBK" w:cs="Times New Roman"/>
          <w:color w:val="auto"/>
          <w:sz w:val="32"/>
          <w:szCs w:val="32"/>
          <w:highlight w:val="none"/>
        </w:rPr>
        <w:t>加快推进西部陆海新通道北投西永东盟陆港、江北机场西永航空货站等项目建设，</w:t>
      </w:r>
      <w:r>
        <w:rPr>
          <w:rFonts w:hint="eastAsia" w:ascii="Times New Roman" w:hAnsi="Times New Roman" w:eastAsia="方正仿宋_GBK"/>
          <w:color w:val="auto"/>
          <w:sz w:val="32"/>
          <w:szCs w:val="32"/>
          <w:highlight w:val="none"/>
        </w:rPr>
        <w:t>完善多式联运、口岸及保税、智慧仓储、冷链物流、应急物流等功能，</w:t>
      </w:r>
      <w:r>
        <w:rPr>
          <w:rFonts w:hint="eastAsia" w:ascii="Times New Roman" w:hAnsi="Times New Roman" w:eastAsia="方正仿宋_GBK" w:cs="Times New Roman"/>
          <w:color w:val="auto"/>
          <w:sz w:val="32"/>
          <w:szCs w:val="32"/>
          <w:highlight w:val="none"/>
        </w:rPr>
        <w:t>积极发展融合平台经济等物流新模式，提升通道综合服务效能和物流枢纽能级。</w:t>
      </w:r>
    </w:p>
    <w:p w14:paraId="53A3C139">
      <w:pPr>
        <w:numPr>
          <w:ilvl w:val="-1"/>
          <w:numId w:val="0"/>
        </w:numPr>
        <w:overflowPunct w:val="0"/>
        <w:snapToGrid w:val="0"/>
        <w:spacing w:line="600" w:lineRule="exact"/>
        <w:ind w:firstLine="640" w:firstLineChars="200"/>
        <w:jc w:val="left"/>
        <w:rPr>
          <w:rFonts w:hint="eastAsia" w:ascii="Times New Roman" w:hAnsi="Times New Roman" w:eastAsia="方正仿宋_GBK" w:cs="Times New Roman"/>
          <w:color w:val="auto"/>
          <w:sz w:val="32"/>
          <w:szCs w:val="32"/>
          <w:highlight w:val="none"/>
        </w:rPr>
      </w:pPr>
    </w:p>
    <w:p w14:paraId="769BC324">
      <w:pPr>
        <w:numPr>
          <w:ilvl w:val="-1"/>
          <w:numId w:val="0"/>
        </w:numPr>
        <w:overflowPunct w:val="0"/>
        <w:adjustRightInd w:val="0"/>
        <w:snapToGrid w:val="0"/>
        <w:spacing w:line="600" w:lineRule="exact"/>
        <w:jc w:val="center"/>
        <w:outlineLvl w:val="1"/>
        <w:rPr>
          <w:rFonts w:ascii="Times New Roman" w:hAnsi="Times New Roman" w:eastAsia="方正黑体_GBK" w:cs="方正黑体_GBK"/>
          <w:color w:val="auto"/>
          <w:sz w:val="32"/>
          <w:szCs w:val="32"/>
          <w:highlight w:val="none"/>
        </w:rPr>
      </w:pPr>
      <w:bookmarkStart w:id="672" w:name="_Toc562663121"/>
      <w:bookmarkStart w:id="673" w:name="_Toc1761631234"/>
      <w:bookmarkStart w:id="674" w:name="_Toc24282"/>
      <w:r>
        <w:rPr>
          <w:rFonts w:hint="eastAsia" w:ascii="Times New Roman" w:hAnsi="Times New Roman" w:eastAsia="方正黑体_GBK" w:cs="方正黑体_GBK"/>
          <w:color w:val="auto"/>
          <w:sz w:val="32"/>
          <w:szCs w:val="32"/>
          <w:highlight w:val="none"/>
        </w:rPr>
        <w:t>第四章 提档建设西永综保区</w:t>
      </w:r>
      <w:bookmarkEnd w:id="665"/>
      <w:bookmarkEnd w:id="666"/>
      <w:bookmarkEnd w:id="667"/>
      <w:bookmarkEnd w:id="668"/>
      <w:bookmarkEnd w:id="669"/>
      <w:bookmarkEnd w:id="670"/>
      <w:bookmarkEnd w:id="671"/>
      <w:r>
        <w:rPr>
          <w:rFonts w:hint="eastAsia" w:ascii="Times New Roman" w:hAnsi="Times New Roman" w:eastAsia="方正黑体_GBK" w:cs="方正黑体_GBK"/>
          <w:color w:val="auto"/>
          <w:sz w:val="32"/>
          <w:szCs w:val="32"/>
          <w:highlight w:val="none"/>
        </w:rPr>
        <w:t>和自贸区西永片区</w:t>
      </w:r>
      <w:bookmarkEnd w:id="672"/>
      <w:bookmarkEnd w:id="673"/>
      <w:bookmarkEnd w:id="674"/>
    </w:p>
    <w:p w14:paraId="69E1D55C">
      <w:pPr>
        <w:overflowPunct w:val="0"/>
        <w:snapToGrid w:val="0"/>
        <w:spacing w:line="600" w:lineRule="exact"/>
        <w:ind w:firstLine="640" w:firstLineChars="200"/>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通过制度创新、功能拓展、空间优化等方式，盘活存量空间，推动西永综保区“小区域、大产出”，打造具有国际竞争力和创新力的海关特殊监管区域。到2030年，西永综保区全国排名进入前10，</w:t>
      </w:r>
      <w:r>
        <w:rPr>
          <w:rFonts w:hint="eastAsia" w:ascii="Times New Roman" w:hAnsi="Times New Roman" w:eastAsia="方正仿宋_GBK" w:cs="Times New Roman"/>
          <w:color w:val="auto"/>
          <w:sz w:val="32"/>
          <w:szCs w:val="32"/>
          <w:highlight w:val="none"/>
          <w:lang w:bidi="ar"/>
        </w:rPr>
        <w:t>外贸进出口值达3</w:t>
      </w:r>
      <w:r>
        <w:rPr>
          <w:rFonts w:hint="eastAsia" w:ascii="Times New Roman" w:hAnsi="Times New Roman" w:eastAsia="方正仿宋_GBK" w:cs="Times New Roman"/>
          <w:color w:val="auto"/>
          <w:sz w:val="32"/>
          <w:szCs w:val="32"/>
          <w:highlight w:val="none"/>
          <w:lang w:val="en-US" w:eastAsia="zh-CN" w:bidi="ar"/>
        </w:rPr>
        <w:t>5</w:t>
      </w:r>
      <w:r>
        <w:rPr>
          <w:rFonts w:hint="eastAsia" w:ascii="Times New Roman" w:hAnsi="Times New Roman" w:eastAsia="方正仿宋_GBK" w:cs="Times New Roman"/>
          <w:color w:val="auto"/>
          <w:sz w:val="32"/>
          <w:szCs w:val="32"/>
          <w:highlight w:val="none"/>
          <w:lang w:bidi="ar"/>
        </w:rPr>
        <w:t>00亿元</w:t>
      </w:r>
      <w:r>
        <w:rPr>
          <w:rFonts w:hint="eastAsia" w:ascii="Times New Roman" w:hAnsi="Times New Roman" w:eastAsia="方正仿宋_GBK" w:cs="Times New Roman"/>
          <w:color w:val="auto"/>
          <w:sz w:val="32"/>
          <w:szCs w:val="32"/>
          <w:highlight w:val="none"/>
        </w:rPr>
        <w:t>。</w:t>
      </w:r>
    </w:p>
    <w:p w14:paraId="3306C3C4">
      <w:pPr>
        <w:overflowPunct w:val="0"/>
        <w:spacing w:line="600" w:lineRule="exact"/>
        <w:jc w:val="center"/>
        <w:outlineLvl w:val="2"/>
        <w:rPr>
          <w:rFonts w:ascii="Times New Roman" w:hAnsi="Times New Roman" w:eastAsia="方正楷体_GBK" w:cs="方正楷体_GBK"/>
          <w:color w:val="auto"/>
          <w:sz w:val="32"/>
          <w:szCs w:val="32"/>
          <w:highlight w:val="none"/>
        </w:rPr>
      </w:pPr>
      <w:bookmarkStart w:id="675" w:name="_Toc379108649"/>
      <w:bookmarkStart w:id="676" w:name="_Toc1308576906"/>
      <w:bookmarkStart w:id="677" w:name="_Toc31563"/>
      <w:r>
        <w:rPr>
          <w:rFonts w:hint="eastAsia" w:ascii="Times New Roman" w:hAnsi="Times New Roman" w:eastAsia="方正楷体_GBK" w:cs="方正楷体_GBK"/>
          <w:color w:val="auto"/>
          <w:sz w:val="32"/>
          <w:szCs w:val="32"/>
          <w:highlight w:val="none"/>
        </w:rPr>
        <w:t>第一节 推动西永综保区优化调整</w:t>
      </w:r>
      <w:bookmarkEnd w:id="675"/>
      <w:bookmarkEnd w:id="676"/>
      <w:bookmarkEnd w:id="677"/>
    </w:p>
    <w:p w14:paraId="1E67CBE2">
      <w:pPr>
        <w:overflowPunct w:val="0"/>
        <w:snapToGrid w:val="0"/>
        <w:spacing w:line="600" w:lineRule="exact"/>
        <w:ind w:firstLine="640" w:firstLineChars="200"/>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推动西永综保区合理缩减围网内低效用地，</w:t>
      </w:r>
      <w:r>
        <w:rPr>
          <w:rFonts w:hint="eastAsia" w:ascii="Times New Roman" w:hAnsi="Times New Roman" w:eastAsia="方正仿宋_GBK" w:cs="Times New Roman"/>
          <w:color w:val="auto"/>
          <w:sz w:val="32"/>
          <w:szCs w:val="32"/>
          <w:highlight w:val="none"/>
          <w:lang w:val="en-US" w:eastAsia="zh-CN"/>
        </w:rPr>
        <w:t>加快</w:t>
      </w:r>
      <w:r>
        <w:rPr>
          <w:rFonts w:hint="eastAsia" w:ascii="Times New Roman" w:hAnsi="Times New Roman" w:eastAsia="方正仿宋_GBK" w:cs="Times New Roman"/>
          <w:color w:val="auto"/>
          <w:sz w:val="32"/>
          <w:szCs w:val="32"/>
          <w:highlight w:val="none"/>
        </w:rPr>
        <w:t>非核心功能向区外疏解，优先保障研发设计、检测维修、供应链管理等核心环节空间，</w:t>
      </w:r>
      <w:r>
        <w:rPr>
          <w:rFonts w:hint="eastAsia" w:ascii="Times New Roman" w:hAnsi="Times New Roman" w:eastAsia="方正仿宋_GBK" w:cs="Times New Roman"/>
          <w:spacing w:val="0"/>
          <w:sz w:val="32"/>
          <w:szCs w:val="32"/>
          <w:highlight w:val="none"/>
          <w:u w:val="none" w:color="auto"/>
          <w:lang w:val="en-US" w:eastAsia="zh-CN"/>
        </w:rPr>
        <w:t>推动主导产业用地、保税仓库、标准厂房等载体资源合理布局</w:t>
      </w:r>
      <w:r>
        <w:rPr>
          <w:rFonts w:hint="eastAsia" w:ascii="Times New Roman" w:hAnsi="Times New Roman" w:eastAsia="方正仿宋_GBK" w:cs="Times New Roman"/>
          <w:color w:val="auto"/>
          <w:sz w:val="32"/>
          <w:szCs w:val="32"/>
          <w:highlight w:val="none"/>
        </w:rPr>
        <w:t>。深化保税政策应用，围绕集成电路、新能源汽摩、新型智能终端、跨境电商等核心产业链，深化海关监管模式改革，大力发展保税检测、保税维修、保税研发、保税再制造，培育</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rPr>
        <w:t>保税+会展</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rPr>
        <w:t>保税+金融</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rPr>
        <w:t>等“保税+”新业态。发挥国家加工贸易产业园优势，推动加工贸易向品牌、研发、分拨和结算等产业价值链高端延伸，提升一般贸易出口产品的附加值，优化进口商品结构。推动笔电中间品集散分拨中心建设，引导整车进出口经营品类从单一整车向“整车+KD散件”多元化延伸，鼓励本地汽车摩托车出口零部件采用统一的集拼方式运输至东盟，促进通道、经贸、物流融合发展。</w:t>
      </w:r>
    </w:p>
    <w:p w14:paraId="1FC59431">
      <w:pPr>
        <w:overflowPunct w:val="0"/>
        <w:spacing w:line="600" w:lineRule="exact"/>
        <w:jc w:val="center"/>
        <w:outlineLvl w:val="2"/>
        <w:rPr>
          <w:rFonts w:ascii="Times New Roman" w:hAnsi="Times New Roman" w:eastAsia="方正楷体_GBK" w:cs="方正楷体_GBK"/>
          <w:color w:val="auto"/>
          <w:sz w:val="32"/>
          <w:szCs w:val="32"/>
          <w:highlight w:val="none"/>
        </w:rPr>
      </w:pPr>
      <w:bookmarkStart w:id="678" w:name="_Toc21770"/>
      <w:bookmarkStart w:id="679" w:name="_Toc872030215"/>
      <w:bookmarkStart w:id="680" w:name="_Toc95083094"/>
      <w:r>
        <w:rPr>
          <w:rFonts w:hint="eastAsia" w:ascii="Times New Roman" w:hAnsi="Times New Roman" w:eastAsia="方正楷体_GBK" w:cs="方正楷体_GBK"/>
          <w:color w:val="auto"/>
          <w:sz w:val="32"/>
          <w:szCs w:val="32"/>
          <w:highlight w:val="none"/>
        </w:rPr>
        <w:t>第二节 提升自贸区西永片区发展能级</w:t>
      </w:r>
      <w:bookmarkEnd w:id="678"/>
      <w:bookmarkEnd w:id="679"/>
      <w:bookmarkEnd w:id="680"/>
    </w:p>
    <w:p w14:paraId="7472C03D">
      <w:pPr>
        <w:overflowPunct w:val="0"/>
        <w:adjustRightInd w:val="0"/>
        <w:snapToGrid w:val="0"/>
        <w:spacing w:line="600" w:lineRule="exact"/>
        <w:ind w:firstLine="640" w:firstLineChars="200"/>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依托自贸区、综保区、枢纽港“两区一港”联动发展，通过政策叠加、制度创新，进一步加快跨境电商综服平台等公共服务平台建设。推动智慧综保区建设，</w:t>
      </w:r>
      <w:r>
        <w:rPr>
          <w:rFonts w:hint="eastAsia" w:eastAsia="方正仿宋_GBK" w:cs="Times New Roman"/>
          <w:color w:val="auto"/>
          <w:sz w:val="32"/>
          <w:szCs w:val="32"/>
          <w:highlight w:val="none"/>
        </w:rPr>
        <w:t>深化“智慧海关、智享联通”模式，建设物流信息平台，实现贸易信息比对与物流在途可视化，推进物流降本增效。</w:t>
      </w:r>
      <w:r>
        <w:rPr>
          <w:rFonts w:hint="eastAsia" w:ascii="Times New Roman" w:hAnsi="Times New Roman" w:eastAsia="方正仿宋_GBK" w:cs="Times New Roman"/>
          <w:color w:val="auto"/>
          <w:sz w:val="32"/>
          <w:szCs w:val="32"/>
          <w:highlight w:val="none"/>
        </w:rPr>
        <w:t>推动TIR国际公路运输通道建设与中欧班列、西部陆海新通道协同联动，积极拓展高附加值货源与回程货物组织，提升双向货流比例，降低空驶率。推广“渝检桂放”模式，配套物流分拨设施，做强“西永—东盟”南向跨境陆运通道。探索设立铁路口岸或与其他铁路口岸合作发展，提升区内企业通关时效，降低物流成本。积极与西永周边及远郊江海口岸深度合作绑定，探索江海联运口岸前置模式。</w:t>
      </w:r>
    </w:p>
    <w:p w14:paraId="71021E07">
      <w:pPr>
        <w:overflowPunct/>
        <w:adjustRightInd/>
        <w:snapToGrid/>
        <w:spacing w:line="240" w:lineRule="auto"/>
        <w:ind w:left="0" w:leftChars="0"/>
        <w:jc w:val="left"/>
        <w:outlineLvl w:val="9"/>
        <w:rPr>
          <w:rFonts w:hint="eastAsia" w:ascii="Times New Roman" w:hAnsi="Times New Roman" w:eastAsia="方正黑体_GBK" w:cs="方正黑体_GBK"/>
          <w:color w:val="auto"/>
          <w:sz w:val="32"/>
          <w:szCs w:val="32"/>
          <w:highlight w:val="none"/>
        </w:rPr>
      </w:pPr>
      <w:bookmarkStart w:id="681" w:name="_Toc1783416377"/>
      <w:bookmarkStart w:id="682" w:name="_Toc9996"/>
      <w:bookmarkStart w:id="683" w:name="_Toc333727490"/>
      <w:r>
        <w:rPr>
          <w:rFonts w:hint="eastAsia" w:ascii="Times New Roman" w:hAnsi="Times New Roman" w:eastAsia="方正黑体_GBK" w:cs="方正黑体_GBK"/>
          <w:color w:val="auto"/>
          <w:sz w:val="32"/>
          <w:szCs w:val="32"/>
          <w:highlight w:val="none"/>
        </w:rPr>
        <w:br w:type="page"/>
      </w:r>
    </w:p>
    <w:p w14:paraId="5B3BFB6A">
      <w:pPr>
        <w:overflowPunct w:val="0"/>
        <w:adjustRightInd w:val="0"/>
        <w:snapToGrid w:val="0"/>
        <w:spacing w:line="600" w:lineRule="exact"/>
        <w:ind w:left="0" w:leftChars="0"/>
        <w:jc w:val="center"/>
        <w:outlineLvl w:val="1"/>
        <w:rPr>
          <w:rFonts w:ascii="Times New Roman" w:hAnsi="Times New Roman" w:eastAsia="方正黑体_GBK" w:cs="方正黑体_GBK"/>
          <w:color w:val="auto"/>
          <w:sz w:val="32"/>
          <w:szCs w:val="32"/>
          <w:highlight w:val="none"/>
        </w:rPr>
      </w:pPr>
      <w:r>
        <w:rPr>
          <w:rFonts w:hint="eastAsia" w:ascii="Times New Roman" w:hAnsi="Times New Roman" w:eastAsia="方正黑体_GBK" w:cs="方正黑体_GBK"/>
          <w:color w:val="auto"/>
          <w:sz w:val="32"/>
          <w:szCs w:val="32"/>
          <w:highlight w:val="none"/>
        </w:rPr>
        <w:t>第五章 持续推动重点领域改革</w:t>
      </w:r>
      <w:bookmarkEnd w:id="681"/>
      <w:bookmarkEnd w:id="682"/>
      <w:bookmarkEnd w:id="683"/>
    </w:p>
    <w:p w14:paraId="3196BAA8">
      <w:pPr>
        <w:adjustRightInd w:val="0"/>
        <w:snapToGrid w:val="0"/>
        <w:spacing w:line="600" w:lineRule="exact"/>
        <w:ind w:firstLine="640" w:firstLineChars="200"/>
        <w:textAlignment w:val="baseline"/>
        <w:rPr>
          <w:rFonts w:hint="eastAsia" w:ascii="方正仿宋_GBK" w:hAnsi="方正仿宋_GBK" w:eastAsia="方正仿宋_GBK" w:cs="方正仿宋_GBK"/>
          <w:color w:val="auto"/>
          <w:sz w:val="32"/>
          <w:szCs w:val="32"/>
          <w:highlight w:val="none"/>
        </w:rPr>
      </w:pPr>
      <w:r>
        <w:rPr>
          <w:rFonts w:hint="eastAsia" w:ascii="Times New Roman" w:hAnsi="Times New Roman" w:eastAsia="方正仿宋_GBK" w:cs="方正仿宋_GBK"/>
          <w:color w:val="auto"/>
          <w:sz w:val="32"/>
          <w:szCs w:val="32"/>
          <w:highlight w:val="none"/>
        </w:rPr>
        <w:t>坚持以经济体制改革为重点，</w:t>
      </w:r>
      <w:r>
        <w:rPr>
          <w:rFonts w:hint="eastAsia" w:ascii="方正仿宋_GBK" w:hAnsi="方正仿宋_GBK" w:eastAsia="方正仿宋_GBK" w:cs="方正仿宋_GBK"/>
          <w:color w:val="auto"/>
          <w:sz w:val="32"/>
          <w:szCs w:val="32"/>
          <w:highlight w:val="none"/>
        </w:rPr>
        <w:t>充分发挥高新区体制机制优势，聚焦重点领域和关键环节，</w:t>
      </w:r>
      <w:r>
        <w:rPr>
          <w:rFonts w:hint="eastAsia" w:ascii="Times New Roman" w:hAnsi="Times New Roman" w:eastAsia="方正仿宋_GBK" w:cs="方正仿宋_GBK"/>
          <w:color w:val="auto"/>
          <w:sz w:val="32"/>
          <w:szCs w:val="32"/>
          <w:highlight w:val="none"/>
        </w:rPr>
        <w:t>形成更多首创性、差别化标志性成果，不断增强财政金融保障，扩大有效投资，</w:t>
      </w:r>
      <w:r>
        <w:rPr>
          <w:rFonts w:hint="eastAsia" w:ascii="Times New Roman" w:hAnsi="Times New Roman" w:eastAsia="方正仿宋_GBK" w:cs="Times New Roman"/>
          <w:bCs/>
          <w:color w:val="auto"/>
          <w:kern w:val="0"/>
          <w:sz w:val="32"/>
          <w:szCs w:val="32"/>
          <w:highlight w:val="none"/>
        </w:rPr>
        <w:t>打造</w:t>
      </w:r>
      <w:r>
        <w:rPr>
          <w:rFonts w:ascii="Times New Roman" w:hAnsi="Times New Roman" w:eastAsia="方正仿宋_GBK" w:cs="Times New Roman"/>
          <w:bCs/>
          <w:color w:val="auto"/>
          <w:kern w:val="0"/>
          <w:sz w:val="32"/>
          <w:szCs w:val="32"/>
          <w:highlight w:val="none"/>
        </w:rPr>
        <w:t>适应新</w:t>
      </w:r>
      <w:r>
        <w:rPr>
          <w:rFonts w:hint="eastAsia" w:ascii="Times New Roman" w:hAnsi="Times New Roman" w:eastAsia="方正仿宋_GBK" w:cs="Times New Roman"/>
          <w:bCs/>
          <w:color w:val="auto"/>
          <w:kern w:val="0"/>
          <w:sz w:val="32"/>
          <w:szCs w:val="32"/>
          <w:highlight w:val="none"/>
        </w:rPr>
        <w:t>阶段</w:t>
      </w:r>
      <w:r>
        <w:rPr>
          <w:rFonts w:ascii="Times New Roman" w:hAnsi="Times New Roman" w:eastAsia="方正仿宋_GBK" w:cs="Times New Roman"/>
          <w:bCs/>
          <w:color w:val="auto"/>
          <w:kern w:val="0"/>
          <w:sz w:val="32"/>
          <w:szCs w:val="32"/>
          <w:highlight w:val="none"/>
        </w:rPr>
        <w:t>要求、具有科学城特色的发展</w:t>
      </w:r>
      <w:r>
        <w:rPr>
          <w:rFonts w:hint="eastAsia" w:ascii="Times New Roman" w:hAnsi="Times New Roman" w:eastAsia="方正仿宋_GBK" w:cs="Times New Roman"/>
          <w:bCs/>
          <w:color w:val="auto"/>
          <w:kern w:val="0"/>
          <w:sz w:val="32"/>
          <w:szCs w:val="32"/>
          <w:highlight w:val="none"/>
        </w:rPr>
        <w:t>环境</w:t>
      </w:r>
      <w:r>
        <w:rPr>
          <w:rFonts w:ascii="Times New Roman" w:hAnsi="Times New Roman" w:eastAsia="方正仿宋_GBK" w:cs="Times New Roman"/>
          <w:bCs/>
          <w:color w:val="auto"/>
          <w:kern w:val="0"/>
          <w:sz w:val="32"/>
          <w:szCs w:val="32"/>
          <w:highlight w:val="none"/>
        </w:rPr>
        <w:t>。</w:t>
      </w:r>
    </w:p>
    <w:p w14:paraId="7CA93CE6">
      <w:pPr>
        <w:overflowPunct w:val="0"/>
        <w:adjustRightInd w:val="0"/>
        <w:snapToGrid w:val="0"/>
        <w:spacing w:line="600" w:lineRule="exact"/>
        <w:jc w:val="center"/>
        <w:outlineLvl w:val="2"/>
        <w:rPr>
          <w:color w:val="auto"/>
          <w:highlight w:val="none"/>
        </w:rPr>
      </w:pPr>
      <w:bookmarkStart w:id="684" w:name="_Toc1449787060"/>
      <w:bookmarkStart w:id="685" w:name="_Toc3577"/>
      <w:bookmarkStart w:id="686" w:name="_Toc1878122113"/>
      <w:r>
        <w:rPr>
          <w:rFonts w:hint="eastAsia" w:ascii="Times New Roman" w:hAnsi="Times New Roman" w:eastAsia="方正楷体_GBK" w:cs="方正楷体_GBK"/>
          <w:color w:val="auto"/>
          <w:sz w:val="32"/>
          <w:szCs w:val="32"/>
          <w:highlight w:val="none"/>
        </w:rPr>
        <w:t>第一节 构建优化协同高效的机构职能体系</w:t>
      </w:r>
      <w:bookmarkEnd w:id="684"/>
      <w:bookmarkEnd w:id="685"/>
      <w:bookmarkEnd w:id="686"/>
    </w:p>
    <w:p w14:paraId="6BE71D41">
      <w:pPr>
        <w:numPr>
          <w:ilvl w:val="255"/>
          <w:numId w:val="0"/>
        </w:numPr>
        <w:overflowPunct w:val="0"/>
        <w:adjustRightInd w:val="0"/>
        <w:snapToGrid w:val="0"/>
        <w:spacing w:line="600" w:lineRule="exact"/>
        <w:ind w:firstLine="640" w:firstLineChars="200"/>
        <w:jc w:val="both"/>
        <w:textAlignment w:val="baseline"/>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rPr>
        <w:t>围绕服务发展重大战略目标，统筹用好西永综保区管委会机构编制资源，合理摆布内设机构设置，聚焦当前最急需紧迫任务组建专门机构，通过机构重组、职能整合等方式</w:t>
      </w:r>
      <w:r>
        <w:rPr>
          <w:rFonts w:hint="eastAsia" w:ascii="方正仿宋_GBK" w:hAnsi="方正仿宋_GBK" w:eastAsia="方正仿宋_GBK" w:cs="方正仿宋_GBK"/>
          <w:color w:val="auto"/>
          <w:sz w:val="32"/>
          <w:szCs w:val="32"/>
          <w:highlight w:val="none"/>
          <w:lang w:val="en-US" w:eastAsia="zh-CN"/>
        </w:rPr>
        <w:t>厘清责任边界、理顺职责关系</w:t>
      </w:r>
      <w:r>
        <w:rPr>
          <w:rFonts w:hint="eastAsia" w:ascii="方正仿宋_GBK" w:hAnsi="方正仿宋_GBK" w:eastAsia="方正仿宋_GBK" w:cs="方正仿宋_GBK"/>
          <w:color w:val="auto"/>
          <w:sz w:val="32"/>
          <w:szCs w:val="32"/>
          <w:highlight w:val="none"/>
        </w:rPr>
        <w:t>，调整优化内部功能模块，着力构建主责主业突出、优化协同高效的机构职能体系。落实全面深化事业单位改革要求，强化基本公共服务及科研领域机构保障，通过撤并整合、综合设置等方式优化事业单位结构布局。创新内部运行管理</w:t>
      </w:r>
      <w:r>
        <w:rPr>
          <w:rFonts w:hint="eastAsia" w:ascii="方正仿宋_GBK" w:hAnsi="方正仿宋_GBK" w:eastAsia="方正仿宋_GBK" w:cs="方正仿宋_GBK"/>
          <w:color w:val="auto"/>
          <w:sz w:val="32"/>
          <w:szCs w:val="32"/>
          <w:highlight w:val="none"/>
          <w:lang w:val="en-US" w:eastAsia="zh-CN"/>
        </w:rPr>
        <w:t>方式</w:t>
      </w:r>
      <w:r>
        <w:rPr>
          <w:rFonts w:hint="eastAsia" w:ascii="方正仿宋_GBK" w:hAnsi="方正仿宋_GBK" w:eastAsia="方正仿宋_GBK" w:cs="方正仿宋_GBK"/>
          <w:color w:val="auto"/>
          <w:sz w:val="32"/>
          <w:szCs w:val="32"/>
          <w:highlight w:val="none"/>
        </w:rPr>
        <w:t>，按照“编制分类管理，人员统筹使用”的方式探索灵活用人模式，“一盘棋”统筹机关、国企、镇街干部资源，畅通人员交流渠道。</w:t>
      </w:r>
    </w:p>
    <w:p w14:paraId="756A41C5">
      <w:pPr>
        <w:numPr>
          <w:ilvl w:val="255"/>
          <w:numId w:val="0"/>
        </w:numPr>
        <w:overflowPunct w:val="0"/>
        <w:adjustRightInd w:val="0"/>
        <w:snapToGrid w:val="0"/>
        <w:spacing w:line="600" w:lineRule="exact"/>
        <w:jc w:val="center"/>
        <w:outlineLvl w:val="2"/>
        <w:rPr>
          <w:rFonts w:ascii="Times New Roman" w:hAnsi="Times New Roman" w:eastAsia="方正楷体_GBK" w:cs="方正楷体_GBK"/>
          <w:color w:val="auto"/>
          <w:sz w:val="32"/>
          <w:szCs w:val="32"/>
          <w:highlight w:val="none"/>
        </w:rPr>
      </w:pPr>
      <w:bookmarkStart w:id="687" w:name="_Toc1221658558"/>
      <w:bookmarkStart w:id="688" w:name="_Toc4678"/>
      <w:bookmarkStart w:id="689" w:name="_Toc1883709585"/>
      <w:r>
        <w:rPr>
          <w:rFonts w:hint="eastAsia" w:ascii="Times New Roman" w:hAnsi="Times New Roman" w:eastAsia="方正楷体_GBK" w:cs="方正楷体_GBK"/>
          <w:color w:val="auto"/>
          <w:sz w:val="32"/>
          <w:szCs w:val="32"/>
          <w:highlight w:val="none"/>
        </w:rPr>
        <w:t xml:space="preserve">第二节 </w:t>
      </w:r>
      <w:r>
        <w:rPr>
          <w:rFonts w:hint="eastAsia" w:ascii="方正楷体_GBK" w:hAnsi="方正楷体_GBK" w:eastAsia="方正楷体_GBK" w:cs="方正楷体_GBK"/>
          <w:color w:val="auto"/>
          <w:sz w:val="32"/>
          <w:szCs w:val="32"/>
          <w:highlight w:val="none"/>
          <w:lang w:bidi="ar"/>
        </w:rPr>
        <w:t>全面建成数字重庆体系能力</w:t>
      </w:r>
      <w:bookmarkEnd w:id="687"/>
      <w:bookmarkEnd w:id="688"/>
      <w:bookmarkEnd w:id="689"/>
    </w:p>
    <w:p w14:paraId="2951058A">
      <w:pPr>
        <w:adjustRightInd w:val="0"/>
        <w:snapToGrid w:val="0"/>
        <w:spacing w:line="600" w:lineRule="exact"/>
        <w:ind w:firstLine="640" w:firstLineChars="200"/>
        <w:textAlignment w:val="baseline"/>
        <w:rPr>
          <w:rFonts w:ascii="Times New Roman" w:hAnsi="Times New Roman" w:eastAsia="方正仿宋_GBK" w:cs="Times New Roman"/>
          <w:b/>
          <w:bCs/>
          <w:color w:val="auto"/>
          <w:kern w:val="0"/>
          <w:sz w:val="32"/>
          <w:szCs w:val="32"/>
          <w:highlight w:val="none"/>
        </w:rPr>
      </w:pPr>
      <w:r>
        <w:rPr>
          <w:rFonts w:hint="eastAsia" w:ascii="方正仿宋_GBK" w:hAnsi="方正仿宋_GBK" w:eastAsia="方正仿宋_GBK" w:cs="方正仿宋_GBK"/>
          <w:color w:val="auto"/>
          <w:sz w:val="32"/>
          <w:szCs w:val="32"/>
          <w:highlight w:val="none"/>
          <w:shd w:val="clear" w:color="auto" w:fill="FFFFFF"/>
        </w:rPr>
        <w:t>突出数智赋能与大综合一体化“双轮驱动”，坚持最快系统部署、最小投入代价、最佳实战效果、最大数据共享要求，</w:t>
      </w:r>
      <w:r>
        <w:rPr>
          <w:rFonts w:hint="eastAsia" w:ascii="方正仿宋_GBK" w:hAnsi="方正仿宋_GBK" w:eastAsia="方正仿宋_GBK" w:cs="方正仿宋_GBK"/>
          <w:i w:val="0"/>
          <w:iCs w:val="0"/>
          <w:caps w:val="0"/>
          <w:color w:val="171A1D"/>
          <w:spacing w:val="0"/>
          <w:sz w:val="32"/>
          <w:szCs w:val="32"/>
          <w:highlight w:val="none"/>
          <w:u w:val="none" w:color="auto"/>
          <w:shd w:val="clear" w:color="auto" w:fill="FFFFFF"/>
        </w:rPr>
        <w:t>聚焦科技创新、产业发展、两城融合等</w:t>
      </w:r>
      <w:r>
        <w:rPr>
          <w:rFonts w:hint="eastAsia" w:ascii="方正仿宋_GBK" w:hAnsi="方正仿宋_GBK" w:eastAsia="方正仿宋_GBK" w:cs="方正仿宋_GBK"/>
          <w:i w:val="0"/>
          <w:iCs w:val="0"/>
          <w:caps w:val="0"/>
          <w:color w:val="171A1D"/>
          <w:spacing w:val="0"/>
          <w:sz w:val="32"/>
          <w:szCs w:val="32"/>
          <w:highlight w:val="none"/>
          <w:u w:val="none" w:color="auto"/>
          <w:shd w:val="clear" w:color="auto" w:fill="FFFFFF"/>
          <w:lang w:val="en-US" w:eastAsia="zh-CN"/>
        </w:rPr>
        <w:t>特色领域</w:t>
      </w:r>
      <w:r>
        <w:rPr>
          <w:rFonts w:hint="eastAsia" w:ascii="方正仿宋_GBK" w:hAnsi="方正仿宋_GBK" w:eastAsia="方正仿宋_GBK" w:cs="方正仿宋_GBK"/>
          <w:i w:val="0"/>
          <w:iCs w:val="0"/>
          <w:caps w:val="0"/>
          <w:color w:val="171A1D"/>
          <w:spacing w:val="0"/>
          <w:sz w:val="32"/>
          <w:szCs w:val="32"/>
          <w:highlight w:val="none"/>
          <w:u w:val="none" w:color="auto"/>
          <w:shd w:val="clear" w:color="auto" w:fill="FFFFFF"/>
        </w:rPr>
        <w:t>，强化</w:t>
      </w:r>
      <w:r>
        <w:rPr>
          <w:rFonts w:hint="eastAsia" w:ascii="方正仿宋_GBK" w:hAnsi="方正仿宋_GBK" w:eastAsia="方正仿宋_GBK" w:cs="方正仿宋_GBK"/>
          <w:i w:val="0"/>
          <w:iCs w:val="0"/>
          <w:caps w:val="0"/>
          <w:color w:val="171A1D"/>
          <w:spacing w:val="0"/>
          <w:sz w:val="32"/>
          <w:szCs w:val="32"/>
          <w:highlight w:val="none"/>
          <w:u w:val="none" w:color="auto"/>
          <w:shd w:val="clear" w:color="auto" w:fill="FFFFFF"/>
          <w:lang w:eastAsia="zh-CN"/>
        </w:rPr>
        <w:t>全场景线上线下业务贯通融合和集成改革</w:t>
      </w:r>
      <w:r>
        <w:rPr>
          <w:rFonts w:hint="eastAsia" w:ascii="方正仿宋_GBK" w:hAnsi="方正仿宋_GBK" w:eastAsia="方正仿宋_GBK" w:cs="方正仿宋_GBK"/>
          <w:color w:val="auto"/>
          <w:sz w:val="32"/>
          <w:szCs w:val="32"/>
          <w:highlight w:val="none"/>
          <w:shd w:val="clear" w:color="auto" w:fill="FFFFFF"/>
        </w:rPr>
        <w:t>。建强治理中心贯通实战体系能力，</w:t>
      </w:r>
      <w:r>
        <w:rPr>
          <w:rFonts w:hint="eastAsia" w:ascii="方正仿宋_GBK" w:hAnsi="方正仿宋_GBK" w:eastAsia="方正仿宋_GBK" w:cs="方正仿宋_GBK"/>
          <w:color w:val="auto"/>
          <w:sz w:val="32"/>
          <w:szCs w:val="32"/>
          <w:highlight w:val="none"/>
        </w:rPr>
        <w:t>构建态势全面感知、趋势智能研判、处置协同高效、调度敏捷响应、平急快速转换的本质安全新体系，</w:t>
      </w:r>
      <w:r>
        <w:rPr>
          <w:rFonts w:hint="eastAsia" w:ascii="方正仿宋_GBK" w:hAnsi="方正仿宋_GBK" w:eastAsia="方正仿宋_GBK" w:cs="方正仿宋_GBK"/>
          <w:color w:val="auto"/>
          <w:sz w:val="32"/>
          <w:szCs w:val="32"/>
          <w:highlight w:val="none"/>
          <w:shd w:val="clear" w:color="auto" w:fill="FFFFFF"/>
        </w:rPr>
        <w:t>实现风险全落图、感知全接入、事件全汇聚、隐患全提示，紧急突发响应率、重大风险隐患闭环管控率、企业群众高频诉求化解</w:t>
      </w:r>
      <w:r>
        <w:rPr>
          <w:rFonts w:hint="eastAsia" w:ascii="Times New Roman" w:hAnsi="Times New Roman" w:eastAsia="方正仿宋_GBK" w:cs="Times New Roman"/>
          <w:color w:val="auto"/>
          <w:sz w:val="32"/>
          <w:szCs w:val="32"/>
          <w:highlight w:val="none"/>
          <w:shd w:val="clear" w:color="auto" w:fill="FFFFFF"/>
        </w:rPr>
        <w:t>率保持100%</w:t>
      </w:r>
      <w:r>
        <w:rPr>
          <w:rFonts w:hint="eastAsia" w:ascii="方正仿宋_GBK" w:hAnsi="方正仿宋_GBK" w:eastAsia="方正仿宋_GBK" w:cs="方正仿宋_GBK"/>
          <w:color w:val="auto"/>
          <w:sz w:val="32"/>
          <w:szCs w:val="32"/>
          <w:highlight w:val="none"/>
        </w:rPr>
        <w:t>。建强数据资源底座支撑体系能力，</w:t>
      </w:r>
      <w:r>
        <w:rPr>
          <w:rFonts w:hint="eastAsia" w:ascii="方正仿宋_GBK" w:hAnsi="方正仿宋_GBK" w:eastAsia="方正仿宋_GBK" w:cs="方正仿宋_GBK"/>
          <w:color w:val="auto"/>
          <w:sz w:val="32"/>
          <w:szCs w:val="32"/>
          <w:highlight w:val="none"/>
          <w:shd w:val="clear" w:color="auto" w:fill="FFFFFF"/>
        </w:rPr>
        <w:t>全要素、全量归集机关、国企、教育、医疗、科技、金融数据资源，建立健全数据资源统计调查制度与数据治理工作机制</w:t>
      </w:r>
      <w:r>
        <w:rPr>
          <w:rFonts w:hint="eastAsia" w:ascii="方正仿宋_GBK" w:hAnsi="方正仿宋_GBK" w:eastAsia="方正仿宋_GBK" w:cs="方正仿宋_GBK"/>
          <w:color w:val="auto"/>
          <w:sz w:val="32"/>
          <w:szCs w:val="32"/>
          <w:highlight w:val="none"/>
        </w:rPr>
        <w:t>，围绕科技创新、工业制造、商贸流通、城市治理等领域，打造一批“数据要素×”典型应用场景，</w:t>
      </w:r>
      <w:r>
        <w:rPr>
          <w:rFonts w:hint="eastAsia" w:ascii="方正仿宋_GBK" w:hAnsi="方正仿宋_GBK" w:eastAsia="方正仿宋_GBK" w:cs="方正仿宋_GBK"/>
          <w:color w:val="auto"/>
          <w:sz w:val="32"/>
          <w:szCs w:val="32"/>
          <w:highlight w:val="none"/>
          <w:shd w:val="clear" w:color="auto" w:fill="FFFFFF"/>
        </w:rPr>
        <w:t>数据、云网、组件、感知等数字资源实现高质量供给、高效率配置、高水平统筹，政企数据高效共享流通，数据要素价值得到充分释放，数据治理合格率、数据共享满足</w:t>
      </w:r>
      <w:r>
        <w:rPr>
          <w:rFonts w:hint="eastAsia" w:ascii="Times New Roman" w:hAnsi="Times New Roman" w:eastAsia="方正仿宋_GBK" w:cs="Times New Roman"/>
          <w:color w:val="auto"/>
          <w:sz w:val="32"/>
          <w:szCs w:val="32"/>
          <w:highlight w:val="none"/>
          <w:shd w:val="clear" w:color="auto" w:fill="FFFFFF"/>
        </w:rPr>
        <w:t>率达100%。</w:t>
      </w:r>
      <w:r>
        <w:rPr>
          <w:rFonts w:hint="eastAsia" w:ascii="方正仿宋_GBK" w:hAnsi="方正仿宋_GBK" w:eastAsia="方正仿宋_GBK" w:cs="方正仿宋_GBK"/>
          <w:color w:val="auto"/>
          <w:sz w:val="32"/>
          <w:szCs w:val="32"/>
          <w:highlight w:val="none"/>
        </w:rPr>
        <w:t>建强</w:t>
      </w:r>
      <w:r>
        <w:rPr>
          <w:rFonts w:hint="eastAsia" w:ascii="方正仿宋_GBK" w:hAnsi="方正仿宋_GBK" w:eastAsia="方正仿宋_GBK" w:cs="方正仿宋_GBK"/>
          <w:color w:val="auto"/>
          <w:sz w:val="32"/>
          <w:szCs w:val="32"/>
          <w:highlight w:val="none"/>
          <w:lang w:eastAsia="zh-CN"/>
        </w:rPr>
        <w:t>“</w:t>
      </w:r>
      <w:r>
        <w:rPr>
          <w:rFonts w:ascii="Times New Roman" w:hAnsi="Times New Roman" w:eastAsia="方正仿宋_GBK" w:cs="Times New Roman"/>
          <w:color w:val="auto"/>
          <w:sz w:val="32"/>
          <w:szCs w:val="32"/>
          <w:highlight w:val="none"/>
        </w:rPr>
        <w:t>AI+</w:t>
      </w:r>
      <w:r>
        <w:rPr>
          <w:rFonts w:hint="eastAsia" w:ascii="Times New Roman" w:hAnsi="Times New Roman" w:eastAsia="方正仿宋_GBK" w:cs="Times New Roman"/>
          <w:color w:val="auto"/>
          <w:sz w:val="32"/>
          <w:szCs w:val="32"/>
          <w:highlight w:val="none"/>
          <w:lang w:eastAsia="zh-CN"/>
        </w:rPr>
        <w:t>”</w:t>
      </w:r>
      <w:r>
        <w:rPr>
          <w:rFonts w:hint="eastAsia" w:ascii="方正仿宋_GBK" w:hAnsi="方正仿宋_GBK" w:eastAsia="方正仿宋_GBK" w:cs="方正仿宋_GBK"/>
          <w:color w:val="auto"/>
          <w:sz w:val="32"/>
          <w:szCs w:val="32"/>
          <w:highlight w:val="none"/>
        </w:rPr>
        <w:t>综合场景多跨协同体系能力，围绕缓堵促畅、环境污染、食品卫生、公共安全等“大城市病”，聚焦科技创新、产业发展、两城融合等主责主业，</w:t>
      </w:r>
      <w:r>
        <w:rPr>
          <w:rFonts w:hint="eastAsia" w:ascii="方正仿宋_GBK" w:hAnsi="方正仿宋_GBK" w:eastAsia="方正仿宋_GBK" w:cs="方正仿宋_GBK"/>
          <w:color w:val="auto"/>
          <w:sz w:val="32"/>
          <w:szCs w:val="32"/>
          <w:highlight w:val="none"/>
          <w:shd w:val="clear" w:color="auto" w:fill="FFFFFF"/>
        </w:rPr>
        <w:t>完善跨部门、跨行业、全流程的业务流程优化、制度重塑、管理重构路径，</w:t>
      </w:r>
      <w:r>
        <w:rPr>
          <w:rFonts w:hint="eastAsia" w:ascii="方正仿宋_GBK" w:hAnsi="方正仿宋_GBK" w:eastAsia="方正仿宋_GBK" w:cs="方正仿宋_GBK"/>
          <w:color w:val="auto"/>
          <w:sz w:val="32"/>
          <w:szCs w:val="32"/>
          <w:highlight w:val="none"/>
        </w:rPr>
        <w:t>谋划建设具有科学城辨识度的</w:t>
      </w:r>
      <w:r>
        <w:rPr>
          <w:rFonts w:hint="eastAsia" w:ascii="方正仿宋_GBK" w:hAnsi="方正仿宋_GBK" w:eastAsia="方正仿宋_GBK" w:cs="方正仿宋_GBK"/>
          <w:color w:val="auto"/>
          <w:sz w:val="32"/>
          <w:szCs w:val="32"/>
          <w:highlight w:val="none"/>
          <w:lang w:eastAsia="zh-CN"/>
        </w:rPr>
        <w:t>“</w:t>
      </w:r>
      <w:r>
        <w:rPr>
          <w:rFonts w:ascii="Times New Roman" w:hAnsi="Times New Roman" w:eastAsia="方正仿宋_GBK" w:cs="Times New Roman"/>
          <w:color w:val="auto"/>
          <w:sz w:val="32"/>
          <w:szCs w:val="32"/>
          <w:highlight w:val="none"/>
        </w:rPr>
        <w:t>AI+</w:t>
      </w:r>
      <w:r>
        <w:rPr>
          <w:rFonts w:hint="eastAsia" w:ascii="Times New Roman" w:hAnsi="Times New Roman" w:eastAsia="方正仿宋_GBK" w:cs="Times New Roman"/>
          <w:color w:val="auto"/>
          <w:sz w:val="32"/>
          <w:szCs w:val="32"/>
          <w:highlight w:val="none"/>
          <w:lang w:eastAsia="zh-CN"/>
        </w:rPr>
        <w:t>”</w:t>
      </w:r>
      <w:r>
        <w:rPr>
          <w:rFonts w:hint="eastAsia" w:ascii="方正仿宋_GBK" w:hAnsi="方正仿宋_GBK" w:eastAsia="方正仿宋_GBK" w:cs="方正仿宋_GBK"/>
          <w:color w:val="auto"/>
          <w:sz w:val="32"/>
          <w:szCs w:val="32"/>
          <w:highlight w:val="none"/>
        </w:rPr>
        <w:t>综合场景。</w:t>
      </w:r>
      <w:r>
        <w:rPr>
          <w:rFonts w:hint="default" w:ascii="Times New Roman" w:hAnsi="Times New Roman" w:eastAsia="方正仿宋_GBK" w:cs="Times New Roman"/>
          <w:b w:val="0"/>
          <w:bCs w:val="0"/>
          <w:sz w:val="32"/>
          <w:szCs w:val="32"/>
          <w:highlight w:val="none"/>
          <w:u w:val="none" w:color="auto"/>
          <w:lang w:val="en-US" w:eastAsia="zh-CN"/>
        </w:rPr>
        <w:t>到2030年，建设行业高质量数据集30个、可信数据空间5个，打造体系能力标志性成果10个以上。</w:t>
      </w:r>
    </w:p>
    <w:p w14:paraId="1D49B67A">
      <w:pPr>
        <w:numPr>
          <w:ilvl w:val="255"/>
          <w:numId w:val="0"/>
        </w:numPr>
        <w:overflowPunct w:val="0"/>
        <w:adjustRightInd w:val="0"/>
        <w:snapToGrid w:val="0"/>
        <w:spacing w:line="600" w:lineRule="exact"/>
        <w:jc w:val="center"/>
        <w:outlineLvl w:val="2"/>
        <w:rPr>
          <w:rFonts w:ascii="Times New Roman" w:hAnsi="Times New Roman" w:eastAsia="方正楷体_GBK" w:cs="方正楷体_GBK"/>
          <w:color w:val="auto"/>
          <w:sz w:val="32"/>
          <w:szCs w:val="32"/>
          <w:highlight w:val="none"/>
        </w:rPr>
      </w:pPr>
      <w:bookmarkStart w:id="690" w:name="_Toc1303071021"/>
      <w:bookmarkStart w:id="691" w:name="_Toc10829"/>
      <w:bookmarkStart w:id="692" w:name="_Toc324235339"/>
      <w:r>
        <w:rPr>
          <w:rFonts w:hint="eastAsia" w:ascii="Times New Roman" w:hAnsi="Times New Roman" w:eastAsia="方正楷体_GBK" w:cs="方正楷体_GBK"/>
          <w:color w:val="auto"/>
          <w:sz w:val="32"/>
          <w:szCs w:val="32"/>
          <w:highlight w:val="none"/>
        </w:rPr>
        <w:t>第三节 深入开展国资国企改革</w:t>
      </w:r>
      <w:bookmarkEnd w:id="690"/>
      <w:bookmarkEnd w:id="691"/>
      <w:bookmarkEnd w:id="692"/>
    </w:p>
    <w:p w14:paraId="4FACD812">
      <w:pPr>
        <w:adjustRightInd w:val="0"/>
        <w:snapToGrid w:val="0"/>
        <w:spacing w:line="600" w:lineRule="exact"/>
        <w:ind w:firstLine="640" w:firstLineChars="200"/>
        <w:textAlignment w:val="baseline"/>
        <w:rPr>
          <w:rFonts w:hint="eastAsia" w:ascii="方正仿宋_GBK" w:hAnsi="方正仿宋_GBK" w:eastAsia="方正仿宋_GBK" w:cs="方正仿宋_GBK"/>
          <w:color w:val="auto"/>
          <w:kern w:val="0"/>
          <w:sz w:val="32"/>
          <w:szCs w:val="32"/>
          <w:highlight w:val="none"/>
          <w:lang w:bidi="ar"/>
        </w:rPr>
      </w:pPr>
      <w:r>
        <w:rPr>
          <w:rFonts w:hint="eastAsia" w:ascii="方正仿宋_GBK" w:hAnsi="方正仿宋_GBK" w:eastAsia="方正仿宋_GBK" w:cs="方正仿宋_GBK"/>
          <w:color w:val="auto"/>
          <w:kern w:val="0"/>
          <w:sz w:val="32"/>
          <w:szCs w:val="32"/>
          <w:highlight w:val="none"/>
          <w:lang w:bidi="ar"/>
        </w:rPr>
        <w:t>健全“管委会</w:t>
      </w:r>
      <w:r>
        <w:rPr>
          <w:rFonts w:hint="eastAsia" w:ascii="方正仿宋_GBK" w:hAnsi="方正仿宋_GBK" w:eastAsia="方正仿宋_GBK" w:cs="方正仿宋_GBK"/>
          <w:color w:val="auto"/>
          <w:kern w:val="0"/>
          <w:sz w:val="32"/>
          <w:szCs w:val="32"/>
          <w:highlight w:val="none"/>
          <w:lang w:val="en-US" w:eastAsia="zh-CN" w:bidi="ar"/>
        </w:rPr>
        <w:t>+</w:t>
      </w:r>
      <w:r>
        <w:rPr>
          <w:rFonts w:hint="eastAsia" w:ascii="方正仿宋_GBK" w:hAnsi="方正仿宋_GBK" w:eastAsia="方正仿宋_GBK" w:cs="方正仿宋_GBK"/>
          <w:color w:val="auto"/>
          <w:kern w:val="0"/>
          <w:sz w:val="32"/>
          <w:szCs w:val="32"/>
          <w:highlight w:val="none"/>
          <w:lang w:bidi="ar"/>
        </w:rPr>
        <w:t>公司”运营模式，发</w:t>
      </w:r>
      <w:r>
        <w:rPr>
          <w:rFonts w:hint="default" w:ascii="Times New Roman" w:hAnsi="Times New Roman" w:eastAsia="方正仿宋_GBK" w:cs="Times New Roman"/>
          <w:color w:val="auto"/>
          <w:kern w:val="0"/>
          <w:sz w:val="32"/>
          <w:szCs w:val="32"/>
          <w:highlight w:val="none"/>
          <w:lang w:bidi="ar"/>
        </w:rPr>
        <w:t>挥2家市属国企和1家区属国企</w:t>
      </w:r>
      <w:r>
        <w:rPr>
          <w:rFonts w:hint="eastAsia" w:ascii="方正仿宋_GBK" w:hAnsi="Calibri" w:eastAsia="方正仿宋_GBK" w:cs="Times New Roman"/>
          <w:bCs/>
          <w:sz w:val="32"/>
          <w:szCs w:val="32"/>
          <w:highlight w:val="none"/>
          <w:u w:val="none" w:color="auto"/>
          <w:lang w:val="en-US" w:eastAsia="zh-CN"/>
        </w:rPr>
        <w:t>产城发展“主力军”作用</w:t>
      </w:r>
      <w:r>
        <w:rPr>
          <w:rFonts w:hint="eastAsia" w:ascii="方正仿宋_GBK" w:hAnsi="方正仿宋_GBK" w:eastAsia="方正仿宋_GBK" w:cs="方正仿宋_GBK"/>
          <w:color w:val="auto"/>
          <w:kern w:val="0"/>
          <w:sz w:val="32"/>
          <w:szCs w:val="32"/>
          <w:highlight w:val="none"/>
          <w:lang w:bidi="ar"/>
        </w:rPr>
        <w:t>，优化资源、人力、政策一体化统筹机制，加快市场化转型，形成</w:t>
      </w:r>
      <w:r>
        <w:rPr>
          <w:rFonts w:hint="eastAsia" w:ascii="方正仿宋_GBK" w:hAnsi="方正仿宋_GBK" w:eastAsia="方正仿宋_GBK" w:cs="方正仿宋_GBK"/>
          <w:color w:val="auto"/>
          <w:kern w:val="0"/>
          <w:sz w:val="32"/>
          <w:szCs w:val="32"/>
          <w:highlight w:val="none"/>
          <w:lang w:eastAsia="zh-CN" w:bidi="ar"/>
        </w:rPr>
        <w:t>“</w:t>
      </w:r>
      <w:r>
        <w:rPr>
          <w:rFonts w:hint="eastAsia" w:ascii="方正仿宋_GBK" w:hAnsi="方正仿宋_GBK" w:eastAsia="方正仿宋_GBK" w:cs="方正仿宋_GBK"/>
          <w:color w:val="auto"/>
          <w:kern w:val="0"/>
          <w:sz w:val="32"/>
          <w:szCs w:val="32"/>
          <w:highlight w:val="none"/>
          <w:lang w:bidi="ar"/>
        </w:rPr>
        <w:t>虎口夺食</w:t>
      </w:r>
      <w:r>
        <w:rPr>
          <w:rFonts w:hint="eastAsia" w:ascii="方正仿宋_GBK" w:hAnsi="方正仿宋_GBK" w:eastAsia="方正仿宋_GBK" w:cs="方正仿宋_GBK"/>
          <w:color w:val="auto"/>
          <w:kern w:val="0"/>
          <w:sz w:val="32"/>
          <w:szCs w:val="32"/>
          <w:highlight w:val="none"/>
          <w:lang w:eastAsia="zh-CN" w:bidi="ar"/>
        </w:rPr>
        <w:t>”</w:t>
      </w:r>
      <w:r>
        <w:rPr>
          <w:rFonts w:hint="eastAsia" w:ascii="方正仿宋_GBK" w:hAnsi="方正仿宋_GBK" w:eastAsia="方正仿宋_GBK" w:cs="方正仿宋_GBK"/>
          <w:color w:val="auto"/>
          <w:kern w:val="0"/>
          <w:sz w:val="32"/>
          <w:szCs w:val="32"/>
          <w:highlight w:val="none"/>
          <w:lang w:bidi="ar"/>
        </w:rPr>
        <w:t>、创造价值、反哺经济的核心竞争力。</w:t>
      </w:r>
      <w:r>
        <w:rPr>
          <w:rFonts w:hint="eastAsia" w:ascii="Times New Roman" w:hAnsi="Times New Roman" w:eastAsia="方正仿宋_GBK" w:cs="Times New Roman"/>
          <w:color w:val="auto"/>
          <w:sz w:val="32"/>
          <w:szCs w:val="32"/>
          <w:highlight w:val="none"/>
        </w:rPr>
        <w:t>常态化推进“止损止亏</w:t>
      </w:r>
      <w:r>
        <w:rPr>
          <w:rFonts w:hint="eastAsia" w:eastAsia="方正仿宋_GBK" w:cs="Times New Roman"/>
          <w:color w:val="auto"/>
          <w:sz w:val="32"/>
          <w:szCs w:val="32"/>
          <w:highlight w:val="none"/>
        </w:rPr>
        <w:t>”“</w:t>
      </w:r>
      <w:r>
        <w:rPr>
          <w:rFonts w:hint="eastAsia" w:ascii="Times New Roman" w:hAnsi="Times New Roman" w:eastAsia="方正仿宋_GBK" w:cs="Times New Roman"/>
          <w:color w:val="auto"/>
          <w:sz w:val="32"/>
          <w:szCs w:val="32"/>
          <w:highlight w:val="none"/>
        </w:rPr>
        <w:t>瘦身健体”，持续加强利息本金化管控，抓紧抓实国有资产盘活，严格落实“过紧日子”要求，加大投后管理力度，退出低效无效投资、新增有效投资。通过“四链”融合、“四企”联动，</w:t>
      </w:r>
      <w:r>
        <w:rPr>
          <w:rFonts w:hint="eastAsia" w:ascii="Times New Roman" w:hAnsi="Times New Roman" w:eastAsia="方正仿宋_GBK" w:cs="Times New Roman"/>
          <w:color w:val="auto"/>
          <w:sz w:val="32"/>
          <w:szCs w:val="32"/>
          <w:highlight w:val="none"/>
          <w:lang w:val="en-US" w:eastAsia="zh-CN"/>
        </w:rPr>
        <w:t>聚焦</w:t>
      </w:r>
      <w:r>
        <w:rPr>
          <w:rFonts w:hint="eastAsia" w:ascii="Times New Roman" w:hAnsi="Times New Roman" w:eastAsia="方正仿宋_GBK" w:cs="Times New Roman"/>
          <w:color w:val="auto"/>
          <w:sz w:val="32"/>
          <w:szCs w:val="32"/>
          <w:highlight w:val="none"/>
        </w:rPr>
        <w:t>集成电路、新型智能终端等重点产业发展新质生产力，</w:t>
      </w:r>
      <w:r>
        <w:rPr>
          <w:rFonts w:hint="eastAsia" w:ascii="Times New Roman" w:hAnsi="Times New Roman" w:eastAsia="方正仿宋_GBK" w:cs="Times New Roman"/>
          <w:color w:val="auto"/>
          <w:sz w:val="32"/>
          <w:szCs w:val="32"/>
          <w:highlight w:val="none"/>
          <w:lang w:val="en-US" w:eastAsia="zh-CN"/>
        </w:rPr>
        <w:t>支撑</w:t>
      </w:r>
      <w:r>
        <w:rPr>
          <w:rFonts w:hint="eastAsia" w:ascii="Times New Roman" w:hAnsi="Times New Roman" w:eastAsia="方正仿宋_GBK" w:cs="Times New Roman"/>
          <w:color w:val="auto"/>
          <w:sz w:val="32"/>
          <w:szCs w:val="32"/>
          <w:highlight w:val="none"/>
        </w:rPr>
        <w:t>科创平台、高校院所等</w:t>
      </w:r>
      <w:r>
        <w:rPr>
          <w:rFonts w:hint="eastAsia" w:ascii="Times New Roman" w:hAnsi="Times New Roman" w:eastAsia="方正仿宋_GBK" w:cs="Times New Roman"/>
          <w:color w:val="auto"/>
          <w:sz w:val="32"/>
          <w:szCs w:val="32"/>
          <w:highlight w:val="none"/>
          <w:lang w:val="en-US" w:eastAsia="zh-CN"/>
        </w:rPr>
        <w:t>强化</w:t>
      </w:r>
      <w:r>
        <w:rPr>
          <w:rFonts w:hint="eastAsia" w:ascii="Times New Roman" w:hAnsi="Times New Roman" w:eastAsia="方正仿宋_GBK" w:cs="Times New Roman"/>
          <w:color w:val="auto"/>
          <w:sz w:val="32"/>
          <w:szCs w:val="32"/>
          <w:highlight w:val="none"/>
        </w:rPr>
        <w:t>科技转化能力，围绕新基建、新能源、新场景等完善城市运营能力。健全国企差异化考核评价体系，根据企业功能定位和行业特性，差异化制定年度及任期经营业绩考核方案。健全法人治理结构，建立管理人员能上能下、员工能进能出、收入能增能减的劳动、人事、分配机制。</w:t>
      </w:r>
    </w:p>
    <w:p w14:paraId="13FF8103">
      <w:pPr>
        <w:overflowPunct w:val="0"/>
        <w:adjustRightInd w:val="0"/>
        <w:snapToGrid w:val="0"/>
        <w:spacing w:line="600" w:lineRule="exact"/>
        <w:jc w:val="center"/>
        <w:outlineLvl w:val="2"/>
        <w:rPr>
          <w:color w:val="auto"/>
          <w:highlight w:val="none"/>
        </w:rPr>
      </w:pPr>
      <w:bookmarkStart w:id="693" w:name="_Toc676417841"/>
      <w:bookmarkStart w:id="694" w:name="_Toc1257330134"/>
      <w:bookmarkStart w:id="695" w:name="_Toc17121"/>
      <w:r>
        <w:rPr>
          <w:rFonts w:hint="eastAsia" w:ascii="Times New Roman" w:hAnsi="Times New Roman" w:eastAsia="方正楷体_GBK" w:cs="方正楷体_GBK"/>
          <w:color w:val="auto"/>
          <w:sz w:val="32"/>
          <w:szCs w:val="32"/>
          <w:highlight w:val="none"/>
        </w:rPr>
        <w:t>第四节 营造一流营商环境</w:t>
      </w:r>
      <w:bookmarkEnd w:id="693"/>
      <w:bookmarkEnd w:id="694"/>
      <w:bookmarkEnd w:id="695"/>
    </w:p>
    <w:p w14:paraId="7FF5D414">
      <w:pPr>
        <w:numPr>
          <w:ilvl w:val="0"/>
          <w:numId w:val="0"/>
        </w:numPr>
        <w:overflowPunct w:val="0"/>
        <w:adjustRightInd/>
        <w:snapToGrid/>
        <w:spacing w:line="600" w:lineRule="exact"/>
        <w:ind w:firstLine="640" w:firstLineChars="200"/>
        <w:textAlignment w:val="auto"/>
        <w:rPr>
          <w:rFonts w:ascii="Times New Roman" w:hAnsi="Times New Roman" w:eastAsia="方正仿宋_GBK" w:cs="方正仿宋_GBK"/>
          <w:color w:val="auto"/>
          <w:sz w:val="32"/>
          <w:szCs w:val="32"/>
          <w:highlight w:val="none"/>
        </w:rPr>
      </w:pPr>
      <w:r>
        <w:rPr>
          <w:rFonts w:hint="eastAsia" w:ascii="Times New Roman" w:hAnsi="Times New Roman" w:eastAsia="方正仿宋_GBK" w:cs="Times New Roman"/>
          <w:bCs/>
          <w:color w:val="auto"/>
          <w:kern w:val="0"/>
          <w:sz w:val="32"/>
          <w:szCs w:val="32"/>
          <w:highlight w:val="none"/>
        </w:rPr>
        <w:t>坚持问题导向、数字赋能、改革集成，培育和激发市场活力、增强发展内生动力，打造市场化、法治化、国际化一流营商环境。</w:t>
      </w:r>
      <w:r>
        <w:rPr>
          <w:rFonts w:hint="eastAsia" w:ascii="方正仿宋_GBK" w:hAnsi="方正仿宋_GBK" w:eastAsia="方正仿宋_GBK" w:cs="方正仿宋_GBK"/>
          <w:color w:val="auto"/>
          <w:sz w:val="32"/>
          <w:szCs w:val="32"/>
          <w:highlight w:val="none"/>
        </w:rPr>
        <w:t>深化“服务企业专员制度”“</w:t>
      </w:r>
      <w:r>
        <w:rPr>
          <w:rFonts w:ascii="Times New Roman" w:hAnsi="Times New Roman" w:eastAsia="方正仿宋_GBK" w:cs="Times New Roman"/>
          <w:color w:val="auto"/>
          <w:sz w:val="32"/>
          <w:szCs w:val="32"/>
          <w:highlight w:val="none"/>
        </w:rPr>
        <w:t>AI</w:t>
      </w:r>
      <w:r>
        <w:rPr>
          <w:rFonts w:hint="eastAsia" w:ascii="Times New Roman" w:hAnsi="Times New Roman" w:eastAsia="宋体" w:cs="Times New Roman"/>
          <w:color w:val="auto"/>
          <w:sz w:val="32"/>
          <w:szCs w:val="32"/>
          <w:highlight w:val="none"/>
        </w:rPr>
        <w:t>+</w:t>
      </w:r>
      <w:r>
        <w:rPr>
          <w:rFonts w:hint="eastAsia" w:ascii="方正仿宋_GBK" w:hAnsi="方正仿宋_GBK" w:eastAsia="方正仿宋_GBK" w:cs="方正仿宋_GBK"/>
          <w:color w:val="auto"/>
          <w:sz w:val="32"/>
          <w:szCs w:val="32"/>
          <w:highlight w:val="none"/>
        </w:rPr>
        <w:t>企业码上服务”，加强服务企业专员队伍建设，及时解决融资信贷、拖欠账款、要素保障等企业急难愁盼问题，变“企业找服务”为“服务找企业”。支持民营经济高质量发展，用好重庆市打造民营经济发展高地若干措施，鼓励民营企业积极参与“两重”建设、“两新”工作，不断增强民营经济创新力、竞争力和综合实力。</w:t>
      </w:r>
      <w:r>
        <w:rPr>
          <w:rFonts w:hint="eastAsia" w:ascii="方正仿宋_GBK" w:hAnsi="方正仿宋_GBK" w:eastAsia="方正仿宋_GBK" w:cs="方正仿宋_GBK"/>
          <w:b w:val="0"/>
          <w:bCs w:val="0"/>
          <w:sz w:val="32"/>
          <w:szCs w:val="32"/>
          <w:highlight w:val="none"/>
          <w:u w:val="none" w:color="auto"/>
          <w:lang w:val="en-US" w:eastAsia="zh-CN"/>
        </w:rPr>
        <w:t>着力推进“高效办成一件事”，</w:t>
      </w:r>
      <w:r>
        <w:rPr>
          <w:rFonts w:hint="eastAsia" w:ascii="方正仿宋_GBK" w:hAnsi="方正仿宋_GBK" w:eastAsia="方正仿宋_GBK" w:cs="方正仿宋_GBK"/>
          <w:sz w:val="32"/>
          <w:szCs w:val="32"/>
          <w:highlight w:val="none"/>
          <w:u w:val="none" w:color="auto"/>
          <w:lang w:val="en-US" w:eastAsia="zh-CN"/>
        </w:rPr>
        <w:t>整合政策推送解读及免申即享、诉求反映、政务服务、融资对接、供需合作等高频服务事项，打造具有科学城高新区特色的企业服务综合平台</w:t>
      </w:r>
      <w:r>
        <w:rPr>
          <w:rFonts w:hint="default" w:ascii="Times New Roman" w:hAnsi="Times New Roman" w:eastAsia="方正仿宋_GBK" w:cs="Times New Roman"/>
          <w:sz w:val="32"/>
          <w:szCs w:val="32"/>
          <w:highlight w:val="none"/>
          <w:u w:val="none" w:color="auto"/>
          <w:lang w:val="en-US" w:eastAsia="zh-CN"/>
        </w:rPr>
        <w:t>。</w:t>
      </w:r>
      <w:r>
        <w:rPr>
          <w:rFonts w:hint="eastAsia" w:ascii="Times New Roman" w:hAnsi="Times New Roman" w:eastAsia="方正仿宋_GBK" w:cs="方正仿宋_GBK"/>
          <w:color w:val="auto"/>
          <w:sz w:val="32"/>
          <w:szCs w:val="32"/>
          <w:highlight w:val="none"/>
        </w:rPr>
        <w:t>深化包容审慎监管，健全新技术、新产业、新业态、新模式发展容错纠错机制，探索“沙盒监管”、触发式监管等新型监管方式。综合整治“内卷式”竞争，着力破除地方保护和市场分割，依法依规治理低价无序竞争。探索要素市场化配置综合改革，充分发挥重庆知识产权运营中心、科技要素中心等平台作用，推动土地、人力资源、资本、技术、数据等要素自由流动和高效配置。</w:t>
      </w:r>
    </w:p>
    <w:p w14:paraId="4C3DFA6A">
      <w:pPr>
        <w:numPr>
          <w:ilvl w:val="255"/>
          <w:numId w:val="0"/>
        </w:numPr>
        <w:overflowPunct w:val="0"/>
        <w:spacing w:line="600" w:lineRule="exact"/>
        <w:jc w:val="center"/>
        <w:outlineLvl w:val="2"/>
        <w:rPr>
          <w:rFonts w:ascii="Times New Roman" w:hAnsi="Times New Roman" w:eastAsia="方正仿宋_GBK" w:cs="Times New Roman"/>
          <w:bCs/>
          <w:color w:val="auto"/>
          <w:sz w:val="32"/>
          <w:szCs w:val="32"/>
          <w:highlight w:val="none"/>
        </w:rPr>
      </w:pPr>
      <w:bookmarkStart w:id="696" w:name="_Toc10459"/>
      <w:bookmarkStart w:id="697" w:name="_Toc708475658"/>
      <w:bookmarkStart w:id="698" w:name="_Toc1923710116"/>
      <w:r>
        <w:rPr>
          <w:rFonts w:hint="eastAsia" w:ascii="Times New Roman" w:hAnsi="Times New Roman" w:eastAsia="方正楷体_GBK" w:cs="方正楷体_GBK"/>
          <w:color w:val="auto"/>
          <w:sz w:val="32"/>
          <w:szCs w:val="32"/>
          <w:highlight w:val="none"/>
        </w:rPr>
        <w:t xml:space="preserve">第五节 </w:t>
      </w:r>
      <w:r>
        <w:rPr>
          <w:rFonts w:hint="eastAsia" w:ascii="Times New Roman" w:hAnsi="Times New Roman" w:eastAsia="方正楷体_GBK" w:cs="方正楷体_GBK"/>
          <w:color w:val="auto"/>
          <w:sz w:val="32"/>
          <w:szCs w:val="32"/>
          <w:highlight w:val="none"/>
          <w:lang w:val="en-US" w:eastAsia="zh-CN"/>
        </w:rPr>
        <w:t>强化</w:t>
      </w:r>
      <w:r>
        <w:rPr>
          <w:rFonts w:hint="eastAsia" w:ascii="Times New Roman" w:hAnsi="Times New Roman" w:eastAsia="方正楷体_GBK" w:cs="方正楷体_GBK"/>
          <w:color w:val="auto"/>
          <w:sz w:val="32"/>
          <w:szCs w:val="32"/>
          <w:highlight w:val="none"/>
        </w:rPr>
        <w:t>建设发展的财政金融保障</w:t>
      </w:r>
      <w:bookmarkEnd w:id="696"/>
      <w:bookmarkEnd w:id="697"/>
      <w:bookmarkEnd w:id="698"/>
    </w:p>
    <w:p w14:paraId="3CBF2BD3">
      <w:pPr>
        <w:spacing w:line="600" w:lineRule="exact"/>
        <w:ind w:firstLine="640" w:firstLineChars="200"/>
        <w:rPr>
          <w:rFonts w:ascii="Times New Roman" w:hAnsi="Times New Roman" w:eastAsia="方正仿宋_GBK" w:cs="Times New Roman"/>
          <w:bCs/>
          <w:color w:val="auto"/>
          <w:sz w:val="32"/>
          <w:szCs w:val="32"/>
          <w:highlight w:val="none"/>
        </w:rPr>
      </w:pPr>
      <w:r>
        <w:rPr>
          <w:rFonts w:hint="eastAsia" w:ascii="Times New Roman" w:hAnsi="Times New Roman" w:eastAsia="方正仿宋_GBK" w:cs="Times New Roman"/>
          <w:bCs/>
          <w:color w:val="auto"/>
          <w:sz w:val="32"/>
          <w:szCs w:val="32"/>
          <w:highlight w:val="none"/>
        </w:rPr>
        <w:t>深化财税体制改革</w:t>
      </w:r>
      <w:r>
        <w:rPr>
          <w:rFonts w:ascii="Times New Roman" w:hAnsi="Times New Roman" w:eastAsia="方正仿宋_GBK" w:cs="Times New Roman"/>
          <w:bCs/>
          <w:color w:val="auto"/>
          <w:sz w:val="32"/>
          <w:szCs w:val="32"/>
          <w:highlight w:val="none"/>
        </w:rPr>
        <w:t>，推动财政高质量发展。培育壮大税源根基，加快构建现代化产业体系，持续提升税收贡献度。</w:t>
      </w:r>
      <w:r>
        <w:rPr>
          <w:rFonts w:hint="eastAsia" w:ascii="Times New Roman" w:hAnsi="Times New Roman" w:eastAsia="方正仿宋_GBK" w:cs="Times New Roman"/>
          <w:bCs/>
          <w:color w:val="auto"/>
          <w:sz w:val="32"/>
          <w:szCs w:val="32"/>
          <w:highlight w:val="none"/>
        </w:rPr>
        <w:t>进一步优化镇街财税体制，增强镇街“挖潜增收”的自主性，充分调动</w:t>
      </w:r>
      <w:r>
        <w:rPr>
          <w:rFonts w:hint="eastAsia" w:ascii="Times New Roman" w:hAnsi="Times New Roman" w:eastAsia="方正仿宋_GBK" w:cs="Times New Roman"/>
          <w:bCs/>
          <w:color w:val="auto"/>
          <w:sz w:val="32"/>
          <w:szCs w:val="32"/>
          <w:highlight w:val="none"/>
          <w:lang w:val="en-US" w:eastAsia="zh-CN"/>
        </w:rPr>
        <w:t>镇街</w:t>
      </w:r>
      <w:r>
        <w:rPr>
          <w:rFonts w:hint="eastAsia" w:ascii="Times New Roman" w:hAnsi="Times New Roman" w:eastAsia="方正仿宋_GBK" w:cs="Times New Roman"/>
          <w:bCs/>
          <w:color w:val="auto"/>
          <w:sz w:val="32"/>
          <w:szCs w:val="32"/>
          <w:highlight w:val="none"/>
        </w:rPr>
        <w:t>配合区级部门、国有企业协作培育商贸、服务产业、税费共治的积极性。</w:t>
      </w:r>
      <w:r>
        <w:rPr>
          <w:rFonts w:ascii="Times New Roman" w:hAnsi="Times New Roman" w:eastAsia="方正仿宋_GBK" w:cs="Times New Roman"/>
          <w:bCs/>
          <w:color w:val="auto"/>
          <w:sz w:val="32"/>
          <w:szCs w:val="32"/>
          <w:highlight w:val="none"/>
        </w:rPr>
        <w:t>深化零基预算改革，分类完善支出标准体系，强化标准执行刚性，进一步提升预算管理质效。聚力打造数字财政，为预算管理、政策优化提供数据支撑，提升财政决策的科学性、精准性。加强绩效管理和财会监督，实现预算项目绩效评价全覆盖，将绩效管理、财会监督深度融入预算编制、执行全过程，强化绩效、监督结果应用，真正做到</w:t>
      </w:r>
      <w:r>
        <w:rPr>
          <w:rFonts w:hint="eastAsia" w:ascii="Times New Roman" w:hAnsi="Times New Roman" w:eastAsia="方正仿宋_GBK" w:cs="Times New Roman"/>
          <w:bCs/>
          <w:color w:val="auto"/>
          <w:sz w:val="32"/>
          <w:szCs w:val="32"/>
          <w:highlight w:val="none"/>
        </w:rPr>
        <w:t>“</w:t>
      </w:r>
      <w:r>
        <w:rPr>
          <w:rFonts w:ascii="Times New Roman" w:hAnsi="Times New Roman" w:eastAsia="方正仿宋_GBK" w:cs="Times New Roman"/>
          <w:bCs/>
          <w:color w:val="auto"/>
          <w:sz w:val="32"/>
          <w:szCs w:val="32"/>
          <w:highlight w:val="none"/>
        </w:rPr>
        <w:t>花钱问效、无效问责</w:t>
      </w:r>
      <w:r>
        <w:rPr>
          <w:rFonts w:hint="eastAsia" w:ascii="Times New Roman" w:hAnsi="Times New Roman" w:eastAsia="方正仿宋_GBK" w:cs="Times New Roman"/>
          <w:bCs/>
          <w:color w:val="auto"/>
          <w:sz w:val="32"/>
          <w:szCs w:val="32"/>
          <w:highlight w:val="none"/>
        </w:rPr>
        <w:t>”</w:t>
      </w:r>
      <w:r>
        <w:rPr>
          <w:rFonts w:ascii="Times New Roman" w:hAnsi="Times New Roman" w:eastAsia="方正仿宋_GBK" w:cs="Times New Roman"/>
          <w:bCs/>
          <w:color w:val="auto"/>
          <w:sz w:val="32"/>
          <w:szCs w:val="32"/>
          <w:highlight w:val="none"/>
        </w:rPr>
        <w:t>。</w:t>
      </w:r>
    </w:p>
    <w:p w14:paraId="33201969">
      <w:pPr>
        <w:numPr>
          <w:ilvl w:val="255"/>
          <w:numId w:val="0"/>
        </w:numPr>
        <w:spacing w:line="600" w:lineRule="exact"/>
        <w:ind w:firstLine="640" w:firstLineChars="200"/>
        <w:rPr>
          <w:rFonts w:ascii="Times New Roman" w:hAnsi="Times New Roman" w:eastAsia="方正仿宋_GBK" w:cs="Times New Roman"/>
          <w:bCs/>
          <w:color w:val="auto"/>
          <w:sz w:val="32"/>
          <w:szCs w:val="32"/>
          <w:highlight w:val="none"/>
        </w:rPr>
      </w:pPr>
      <w:r>
        <w:rPr>
          <w:rFonts w:hint="eastAsia" w:ascii="Times New Roman" w:hAnsi="Times New Roman" w:eastAsia="方正仿宋_GBK" w:cs="Times New Roman"/>
          <w:bCs/>
          <w:color w:val="auto"/>
          <w:sz w:val="32"/>
          <w:szCs w:val="32"/>
          <w:highlight w:val="none"/>
        </w:rPr>
        <w:t>优化财政支持方式，支持“四链”融合发展</w:t>
      </w:r>
      <w:r>
        <w:rPr>
          <w:rFonts w:ascii="Times New Roman" w:hAnsi="Times New Roman" w:eastAsia="方正仿宋_GBK" w:cs="Times New Roman"/>
          <w:bCs/>
          <w:color w:val="auto"/>
          <w:sz w:val="32"/>
          <w:szCs w:val="32"/>
          <w:highlight w:val="none"/>
        </w:rPr>
        <w:t>。</w:t>
      </w:r>
      <w:r>
        <w:rPr>
          <w:rFonts w:hint="eastAsia" w:ascii="Times New Roman" w:hAnsi="Times New Roman" w:eastAsia="方正仿宋_GBK" w:cs="方正仿宋_GBK"/>
          <w:color w:val="auto"/>
          <w:sz w:val="32"/>
          <w:szCs w:val="32"/>
          <w:u w:val="none" w:color="auto"/>
          <w:lang w:eastAsia="zh-CN"/>
        </w:rPr>
        <w:t>逐年将产业扶持资金预算</w:t>
      </w:r>
      <w:r>
        <w:rPr>
          <w:rFonts w:hint="eastAsia" w:ascii="Times New Roman" w:hAnsi="Times New Roman" w:eastAsia="方正仿宋_GBK" w:cs="方正仿宋_GBK"/>
          <w:color w:val="auto"/>
          <w:sz w:val="32"/>
          <w:szCs w:val="32"/>
          <w:u w:val="none" w:color="auto"/>
          <w:lang w:val="en-US" w:eastAsia="zh-CN"/>
        </w:rPr>
        <w:t>增量的30%以上</w:t>
      </w:r>
      <w:r>
        <w:rPr>
          <w:rFonts w:hint="eastAsia" w:ascii="Times New Roman" w:hAnsi="Times New Roman" w:eastAsia="方正仿宋_GBK" w:cs="方正仿宋_GBK"/>
          <w:color w:val="auto"/>
          <w:sz w:val="32"/>
          <w:szCs w:val="32"/>
          <w:u w:val="none" w:color="auto"/>
          <w:lang w:eastAsia="zh-CN"/>
        </w:rPr>
        <w:t>转为基金出资，</w:t>
      </w:r>
      <w:r>
        <w:rPr>
          <w:rFonts w:hint="eastAsia" w:ascii="方正仿宋_GBK" w:hAnsi="方正仿宋_GBK" w:eastAsia="方正仿宋_GBK" w:cs="方正仿宋_GBK"/>
          <w:b w:val="0"/>
          <w:bCs w:val="0"/>
          <w:sz w:val="32"/>
          <w:szCs w:val="32"/>
          <w:highlight w:val="none"/>
          <w:u w:val="none" w:color="auto"/>
          <w:lang w:val="en-US" w:eastAsia="zh-CN"/>
        </w:rPr>
        <w:t>推动科创项目“先投（研）后股”“拨投结合”改革，由直接全面补贴转向“补助基本运营+新增股权投资”模式。</w:t>
      </w:r>
      <w:r>
        <w:rPr>
          <w:rFonts w:hint="eastAsia" w:ascii="Times New Roman" w:hAnsi="Times New Roman" w:eastAsia="方正仿宋_GBK" w:cs="Times New Roman"/>
          <w:bCs/>
          <w:color w:val="auto"/>
          <w:sz w:val="32"/>
          <w:szCs w:val="32"/>
          <w:highlight w:val="none"/>
        </w:rPr>
        <w:t>深化财政金融联动，探索“财政+金融”双向互动新模式，稳步推动拨改投、以投代补等财政资金引导金融资本支持产业发展方式，依托辖区产业链核心企业探索供应链金融服务新模式，撬动更多金融资源，实现叠加倍增效应</w:t>
      </w:r>
      <w:r>
        <w:rPr>
          <w:rFonts w:ascii="Times New Roman" w:hAnsi="Times New Roman" w:eastAsia="方正仿宋_GBK" w:cs="Times New Roman"/>
          <w:bCs/>
          <w:color w:val="auto"/>
          <w:sz w:val="32"/>
          <w:szCs w:val="32"/>
          <w:highlight w:val="none"/>
        </w:rPr>
        <w:t>。</w:t>
      </w:r>
      <w:r>
        <w:rPr>
          <w:rFonts w:hint="eastAsia" w:ascii="Times New Roman" w:hAnsi="Times New Roman" w:eastAsia="方正仿宋_GBK" w:cs="Times New Roman"/>
          <w:bCs/>
          <w:color w:val="auto"/>
          <w:sz w:val="32"/>
          <w:szCs w:val="32"/>
          <w:highlight w:val="none"/>
        </w:rPr>
        <w:t>积极</w:t>
      </w:r>
      <w:r>
        <w:rPr>
          <w:rFonts w:ascii="Times New Roman" w:hAnsi="Times New Roman" w:eastAsia="方正仿宋_GBK" w:cs="Times New Roman"/>
          <w:bCs/>
          <w:color w:val="auto"/>
          <w:sz w:val="32"/>
          <w:szCs w:val="32"/>
          <w:highlight w:val="none"/>
        </w:rPr>
        <w:t>探索通过碳资产质押融资、绿色项目收益权</w:t>
      </w:r>
      <w:r>
        <w:rPr>
          <w:rFonts w:hint="eastAsia" w:ascii="Times New Roman" w:hAnsi="Times New Roman" w:eastAsia="方正仿宋_GBK" w:cs="Times New Roman"/>
          <w:bCs/>
          <w:color w:val="auto"/>
          <w:sz w:val="32"/>
          <w:szCs w:val="32"/>
          <w:highlight w:val="none"/>
          <w:lang w:val="en-US" w:eastAsia="zh-CN"/>
        </w:rPr>
        <w:t>资产证券化（</w:t>
      </w:r>
      <w:r>
        <w:rPr>
          <w:rFonts w:ascii="Times New Roman" w:hAnsi="Times New Roman" w:eastAsia="方正仿宋_GBK" w:cs="Times New Roman"/>
          <w:bCs/>
          <w:color w:val="auto"/>
          <w:sz w:val="32"/>
          <w:szCs w:val="32"/>
          <w:highlight w:val="none"/>
        </w:rPr>
        <w:t>ABS</w:t>
      </w:r>
      <w:r>
        <w:rPr>
          <w:rFonts w:hint="eastAsia" w:ascii="Times New Roman" w:hAnsi="Times New Roman" w:eastAsia="方正仿宋_GBK" w:cs="Times New Roman"/>
          <w:bCs/>
          <w:color w:val="auto"/>
          <w:sz w:val="32"/>
          <w:szCs w:val="32"/>
          <w:highlight w:val="none"/>
          <w:lang w:eastAsia="zh-CN"/>
        </w:rPr>
        <w:t>）</w:t>
      </w:r>
      <w:r>
        <w:rPr>
          <w:rFonts w:ascii="Times New Roman" w:hAnsi="Times New Roman" w:eastAsia="方正仿宋_GBK" w:cs="Times New Roman"/>
          <w:bCs/>
          <w:color w:val="auto"/>
          <w:sz w:val="32"/>
          <w:szCs w:val="32"/>
          <w:highlight w:val="none"/>
        </w:rPr>
        <w:t>等创新方式多渠道筹集资金，更好支持辖区产业发展。用活</w:t>
      </w:r>
      <w:r>
        <w:rPr>
          <w:rFonts w:hint="eastAsia" w:ascii="Times New Roman" w:hAnsi="Times New Roman" w:eastAsia="方正仿宋_GBK" w:cs="Times New Roman"/>
          <w:bCs/>
          <w:color w:val="auto"/>
          <w:sz w:val="32"/>
          <w:szCs w:val="32"/>
          <w:highlight w:val="none"/>
        </w:rPr>
        <w:t>“</w:t>
      </w:r>
      <w:r>
        <w:rPr>
          <w:rFonts w:ascii="Times New Roman" w:hAnsi="Times New Roman" w:eastAsia="方正仿宋_GBK" w:cs="Times New Roman"/>
          <w:bCs/>
          <w:color w:val="auto"/>
          <w:sz w:val="32"/>
          <w:szCs w:val="32"/>
          <w:highlight w:val="none"/>
        </w:rPr>
        <w:t>直投</w:t>
      </w:r>
      <w:r>
        <w:rPr>
          <w:rFonts w:hint="eastAsia" w:ascii="Times New Roman" w:hAnsi="Times New Roman" w:eastAsia="方正仿宋_GBK" w:cs="Times New Roman"/>
          <w:bCs/>
          <w:color w:val="auto"/>
          <w:sz w:val="32"/>
          <w:szCs w:val="32"/>
          <w:highlight w:val="none"/>
        </w:rPr>
        <w:t>+</w:t>
      </w:r>
      <w:r>
        <w:rPr>
          <w:rFonts w:ascii="Times New Roman" w:hAnsi="Times New Roman" w:eastAsia="方正仿宋_GBK" w:cs="Times New Roman"/>
          <w:bCs/>
          <w:color w:val="auto"/>
          <w:sz w:val="32"/>
          <w:szCs w:val="32"/>
          <w:highlight w:val="none"/>
        </w:rPr>
        <w:t>基金</w:t>
      </w:r>
      <w:r>
        <w:rPr>
          <w:rFonts w:hint="eastAsia" w:ascii="Times New Roman" w:hAnsi="Times New Roman" w:eastAsia="方正仿宋_GBK" w:cs="Times New Roman"/>
          <w:bCs/>
          <w:color w:val="auto"/>
          <w:sz w:val="32"/>
          <w:szCs w:val="32"/>
          <w:highlight w:val="none"/>
        </w:rPr>
        <w:t>”</w:t>
      </w:r>
      <w:r>
        <w:rPr>
          <w:rFonts w:ascii="Times New Roman" w:hAnsi="Times New Roman" w:eastAsia="方正仿宋_GBK" w:cs="Times New Roman"/>
          <w:bCs/>
          <w:color w:val="auto"/>
          <w:sz w:val="32"/>
          <w:szCs w:val="32"/>
          <w:highlight w:val="none"/>
        </w:rPr>
        <w:t>投资模式，以科学城产业发展母基金为抓手，争取国家基金、投行、央企国企等资本资源</w:t>
      </w:r>
      <w:r>
        <w:rPr>
          <w:rFonts w:hint="eastAsia" w:ascii="Times New Roman" w:hAnsi="Times New Roman" w:eastAsia="方正仿宋_GBK" w:cs="Times New Roman"/>
          <w:bCs/>
          <w:color w:val="auto"/>
          <w:sz w:val="32"/>
          <w:szCs w:val="32"/>
          <w:highlight w:val="none"/>
        </w:rPr>
        <w:t>。</w:t>
      </w:r>
    </w:p>
    <w:p w14:paraId="193F5720">
      <w:pPr>
        <w:numPr>
          <w:ilvl w:val="255"/>
          <w:numId w:val="0"/>
        </w:numPr>
        <w:spacing w:line="600" w:lineRule="exact"/>
        <w:ind w:firstLine="640" w:firstLineChars="200"/>
        <w:jc w:val="left"/>
        <w:rPr>
          <w:rFonts w:ascii="Times New Roman" w:hAnsi="Times New Roman" w:eastAsia="方正楷体_GBK" w:cs="方正楷体_GBK"/>
          <w:color w:val="auto"/>
          <w:sz w:val="32"/>
          <w:szCs w:val="32"/>
          <w:highlight w:val="none"/>
        </w:rPr>
      </w:pPr>
      <w:r>
        <w:rPr>
          <w:rFonts w:hint="eastAsia" w:ascii="方正仿宋_GBK" w:hAnsi="Times New Roman" w:eastAsia="方正仿宋_GBK" w:cs="Times New Roman"/>
          <w:bCs/>
          <w:color w:val="auto"/>
          <w:sz w:val="32"/>
          <w:szCs w:val="32"/>
          <w:highlight w:val="none"/>
        </w:rPr>
        <w:t>强化城市经营理念，提升城市资产价值。树牢市场化意识，从传统“土地财政”转向“城市财政、产业财政”，从“建设导向”转向“价值导向”，从“资源消耗”转向“资产增值”。科学统筹发展与化债</w:t>
      </w:r>
      <w:r>
        <w:rPr>
          <w:rFonts w:hint="eastAsia" w:ascii="方正仿宋_GBK" w:hAnsi="Times New Roman" w:eastAsia="方正仿宋_GBK" w:cs="Times New Roman"/>
          <w:bCs/>
          <w:color w:val="auto"/>
          <w:sz w:val="32"/>
          <w:szCs w:val="32"/>
          <w:highlight w:val="none"/>
          <w:lang w:eastAsia="zh-CN"/>
        </w:rPr>
        <w:t>，</w:t>
      </w:r>
      <w:r>
        <w:rPr>
          <w:rFonts w:hint="eastAsia" w:ascii="方正仿宋_GBK" w:hAnsi="Times New Roman" w:eastAsia="方正仿宋_GBK" w:cs="Times New Roman"/>
          <w:bCs/>
          <w:color w:val="auto"/>
          <w:sz w:val="32"/>
          <w:szCs w:val="32"/>
          <w:highlight w:val="none"/>
        </w:rPr>
        <w:t>加快改变传统负债发展模式，杜绝新增地方政府隐性债务</w:t>
      </w:r>
      <w:r>
        <w:rPr>
          <w:rFonts w:hint="eastAsia" w:ascii="方正仿宋_GBK" w:hAnsi="Times New Roman" w:eastAsia="方正仿宋_GBK" w:cs="Times New Roman"/>
          <w:bCs/>
          <w:color w:val="auto"/>
          <w:sz w:val="32"/>
          <w:szCs w:val="32"/>
          <w:highlight w:val="none"/>
          <w:lang w:eastAsia="zh-CN"/>
        </w:rPr>
        <w:t>，</w:t>
      </w:r>
      <w:r>
        <w:rPr>
          <w:rFonts w:hint="eastAsia" w:ascii="方正仿宋_GBK" w:hAnsi="Times New Roman" w:eastAsia="方正仿宋_GBK" w:cs="Times New Roman"/>
          <w:bCs/>
          <w:color w:val="auto"/>
          <w:sz w:val="32"/>
          <w:szCs w:val="32"/>
          <w:highlight w:val="none"/>
          <w:lang w:val="en-US" w:eastAsia="zh-CN"/>
        </w:rPr>
        <w:t>严禁</w:t>
      </w:r>
      <w:r>
        <w:rPr>
          <w:rFonts w:hint="eastAsia" w:ascii="方正仿宋_GBK" w:hAnsi="Times New Roman" w:eastAsia="方正仿宋_GBK" w:cs="Times New Roman"/>
          <w:bCs/>
          <w:color w:val="auto"/>
          <w:sz w:val="32"/>
          <w:szCs w:val="32"/>
          <w:highlight w:val="none"/>
        </w:rPr>
        <w:t>高息非标债务</w:t>
      </w:r>
      <w:r>
        <w:rPr>
          <w:rFonts w:hint="eastAsia" w:ascii="方正仿宋_GBK" w:hAnsi="Times New Roman" w:eastAsia="方正仿宋_GBK" w:cs="Times New Roman"/>
          <w:bCs/>
          <w:color w:val="auto"/>
          <w:sz w:val="32"/>
          <w:szCs w:val="32"/>
          <w:highlight w:val="none"/>
          <w:lang w:val="en-US" w:eastAsia="zh-CN"/>
        </w:rPr>
        <w:t>和</w:t>
      </w:r>
      <w:r>
        <w:rPr>
          <w:rFonts w:hint="eastAsia" w:ascii="方正仿宋_GBK" w:hAnsi="Times New Roman" w:eastAsia="方正仿宋_GBK" w:cs="Times New Roman"/>
          <w:bCs/>
          <w:color w:val="auto"/>
          <w:sz w:val="32"/>
          <w:szCs w:val="32"/>
          <w:highlight w:val="none"/>
        </w:rPr>
        <w:t>新增利息本金化，优化国有企业资产负债率。以国企市场化转型为契机，深度挖掘区域存量资源，综合运用</w:t>
      </w:r>
      <w:r>
        <w:rPr>
          <w:rFonts w:ascii="Times New Roman" w:hAnsi="Times New Roman" w:eastAsia="方正仿宋_GBK" w:cs="Times New Roman"/>
          <w:bCs/>
          <w:color w:val="auto"/>
          <w:sz w:val="32"/>
          <w:szCs w:val="32"/>
          <w:highlight w:val="none"/>
        </w:rPr>
        <w:t>REITS</w:t>
      </w:r>
      <w:r>
        <w:rPr>
          <w:rFonts w:hint="eastAsia" w:ascii="方正仿宋_GBK" w:hAnsi="Times New Roman" w:eastAsia="方正仿宋_GBK" w:cs="Times New Roman"/>
          <w:bCs/>
          <w:color w:val="auto"/>
          <w:sz w:val="32"/>
          <w:szCs w:val="32"/>
          <w:highlight w:val="none"/>
        </w:rPr>
        <w:t>等资产证券化方式创新盘活房屋资源，加强市、区、镇街联动，有效盘活利用存量闲置土地，结合主导产业、商贸文旅、民生需求等，通过市场化、专业化运营进一步提升城市价值，把土地、空间、生态、文化、数据等变成可经营、可持续增值的资产，吸引更多社会资本深度参与城市开发建设和运营。</w:t>
      </w:r>
    </w:p>
    <w:p w14:paraId="458ED155">
      <w:pPr>
        <w:overflowPunct/>
        <w:adjustRightInd/>
        <w:snapToGrid/>
        <w:spacing w:line="240" w:lineRule="auto"/>
        <w:jc w:val="left"/>
        <w:outlineLvl w:val="9"/>
        <w:rPr>
          <w:rFonts w:hint="eastAsia" w:ascii="Times New Roman" w:hAnsi="Times New Roman" w:eastAsia="方正黑体_GBK" w:cs="方正黑体_GBK"/>
          <w:color w:val="auto"/>
          <w:sz w:val="32"/>
          <w:szCs w:val="32"/>
          <w:highlight w:val="none"/>
        </w:rPr>
      </w:pPr>
      <w:bookmarkStart w:id="699" w:name="_Toc28828"/>
      <w:bookmarkStart w:id="700" w:name="_Toc26036"/>
      <w:bookmarkStart w:id="701" w:name="_Toc2096515202"/>
      <w:bookmarkStart w:id="702" w:name="_Toc779845877"/>
      <w:r>
        <w:rPr>
          <w:rFonts w:hint="eastAsia" w:ascii="Times New Roman" w:hAnsi="Times New Roman" w:eastAsia="方正黑体_GBK" w:cs="方正黑体_GBK"/>
          <w:color w:val="auto"/>
          <w:sz w:val="32"/>
          <w:szCs w:val="32"/>
          <w:highlight w:val="none"/>
        </w:rPr>
        <w:br w:type="page"/>
      </w:r>
    </w:p>
    <w:p w14:paraId="0C5A7E3C">
      <w:pPr>
        <w:overflowPunct w:val="0"/>
        <w:adjustRightInd w:val="0"/>
        <w:snapToGrid w:val="0"/>
        <w:spacing w:line="600" w:lineRule="exact"/>
        <w:jc w:val="center"/>
        <w:outlineLvl w:val="0"/>
        <w:rPr>
          <w:rFonts w:ascii="Times New Roman" w:hAnsi="Times New Roman" w:eastAsia="方正黑体_GBK" w:cs="方正黑体_GBK"/>
          <w:color w:val="auto"/>
          <w:sz w:val="32"/>
          <w:szCs w:val="32"/>
          <w:highlight w:val="none"/>
        </w:rPr>
      </w:pPr>
      <w:bookmarkStart w:id="703" w:name="_Toc12988"/>
      <w:r>
        <w:rPr>
          <w:rFonts w:hint="eastAsia" w:ascii="Times New Roman" w:hAnsi="Times New Roman" w:eastAsia="方正黑体_GBK" w:cs="方正黑体_GBK"/>
          <w:color w:val="auto"/>
          <w:sz w:val="32"/>
          <w:szCs w:val="32"/>
          <w:highlight w:val="none"/>
        </w:rPr>
        <w:t>第</w:t>
      </w:r>
      <w:r>
        <w:rPr>
          <w:rFonts w:hint="eastAsia" w:ascii="Times New Roman" w:hAnsi="Times New Roman" w:eastAsia="方正黑体_GBK" w:cs="方正黑体_GBK"/>
          <w:color w:val="auto"/>
          <w:sz w:val="32"/>
          <w:szCs w:val="32"/>
          <w:highlight w:val="none"/>
          <w:lang w:val="en-US" w:eastAsia="zh-CN"/>
        </w:rPr>
        <w:t>七</w:t>
      </w:r>
      <w:r>
        <w:rPr>
          <w:rFonts w:hint="eastAsia" w:ascii="Times New Roman" w:hAnsi="Times New Roman" w:eastAsia="方正黑体_GBK" w:cs="方正黑体_GBK"/>
          <w:color w:val="auto"/>
          <w:sz w:val="32"/>
          <w:szCs w:val="32"/>
          <w:highlight w:val="none"/>
        </w:rPr>
        <w:t>篇 统筹高质量发展和高水平安全</w:t>
      </w:r>
      <w:bookmarkEnd w:id="699"/>
      <w:bookmarkEnd w:id="700"/>
      <w:bookmarkEnd w:id="701"/>
      <w:bookmarkEnd w:id="702"/>
      <w:bookmarkEnd w:id="703"/>
    </w:p>
    <w:bookmarkEnd w:id="329"/>
    <w:bookmarkEnd w:id="330"/>
    <w:p w14:paraId="3534D5BF">
      <w:pPr>
        <w:overflowPunct w:val="0"/>
        <w:adjustRightInd w:val="0"/>
        <w:snapToGrid w:val="0"/>
        <w:spacing w:line="600" w:lineRule="exact"/>
        <w:ind w:firstLine="640" w:firstLineChars="200"/>
        <w:rPr>
          <w:rFonts w:ascii="Times New Roman" w:hAnsi="Times New Roman" w:eastAsia="方正仿宋_GBK" w:cs="Times New Roman"/>
          <w:color w:val="auto"/>
          <w:sz w:val="32"/>
          <w:szCs w:val="32"/>
          <w:highlight w:val="none"/>
        </w:rPr>
      </w:pPr>
    </w:p>
    <w:p w14:paraId="27BE4AB7">
      <w:pPr>
        <w:adjustRightInd w:val="0"/>
        <w:snapToGrid w:val="0"/>
        <w:spacing w:line="600" w:lineRule="exact"/>
        <w:ind w:firstLine="640" w:firstLineChars="200"/>
        <w:textAlignment w:val="baseline"/>
        <w:rPr>
          <w:rFonts w:ascii="Times New Roman" w:hAnsi="Times New Roman" w:eastAsia="方正仿宋_GBK" w:cs="Times New Roman"/>
          <w:bCs/>
          <w:color w:val="auto"/>
          <w:kern w:val="0"/>
          <w:sz w:val="32"/>
          <w:szCs w:val="32"/>
          <w:highlight w:val="none"/>
        </w:rPr>
      </w:pPr>
      <w:r>
        <w:rPr>
          <w:rFonts w:ascii="Times New Roman" w:hAnsi="Times New Roman" w:eastAsia="方正仿宋_GBK" w:cs="Times New Roman"/>
          <w:bCs/>
          <w:color w:val="auto"/>
          <w:kern w:val="0"/>
          <w:sz w:val="32"/>
          <w:szCs w:val="32"/>
          <w:highlight w:val="none"/>
        </w:rPr>
        <w:t>深入贯彻总体国家安全观，锚定重庆高新区</w:t>
      </w:r>
      <w:r>
        <w:rPr>
          <w:rFonts w:hint="eastAsia" w:ascii="Times New Roman" w:hAnsi="Times New Roman" w:eastAsia="方正仿宋_GBK" w:cs="Times New Roman"/>
          <w:bCs/>
          <w:color w:val="auto"/>
          <w:kern w:val="0"/>
          <w:sz w:val="32"/>
          <w:szCs w:val="32"/>
          <w:highlight w:val="none"/>
        </w:rPr>
        <w:t>“</w:t>
      </w:r>
      <w:r>
        <w:rPr>
          <w:rFonts w:ascii="Times New Roman" w:hAnsi="Times New Roman" w:eastAsia="方正仿宋_GBK" w:cs="Times New Roman"/>
          <w:bCs/>
          <w:color w:val="auto"/>
          <w:kern w:val="0"/>
          <w:sz w:val="32"/>
          <w:szCs w:val="32"/>
          <w:highlight w:val="none"/>
        </w:rPr>
        <w:t>科学之城、创新高地</w:t>
      </w:r>
      <w:r>
        <w:rPr>
          <w:rFonts w:hint="eastAsia" w:ascii="Times New Roman" w:hAnsi="Times New Roman" w:eastAsia="方正仿宋_GBK" w:cs="Times New Roman"/>
          <w:bCs/>
          <w:color w:val="auto"/>
          <w:kern w:val="0"/>
          <w:sz w:val="32"/>
          <w:szCs w:val="32"/>
          <w:highlight w:val="none"/>
        </w:rPr>
        <w:t>”</w:t>
      </w:r>
      <w:r>
        <w:rPr>
          <w:rFonts w:ascii="Times New Roman" w:hAnsi="Times New Roman" w:eastAsia="方正仿宋_GBK" w:cs="Times New Roman"/>
          <w:bCs/>
          <w:color w:val="auto"/>
          <w:kern w:val="0"/>
          <w:sz w:val="32"/>
          <w:szCs w:val="32"/>
          <w:highlight w:val="none"/>
        </w:rPr>
        <w:t>发展定位，深化平安</w:t>
      </w:r>
      <w:r>
        <w:rPr>
          <w:rFonts w:hint="eastAsia" w:ascii="Times New Roman" w:hAnsi="Times New Roman" w:eastAsia="方正仿宋_GBK" w:cs="Times New Roman"/>
          <w:bCs/>
          <w:color w:val="auto"/>
          <w:kern w:val="0"/>
          <w:sz w:val="32"/>
          <w:szCs w:val="32"/>
          <w:highlight w:val="none"/>
        </w:rPr>
        <w:t>高新</w:t>
      </w:r>
      <w:r>
        <w:rPr>
          <w:rFonts w:ascii="Times New Roman" w:hAnsi="Times New Roman" w:eastAsia="方正仿宋_GBK" w:cs="Times New Roman"/>
          <w:bCs/>
          <w:color w:val="auto"/>
          <w:kern w:val="0"/>
          <w:sz w:val="32"/>
          <w:szCs w:val="32"/>
          <w:highlight w:val="none"/>
        </w:rPr>
        <w:t>法治</w:t>
      </w:r>
      <w:r>
        <w:rPr>
          <w:rFonts w:hint="eastAsia" w:ascii="Times New Roman" w:hAnsi="Times New Roman" w:eastAsia="方正仿宋_GBK" w:cs="Times New Roman"/>
          <w:bCs/>
          <w:color w:val="auto"/>
          <w:kern w:val="0"/>
          <w:sz w:val="32"/>
          <w:szCs w:val="32"/>
          <w:highlight w:val="none"/>
        </w:rPr>
        <w:t>高新</w:t>
      </w:r>
      <w:r>
        <w:rPr>
          <w:rFonts w:ascii="Times New Roman" w:hAnsi="Times New Roman" w:eastAsia="方正仿宋_GBK" w:cs="Times New Roman"/>
          <w:bCs/>
          <w:color w:val="auto"/>
          <w:kern w:val="0"/>
          <w:sz w:val="32"/>
          <w:szCs w:val="32"/>
          <w:highlight w:val="none"/>
        </w:rPr>
        <w:t>一体推进机制，发挥法治规范引领保障作用，推动经济金融等重点领域风险防范化解，统筹高质量发展与高水平安全良性互动。</w:t>
      </w:r>
    </w:p>
    <w:p w14:paraId="755B6269">
      <w:pPr>
        <w:adjustRightInd w:val="0"/>
        <w:snapToGrid w:val="0"/>
        <w:spacing w:line="600" w:lineRule="exact"/>
        <w:ind w:firstLine="640" w:firstLineChars="200"/>
        <w:textAlignment w:val="baseline"/>
        <w:rPr>
          <w:rFonts w:ascii="Times New Roman" w:hAnsi="Times New Roman" w:eastAsia="方正仿宋_GBK" w:cs="Times New Roman"/>
          <w:bCs/>
          <w:color w:val="auto"/>
          <w:kern w:val="0"/>
          <w:sz w:val="32"/>
          <w:szCs w:val="32"/>
          <w:highlight w:val="none"/>
        </w:rPr>
      </w:pPr>
    </w:p>
    <w:p w14:paraId="2C453437">
      <w:pPr>
        <w:numPr>
          <w:ilvl w:val="255"/>
          <w:numId w:val="0"/>
        </w:numPr>
        <w:overflowPunct w:val="0"/>
        <w:adjustRightInd w:val="0"/>
        <w:snapToGrid w:val="0"/>
        <w:spacing w:line="600" w:lineRule="exact"/>
        <w:jc w:val="center"/>
        <w:outlineLvl w:val="1"/>
        <w:rPr>
          <w:rFonts w:ascii="Times New Roman" w:hAnsi="Times New Roman" w:eastAsia="方正黑体_GBK" w:cs="方正黑体_GBK"/>
          <w:color w:val="auto"/>
          <w:sz w:val="32"/>
          <w:szCs w:val="32"/>
          <w:highlight w:val="none"/>
        </w:rPr>
      </w:pPr>
      <w:bookmarkStart w:id="704" w:name="_Toc25214"/>
      <w:bookmarkStart w:id="705" w:name="_Toc776957098"/>
      <w:bookmarkStart w:id="706" w:name="_Toc403"/>
      <w:bookmarkStart w:id="707" w:name="_Toc31635"/>
      <w:bookmarkStart w:id="708" w:name="_Toc16606"/>
      <w:bookmarkStart w:id="709" w:name="_Toc219320038"/>
      <w:bookmarkStart w:id="710" w:name="_Toc8759"/>
      <w:bookmarkStart w:id="711" w:name="_Toc24410"/>
      <w:bookmarkStart w:id="712" w:name="_Toc26937"/>
      <w:bookmarkStart w:id="713" w:name="_Toc28390"/>
      <w:r>
        <w:rPr>
          <w:rFonts w:hint="eastAsia" w:ascii="Times New Roman" w:hAnsi="Times New Roman" w:eastAsia="方正黑体_GBK" w:cs="方正黑体_GBK"/>
          <w:color w:val="auto"/>
          <w:sz w:val="32"/>
          <w:szCs w:val="32"/>
          <w:highlight w:val="none"/>
        </w:rPr>
        <w:t>第一章 加强维护国家安全体系和能力建设</w:t>
      </w:r>
      <w:bookmarkEnd w:id="704"/>
      <w:bookmarkEnd w:id="705"/>
      <w:bookmarkEnd w:id="706"/>
      <w:bookmarkEnd w:id="707"/>
      <w:bookmarkEnd w:id="708"/>
      <w:bookmarkEnd w:id="709"/>
      <w:bookmarkEnd w:id="710"/>
      <w:bookmarkEnd w:id="711"/>
    </w:p>
    <w:p w14:paraId="1DEFE58F">
      <w:pPr>
        <w:pStyle w:val="19"/>
        <w:overflowPunct w:val="0"/>
        <w:adjustRightInd w:val="0"/>
        <w:snapToGrid w:val="0"/>
        <w:spacing w:beforeAutospacing="0" w:afterAutospacing="0" w:line="600" w:lineRule="exact"/>
        <w:ind w:firstLine="640" w:firstLineChars="200"/>
        <w:jc w:val="both"/>
        <w:rPr>
          <w:rFonts w:ascii="Times New Roman" w:hAnsi="Times New Roman" w:eastAsia="方正仿宋_GBK"/>
          <w:bCs/>
          <w:color w:val="auto"/>
          <w:sz w:val="32"/>
          <w:szCs w:val="32"/>
          <w:highlight w:val="none"/>
        </w:rPr>
      </w:pPr>
      <w:r>
        <w:rPr>
          <w:rFonts w:hint="eastAsia" w:ascii="Times New Roman" w:hAnsi="Times New Roman" w:eastAsia="方正仿宋_GBK" w:cs="方正仿宋_GBK"/>
          <w:color w:val="auto"/>
          <w:sz w:val="32"/>
          <w:szCs w:val="32"/>
          <w:highlight w:val="none"/>
        </w:rPr>
        <w:t>把捍卫政治安全摆在首位，坚定维护国家政权安全、制度安全，严密防范和严厉打击敌对势力渗透破坏、暴力恐怖、颠覆分裂活动。加强邪教问题综合治理。依法治理非法宗教活动。强化意识形态安全智控，完善意识形态“三全协同”体系。深化“清朗巴渝”专项行动，健全网络生态治理长效机制。提升捍卫国家安全实战能力，构建涉外风险全维预警体系，增强维护海外利益安全能力。开展总体国家安全观宣传教育，强化全民国家安全意识。</w:t>
      </w:r>
      <w:r>
        <w:rPr>
          <w:rFonts w:ascii="Times New Roman" w:hAnsi="Times New Roman" w:eastAsia="方正仿宋_GBK" w:cs="方正仿宋_GBK"/>
          <w:color w:val="auto"/>
          <w:sz w:val="32"/>
          <w:szCs w:val="32"/>
          <w:highlight w:val="none"/>
        </w:rPr>
        <w:t>聚焦集成电路等领域，支撑建设先进国防科技工业体系。强化物资储</w:t>
      </w:r>
      <w:r>
        <w:rPr>
          <w:rFonts w:ascii="Times New Roman" w:hAnsi="Times New Roman" w:eastAsia="方正仿宋_GBK"/>
          <w:bCs/>
          <w:color w:val="auto"/>
          <w:sz w:val="32"/>
          <w:szCs w:val="32"/>
          <w:highlight w:val="none"/>
        </w:rPr>
        <w:t>备，完善重要物资仓储物流设施。维护水利、电力、供水、油气、交通、通信、网络等重要基础设施安全。支持驻区部队建设，巩固军政军民团结。深化全民国防教育，加强民兵、专业保障队伍等国防后备力量建设，提升国防动员体系化能力。</w:t>
      </w:r>
      <w:bookmarkStart w:id="714" w:name="TitleIndex230"/>
      <w:bookmarkEnd w:id="714"/>
      <w:r>
        <w:rPr>
          <w:rFonts w:ascii="Times New Roman" w:hAnsi="Times New Roman" w:eastAsia="方正仿宋_GBK"/>
          <w:bCs/>
          <w:color w:val="auto"/>
          <w:sz w:val="32"/>
          <w:szCs w:val="32"/>
          <w:highlight w:val="none"/>
        </w:rPr>
        <w:t>全面严格落实耕地保护和粮食安全党政同责，严守耕地保护红线，夯实粮食全方位全链条保障。优化区内粮食储备布局、品类结构，探索粮食购销和储备监管新模式。实施粮油仓储能力提升工程，优化粮食产后服务中心功能布局，推进粮食产后全链条节约减损。全力支撑区域粮油供应安全。</w:t>
      </w:r>
      <w:bookmarkStart w:id="715" w:name="TitleIndex231"/>
      <w:bookmarkEnd w:id="715"/>
    </w:p>
    <w:p w14:paraId="36E786A3">
      <w:pPr>
        <w:pStyle w:val="19"/>
        <w:overflowPunct w:val="0"/>
        <w:adjustRightInd w:val="0"/>
        <w:snapToGrid w:val="0"/>
        <w:spacing w:beforeAutospacing="0" w:afterAutospacing="0" w:line="600" w:lineRule="exact"/>
        <w:ind w:firstLine="640" w:firstLineChars="200"/>
        <w:jc w:val="both"/>
        <w:rPr>
          <w:rFonts w:ascii="Times New Roman" w:hAnsi="Times New Roman" w:eastAsia="方正仿宋_GBK"/>
          <w:bCs/>
          <w:color w:val="auto"/>
          <w:sz w:val="32"/>
          <w:szCs w:val="32"/>
          <w:highlight w:val="none"/>
        </w:rPr>
      </w:pPr>
    </w:p>
    <w:p w14:paraId="77C77BCC">
      <w:pPr>
        <w:numPr>
          <w:ilvl w:val="255"/>
          <w:numId w:val="0"/>
        </w:numPr>
        <w:overflowPunct w:val="0"/>
        <w:adjustRightInd w:val="0"/>
        <w:snapToGrid w:val="0"/>
        <w:spacing w:line="600" w:lineRule="exact"/>
        <w:jc w:val="center"/>
        <w:outlineLvl w:val="1"/>
        <w:rPr>
          <w:rFonts w:ascii="Times New Roman" w:hAnsi="Times New Roman" w:eastAsia="方正黑体_GBK" w:cs="方正黑体_GBK"/>
          <w:color w:val="auto"/>
          <w:sz w:val="32"/>
          <w:szCs w:val="32"/>
          <w:highlight w:val="none"/>
        </w:rPr>
      </w:pPr>
      <w:bookmarkStart w:id="716" w:name="_Toc10236"/>
      <w:bookmarkStart w:id="717" w:name="_Toc13717"/>
      <w:bookmarkStart w:id="718" w:name="_Toc14295"/>
      <w:bookmarkStart w:id="719" w:name="_Toc7482"/>
      <w:bookmarkStart w:id="720" w:name="_Toc10435"/>
      <w:bookmarkStart w:id="721" w:name="_Toc1029940414"/>
      <w:bookmarkStart w:id="722" w:name="_Toc21276"/>
      <w:bookmarkStart w:id="723" w:name="_Toc1617372326"/>
      <w:r>
        <w:rPr>
          <w:rFonts w:hint="eastAsia" w:ascii="Times New Roman" w:hAnsi="Times New Roman" w:eastAsia="方正黑体_GBK" w:cs="方正黑体_GBK"/>
          <w:color w:val="auto"/>
          <w:sz w:val="32"/>
          <w:szCs w:val="32"/>
          <w:highlight w:val="none"/>
        </w:rPr>
        <w:t>第二章 突出抓好经济安全</w:t>
      </w:r>
      <w:bookmarkEnd w:id="712"/>
      <w:bookmarkEnd w:id="713"/>
      <w:bookmarkEnd w:id="716"/>
      <w:bookmarkEnd w:id="717"/>
      <w:bookmarkEnd w:id="718"/>
      <w:bookmarkEnd w:id="719"/>
      <w:bookmarkEnd w:id="720"/>
      <w:bookmarkEnd w:id="721"/>
      <w:bookmarkEnd w:id="722"/>
      <w:bookmarkEnd w:id="723"/>
    </w:p>
    <w:p w14:paraId="3A7720F8">
      <w:pPr>
        <w:pStyle w:val="19"/>
        <w:overflowPunct w:val="0"/>
        <w:adjustRightInd w:val="0"/>
        <w:snapToGrid w:val="0"/>
        <w:spacing w:beforeAutospacing="0" w:afterAutospacing="0" w:line="600" w:lineRule="exact"/>
        <w:ind w:firstLine="640" w:firstLineChars="200"/>
        <w:jc w:val="both"/>
        <w:rPr>
          <w:rFonts w:ascii="Times New Roman" w:hAnsi="Times New Roman" w:eastAsia="方正仿宋_GBK"/>
          <w:bCs/>
          <w:color w:val="auto"/>
          <w:sz w:val="32"/>
          <w:szCs w:val="32"/>
          <w:highlight w:val="none"/>
        </w:rPr>
      </w:pPr>
      <w:r>
        <w:rPr>
          <w:rFonts w:ascii="Times New Roman" w:hAnsi="Times New Roman" w:eastAsia="方正仿宋_GBK"/>
          <w:bCs/>
          <w:color w:val="auto"/>
          <w:sz w:val="32"/>
          <w:szCs w:val="32"/>
          <w:highlight w:val="none"/>
        </w:rPr>
        <w:t>锚定经济安全底线思维，紧扣重庆高新区</w:t>
      </w:r>
      <w:r>
        <w:rPr>
          <w:rFonts w:hint="eastAsia" w:ascii="Times New Roman" w:hAnsi="Times New Roman" w:eastAsia="方正仿宋_GBK"/>
          <w:bCs/>
          <w:color w:val="auto"/>
          <w:sz w:val="32"/>
          <w:szCs w:val="32"/>
          <w:highlight w:val="none"/>
        </w:rPr>
        <w:t>产业及科创需求</w:t>
      </w:r>
      <w:r>
        <w:rPr>
          <w:rFonts w:ascii="Times New Roman" w:hAnsi="Times New Roman" w:eastAsia="方正仿宋_GBK"/>
          <w:bCs/>
          <w:color w:val="auto"/>
          <w:sz w:val="32"/>
          <w:szCs w:val="32"/>
          <w:highlight w:val="none"/>
        </w:rPr>
        <w:t>，构建</w:t>
      </w:r>
      <w:r>
        <w:rPr>
          <w:rFonts w:hint="eastAsia" w:ascii="Times New Roman" w:hAnsi="Times New Roman" w:eastAsia="方正仿宋_GBK"/>
          <w:bCs/>
          <w:color w:val="auto"/>
          <w:sz w:val="32"/>
          <w:szCs w:val="32"/>
          <w:highlight w:val="none"/>
        </w:rPr>
        <w:t>“</w:t>
      </w:r>
      <w:r>
        <w:rPr>
          <w:rFonts w:ascii="Times New Roman" w:hAnsi="Times New Roman" w:eastAsia="方正仿宋_GBK"/>
          <w:bCs/>
          <w:color w:val="auto"/>
          <w:sz w:val="32"/>
          <w:szCs w:val="32"/>
          <w:highlight w:val="none"/>
        </w:rPr>
        <w:t>稳链、防险、保供</w:t>
      </w:r>
      <w:r>
        <w:rPr>
          <w:rFonts w:hint="eastAsia" w:ascii="Times New Roman" w:hAnsi="Times New Roman" w:eastAsia="方正仿宋_GBK"/>
          <w:bCs/>
          <w:color w:val="auto"/>
          <w:sz w:val="32"/>
          <w:szCs w:val="32"/>
          <w:highlight w:val="none"/>
        </w:rPr>
        <w:t>”</w:t>
      </w:r>
      <w:r>
        <w:rPr>
          <w:rFonts w:ascii="Times New Roman" w:hAnsi="Times New Roman" w:eastAsia="方正仿宋_GBK"/>
          <w:bCs/>
          <w:color w:val="auto"/>
          <w:sz w:val="32"/>
          <w:szCs w:val="32"/>
          <w:highlight w:val="none"/>
        </w:rPr>
        <w:t>三位一体经济安全实务体系。筑牢产业链供应链安全屏障，聚焦集成电路、生物医药等主导产业，建立</w:t>
      </w:r>
      <w:r>
        <w:rPr>
          <w:rFonts w:hint="eastAsia" w:ascii="Times New Roman" w:hAnsi="Times New Roman" w:eastAsia="方正仿宋_GBK"/>
          <w:bCs/>
          <w:color w:val="auto"/>
          <w:sz w:val="32"/>
          <w:szCs w:val="32"/>
          <w:highlight w:val="none"/>
        </w:rPr>
        <w:t>“</w:t>
      </w:r>
      <w:r>
        <w:rPr>
          <w:rFonts w:ascii="Times New Roman" w:hAnsi="Times New Roman" w:eastAsia="方正仿宋_GBK"/>
          <w:bCs/>
          <w:color w:val="auto"/>
          <w:sz w:val="32"/>
          <w:szCs w:val="32"/>
          <w:highlight w:val="none"/>
        </w:rPr>
        <w:t>链主企业+配套企业</w:t>
      </w:r>
      <w:r>
        <w:rPr>
          <w:rFonts w:hint="eastAsia" w:ascii="Times New Roman" w:hAnsi="Times New Roman" w:eastAsia="方正仿宋_GBK"/>
          <w:bCs/>
          <w:color w:val="auto"/>
          <w:sz w:val="32"/>
          <w:szCs w:val="32"/>
          <w:highlight w:val="none"/>
        </w:rPr>
        <w:t>”</w:t>
      </w:r>
      <w:r>
        <w:rPr>
          <w:rFonts w:ascii="Times New Roman" w:hAnsi="Times New Roman" w:eastAsia="方正仿宋_GBK"/>
          <w:bCs/>
          <w:color w:val="auto"/>
          <w:sz w:val="32"/>
          <w:szCs w:val="32"/>
          <w:highlight w:val="none"/>
        </w:rPr>
        <w:t>风险共防机制，细化供应链关键节点清单，强化西永微电园等重点园区产业链韧性建设。严守金融安全风险防线</w:t>
      </w:r>
      <w:r>
        <w:rPr>
          <w:rFonts w:hint="eastAsia" w:ascii="Times New Roman" w:hAnsi="Times New Roman" w:eastAsia="方正仿宋_GBK"/>
          <w:bCs/>
          <w:color w:val="auto"/>
          <w:sz w:val="32"/>
          <w:szCs w:val="32"/>
          <w:highlight w:val="none"/>
          <w:lang w:eastAsia="zh-CN"/>
        </w:rPr>
        <w:t>，</w:t>
      </w:r>
      <w:r>
        <w:rPr>
          <w:rFonts w:ascii="Times New Roman" w:hAnsi="Times New Roman" w:eastAsia="方正仿宋_GBK"/>
          <w:bCs/>
          <w:color w:val="auto"/>
          <w:sz w:val="32"/>
          <w:szCs w:val="32"/>
          <w:highlight w:val="none"/>
        </w:rPr>
        <w:t>构建房地产市场平稳健康发展长效机制，完善贯通联动金融、信用、市场监管等环节的风险治理体系。深化能源安全保障，依托智慧治理平台实现要素供应动态监测。严格高危项目源头管控，将经济安全评估纳入产业项目</w:t>
      </w:r>
      <w:r>
        <w:rPr>
          <w:rFonts w:hint="eastAsia" w:ascii="Times New Roman" w:hAnsi="Times New Roman" w:eastAsia="方正仿宋_GBK"/>
          <w:bCs/>
          <w:color w:val="auto"/>
          <w:sz w:val="32"/>
          <w:szCs w:val="32"/>
          <w:highlight w:val="none"/>
        </w:rPr>
        <w:t>准入评估</w:t>
      </w:r>
      <w:r>
        <w:rPr>
          <w:rFonts w:ascii="Times New Roman" w:hAnsi="Times New Roman" w:eastAsia="方正仿宋_GBK"/>
          <w:bCs/>
          <w:color w:val="auto"/>
          <w:sz w:val="32"/>
          <w:szCs w:val="32"/>
          <w:highlight w:val="none"/>
        </w:rPr>
        <w:t>流程。加强网络安全保卫技术手段和装备建设，严厉打击网络违法犯罪行为。强化新技术、新业态、新模式安全监管，加强人工智能、生物安全、数据安全等潜在风险监控，促进低空经济、数字经济、平台经济等健康有序发展。健全风险评估和应对机制，提升产业链供应链韧性安全水平。</w:t>
      </w:r>
    </w:p>
    <w:p w14:paraId="7E039662">
      <w:pPr>
        <w:adjustRightInd w:val="0"/>
        <w:snapToGrid w:val="0"/>
        <w:spacing w:line="600" w:lineRule="exact"/>
        <w:ind w:firstLine="640" w:firstLineChars="200"/>
        <w:textAlignment w:val="baseline"/>
        <w:rPr>
          <w:rFonts w:ascii="Times New Roman" w:hAnsi="Times New Roman" w:eastAsia="方正仿宋_GBK" w:cs="Times New Roman"/>
          <w:bCs/>
          <w:color w:val="auto"/>
          <w:kern w:val="0"/>
          <w:sz w:val="32"/>
          <w:szCs w:val="32"/>
          <w:highlight w:val="none"/>
        </w:rPr>
      </w:pPr>
    </w:p>
    <w:p w14:paraId="1FCEE129">
      <w:pPr>
        <w:numPr>
          <w:ilvl w:val="255"/>
          <w:numId w:val="0"/>
        </w:numPr>
        <w:overflowPunct w:val="0"/>
        <w:adjustRightInd w:val="0"/>
        <w:snapToGrid w:val="0"/>
        <w:spacing w:line="600" w:lineRule="exact"/>
        <w:jc w:val="center"/>
        <w:outlineLvl w:val="1"/>
        <w:rPr>
          <w:rFonts w:ascii="Times New Roman" w:hAnsi="Times New Roman" w:eastAsia="方正黑体_GBK" w:cs="方正黑体_GBK"/>
          <w:color w:val="auto"/>
          <w:sz w:val="32"/>
          <w:szCs w:val="32"/>
          <w:highlight w:val="none"/>
        </w:rPr>
      </w:pPr>
      <w:bookmarkStart w:id="724" w:name="_Toc19710"/>
      <w:bookmarkStart w:id="725" w:name="_Toc26797"/>
      <w:bookmarkStart w:id="726" w:name="_Toc32276"/>
      <w:bookmarkStart w:id="727" w:name="_Toc30556"/>
      <w:bookmarkStart w:id="728" w:name="_Toc6119"/>
      <w:bookmarkStart w:id="729" w:name="_Toc1490343278"/>
      <w:bookmarkStart w:id="730" w:name="_Toc14810"/>
      <w:bookmarkStart w:id="731" w:name="_Toc21189"/>
      <w:bookmarkStart w:id="732" w:name="_Toc328679356"/>
      <w:bookmarkStart w:id="733" w:name="_Toc29546"/>
      <w:bookmarkStart w:id="734" w:name="_Toc25794"/>
      <w:r>
        <w:rPr>
          <w:rFonts w:hint="eastAsia" w:ascii="Times New Roman" w:hAnsi="Times New Roman" w:eastAsia="方正黑体_GBK" w:cs="方正黑体_GBK"/>
          <w:color w:val="auto"/>
          <w:sz w:val="32"/>
          <w:szCs w:val="32"/>
          <w:highlight w:val="none"/>
        </w:rPr>
        <w:t>第三章 建设平安高新</w:t>
      </w:r>
      <w:bookmarkEnd w:id="724"/>
      <w:bookmarkEnd w:id="725"/>
      <w:bookmarkEnd w:id="726"/>
      <w:bookmarkEnd w:id="727"/>
      <w:bookmarkEnd w:id="728"/>
      <w:bookmarkEnd w:id="729"/>
      <w:bookmarkEnd w:id="730"/>
      <w:bookmarkEnd w:id="731"/>
      <w:bookmarkEnd w:id="732"/>
      <w:bookmarkEnd w:id="733"/>
      <w:bookmarkEnd w:id="734"/>
    </w:p>
    <w:p w14:paraId="564AFDB4">
      <w:pPr>
        <w:adjustRightInd w:val="0"/>
        <w:snapToGrid w:val="0"/>
        <w:spacing w:line="600" w:lineRule="exact"/>
        <w:ind w:firstLine="640" w:firstLineChars="200"/>
        <w:textAlignment w:val="baseline"/>
        <w:rPr>
          <w:rFonts w:ascii="Times New Roman" w:hAnsi="Times New Roman" w:eastAsia="方正仿宋_GBK" w:cs="Times New Roman"/>
          <w:bCs/>
          <w:color w:val="auto"/>
          <w:kern w:val="0"/>
          <w:sz w:val="32"/>
          <w:szCs w:val="32"/>
          <w:highlight w:val="none"/>
        </w:rPr>
      </w:pPr>
      <w:r>
        <w:rPr>
          <w:rFonts w:hint="eastAsia" w:ascii="Times New Roman" w:hAnsi="Times New Roman" w:eastAsia="方正仿宋_GBK" w:cs="Times New Roman"/>
          <w:bCs/>
          <w:color w:val="auto"/>
          <w:kern w:val="0"/>
          <w:sz w:val="32"/>
          <w:szCs w:val="32"/>
          <w:highlight w:val="none"/>
        </w:rPr>
        <w:t>坚持人民至上、生命至上，强化重点领域安全能力建设，健全高新区安全风险全量闭环智控体系，推动公共安全治理模式向事前转型，切实保障人民群众生命财产安全，确保关键领域战略资源安全可控</w:t>
      </w:r>
      <w:r>
        <w:rPr>
          <w:rFonts w:ascii="Times New Roman" w:hAnsi="Times New Roman" w:eastAsia="方正仿宋_GBK" w:cs="Times New Roman"/>
          <w:bCs/>
          <w:color w:val="auto"/>
          <w:kern w:val="0"/>
          <w:sz w:val="32"/>
          <w:szCs w:val="32"/>
          <w:highlight w:val="none"/>
        </w:rPr>
        <w:t>。</w:t>
      </w:r>
    </w:p>
    <w:p w14:paraId="160F9C56">
      <w:pPr>
        <w:numPr>
          <w:ilvl w:val="255"/>
          <w:numId w:val="0"/>
        </w:numPr>
        <w:overflowPunct w:val="0"/>
        <w:adjustRightInd w:val="0"/>
        <w:snapToGrid w:val="0"/>
        <w:spacing w:line="600" w:lineRule="exact"/>
        <w:jc w:val="center"/>
        <w:outlineLvl w:val="2"/>
        <w:rPr>
          <w:rFonts w:ascii="Times New Roman" w:hAnsi="Times New Roman" w:eastAsia="方正楷体_GBK" w:cs="方正楷体_GBK"/>
          <w:color w:val="auto"/>
          <w:sz w:val="32"/>
          <w:szCs w:val="32"/>
          <w:highlight w:val="none"/>
        </w:rPr>
      </w:pPr>
      <w:bookmarkStart w:id="735" w:name="_Toc10245"/>
      <w:bookmarkStart w:id="736" w:name="_Toc25806"/>
      <w:bookmarkStart w:id="737" w:name="_Toc16167"/>
      <w:bookmarkStart w:id="738" w:name="_Toc785996208"/>
      <w:bookmarkStart w:id="739" w:name="_Toc2097698385"/>
      <w:bookmarkStart w:id="740" w:name="_Toc3410"/>
      <w:bookmarkStart w:id="741" w:name="_Toc17043"/>
      <w:r>
        <w:rPr>
          <w:rFonts w:hint="eastAsia" w:ascii="Times New Roman" w:hAnsi="Times New Roman" w:eastAsia="方正楷体_GBK" w:cs="方正楷体_GBK"/>
          <w:color w:val="auto"/>
          <w:sz w:val="32"/>
          <w:szCs w:val="32"/>
          <w:highlight w:val="none"/>
        </w:rPr>
        <w:t>第一节 加强社会治安整体防控体系和能力建设</w:t>
      </w:r>
      <w:bookmarkEnd w:id="735"/>
      <w:bookmarkEnd w:id="736"/>
      <w:bookmarkEnd w:id="737"/>
      <w:bookmarkEnd w:id="738"/>
      <w:bookmarkEnd w:id="739"/>
      <w:bookmarkEnd w:id="740"/>
      <w:bookmarkEnd w:id="741"/>
    </w:p>
    <w:p w14:paraId="60C0BFE2">
      <w:pPr>
        <w:adjustRightInd w:val="0"/>
        <w:snapToGrid w:val="0"/>
        <w:spacing w:line="600" w:lineRule="exact"/>
        <w:ind w:firstLine="640" w:firstLineChars="200"/>
        <w:textAlignment w:val="baseline"/>
        <w:rPr>
          <w:rFonts w:ascii="Times New Roman" w:hAnsi="Times New Roman" w:eastAsia="方正仿宋_GBK" w:cs="Times New Roman"/>
          <w:bCs/>
          <w:color w:val="auto"/>
          <w:kern w:val="0"/>
          <w:sz w:val="32"/>
          <w:szCs w:val="32"/>
          <w:highlight w:val="none"/>
        </w:rPr>
      </w:pPr>
      <w:r>
        <w:rPr>
          <w:rFonts w:hint="eastAsia" w:ascii="Times New Roman" w:hAnsi="Times New Roman" w:eastAsia="方正仿宋_GBK" w:cs="Times New Roman"/>
          <w:bCs/>
          <w:color w:val="auto"/>
          <w:kern w:val="0"/>
          <w:sz w:val="32"/>
          <w:szCs w:val="32"/>
          <w:highlight w:val="none"/>
        </w:rPr>
        <w:t>推动安全治理向社会化延伸，深化宣传教育和举报奖励，筑牢群防群治防线。全面强化科技智慧赋能，打造“风险一张图”，实现对重点领域风险的智能感知与预警。推动公共安全管理模式从事后应对向事前预警、从单部门监管向跨层级协同治理的根本性转变，坚决遏制较大及以上事故，为建设更高水平的安全型</w:t>
      </w:r>
      <w:r>
        <w:rPr>
          <w:rFonts w:hint="eastAsia" w:ascii="Times New Roman" w:hAnsi="Times New Roman" w:eastAsia="方正仿宋_GBK" w:cs="Times New Roman"/>
          <w:bCs/>
          <w:color w:val="auto"/>
          <w:kern w:val="0"/>
          <w:sz w:val="32"/>
          <w:szCs w:val="32"/>
          <w:highlight w:val="none"/>
          <w:lang w:val="en-US" w:eastAsia="zh-CN"/>
        </w:rPr>
        <w:t>高新区</w:t>
      </w:r>
      <w:r>
        <w:rPr>
          <w:rFonts w:hint="eastAsia" w:ascii="Times New Roman" w:hAnsi="Times New Roman" w:eastAsia="方正仿宋_GBK" w:cs="Times New Roman"/>
          <w:bCs/>
          <w:color w:val="auto"/>
          <w:kern w:val="0"/>
          <w:sz w:val="32"/>
          <w:szCs w:val="32"/>
          <w:highlight w:val="none"/>
        </w:rPr>
        <w:t>奠定坚实基础。健全扫黑除恶常态化机制，严厉打击黑恶势力及其“保护伞”，持续整治净化重点行业领域，坚决遏制黑恶犯罪滋生。加强未成年人权益保护，强化未成年人违法犯罪预防和治理。严厉打击新型网络犯罪，迭代升级毒品治理工作体系，深入开展新一轮禁毒人民战争。建立个人极端事件防范长效机制。建立辅警经费保障动态增长机制。深化大数据智能化技术在公共安全领域的应用，打造各类高质量数据集，强化AI模型在情报收集分析、重点人员风险预警管控中的应用，提升风险防控精准性和响应速度。补齐公安基础设施短板，</w:t>
      </w:r>
      <w:r>
        <w:rPr>
          <w:rFonts w:hint="eastAsia" w:ascii="Times New Roman" w:hAnsi="Times New Roman" w:eastAsia="方正仿宋_GBK" w:cs="Times New Roman"/>
          <w:bCs/>
          <w:color w:val="auto"/>
          <w:kern w:val="0"/>
          <w:sz w:val="32"/>
          <w:szCs w:val="32"/>
          <w:highlight w:val="none"/>
          <w:lang w:val="en-US" w:eastAsia="zh-CN"/>
        </w:rPr>
        <w:t>加快建设</w:t>
      </w:r>
      <w:r>
        <w:rPr>
          <w:rFonts w:hint="eastAsia" w:ascii="Times New Roman" w:hAnsi="Times New Roman" w:eastAsia="方正仿宋_GBK" w:cs="Times New Roman"/>
          <w:bCs/>
          <w:color w:val="auto"/>
          <w:kern w:val="0"/>
          <w:sz w:val="32"/>
          <w:szCs w:val="32"/>
          <w:highlight w:val="none"/>
        </w:rPr>
        <w:t>公安业务技术用房、看守所、车管所、警务技能训练基地、警犬基地、执法办案中心等</w:t>
      </w:r>
      <w:r>
        <w:rPr>
          <w:rFonts w:hint="eastAsia" w:ascii="Times New Roman" w:hAnsi="Times New Roman" w:eastAsia="方正仿宋_GBK" w:cs="Times New Roman"/>
          <w:bCs/>
          <w:color w:val="auto"/>
          <w:kern w:val="0"/>
          <w:sz w:val="32"/>
          <w:szCs w:val="32"/>
          <w:highlight w:val="none"/>
          <w:lang w:val="en-US" w:eastAsia="zh-CN"/>
        </w:rPr>
        <w:t>重点</w:t>
      </w:r>
      <w:r>
        <w:rPr>
          <w:rFonts w:hint="eastAsia" w:ascii="Times New Roman" w:hAnsi="Times New Roman" w:eastAsia="方正仿宋_GBK" w:cs="Times New Roman"/>
          <w:bCs/>
          <w:color w:val="auto"/>
          <w:kern w:val="0"/>
          <w:sz w:val="32"/>
          <w:szCs w:val="32"/>
          <w:highlight w:val="none"/>
        </w:rPr>
        <w:t>项目，</w:t>
      </w:r>
      <w:r>
        <w:rPr>
          <w:rFonts w:hint="eastAsia" w:ascii="Times New Roman" w:hAnsi="Times New Roman" w:eastAsia="方正仿宋_GBK" w:cs="Times New Roman"/>
          <w:bCs/>
          <w:color w:val="auto"/>
          <w:kern w:val="0"/>
          <w:sz w:val="32"/>
          <w:szCs w:val="32"/>
          <w:highlight w:val="none"/>
          <w:lang w:val="en-US" w:eastAsia="zh-CN"/>
        </w:rPr>
        <w:t>强化</w:t>
      </w:r>
      <w:r>
        <w:rPr>
          <w:rFonts w:hint="eastAsia" w:ascii="Times New Roman" w:hAnsi="Times New Roman" w:eastAsia="方正仿宋_GBK" w:cs="Times New Roman"/>
          <w:bCs/>
          <w:color w:val="auto"/>
          <w:kern w:val="0"/>
          <w:sz w:val="32"/>
          <w:szCs w:val="32"/>
          <w:highlight w:val="none"/>
        </w:rPr>
        <w:t>警用装备现代化智能化建设。</w:t>
      </w:r>
    </w:p>
    <w:p w14:paraId="56387763">
      <w:pPr>
        <w:widowControl/>
        <w:overflowPunct w:val="0"/>
        <w:jc w:val="center"/>
        <w:rPr>
          <w:rFonts w:hint="eastAsia" w:ascii="Times New Roman" w:hAnsi="Times New Roman" w:eastAsia="方正黑体_GBK" w:cs="方正黑体_GBK"/>
          <w:color w:val="auto"/>
          <w:kern w:val="0"/>
          <w:sz w:val="32"/>
          <w:szCs w:val="32"/>
          <w:highlight w:val="none"/>
          <w:u w:val="none"/>
          <w:lang w:bidi="ar"/>
        </w:rPr>
      </w:pPr>
      <w:r>
        <w:rPr>
          <w:rFonts w:hint="eastAsia" w:ascii="Times New Roman" w:hAnsi="Times New Roman" w:eastAsia="方正黑体_GBK" w:cs="方正黑体_GBK"/>
          <w:color w:val="auto"/>
          <w:kern w:val="0"/>
          <w:sz w:val="32"/>
          <w:szCs w:val="32"/>
          <w:highlight w:val="none"/>
          <w:u w:val="none"/>
          <w:lang w:bidi="ar"/>
        </w:rPr>
        <w:t>专栏</w:t>
      </w:r>
      <w:r>
        <w:rPr>
          <w:rFonts w:hint="eastAsia" w:ascii="Times New Roman" w:hAnsi="Times New Roman" w:eastAsia="方正黑体_GBK" w:cs="方正黑体_GBK"/>
          <w:color w:val="auto"/>
          <w:kern w:val="0"/>
          <w:sz w:val="32"/>
          <w:szCs w:val="32"/>
          <w:highlight w:val="none"/>
          <w:u w:val="none"/>
          <w:lang w:val="en-US" w:eastAsia="zh-CN" w:bidi="ar"/>
        </w:rPr>
        <w:t>29</w:t>
      </w:r>
      <w:r>
        <w:rPr>
          <w:rFonts w:hint="eastAsia" w:ascii="Times New Roman" w:hAnsi="Times New Roman" w:eastAsia="方正黑体_GBK" w:cs="方正黑体_GBK"/>
          <w:color w:val="auto"/>
          <w:kern w:val="0"/>
          <w:sz w:val="32"/>
          <w:szCs w:val="32"/>
          <w:highlight w:val="none"/>
          <w:u w:val="none"/>
          <w:lang w:bidi="ar"/>
        </w:rPr>
        <w:t xml:space="preserve"> 社会治安基础设施重点项目</w:t>
      </w:r>
    </w:p>
    <w:tbl>
      <w:tblPr>
        <w:tblStyle w:val="22"/>
        <w:tblW w:w="9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0"/>
      </w:tblGrid>
      <w:tr w14:paraId="3859C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0" w:type="dxa"/>
          </w:tcPr>
          <w:p w14:paraId="31E6252B">
            <w:pPr>
              <w:pStyle w:val="38"/>
              <w:spacing w:line="380" w:lineRule="exact"/>
              <w:rPr>
                <w:rFonts w:hint="eastAsia" w:ascii="方正书宋_GBK" w:hAnsi="方正书宋_GBK" w:eastAsia="方正书宋_GBK" w:cs="方正书宋_GBK"/>
                <w:color w:val="auto"/>
                <w:kern w:val="0"/>
                <w:sz w:val="24"/>
                <w:szCs w:val="24"/>
                <w:highlight w:val="none"/>
              </w:rPr>
            </w:pPr>
            <w:r>
              <w:rPr>
                <w:rFonts w:hint="eastAsia" w:ascii="Times New Roman" w:hAnsi="Times New Roman" w:eastAsia="方正黑体_GBK" w:cs="方正黑体_GBK"/>
                <w:color w:val="auto"/>
                <w:kern w:val="0"/>
                <w:sz w:val="24"/>
                <w:szCs w:val="24"/>
                <w:highlight w:val="none"/>
                <w:u w:val="none"/>
                <w:lang w:val="en-US" w:eastAsia="zh-CN"/>
              </w:rPr>
              <w:t>1</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szCs w:val="24"/>
                <w:highlight w:val="none"/>
                <w:u w:val="none"/>
              </w:rPr>
              <w:t>高新区公安分局业务办公用房。</w:t>
            </w:r>
            <w:r>
              <w:rPr>
                <w:rFonts w:hint="eastAsia" w:ascii="方正书宋_GBK" w:hAnsi="方正书宋_GBK" w:eastAsia="方正书宋_GBK" w:cs="方正书宋_GBK"/>
                <w:color w:val="auto"/>
                <w:kern w:val="0"/>
                <w:sz w:val="24"/>
                <w:szCs w:val="24"/>
                <w:highlight w:val="none"/>
              </w:rPr>
              <w:t>规划总建筑面积76320平方米，地上建筑面积47700平方米，地下28620平方米，建设用地40亩，建设与分局发展相匹配的业务技术用房及业务警种办公用房。</w:t>
            </w:r>
          </w:p>
          <w:p w14:paraId="2FFF374B">
            <w:pPr>
              <w:pStyle w:val="38"/>
              <w:spacing w:line="380" w:lineRule="exact"/>
              <w:rPr>
                <w:rFonts w:hint="eastAsia" w:ascii="方正书宋_GBK" w:hAnsi="方正书宋_GBK" w:eastAsia="方正书宋_GBK" w:cs="方正书宋_GBK"/>
                <w:color w:val="auto"/>
                <w:kern w:val="0"/>
                <w:sz w:val="24"/>
                <w:szCs w:val="24"/>
                <w:highlight w:val="none"/>
              </w:rPr>
            </w:pPr>
            <w:r>
              <w:rPr>
                <w:rFonts w:hint="eastAsia" w:ascii="Times New Roman" w:hAnsi="Times New Roman" w:eastAsia="方正黑体_GBK" w:cs="方正黑体_GBK"/>
                <w:color w:val="auto"/>
                <w:kern w:val="0"/>
                <w:sz w:val="24"/>
                <w:szCs w:val="24"/>
                <w:highlight w:val="none"/>
                <w:u w:val="none"/>
                <w:lang w:val="en-US" w:eastAsia="zh-CN"/>
              </w:rPr>
              <w:t>2</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szCs w:val="24"/>
                <w:highlight w:val="none"/>
                <w:u w:val="none"/>
              </w:rPr>
              <w:t>高新区看守所（含住所武警中队）、执法办案中心、警务技能训练基地、警犬基地合建项目</w:t>
            </w:r>
            <w:r>
              <w:rPr>
                <w:rFonts w:hint="eastAsia" w:eastAsia="方正黑体_GBK" w:cs="方正黑体_GBK"/>
                <w:color w:val="auto"/>
                <w:kern w:val="0"/>
                <w:sz w:val="24"/>
                <w:szCs w:val="24"/>
                <w:highlight w:val="none"/>
                <w:u w:val="none"/>
                <w:lang w:eastAsia="zh-CN"/>
              </w:rPr>
              <w:t>。</w:t>
            </w:r>
            <w:r>
              <w:rPr>
                <w:rFonts w:hint="eastAsia" w:ascii="方正书宋_GBK" w:hAnsi="方正书宋_GBK" w:eastAsia="方正书宋_GBK" w:cs="方正书宋_GBK"/>
                <w:color w:val="auto"/>
                <w:kern w:val="0"/>
                <w:sz w:val="24"/>
                <w:szCs w:val="24"/>
                <w:highlight w:val="none"/>
              </w:rPr>
              <w:t>规划总建筑面积63436平方米，总建设用地253亩，五个项目选址在同一地块，分期建设</w:t>
            </w:r>
            <w:r>
              <w:rPr>
                <w:rFonts w:hint="eastAsia" w:ascii="方正书宋_GBK" w:hAnsi="方正书宋_GBK" w:eastAsia="方正书宋_GBK" w:cs="方正书宋_GBK"/>
                <w:color w:val="auto"/>
                <w:kern w:val="0"/>
                <w:sz w:val="24"/>
                <w:szCs w:val="24"/>
                <w:highlight w:val="none"/>
                <w:lang w:eastAsia="zh-CN"/>
              </w:rPr>
              <w:t>，</w:t>
            </w:r>
            <w:r>
              <w:rPr>
                <w:rFonts w:hint="eastAsia" w:ascii="方正书宋_GBK" w:hAnsi="方正书宋_GBK" w:eastAsia="方正书宋_GBK" w:cs="方正书宋_GBK"/>
                <w:color w:val="auto"/>
                <w:kern w:val="0"/>
                <w:sz w:val="24"/>
                <w:szCs w:val="24"/>
                <w:highlight w:val="none"/>
              </w:rPr>
              <w:t>逐步解决分局关押场所、训练场所及规范化执法办案场所。</w:t>
            </w:r>
          </w:p>
          <w:p w14:paraId="5A6030AF">
            <w:pPr>
              <w:pStyle w:val="38"/>
              <w:spacing w:line="380" w:lineRule="exact"/>
              <w:rPr>
                <w:rFonts w:hint="eastAsia" w:ascii="方正书宋_GBK" w:hAnsi="方正书宋_GBK" w:eastAsia="方正书宋_GBK" w:cs="方正书宋_GBK"/>
                <w:color w:val="auto"/>
                <w:sz w:val="24"/>
                <w:szCs w:val="24"/>
                <w:highlight w:val="none"/>
              </w:rPr>
            </w:pPr>
            <w:r>
              <w:rPr>
                <w:rFonts w:hint="eastAsia" w:eastAsia="方正黑体_GBK" w:cs="方正黑体_GBK"/>
                <w:color w:val="auto"/>
                <w:kern w:val="0"/>
                <w:sz w:val="24"/>
                <w:szCs w:val="24"/>
                <w:highlight w:val="none"/>
                <w:u w:val="none"/>
                <w:lang w:val="en-US" w:eastAsia="zh-CN"/>
              </w:rPr>
              <w:t>3</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szCs w:val="24"/>
                <w:highlight w:val="none"/>
                <w:u w:val="none"/>
              </w:rPr>
              <w:t>高新区车辆管理所项目。</w:t>
            </w:r>
            <w:r>
              <w:rPr>
                <w:rFonts w:hint="eastAsia" w:ascii="方正书宋_GBK" w:hAnsi="方正书宋_GBK" w:eastAsia="方正书宋_GBK" w:cs="方正书宋_GBK"/>
                <w:color w:val="auto"/>
                <w:kern w:val="0"/>
                <w:sz w:val="24"/>
                <w:szCs w:val="24"/>
                <w:highlight w:val="none"/>
              </w:rPr>
              <w:t>规划建筑面积9506</w:t>
            </w:r>
            <w:r>
              <w:rPr>
                <w:rFonts w:hint="eastAsia" w:ascii="方正书宋_GBK" w:hAnsi="方正书宋_GBK" w:eastAsia="方正书宋_GBK" w:cs="方正书宋_GBK"/>
                <w:color w:val="auto"/>
                <w:kern w:val="0"/>
                <w:sz w:val="24"/>
                <w:szCs w:val="24"/>
                <w:highlight w:val="none"/>
                <w:lang w:val="en-US" w:eastAsia="zh-CN"/>
              </w:rPr>
              <w:t>平方米</w:t>
            </w:r>
            <w:r>
              <w:rPr>
                <w:rFonts w:hint="eastAsia" w:ascii="方正书宋_GBK" w:hAnsi="方正书宋_GBK" w:eastAsia="方正书宋_GBK" w:cs="方正书宋_GBK"/>
                <w:color w:val="auto"/>
                <w:kern w:val="0"/>
                <w:sz w:val="24"/>
                <w:szCs w:val="24"/>
                <w:highlight w:val="none"/>
              </w:rPr>
              <w:t>，建设用地面积30.65亩，建设集车辆查验、驾驶证培训考试和交通安全宣传为一体的现代化车、驾、管场所，为全区车辆、驾驶人提供高效便捷服务。</w:t>
            </w:r>
          </w:p>
        </w:tc>
      </w:tr>
    </w:tbl>
    <w:p w14:paraId="0C03A9C1">
      <w:pPr>
        <w:numPr>
          <w:ilvl w:val="255"/>
          <w:numId w:val="0"/>
        </w:numPr>
        <w:overflowPunct w:val="0"/>
        <w:adjustRightInd w:val="0"/>
        <w:snapToGrid w:val="0"/>
        <w:spacing w:line="600" w:lineRule="exact"/>
        <w:jc w:val="center"/>
        <w:outlineLvl w:val="2"/>
        <w:rPr>
          <w:rFonts w:ascii="Times New Roman" w:hAnsi="Times New Roman" w:eastAsia="方正楷体_GBK" w:cs="方正楷体_GBK"/>
          <w:color w:val="auto"/>
          <w:sz w:val="32"/>
          <w:szCs w:val="32"/>
          <w:highlight w:val="none"/>
        </w:rPr>
      </w:pPr>
      <w:bookmarkStart w:id="742" w:name="_Toc27228"/>
      <w:bookmarkStart w:id="743" w:name="_Toc10395"/>
      <w:bookmarkStart w:id="744" w:name="_Toc1066355159"/>
      <w:bookmarkStart w:id="745" w:name="_Toc13536"/>
      <w:bookmarkStart w:id="746" w:name="_Toc19547"/>
      <w:bookmarkStart w:id="747" w:name="_Toc22852"/>
      <w:bookmarkStart w:id="748" w:name="_Toc777723896"/>
      <w:r>
        <w:rPr>
          <w:rFonts w:hint="eastAsia" w:ascii="Times New Roman" w:hAnsi="Times New Roman" w:eastAsia="方正楷体_GBK" w:cs="方正楷体_GBK"/>
          <w:color w:val="auto"/>
          <w:sz w:val="32"/>
          <w:szCs w:val="32"/>
          <w:highlight w:val="none"/>
        </w:rPr>
        <w:t>第二节 持续打好安全生产保卫战</w:t>
      </w:r>
      <w:bookmarkEnd w:id="742"/>
      <w:bookmarkEnd w:id="743"/>
      <w:bookmarkEnd w:id="744"/>
      <w:bookmarkEnd w:id="745"/>
      <w:bookmarkEnd w:id="746"/>
      <w:bookmarkEnd w:id="747"/>
      <w:bookmarkEnd w:id="748"/>
    </w:p>
    <w:p w14:paraId="7CD1214D">
      <w:pPr>
        <w:adjustRightInd w:val="0"/>
        <w:snapToGrid w:val="0"/>
        <w:spacing w:line="600" w:lineRule="exact"/>
        <w:ind w:firstLine="640" w:firstLineChars="200"/>
        <w:textAlignment w:val="baseline"/>
        <w:rPr>
          <w:color w:val="auto"/>
          <w:highlight w:val="none"/>
        </w:rPr>
      </w:pPr>
      <w:r>
        <w:rPr>
          <w:rFonts w:ascii="Times New Roman" w:hAnsi="Times New Roman" w:eastAsia="方正仿宋_GBK" w:cs="Times New Roman"/>
          <w:bCs/>
          <w:color w:val="auto"/>
          <w:kern w:val="0"/>
          <w:sz w:val="32"/>
          <w:szCs w:val="32"/>
          <w:highlight w:val="none"/>
        </w:rPr>
        <w:t>以高水平安全护航高质量发展，系统构建高水平安全保障体系。深化治本攻坚，全面压实党政领导、部门监管、镇街属地、企业主体及岗位人员</w:t>
      </w:r>
      <w:r>
        <w:rPr>
          <w:rFonts w:hint="eastAsia" w:ascii="Times New Roman" w:hAnsi="Times New Roman" w:eastAsia="方正仿宋_GBK" w:cs="Times New Roman"/>
          <w:bCs/>
          <w:color w:val="auto"/>
          <w:kern w:val="0"/>
          <w:sz w:val="32"/>
          <w:szCs w:val="32"/>
          <w:highlight w:val="none"/>
        </w:rPr>
        <w:t>“</w:t>
      </w:r>
      <w:r>
        <w:rPr>
          <w:rFonts w:ascii="Times New Roman" w:hAnsi="Times New Roman" w:eastAsia="方正仿宋_GBK" w:cs="Times New Roman"/>
          <w:bCs/>
          <w:color w:val="auto"/>
          <w:kern w:val="0"/>
          <w:sz w:val="32"/>
          <w:szCs w:val="32"/>
          <w:highlight w:val="none"/>
        </w:rPr>
        <w:t>五方责任</w:t>
      </w:r>
      <w:r>
        <w:rPr>
          <w:rFonts w:hint="eastAsia" w:ascii="Times New Roman" w:hAnsi="Times New Roman" w:eastAsia="方正仿宋_GBK" w:cs="Times New Roman"/>
          <w:bCs/>
          <w:color w:val="auto"/>
          <w:kern w:val="0"/>
          <w:sz w:val="32"/>
          <w:szCs w:val="32"/>
          <w:highlight w:val="none"/>
        </w:rPr>
        <w:t>”</w:t>
      </w:r>
      <w:r>
        <w:rPr>
          <w:rFonts w:ascii="Times New Roman" w:hAnsi="Times New Roman" w:eastAsia="方正仿宋_GBK" w:cs="Times New Roman"/>
          <w:bCs/>
          <w:color w:val="auto"/>
          <w:kern w:val="0"/>
          <w:sz w:val="32"/>
          <w:szCs w:val="32"/>
          <w:highlight w:val="none"/>
        </w:rPr>
        <w:t>，强力推行企业全员安全生产责任制和一线岗位</w:t>
      </w:r>
      <w:r>
        <w:rPr>
          <w:rFonts w:hint="eastAsia" w:ascii="Times New Roman" w:hAnsi="Times New Roman" w:eastAsia="方正仿宋_GBK" w:cs="Times New Roman"/>
          <w:bCs/>
          <w:color w:val="auto"/>
          <w:kern w:val="0"/>
          <w:sz w:val="32"/>
          <w:szCs w:val="32"/>
          <w:highlight w:val="none"/>
        </w:rPr>
        <w:t>“</w:t>
      </w:r>
      <w:r>
        <w:rPr>
          <w:rFonts w:ascii="Times New Roman" w:hAnsi="Times New Roman" w:eastAsia="方正仿宋_GBK" w:cs="Times New Roman"/>
          <w:bCs/>
          <w:color w:val="auto"/>
          <w:kern w:val="0"/>
          <w:sz w:val="32"/>
          <w:szCs w:val="32"/>
          <w:highlight w:val="none"/>
        </w:rPr>
        <w:t>两单两卡</w:t>
      </w:r>
      <w:r>
        <w:rPr>
          <w:rFonts w:hint="eastAsia" w:ascii="Times New Roman" w:hAnsi="Times New Roman" w:eastAsia="方正仿宋_GBK" w:cs="Times New Roman"/>
          <w:bCs/>
          <w:color w:val="auto"/>
          <w:kern w:val="0"/>
          <w:sz w:val="32"/>
          <w:szCs w:val="32"/>
          <w:highlight w:val="none"/>
        </w:rPr>
        <w:t>”</w:t>
      </w:r>
      <w:r>
        <w:rPr>
          <w:rFonts w:ascii="Times New Roman" w:hAnsi="Times New Roman" w:eastAsia="方正仿宋_GBK" w:cs="Times New Roman"/>
          <w:bCs/>
          <w:color w:val="auto"/>
          <w:kern w:val="0"/>
          <w:sz w:val="32"/>
          <w:szCs w:val="32"/>
          <w:highlight w:val="none"/>
        </w:rPr>
        <w:t>。聚焦危险化学品、</w:t>
      </w:r>
      <w:r>
        <w:rPr>
          <w:rFonts w:hint="eastAsia" w:ascii="Times New Roman" w:hAnsi="Times New Roman" w:eastAsia="方正仿宋_GBK" w:cs="Times New Roman"/>
          <w:bCs/>
          <w:color w:val="auto"/>
          <w:kern w:val="0"/>
          <w:sz w:val="32"/>
          <w:szCs w:val="32"/>
          <w:highlight w:val="none"/>
        </w:rPr>
        <w:t>工贸、</w:t>
      </w:r>
      <w:r>
        <w:rPr>
          <w:rFonts w:ascii="Times New Roman" w:hAnsi="Times New Roman" w:eastAsia="方正仿宋_GBK" w:cs="Times New Roman"/>
          <w:bCs/>
          <w:color w:val="auto"/>
          <w:kern w:val="0"/>
          <w:sz w:val="32"/>
          <w:szCs w:val="32"/>
          <w:highlight w:val="none"/>
        </w:rPr>
        <w:t>建筑施工、交通运输、消防等重点行业领域，以及动火、有限空间等高风险作业环节，深化重大事故隐患</w:t>
      </w:r>
      <w:r>
        <w:rPr>
          <w:rFonts w:hint="eastAsia" w:ascii="Times New Roman" w:hAnsi="Times New Roman" w:eastAsia="方正仿宋_GBK" w:cs="Times New Roman"/>
          <w:bCs/>
          <w:color w:val="auto"/>
          <w:kern w:val="0"/>
          <w:sz w:val="32"/>
          <w:szCs w:val="32"/>
          <w:highlight w:val="none"/>
        </w:rPr>
        <w:t>“</w:t>
      </w:r>
      <w:r>
        <w:rPr>
          <w:rFonts w:ascii="Times New Roman" w:hAnsi="Times New Roman" w:eastAsia="方正仿宋_GBK" w:cs="Times New Roman"/>
          <w:bCs/>
          <w:color w:val="auto"/>
          <w:kern w:val="0"/>
          <w:sz w:val="32"/>
          <w:szCs w:val="32"/>
          <w:highlight w:val="none"/>
        </w:rPr>
        <w:t>大排查、大曝光、大整治</w:t>
      </w:r>
      <w:r>
        <w:rPr>
          <w:rFonts w:hint="eastAsia" w:ascii="Times New Roman" w:hAnsi="Times New Roman" w:eastAsia="方正仿宋_GBK" w:cs="Times New Roman"/>
          <w:bCs/>
          <w:color w:val="auto"/>
          <w:kern w:val="0"/>
          <w:sz w:val="32"/>
          <w:szCs w:val="32"/>
          <w:highlight w:val="none"/>
        </w:rPr>
        <w:t>”</w:t>
      </w:r>
      <w:r>
        <w:rPr>
          <w:rFonts w:ascii="Times New Roman" w:hAnsi="Times New Roman" w:eastAsia="方正仿宋_GBK" w:cs="Times New Roman"/>
          <w:bCs/>
          <w:color w:val="auto"/>
          <w:kern w:val="0"/>
          <w:sz w:val="32"/>
          <w:szCs w:val="32"/>
          <w:highlight w:val="none"/>
        </w:rPr>
        <w:t>，严格实施闭环管理和挂牌督办，推动重大隐患动态清零。</w:t>
      </w:r>
      <w:r>
        <w:rPr>
          <w:rFonts w:hint="eastAsia" w:ascii="Times New Roman" w:hAnsi="Times New Roman" w:eastAsia="方正仿宋_GBK" w:cs="Times New Roman"/>
          <w:bCs/>
          <w:color w:val="auto"/>
          <w:kern w:val="0"/>
          <w:sz w:val="32"/>
          <w:szCs w:val="32"/>
          <w:highlight w:val="none"/>
        </w:rPr>
        <w:t>常态化开展人员密集场所、厂房库房等火灾高风险区域隐患排查，持续抓好高层建筑消防安全治理</w:t>
      </w:r>
      <w:r>
        <w:rPr>
          <w:rFonts w:hint="eastAsia" w:ascii="Times New Roman" w:hAnsi="Times New Roman" w:eastAsia="方正仿宋_GBK" w:cs="Times New Roman"/>
          <w:bCs/>
          <w:color w:val="auto"/>
          <w:kern w:val="0"/>
          <w:sz w:val="32"/>
          <w:szCs w:val="32"/>
          <w:highlight w:val="none"/>
          <w:lang w:eastAsia="zh-CN"/>
        </w:rPr>
        <w:t>。</w:t>
      </w:r>
      <w:r>
        <w:rPr>
          <w:rFonts w:ascii="Times New Roman" w:hAnsi="Times New Roman" w:eastAsia="方正仿宋_GBK" w:cs="Times New Roman"/>
          <w:bCs/>
          <w:color w:val="auto"/>
          <w:kern w:val="0"/>
          <w:sz w:val="32"/>
          <w:szCs w:val="32"/>
          <w:highlight w:val="none"/>
        </w:rPr>
        <w:t>强化科技赋能，积极运用</w:t>
      </w:r>
      <w:r>
        <w:rPr>
          <w:rFonts w:hint="eastAsia" w:ascii="Times New Roman" w:hAnsi="Times New Roman" w:eastAsia="方正仿宋_GBK" w:cs="Times New Roman"/>
          <w:bCs/>
          <w:color w:val="auto"/>
          <w:kern w:val="0"/>
          <w:sz w:val="32"/>
          <w:szCs w:val="32"/>
          <w:highlight w:val="none"/>
          <w:lang w:val="en-US" w:eastAsia="zh-CN"/>
        </w:rPr>
        <w:t>人工智能</w:t>
      </w:r>
      <w:r>
        <w:rPr>
          <w:rFonts w:ascii="Times New Roman" w:hAnsi="Times New Roman" w:eastAsia="方正仿宋_GBK" w:cs="Times New Roman"/>
          <w:bCs/>
          <w:color w:val="auto"/>
          <w:kern w:val="0"/>
          <w:sz w:val="32"/>
          <w:szCs w:val="32"/>
          <w:highlight w:val="none"/>
        </w:rPr>
        <w:t>、物联网等技术建设智慧监管平台，在危化、电梯、消防等领域推广智能化监测预警与应急装备，提升本质安全水平。着力推动社会共治，通过深化安全宣传、警示教育与技能竞赛，营造</w:t>
      </w:r>
      <w:r>
        <w:rPr>
          <w:rFonts w:hint="eastAsia" w:ascii="Times New Roman" w:hAnsi="Times New Roman" w:eastAsia="方正仿宋_GBK" w:cs="Times New Roman"/>
          <w:bCs/>
          <w:color w:val="auto"/>
          <w:kern w:val="0"/>
          <w:sz w:val="32"/>
          <w:szCs w:val="32"/>
          <w:highlight w:val="none"/>
        </w:rPr>
        <w:t>“</w:t>
      </w:r>
      <w:r>
        <w:rPr>
          <w:rFonts w:ascii="Times New Roman" w:hAnsi="Times New Roman" w:eastAsia="方正仿宋_GBK" w:cs="Times New Roman"/>
          <w:bCs/>
          <w:color w:val="auto"/>
          <w:kern w:val="0"/>
          <w:sz w:val="32"/>
          <w:szCs w:val="32"/>
          <w:highlight w:val="none"/>
        </w:rPr>
        <w:t>人人讲安全、个个会应急</w:t>
      </w:r>
      <w:r>
        <w:rPr>
          <w:rFonts w:hint="eastAsia" w:ascii="Times New Roman" w:hAnsi="Times New Roman" w:eastAsia="方正仿宋_GBK" w:cs="Times New Roman"/>
          <w:bCs/>
          <w:color w:val="auto"/>
          <w:kern w:val="0"/>
          <w:sz w:val="32"/>
          <w:szCs w:val="32"/>
          <w:highlight w:val="none"/>
        </w:rPr>
        <w:t>”</w:t>
      </w:r>
      <w:r>
        <w:rPr>
          <w:rFonts w:ascii="Times New Roman" w:hAnsi="Times New Roman" w:eastAsia="方正仿宋_GBK" w:cs="Times New Roman"/>
          <w:bCs/>
          <w:color w:val="auto"/>
          <w:kern w:val="0"/>
          <w:sz w:val="32"/>
          <w:szCs w:val="32"/>
          <w:highlight w:val="none"/>
        </w:rPr>
        <w:t>的浓厚氛围，并畅通监督举报渠道，构建企业负责、政府监管、行业自律、社会协同的安全生产新格局。</w:t>
      </w:r>
    </w:p>
    <w:p w14:paraId="39880D16">
      <w:pPr>
        <w:numPr>
          <w:ilvl w:val="255"/>
          <w:numId w:val="0"/>
        </w:numPr>
        <w:overflowPunct w:val="0"/>
        <w:adjustRightInd w:val="0"/>
        <w:snapToGrid w:val="0"/>
        <w:spacing w:line="600" w:lineRule="exact"/>
        <w:jc w:val="center"/>
        <w:outlineLvl w:val="2"/>
        <w:rPr>
          <w:rFonts w:ascii="Times New Roman" w:hAnsi="Times New Roman" w:eastAsia="方正楷体_GBK" w:cs="方正楷体_GBK"/>
          <w:color w:val="auto"/>
          <w:sz w:val="32"/>
          <w:szCs w:val="32"/>
          <w:highlight w:val="none"/>
        </w:rPr>
      </w:pPr>
      <w:bookmarkStart w:id="749" w:name="_Toc1480123098"/>
      <w:bookmarkStart w:id="750" w:name="_Toc24827"/>
      <w:bookmarkStart w:id="751" w:name="_Toc4896"/>
      <w:bookmarkStart w:id="752" w:name="_Toc1620044430"/>
      <w:bookmarkStart w:id="753" w:name="_Toc6493"/>
      <w:bookmarkStart w:id="754" w:name="_Toc5893"/>
      <w:bookmarkStart w:id="755" w:name="_Toc3233"/>
      <w:r>
        <w:rPr>
          <w:rFonts w:hint="eastAsia" w:ascii="Times New Roman" w:hAnsi="Times New Roman" w:eastAsia="方正楷体_GBK" w:cs="方正楷体_GBK"/>
          <w:color w:val="auto"/>
          <w:sz w:val="32"/>
          <w:szCs w:val="32"/>
          <w:highlight w:val="none"/>
        </w:rPr>
        <w:t>第三节 保障食品药品安全</w:t>
      </w:r>
      <w:bookmarkEnd w:id="749"/>
      <w:bookmarkEnd w:id="750"/>
      <w:bookmarkEnd w:id="751"/>
      <w:bookmarkEnd w:id="752"/>
      <w:bookmarkEnd w:id="753"/>
      <w:bookmarkEnd w:id="754"/>
      <w:bookmarkEnd w:id="755"/>
    </w:p>
    <w:p w14:paraId="0836ACB3">
      <w:pPr>
        <w:pStyle w:val="19"/>
        <w:overflowPunct w:val="0"/>
        <w:adjustRightInd w:val="0"/>
        <w:snapToGrid w:val="0"/>
        <w:spacing w:beforeAutospacing="0" w:afterAutospacing="0" w:line="600" w:lineRule="exact"/>
        <w:ind w:firstLine="640" w:firstLineChars="200"/>
        <w:jc w:val="both"/>
        <w:rPr>
          <w:rFonts w:hint="eastAsia" w:ascii="Times New Roman" w:hAnsi="Times New Roman" w:eastAsia="方正仿宋_GBK"/>
          <w:bCs/>
          <w:color w:val="auto"/>
          <w:sz w:val="32"/>
          <w:szCs w:val="32"/>
          <w:highlight w:val="none"/>
          <w:lang w:eastAsia="zh-CN"/>
        </w:rPr>
      </w:pPr>
      <w:r>
        <w:rPr>
          <w:rFonts w:hint="eastAsia" w:ascii="Times New Roman" w:hAnsi="Times New Roman" w:eastAsia="方正仿宋_GBK" w:cs="方正仿宋_GBK"/>
          <w:color w:val="auto"/>
          <w:sz w:val="32"/>
          <w:szCs w:val="32"/>
          <w:highlight w:val="none"/>
        </w:rPr>
        <w:t>构建全程闭环、无缝衔接、数智赋能的食品药品安全监管体系，实现全品种、全链条数字化追溯。实施食品安全放心工程，提升食品安全检验检测能力，加大对学校等集中用餐单位监管力度，建设“阳光厨房”，推动外卖餐饮等平台商户实行“互联网+明厨亮灶”。</w:t>
      </w:r>
      <w:r>
        <w:rPr>
          <w:rFonts w:ascii="Times New Roman" w:hAnsi="Times New Roman" w:eastAsia="方正仿宋_GBK"/>
          <w:bCs/>
          <w:color w:val="auto"/>
          <w:sz w:val="32"/>
          <w:szCs w:val="32"/>
          <w:highlight w:val="none"/>
        </w:rPr>
        <w:t>加快建设统一的食品药品安全智慧追溯与监管平台，推动大数据、人工智能、物联网等技术在风险识别、非现场检查、产品追溯等场景的深度应用，提升监管精准化与效能。</w:t>
      </w:r>
      <w:r>
        <w:rPr>
          <w:rFonts w:hint="eastAsia" w:ascii="Times New Roman" w:hAnsi="Times New Roman" w:eastAsia="方正仿宋_GBK"/>
          <w:bCs/>
          <w:color w:val="auto"/>
          <w:sz w:val="32"/>
          <w:szCs w:val="32"/>
          <w:highlight w:val="none"/>
        </w:rPr>
        <w:t>紧盯</w:t>
      </w:r>
      <w:r>
        <w:rPr>
          <w:rFonts w:ascii="Times New Roman" w:hAnsi="Times New Roman" w:eastAsia="方正仿宋_GBK"/>
          <w:bCs/>
          <w:color w:val="auto"/>
          <w:sz w:val="32"/>
          <w:szCs w:val="32"/>
          <w:highlight w:val="none"/>
        </w:rPr>
        <w:t>食品生产、流通、餐饮全链条和药品研发、生产、流通、使用全生命周期，深化源头治理和专项整治，强化对</w:t>
      </w:r>
      <w:r>
        <w:rPr>
          <w:rFonts w:hint="eastAsia" w:ascii="Times New Roman" w:hAnsi="Times New Roman" w:eastAsia="方正仿宋_GBK" w:cs="方正仿宋_GBK"/>
          <w:color w:val="auto"/>
          <w:sz w:val="32"/>
          <w:szCs w:val="32"/>
          <w:highlight w:val="none"/>
        </w:rPr>
        <w:t>疫苗、血液制品等高风险药品和无菌、植入性医疗器械监管力度</w:t>
      </w:r>
      <w:r>
        <w:rPr>
          <w:rFonts w:ascii="Times New Roman" w:hAnsi="Times New Roman" w:eastAsia="方正仿宋_GBK"/>
          <w:bCs/>
          <w:color w:val="auto"/>
          <w:sz w:val="32"/>
          <w:szCs w:val="32"/>
          <w:highlight w:val="none"/>
        </w:rPr>
        <w:t>，健全跨部门协同的风险监测预警与应急处置机制</w:t>
      </w:r>
      <w:r>
        <w:rPr>
          <w:rFonts w:hint="eastAsia" w:ascii="Times New Roman" w:hAnsi="Times New Roman" w:eastAsia="方正仿宋_GBK" w:cs="方正仿宋_GBK"/>
          <w:color w:val="auto"/>
          <w:sz w:val="32"/>
          <w:szCs w:val="32"/>
          <w:highlight w:val="none"/>
        </w:rPr>
        <w:t>，药品抽检合格率保持在99%以上。健全食品药品安全法规制度。</w:t>
      </w:r>
      <w:r>
        <w:rPr>
          <w:rFonts w:ascii="Times New Roman" w:hAnsi="Times New Roman" w:eastAsia="方正仿宋_GBK"/>
          <w:bCs/>
          <w:color w:val="auto"/>
          <w:sz w:val="32"/>
          <w:szCs w:val="32"/>
          <w:highlight w:val="none"/>
        </w:rPr>
        <w:t>构建广泛的社会共治格局，畅通投诉举报渠道，落实</w:t>
      </w:r>
      <w:r>
        <w:rPr>
          <w:rFonts w:hint="eastAsia" w:ascii="Times New Roman" w:hAnsi="Times New Roman" w:eastAsia="方正仿宋_GBK"/>
          <w:bCs/>
          <w:color w:val="auto"/>
          <w:sz w:val="32"/>
          <w:szCs w:val="32"/>
          <w:highlight w:val="none"/>
        </w:rPr>
        <w:t>“</w:t>
      </w:r>
      <w:r>
        <w:rPr>
          <w:rFonts w:ascii="Times New Roman" w:hAnsi="Times New Roman" w:eastAsia="方正仿宋_GBK"/>
          <w:bCs/>
          <w:color w:val="auto"/>
          <w:sz w:val="32"/>
          <w:szCs w:val="32"/>
          <w:highlight w:val="none"/>
        </w:rPr>
        <w:t>吹哨人</w:t>
      </w:r>
      <w:r>
        <w:rPr>
          <w:rFonts w:hint="eastAsia" w:ascii="Times New Roman" w:hAnsi="Times New Roman" w:eastAsia="方正仿宋_GBK"/>
          <w:bCs/>
          <w:color w:val="auto"/>
          <w:sz w:val="32"/>
          <w:szCs w:val="32"/>
          <w:highlight w:val="none"/>
        </w:rPr>
        <w:t>”</w:t>
      </w:r>
      <w:r>
        <w:rPr>
          <w:rFonts w:ascii="Times New Roman" w:hAnsi="Times New Roman" w:eastAsia="方正仿宋_GBK"/>
          <w:bCs/>
          <w:color w:val="auto"/>
          <w:sz w:val="32"/>
          <w:szCs w:val="32"/>
          <w:highlight w:val="none"/>
        </w:rPr>
        <w:t>制度，强化行业自律与诚信体系建设，深化科普宣传与风险交流，主动引入媒体与公众监督</w:t>
      </w:r>
      <w:r>
        <w:rPr>
          <w:rFonts w:hint="eastAsia" w:ascii="Times New Roman" w:hAnsi="Times New Roman" w:eastAsia="方正仿宋_GBK"/>
          <w:bCs/>
          <w:color w:val="auto"/>
          <w:sz w:val="32"/>
          <w:szCs w:val="32"/>
          <w:highlight w:val="none"/>
          <w:lang w:eastAsia="zh-CN"/>
        </w:rPr>
        <w:t>。</w:t>
      </w:r>
    </w:p>
    <w:p w14:paraId="1676B8E6">
      <w:pPr>
        <w:numPr>
          <w:ilvl w:val="-1"/>
          <w:numId w:val="0"/>
        </w:numPr>
        <w:overflowPunct/>
        <w:adjustRightInd w:val="0"/>
        <w:snapToGrid w:val="0"/>
        <w:spacing w:line="600" w:lineRule="exact"/>
        <w:ind w:firstLine="640" w:firstLineChars="200"/>
        <w:jc w:val="left"/>
        <w:textAlignment w:val="baseline"/>
        <w:outlineLvl w:val="9"/>
        <w:rPr>
          <w:rFonts w:hint="eastAsia" w:ascii="Times New Roman" w:hAnsi="Times New Roman" w:eastAsia="方正仿宋_GBK" w:cs="Times New Roman"/>
          <w:bCs/>
          <w:color w:val="auto"/>
          <w:kern w:val="0"/>
          <w:sz w:val="32"/>
          <w:szCs w:val="32"/>
          <w:highlight w:val="none"/>
        </w:rPr>
      </w:pPr>
      <w:bookmarkStart w:id="756" w:name="_Toc2125824885"/>
      <w:bookmarkStart w:id="757" w:name="_Toc13368"/>
      <w:bookmarkStart w:id="758" w:name="_Toc141574697"/>
      <w:bookmarkStart w:id="759" w:name="_Toc10894"/>
      <w:bookmarkStart w:id="760" w:name="_Toc10392"/>
      <w:bookmarkStart w:id="761" w:name="_Toc27456"/>
      <w:bookmarkStart w:id="762" w:name="_Toc24087"/>
      <w:bookmarkStart w:id="763" w:name="_Toc19273"/>
      <w:bookmarkStart w:id="764" w:name="_Toc3184"/>
      <w:bookmarkStart w:id="765" w:name="_Toc1561"/>
    </w:p>
    <w:p w14:paraId="6BCE282D">
      <w:pPr>
        <w:numPr>
          <w:ilvl w:val="255"/>
          <w:numId w:val="0"/>
        </w:numPr>
        <w:overflowPunct w:val="0"/>
        <w:adjustRightInd w:val="0"/>
        <w:snapToGrid w:val="0"/>
        <w:spacing w:line="600" w:lineRule="exact"/>
        <w:jc w:val="center"/>
        <w:outlineLvl w:val="1"/>
        <w:rPr>
          <w:rFonts w:ascii="Times New Roman" w:hAnsi="Times New Roman" w:eastAsia="方正黑体_GBK" w:cs="方正黑体_GBK"/>
          <w:color w:val="auto"/>
          <w:sz w:val="32"/>
          <w:szCs w:val="32"/>
          <w:highlight w:val="none"/>
        </w:rPr>
      </w:pPr>
      <w:bookmarkStart w:id="766" w:name="_Toc866"/>
      <w:r>
        <w:rPr>
          <w:rFonts w:hint="eastAsia" w:ascii="Times New Roman" w:hAnsi="Times New Roman" w:eastAsia="方正黑体_GBK" w:cs="方正黑体_GBK"/>
          <w:color w:val="auto"/>
          <w:sz w:val="32"/>
          <w:szCs w:val="32"/>
          <w:highlight w:val="none"/>
        </w:rPr>
        <w:t>第四章 建设法治高新</w:t>
      </w:r>
      <w:bookmarkEnd w:id="756"/>
      <w:bookmarkEnd w:id="757"/>
      <w:bookmarkEnd w:id="758"/>
      <w:bookmarkEnd w:id="759"/>
      <w:bookmarkEnd w:id="760"/>
      <w:bookmarkEnd w:id="761"/>
      <w:bookmarkEnd w:id="762"/>
      <w:bookmarkEnd w:id="763"/>
      <w:bookmarkEnd w:id="764"/>
      <w:bookmarkEnd w:id="765"/>
      <w:bookmarkEnd w:id="766"/>
    </w:p>
    <w:p w14:paraId="25BE929A">
      <w:pPr>
        <w:adjustRightInd w:val="0"/>
        <w:snapToGrid w:val="0"/>
        <w:spacing w:line="600" w:lineRule="exact"/>
        <w:ind w:firstLine="640" w:firstLineChars="200"/>
        <w:textAlignment w:val="baseline"/>
        <w:rPr>
          <w:rFonts w:ascii="Times New Roman" w:hAnsi="Times New Roman" w:eastAsia="方正仿宋_GBK" w:cs="Times New Roman"/>
          <w:bCs/>
          <w:color w:val="auto"/>
          <w:kern w:val="0"/>
          <w:sz w:val="32"/>
          <w:szCs w:val="32"/>
          <w:highlight w:val="none"/>
        </w:rPr>
      </w:pPr>
      <w:r>
        <w:rPr>
          <w:rFonts w:hint="eastAsia" w:ascii="Times New Roman" w:hAnsi="Times New Roman" w:eastAsia="方正仿宋_GBK" w:cs="Times New Roman"/>
          <w:bCs/>
          <w:color w:val="auto"/>
          <w:kern w:val="0"/>
          <w:sz w:val="32"/>
          <w:szCs w:val="32"/>
          <w:highlight w:val="none"/>
        </w:rPr>
        <w:t>健全全面依法治区体系，</w:t>
      </w:r>
      <w:r>
        <w:rPr>
          <w:rFonts w:ascii="Times New Roman" w:hAnsi="Times New Roman" w:eastAsia="方正仿宋_GBK" w:cs="Times New Roman"/>
          <w:bCs/>
          <w:color w:val="auto"/>
          <w:kern w:val="0"/>
          <w:sz w:val="32"/>
          <w:szCs w:val="32"/>
          <w:highlight w:val="none"/>
        </w:rPr>
        <w:t>构建依法行政体系、营造公平高效司法环境、培育全民守法社会生态三大路径，全面夯实</w:t>
      </w:r>
      <w:r>
        <w:rPr>
          <w:rFonts w:hint="eastAsia" w:ascii="Times New Roman" w:hAnsi="Times New Roman" w:eastAsia="方正仿宋_GBK" w:cs="Times New Roman"/>
          <w:bCs/>
          <w:color w:val="auto"/>
          <w:kern w:val="0"/>
          <w:sz w:val="32"/>
          <w:szCs w:val="32"/>
          <w:highlight w:val="none"/>
        </w:rPr>
        <w:t>高新区</w:t>
      </w:r>
      <w:r>
        <w:rPr>
          <w:rFonts w:ascii="Times New Roman" w:hAnsi="Times New Roman" w:eastAsia="方正仿宋_GBK" w:cs="Times New Roman"/>
          <w:bCs/>
          <w:color w:val="auto"/>
          <w:kern w:val="0"/>
          <w:sz w:val="32"/>
          <w:szCs w:val="32"/>
          <w:highlight w:val="none"/>
        </w:rPr>
        <w:t>高质量发展的法治根基。</w:t>
      </w:r>
    </w:p>
    <w:p w14:paraId="714F7E6D">
      <w:pPr>
        <w:numPr>
          <w:ilvl w:val="255"/>
          <w:numId w:val="0"/>
        </w:numPr>
        <w:overflowPunct w:val="0"/>
        <w:adjustRightInd w:val="0"/>
        <w:snapToGrid w:val="0"/>
        <w:spacing w:line="600" w:lineRule="exact"/>
        <w:jc w:val="center"/>
        <w:outlineLvl w:val="2"/>
        <w:rPr>
          <w:rFonts w:ascii="Times New Roman" w:hAnsi="Times New Roman" w:eastAsia="方正楷体_GBK" w:cs="方正楷体_GBK"/>
          <w:color w:val="auto"/>
          <w:sz w:val="32"/>
          <w:szCs w:val="32"/>
          <w:highlight w:val="none"/>
        </w:rPr>
      </w:pPr>
      <w:bookmarkStart w:id="767" w:name="_Toc25927"/>
      <w:bookmarkStart w:id="768" w:name="_Toc30174"/>
      <w:bookmarkStart w:id="769" w:name="_Toc34051603"/>
      <w:bookmarkStart w:id="770" w:name="_Toc26902"/>
      <w:bookmarkStart w:id="771" w:name="_Toc23342"/>
      <w:bookmarkStart w:id="772" w:name="_Toc1053407056"/>
      <w:r>
        <w:rPr>
          <w:rFonts w:hint="eastAsia" w:ascii="Times New Roman" w:hAnsi="Times New Roman" w:eastAsia="方正楷体_GBK" w:cs="方正楷体_GBK"/>
          <w:color w:val="auto"/>
          <w:sz w:val="32"/>
          <w:szCs w:val="32"/>
          <w:highlight w:val="none"/>
        </w:rPr>
        <w:t>第一节 深化建设法治政府</w:t>
      </w:r>
      <w:bookmarkEnd w:id="767"/>
      <w:bookmarkEnd w:id="768"/>
      <w:bookmarkEnd w:id="769"/>
      <w:bookmarkEnd w:id="770"/>
      <w:bookmarkEnd w:id="771"/>
      <w:bookmarkEnd w:id="772"/>
    </w:p>
    <w:p w14:paraId="3208FDCA">
      <w:pPr>
        <w:adjustRightInd w:val="0"/>
        <w:snapToGrid w:val="0"/>
        <w:spacing w:line="600" w:lineRule="exact"/>
        <w:ind w:firstLine="640" w:firstLineChars="200"/>
        <w:textAlignment w:val="baseline"/>
        <w:rPr>
          <w:rFonts w:ascii="Times New Roman" w:hAnsi="Times New Roman" w:eastAsia="方正仿宋_GBK" w:cs="Times New Roman"/>
          <w:bCs/>
          <w:color w:val="auto"/>
          <w:kern w:val="0"/>
          <w:sz w:val="32"/>
          <w:szCs w:val="32"/>
          <w:highlight w:val="none"/>
        </w:rPr>
      </w:pPr>
      <w:r>
        <w:rPr>
          <w:rFonts w:hint="eastAsia" w:ascii="Times New Roman" w:hAnsi="Times New Roman" w:eastAsia="方正仿宋_GBK" w:cs="方正仿宋_GBK"/>
          <w:color w:val="auto"/>
          <w:sz w:val="32"/>
          <w:szCs w:val="32"/>
          <w:highlight w:val="none"/>
        </w:rPr>
        <w:t>完善依法行政治理体系，推进政府机构职能责任法定化，构建涵盖行政所有职权类型的“全景式权力清单”，持续深化政务公开。加强领导干部依法办事监督检查，完善综合性法治评价工作机制。推进严格规范公正文明执法，加强行政执法协调监督工作体系建设，推进“执法+监督”实战实用。健全行政复议体制机制，充分发挥行政复议化解行政争议主渠道作用。加强基层法治队伍建设，实施法治强基工程和基层执法人员能力提升计划。</w:t>
      </w:r>
      <w:r>
        <w:rPr>
          <w:rFonts w:ascii="Times New Roman" w:hAnsi="Times New Roman" w:eastAsia="方正仿宋_GBK" w:cs="Times New Roman"/>
          <w:bCs/>
          <w:color w:val="auto"/>
          <w:kern w:val="0"/>
          <w:sz w:val="32"/>
          <w:szCs w:val="32"/>
          <w:highlight w:val="none"/>
        </w:rPr>
        <w:t>强化行政执法监督，全面应用</w:t>
      </w:r>
      <w:r>
        <w:rPr>
          <w:rFonts w:hint="eastAsia" w:ascii="Times New Roman" w:hAnsi="Times New Roman" w:eastAsia="方正仿宋_GBK" w:cs="Times New Roman"/>
          <w:bCs/>
          <w:color w:val="auto"/>
          <w:kern w:val="0"/>
          <w:sz w:val="32"/>
          <w:szCs w:val="32"/>
          <w:highlight w:val="none"/>
        </w:rPr>
        <w:t>“</w:t>
      </w:r>
      <w:r>
        <w:rPr>
          <w:rFonts w:ascii="Times New Roman" w:hAnsi="Times New Roman" w:eastAsia="方正仿宋_GBK" w:cs="Times New Roman"/>
          <w:bCs/>
          <w:color w:val="auto"/>
          <w:kern w:val="0"/>
          <w:sz w:val="32"/>
          <w:szCs w:val="32"/>
          <w:highlight w:val="none"/>
        </w:rPr>
        <w:t>互联网+监管</w:t>
      </w:r>
      <w:r>
        <w:rPr>
          <w:rFonts w:hint="eastAsia" w:ascii="Times New Roman" w:hAnsi="Times New Roman" w:eastAsia="方正仿宋_GBK" w:cs="Times New Roman"/>
          <w:bCs/>
          <w:color w:val="auto"/>
          <w:kern w:val="0"/>
          <w:sz w:val="32"/>
          <w:szCs w:val="32"/>
          <w:highlight w:val="none"/>
        </w:rPr>
        <w:t>”</w:t>
      </w:r>
      <w:r>
        <w:rPr>
          <w:rFonts w:ascii="Times New Roman" w:hAnsi="Times New Roman" w:eastAsia="方正仿宋_GBK" w:cs="Times New Roman"/>
          <w:bCs/>
          <w:color w:val="auto"/>
          <w:kern w:val="0"/>
          <w:sz w:val="32"/>
          <w:szCs w:val="32"/>
          <w:highlight w:val="none"/>
        </w:rPr>
        <w:t>平台，实现执法全过程留痕和可回溯管理。</w:t>
      </w:r>
    </w:p>
    <w:p w14:paraId="42BA9B38">
      <w:pPr>
        <w:numPr>
          <w:ilvl w:val="255"/>
          <w:numId w:val="0"/>
        </w:numPr>
        <w:overflowPunct w:val="0"/>
        <w:adjustRightInd w:val="0"/>
        <w:snapToGrid w:val="0"/>
        <w:spacing w:line="600" w:lineRule="exact"/>
        <w:jc w:val="center"/>
        <w:outlineLvl w:val="2"/>
        <w:rPr>
          <w:rFonts w:ascii="Times New Roman" w:hAnsi="Times New Roman" w:eastAsia="方正楷体_GBK" w:cs="方正楷体_GBK"/>
          <w:color w:val="auto"/>
          <w:sz w:val="32"/>
          <w:szCs w:val="32"/>
          <w:highlight w:val="none"/>
        </w:rPr>
      </w:pPr>
      <w:bookmarkStart w:id="773" w:name="_Toc6955"/>
      <w:bookmarkStart w:id="774" w:name="_Toc757204324"/>
      <w:bookmarkStart w:id="775" w:name="_Toc12252"/>
      <w:bookmarkStart w:id="776" w:name="_Toc20702"/>
      <w:bookmarkStart w:id="777" w:name="_Toc745"/>
      <w:bookmarkStart w:id="778" w:name="_Toc1074641519"/>
      <w:bookmarkStart w:id="779" w:name="_Toc7220"/>
      <w:bookmarkStart w:id="780" w:name="_Toc5712"/>
      <w:bookmarkStart w:id="781" w:name="_Toc25046"/>
      <w:r>
        <w:rPr>
          <w:rFonts w:hint="eastAsia" w:ascii="Times New Roman" w:hAnsi="Times New Roman" w:eastAsia="方正楷体_GBK" w:cs="方正楷体_GBK"/>
          <w:color w:val="auto"/>
          <w:sz w:val="32"/>
          <w:szCs w:val="32"/>
          <w:highlight w:val="none"/>
        </w:rPr>
        <w:t>第二节 加强公正高效权威司法</w:t>
      </w:r>
      <w:bookmarkEnd w:id="773"/>
      <w:bookmarkEnd w:id="774"/>
      <w:bookmarkEnd w:id="775"/>
      <w:bookmarkEnd w:id="776"/>
      <w:bookmarkEnd w:id="777"/>
      <w:bookmarkEnd w:id="778"/>
      <w:bookmarkEnd w:id="779"/>
      <w:bookmarkEnd w:id="780"/>
      <w:bookmarkEnd w:id="781"/>
    </w:p>
    <w:p w14:paraId="1BC69808">
      <w:pPr>
        <w:pStyle w:val="19"/>
        <w:overflowPunct w:val="0"/>
        <w:adjustRightInd w:val="0"/>
        <w:snapToGrid w:val="0"/>
        <w:spacing w:beforeAutospacing="0" w:afterAutospacing="0" w:line="600" w:lineRule="exact"/>
        <w:ind w:firstLine="640" w:firstLineChars="200"/>
        <w:jc w:val="both"/>
        <w:rPr>
          <w:rFonts w:ascii="Times New Roman" w:hAnsi="Times New Roman" w:eastAsia="方正仿宋_GBK"/>
          <w:bCs/>
          <w:color w:val="auto"/>
          <w:sz w:val="32"/>
          <w:szCs w:val="32"/>
          <w:highlight w:val="none"/>
        </w:rPr>
      </w:pPr>
      <w:r>
        <w:rPr>
          <w:rFonts w:ascii="Times New Roman" w:hAnsi="Times New Roman" w:eastAsia="方正仿宋_GBK"/>
          <w:bCs/>
          <w:color w:val="auto"/>
          <w:sz w:val="32"/>
          <w:szCs w:val="32"/>
          <w:highlight w:val="none"/>
        </w:rPr>
        <w:t>深化司法体制综合配套改革，全面落实司法责任制，完善监察权、侦查权、检察权、审判权、执行权相互配合、相互制约的体制机制，严格规范</w:t>
      </w:r>
      <w:r>
        <w:rPr>
          <w:rFonts w:hint="eastAsia" w:ascii="Times New Roman" w:hAnsi="Times New Roman" w:eastAsia="方正仿宋_GBK"/>
          <w:bCs/>
          <w:color w:val="auto"/>
          <w:sz w:val="32"/>
          <w:szCs w:val="32"/>
          <w:highlight w:val="none"/>
        </w:rPr>
        <w:t>行政</w:t>
      </w:r>
      <w:r>
        <w:rPr>
          <w:rFonts w:ascii="Times New Roman" w:hAnsi="Times New Roman" w:eastAsia="方正仿宋_GBK"/>
          <w:bCs/>
          <w:color w:val="auto"/>
          <w:sz w:val="32"/>
          <w:szCs w:val="32"/>
          <w:highlight w:val="none"/>
        </w:rPr>
        <w:t>执</w:t>
      </w:r>
      <w:r>
        <w:rPr>
          <w:rFonts w:hint="eastAsia" w:ascii="Times New Roman" w:hAnsi="Times New Roman" w:eastAsia="方正仿宋_GBK"/>
          <w:bCs/>
          <w:color w:val="auto"/>
          <w:sz w:val="32"/>
          <w:szCs w:val="32"/>
          <w:highlight w:val="none"/>
        </w:rPr>
        <w:t>法</w:t>
      </w:r>
      <w:r>
        <w:rPr>
          <w:rFonts w:ascii="Times New Roman" w:hAnsi="Times New Roman" w:eastAsia="方正仿宋_GBK"/>
          <w:bCs/>
          <w:color w:val="auto"/>
          <w:sz w:val="32"/>
          <w:szCs w:val="32"/>
          <w:highlight w:val="none"/>
        </w:rPr>
        <w:t>程序</w:t>
      </w:r>
      <w:r>
        <w:rPr>
          <w:rFonts w:hint="eastAsia" w:ascii="Times New Roman" w:hAnsi="Times New Roman" w:eastAsia="方正仿宋_GBK"/>
          <w:bCs/>
          <w:color w:val="auto"/>
          <w:sz w:val="32"/>
          <w:szCs w:val="32"/>
          <w:highlight w:val="none"/>
        </w:rPr>
        <w:t>，</w:t>
      </w:r>
      <w:r>
        <w:rPr>
          <w:rFonts w:ascii="Times New Roman" w:hAnsi="Times New Roman" w:eastAsia="方正仿宋_GBK"/>
          <w:bCs/>
          <w:color w:val="auto"/>
          <w:sz w:val="32"/>
          <w:szCs w:val="32"/>
          <w:highlight w:val="none"/>
        </w:rPr>
        <w:t>依法保障人民群众合法权益。完善执法司法态势分析和信息共享机制，构建执法司法权力全生命周期监督体系，完善司法公正实现和评价机制，加强执法司法案件评查检查与责任追究，提高司法裁判公正性、稳定性、权威性。迭代升级</w:t>
      </w:r>
      <w:r>
        <w:rPr>
          <w:rFonts w:hint="eastAsia" w:ascii="Times New Roman" w:hAnsi="Times New Roman" w:eastAsia="方正仿宋_GBK"/>
          <w:bCs/>
          <w:color w:val="auto"/>
          <w:sz w:val="32"/>
          <w:szCs w:val="32"/>
          <w:highlight w:val="none"/>
        </w:rPr>
        <w:t>执法、</w:t>
      </w:r>
      <w:r>
        <w:rPr>
          <w:rFonts w:ascii="Times New Roman" w:hAnsi="Times New Roman" w:eastAsia="方正仿宋_GBK"/>
          <w:bCs/>
          <w:color w:val="auto"/>
          <w:sz w:val="32"/>
          <w:szCs w:val="32"/>
          <w:highlight w:val="none"/>
        </w:rPr>
        <w:t>政法工作数字化平台</w:t>
      </w:r>
      <w:r>
        <w:rPr>
          <w:rFonts w:hint="eastAsia" w:ascii="Times New Roman" w:hAnsi="Times New Roman" w:eastAsia="方正仿宋_GBK"/>
          <w:bCs/>
          <w:color w:val="auto"/>
          <w:sz w:val="32"/>
          <w:szCs w:val="32"/>
          <w:highlight w:val="none"/>
        </w:rPr>
        <w:t>建设工作</w:t>
      </w:r>
      <w:r>
        <w:rPr>
          <w:rFonts w:ascii="Times New Roman" w:hAnsi="Times New Roman" w:eastAsia="方正仿宋_GBK"/>
          <w:bCs/>
          <w:color w:val="auto"/>
          <w:sz w:val="32"/>
          <w:szCs w:val="32"/>
          <w:highlight w:val="none"/>
        </w:rPr>
        <w:t>。</w:t>
      </w:r>
    </w:p>
    <w:p w14:paraId="177B322C">
      <w:pPr>
        <w:overflowPunct w:val="0"/>
        <w:adjustRightInd w:val="0"/>
        <w:snapToGrid w:val="0"/>
        <w:spacing w:line="600" w:lineRule="exact"/>
        <w:jc w:val="center"/>
        <w:outlineLvl w:val="2"/>
        <w:rPr>
          <w:color w:val="auto"/>
          <w:highlight w:val="none"/>
        </w:rPr>
      </w:pPr>
      <w:bookmarkStart w:id="782" w:name="_Toc344981346"/>
      <w:bookmarkStart w:id="783" w:name="_Toc21068"/>
      <w:bookmarkStart w:id="784" w:name="_Toc27735"/>
      <w:bookmarkStart w:id="785" w:name="_Toc6003"/>
      <w:bookmarkStart w:id="786" w:name="_Toc27676"/>
      <w:bookmarkStart w:id="787" w:name="_Toc1162538563"/>
      <w:bookmarkStart w:id="788" w:name="_Toc6357"/>
      <w:bookmarkStart w:id="789" w:name="_Toc28016"/>
      <w:bookmarkStart w:id="790" w:name="_Toc23706"/>
      <w:r>
        <w:rPr>
          <w:rFonts w:hint="eastAsia" w:ascii="Times New Roman" w:hAnsi="Times New Roman" w:eastAsia="方正楷体_GBK" w:cs="方正楷体_GBK"/>
          <w:color w:val="auto"/>
          <w:sz w:val="32"/>
          <w:szCs w:val="32"/>
          <w:highlight w:val="none"/>
        </w:rPr>
        <w:t>第三节 加强法治社会建设</w:t>
      </w:r>
      <w:bookmarkEnd w:id="782"/>
      <w:bookmarkEnd w:id="783"/>
      <w:bookmarkEnd w:id="784"/>
      <w:bookmarkEnd w:id="785"/>
      <w:bookmarkEnd w:id="786"/>
      <w:bookmarkEnd w:id="787"/>
      <w:bookmarkEnd w:id="788"/>
      <w:bookmarkEnd w:id="789"/>
      <w:bookmarkEnd w:id="790"/>
    </w:p>
    <w:p w14:paraId="0D0B8A0E">
      <w:pPr>
        <w:pStyle w:val="19"/>
        <w:overflowPunct w:val="0"/>
        <w:adjustRightInd w:val="0"/>
        <w:snapToGrid w:val="0"/>
        <w:spacing w:beforeAutospacing="0" w:afterAutospacing="0" w:line="600" w:lineRule="exact"/>
        <w:ind w:firstLine="640" w:firstLineChars="200"/>
        <w:jc w:val="both"/>
        <w:rPr>
          <w:rFonts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color w:val="auto"/>
          <w:sz w:val="32"/>
          <w:szCs w:val="32"/>
          <w:highlight w:val="none"/>
        </w:rPr>
        <w:t>构建社会大普法工作格局，实施公民法治素养提升行动，营造全社会崇尚法治、恪守规则、尊重契约、维护公正</w:t>
      </w:r>
      <w:r>
        <w:rPr>
          <w:rFonts w:ascii="Times New Roman" w:hAnsi="Times New Roman" w:eastAsia="方正仿宋_GBK"/>
          <w:bCs/>
          <w:color w:val="auto"/>
          <w:sz w:val="32"/>
          <w:szCs w:val="32"/>
          <w:highlight w:val="none"/>
        </w:rPr>
        <w:t>的良好环境。推进覆盖城乡的现代公共法律服务体系建设，</w:t>
      </w:r>
      <w:r>
        <w:rPr>
          <w:rFonts w:hint="eastAsia" w:ascii="Times New Roman" w:hAnsi="Times New Roman" w:eastAsia="方正仿宋_GBK"/>
          <w:bCs/>
          <w:color w:val="auto"/>
          <w:sz w:val="32"/>
          <w:szCs w:val="32"/>
          <w:highlight w:val="none"/>
        </w:rPr>
        <w:t>整合律师、公证、调解、仲裁等资源，</w:t>
      </w:r>
      <w:r>
        <w:rPr>
          <w:rFonts w:ascii="Times New Roman" w:hAnsi="Times New Roman" w:eastAsia="方正仿宋_GBK"/>
          <w:bCs/>
          <w:color w:val="auto"/>
          <w:sz w:val="32"/>
          <w:szCs w:val="32"/>
          <w:highlight w:val="none"/>
        </w:rPr>
        <w:t>深化</w:t>
      </w:r>
      <w:r>
        <w:rPr>
          <w:rFonts w:hint="eastAsia" w:ascii="Times New Roman" w:hAnsi="Times New Roman" w:eastAsia="方正仿宋_GBK"/>
          <w:bCs/>
          <w:color w:val="auto"/>
          <w:sz w:val="32"/>
          <w:szCs w:val="32"/>
          <w:highlight w:val="none"/>
          <w:lang w:val="en-US" w:eastAsia="zh-CN"/>
        </w:rPr>
        <w:t>相关</w:t>
      </w:r>
      <w:r>
        <w:rPr>
          <w:rFonts w:ascii="Times New Roman" w:hAnsi="Times New Roman" w:eastAsia="方正仿宋_GBK"/>
          <w:bCs/>
          <w:color w:val="auto"/>
          <w:sz w:val="32"/>
          <w:szCs w:val="32"/>
          <w:highlight w:val="none"/>
        </w:rPr>
        <w:t>领域改革</w:t>
      </w:r>
      <w:r>
        <w:rPr>
          <w:rFonts w:hint="eastAsia" w:ascii="Times New Roman" w:hAnsi="Times New Roman" w:eastAsia="方正仿宋_GBK"/>
          <w:bCs/>
          <w:color w:val="auto"/>
          <w:sz w:val="32"/>
          <w:szCs w:val="32"/>
          <w:highlight w:val="none"/>
          <w:lang w:eastAsia="zh-CN"/>
        </w:rPr>
        <w:t>，</w:t>
      </w:r>
      <w:r>
        <w:rPr>
          <w:rFonts w:hint="eastAsia" w:ascii="Times New Roman" w:hAnsi="Times New Roman" w:eastAsia="方正仿宋_GBK"/>
          <w:bCs/>
          <w:color w:val="auto"/>
          <w:sz w:val="32"/>
          <w:szCs w:val="32"/>
          <w:highlight w:val="none"/>
        </w:rPr>
        <w:t>建设便捷高效的公共法律服务网络，推广“云上法律诊所”等数字化服务</w:t>
      </w:r>
      <w:r>
        <w:rPr>
          <w:rFonts w:hint="eastAsia" w:ascii="Times New Roman" w:hAnsi="Times New Roman" w:eastAsia="方正仿宋_GBK"/>
          <w:bCs/>
          <w:color w:val="auto"/>
          <w:sz w:val="32"/>
          <w:szCs w:val="32"/>
          <w:highlight w:val="none"/>
          <w:lang w:eastAsia="zh-CN"/>
        </w:rPr>
        <w:t>。</w:t>
      </w:r>
      <w:r>
        <w:rPr>
          <w:rFonts w:ascii="Times New Roman" w:hAnsi="Times New Roman" w:eastAsia="方正仿宋_GBK"/>
          <w:bCs/>
          <w:color w:val="auto"/>
          <w:sz w:val="32"/>
          <w:szCs w:val="32"/>
          <w:highlight w:val="none"/>
        </w:rPr>
        <w:t>加强涉外法治建设，深化与东盟等国家地区的区域性法治交流合作，培育涉外法治人才，提升涉外法律服务水</w:t>
      </w:r>
      <w:r>
        <w:rPr>
          <w:rFonts w:hint="eastAsia" w:ascii="Times New Roman" w:hAnsi="Times New Roman" w:eastAsia="方正仿宋_GBK" w:cs="方正仿宋_GBK"/>
          <w:color w:val="auto"/>
          <w:sz w:val="32"/>
          <w:szCs w:val="32"/>
          <w:highlight w:val="none"/>
        </w:rPr>
        <w:t>平。加强行业依法治理，引导和支持各行业依法制定章程、规约。</w:t>
      </w:r>
    </w:p>
    <w:p w14:paraId="068DE84D">
      <w:pPr>
        <w:numPr>
          <w:ilvl w:val="255"/>
          <w:numId w:val="0"/>
        </w:numPr>
        <w:spacing w:line="600" w:lineRule="exact"/>
        <w:jc w:val="left"/>
        <w:rPr>
          <w:rFonts w:ascii="Times New Roman" w:hAnsi="Times New Roman" w:eastAsia="方正黑体_GBK" w:cs="方正黑体_GBK"/>
          <w:color w:val="auto"/>
          <w:sz w:val="32"/>
          <w:szCs w:val="32"/>
          <w:highlight w:val="none"/>
        </w:rPr>
      </w:pPr>
      <w:bookmarkStart w:id="791" w:name="_Toc10404"/>
      <w:bookmarkStart w:id="792" w:name="_Toc24598"/>
      <w:bookmarkStart w:id="793" w:name="_Toc30061"/>
      <w:bookmarkStart w:id="794" w:name="_Toc10973"/>
      <w:bookmarkStart w:id="795" w:name="_Toc25476"/>
      <w:bookmarkStart w:id="796" w:name="_Toc27164"/>
      <w:bookmarkStart w:id="797" w:name="_Toc8868"/>
      <w:bookmarkStart w:id="798" w:name="_Toc20593"/>
    </w:p>
    <w:p w14:paraId="0E36C502">
      <w:pPr>
        <w:numPr>
          <w:ilvl w:val="255"/>
          <w:numId w:val="0"/>
        </w:numPr>
        <w:overflowPunct w:val="0"/>
        <w:adjustRightInd w:val="0"/>
        <w:snapToGrid w:val="0"/>
        <w:spacing w:line="600" w:lineRule="exact"/>
        <w:jc w:val="center"/>
        <w:outlineLvl w:val="1"/>
        <w:rPr>
          <w:rFonts w:ascii="Times New Roman" w:hAnsi="Times New Roman" w:eastAsia="方正黑体_GBK" w:cs="方正黑体_GBK"/>
          <w:color w:val="auto"/>
          <w:sz w:val="32"/>
          <w:szCs w:val="32"/>
          <w:highlight w:val="none"/>
        </w:rPr>
      </w:pPr>
      <w:bookmarkStart w:id="799" w:name="_Toc2043118969"/>
      <w:bookmarkStart w:id="800" w:name="_Toc979407935"/>
      <w:bookmarkStart w:id="801" w:name="_Toc22896"/>
      <w:r>
        <w:rPr>
          <w:rFonts w:hint="eastAsia" w:ascii="Times New Roman" w:hAnsi="Times New Roman" w:eastAsia="方正黑体_GBK" w:cs="方正黑体_GBK"/>
          <w:color w:val="auto"/>
          <w:sz w:val="32"/>
          <w:szCs w:val="32"/>
          <w:highlight w:val="none"/>
        </w:rPr>
        <w:t>第五章 推进社会治理现代化</w:t>
      </w:r>
      <w:bookmarkEnd w:id="791"/>
      <w:bookmarkEnd w:id="792"/>
      <w:bookmarkEnd w:id="793"/>
      <w:bookmarkEnd w:id="794"/>
      <w:bookmarkEnd w:id="795"/>
      <w:bookmarkEnd w:id="796"/>
      <w:bookmarkEnd w:id="797"/>
      <w:bookmarkEnd w:id="798"/>
      <w:bookmarkEnd w:id="799"/>
      <w:bookmarkEnd w:id="800"/>
      <w:bookmarkEnd w:id="801"/>
    </w:p>
    <w:p w14:paraId="12A2F590">
      <w:pPr>
        <w:adjustRightInd w:val="0"/>
        <w:snapToGrid w:val="0"/>
        <w:spacing w:line="600" w:lineRule="exact"/>
        <w:ind w:firstLine="640" w:firstLineChars="200"/>
        <w:textAlignment w:val="baseline"/>
        <w:rPr>
          <w:rFonts w:ascii="Times New Roman" w:hAnsi="Times New Roman" w:eastAsia="方正仿宋_GBK" w:cs="Times New Roman"/>
          <w:bCs/>
          <w:color w:val="auto"/>
          <w:kern w:val="0"/>
          <w:sz w:val="32"/>
          <w:szCs w:val="32"/>
          <w:highlight w:val="none"/>
        </w:rPr>
      </w:pPr>
      <w:r>
        <w:rPr>
          <w:rFonts w:hint="eastAsia" w:ascii="Times New Roman" w:hAnsi="Times New Roman" w:eastAsia="方正仿宋_GBK" w:cs="Times New Roman"/>
          <w:bCs/>
          <w:color w:val="auto"/>
          <w:kern w:val="0"/>
          <w:sz w:val="32"/>
          <w:szCs w:val="32"/>
          <w:highlight w:val="none"/>
        </w:rPr>
        <w:t>坚持</w:t>
      </w:r>
      <w:r>
        <w:rPr>
          <w:rFonts w:ascii="Times New Roman" w:hAnsi="Times New Roman" w:eastAsia="方正仿宋_GBK" w:cs="Times New Roman"/>
          <w:bCs/>
          <w:color w:val="auto"/>
          <w:kern w:val="0"/>
          <w:sz w:val="32"/>
          <w:szCs w:val="32"/>
          <w:highlight w:val="none"/>
        </w:rPr>
        <w:t>以党建为统领、基层为根基、服务为导向，织密</w:t>
      </w:r>
      <w:r>
        <w:rPr>
          <w:rFonts w:hint="eastAsia" w:ascii="Times New Roman" w:hAnsi="Times New Roman" w:eastAsia="方正仿宋_GBK" w:cs="Times New Roman"/>
          <w:bCs/>
          <w:color w:val="auto"/>
          <w:kern w:val="0"/>
          <w:sz w:val="32"/>
          <w:szCs w:val="32"/>
          <w:highlight w:val="none"/>
        </w:rPr>
        <w:t>“</w:t>
      </w:r>
      <w:r>
        <w:rPr>
          <w:rFonts w:ascii="Times New Roman" w:hAnsi="Times New Roman" w:eastAsia="方正仿宋_GBK" w:cs="Times New Roman"/>
          <w:bCs/>
          <w:color w:val="auto"/>
          <w:kern w:val="0"/>
          <w:sz w:val="32"/>
          <w:szCs w:val="32"/>
          <w:highlight w:val="none"/>
        </w:rPr>
        <w:t>党组织+网格+楼栋</w:t>
      </w:r>
      <w:r>
        <w:rPr>
          <w:rFonts w:hint="eastAsia" w:ascii="Times New Roman" w:hAnsi="Times New Roman" w:eastAsia="方正仿宋_GBK" w:cs="Times New Roman"/>
          <w:bCs/>
          <w:color w:val="auto"/>
          <w:kern w:val="0"/>
          <w:sz w:val="32"/>
          <w:szCs w:val="32"/>
          <w:highlight w:val="none"/>
        </w:rPr>
        <w:t>”</w:t>
      </w:r>
      <w:r>
        <w:rPr>
          <w:rFonts w:ascii="Times New Roman" w:hAnsi="Times New Roman" w:eastAsia="方正仿宋_GBK" w:cs="Times New Roman"/>
          <w:bCs/>
          <w:color w:val="auto"/>
          <w:kern w:val="0"/>
          <w:sz w:val="32"/>
          <w:szCs w:val="32"/>
          <w:highlight w:val="none"/>
        </w:rPr>
        <w:t>组织链条</w:t>
      </w:r>
      <w:r>
        <w:rPr>
          <w:rFonts w:hint="eastAsia" w:ascii="Times New Roman" w:hAnsi="Times New Roman" w:eastAsia="方正仿宋_GBK" w:cs="Times New Roman"/>
          <w:bCs/>
          <w:color w:val="auto"/>
          <w:kern w:val="0"/>
          <w:sz w:val="32"/>
          <w:szCs w:val="32"/>
          <w:highlight w:val="none"/>
        </w:rPr>
        <w:t>，</w:t>
      </w:r>
      <w:r>
        <w:rPr>
          <w:rFonts w:ascii="Times New Roman" w:hAnsi="Times New Roman" w:eastAsia="方正仿宋_GBK" w:cs="Times New Roman"/>
          <w:bCs/>
          <w:color w:val="auto"/>
          <w:kern w:val="0"/>
          <w:sz w:val="32"/>
          <w:szCs w:val="32"/>
          <w:highlight w:val="none"/>
        </w:rPr>
        <w:t>提升社区治理服务效能惠民生，构建共建共治共享治理格局。</w:t>
      </w:r>
    </w:p>
    <w:p w14:paraId="1A1166F6">
      <w:pPr>
        <w:overflowPunct w:val="0"/>
        <w:adjustRightInd w:val="0"/>
        <w:snapToGrid w:val="0"/>
        <w:spacing w:line="600" w:lineRule="exact"/>
        <w:jc w:val="center"/>
        <w:outlineLvl w:val="2"/>
        <w:rPr>
          <w:color w:val="auto"/>
          <w:highlight w:val="none"/>
        </w:rPr>
      </w:pPr>
      <w:bookmarkStart w:id="802" w:name="_Toc13373"/>
      <w:bookmarkStart w:id="803" w:name="_Toc18672"/>
      <w:bookmarkStart w:id="804" w:name="_Toc6872"/>
      <w:bookmarkStart w:id="805" w:name="_Toc436996453"/>
      <w:bookmarkStart w:id="806" w:name="_Toc26823"/>
      <w:bookmarkStart w:id="807" w:name="_Toc4880"/>
      <w:bookmarkStart w:id="808" w:name="_Toc447009290"/>
      <w:bookmarkStart w:id="809" w:name="_Toc14628"/>
      <w:bookmarkStart w:id="810" w:name="_Toc18822"/>
      <w:r>
        <w:rPr>
          <w:rFonts w:hint="eastAsia" w:ascii="Times New Roman" w:hAnsi="Times New Roman" w:eastAsia="方正楷体_GBK" w:cs="方正楷体_GBK"/>
          <w:color w:val="auto"/>
          <w:sz w:val="32"/>
          <w:szCs w:val="32"/>
          <w:highlight w:val="none"/>
        </w:rPr>
        <w:t>第一节 健全党建引领基层治理体系</w:t>
      </w:r>
      <w:bookmarkEnd w:id="802"/>
      <w:bookmarkEnd w:id="803"/>
      <w:bookmarkEnd w:id="804"/>
      <w:bookmarkEnd w:id="805"/>
      <w:bookmarkEnd w:id="806"/>
      <w:bookmarkEnd w:id="807"/>
      <w:bookmarkEnd w:id="808"/>
    </w:p>
    <w:p w14:paraId="6D0C3A44">
      <w:pPr>
        <w:pStyle w:val="19"/>
        <w:overflowPunct w:val="0"/>
        <w:adjustRightInd w:val="0"/>
        <w:snapToGrid w:val="0"/>
        <w:spacing w:beforeAutospacing="0" w:afterAutospacing="0" w:line="600" w:lineRule="exact"/>
        <w:ind w:firstLine="640" w:firstLineChars="200"/>
        <w:jc w:val="both"/>
        <w:rPr>
          <w:rFonts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color w:val="auto"/>
          <w:sz w:val="32"/>
          <w:szCs w:val="32"/>
          <w:highlight w:val="none"/>
        </w:rPr>
        <w:t>迭代</w:t>
      </w:r>
      <w:r>
        <w:rPr>
          <w:rFonts w:hint="eastAsia" w:ascii="Times New Roman" w:hAnsi="Times New Roman" w:eastAsia="方正仿宋_GBK" w:cs="方正仿宋_GBK"/>
          <w:color w:val="auto"/>
          <w:sz w:val="32"/>
          <w:szCs w:val="32"/>
          <w:highlight w:val="none"/>
          <w:lang w:val="en-US" w:eastAsia="zh-CN"/>
        </w:rPr>
        <w:t>提升</w:t>
      </w:r>
      <w:r>
        <w:rPr>
          <w:rFonts w:hint="eastAsia" w:ascii="Times New Roman" w:hAnsi="Times New Roman" w:eastAsia="方正仿宋_GBK" w:cs="方正仿宋_GBK"/>
          <w:color w:val="auto"/>
          <w:sz w:val="32"/>
          <w:szCs w:val="32"/>
          <w:highlight w:val="none"/>
        </w:rPr>
        <w:t>党建统领“141”基层智治体系实战效能，完善乡镇（街道）履职事项清单编制运行机制，健全村（社区）工作事项准入制度。健全机关、国企、学校、事业单位等各领域党组织发挥实质作用有效机制，强化新经济组织、新社会组织、新就业群体党的建设，加快打造新时代“红岩先锋”变革型组织。加强社会组织的培育和监管，依法依规推动行业协会商会等改革发展，</w:t>
      </w:r>
      <w:r>
        <w:rPr>
          <w:rFonts w:hint="eastAsia" w:ascii="Times New Roman" w:hAnsi="Times New Roman" w:eastAsia="方正仿宋_GBK" w:cs="方正仿宋_GBK"/>
          <w:color w:val="auto"/>
          <w:sz w:val="32"/>
          <w:szCs w:val="32"/>
          <w:highlight w:val="none"/>
          <w:lang w:val="en-US" w:eastAsia="zh-CN"/>
        </w:rPr>
        <w:t>打造更多</w:t>
      </w:r>
      <w:r>
        <w:rPr>
          <w:rFonts w:hint="eastAsia" w:ascii="Times New Roman" w:hAnsi="Times New Roman" w:eastAsia="方正仿宋_GBK" w:cs="方正仿宋_GBK"/>
          <w:color w:val="auto"/>
          <w:sz w:val="32"/>
          <w:szCs w:val="32"/>
          <w:highlight w:val="none"/>
        </w:rPr>
        <w:t>“渝会有为”品牌</w:t>
      </w:r>
      <w:r>
        <w:rPr>
          <w:rFonts w:hint="eastAsia" w:ascii="Times New Roman" w:hAnsi="Times New Roman" w:eastAsia="方正仿宋_GBK" w:cs="方正仿宋_GBK"/>
          <w:color w:val="auto"/>
          <w:sz w:val="32"/>
          <w:szCs w:val="32"/>
          <w:highlight w:val="none"/>
          <w:lang w:val="en-US" w:eastAsia="zh-CN"/>
        </w:rPr>
        <w:t>案例</w:t>
      </w:r>
      <w:r>
        <w:rPr>
          <w:rFonts w:hint="eastAsia" w:ascii="Times New Roman" w:hAnsi="Times New Roman" w:eastAsia="方正仿宋_GBK" w:cs="方正仿宋_GBK"/>
          <w:color w:val="auto"/>
          <w:sz w:val="32"/>
          <w:szCs w:val="32"/>
          <w:highlight w:val="none"/>
        </w:rPr>
        <w:t>。</w:t>
      </w:r>
      <w:r>
        <w:rPr>
          <w:rFonts w:hint="eastAsia" w:ascii="Times New Roman" w:hAnsi="Times New Roman" w:eastAsia="方正仿宋_GBK" w:cs="方正仿宋_GBK"/>
          <w:color w:val="auto"/>
          <w:sz w:val="32"/>
          <w:szCs w:val="32"/>
          <w:highlight w:val="none"/>
          <w:lang w:val="en-US" w:eastAsia="zh-CN"/>
        </w:rPr>
        <w:t>落地</w:t>
      </w:r>
      <w:r>
        <w:rPr>
          <w:rFonts w:hint="eastAsia" w:ascii="Times New Roman" w:hAnsi="Times New Roman" w:eastAsia="方正仿宋_GBK" w:cs="方正仿宋_GBK"/>
          <w:color w:val="auto"/>
          <w:sz w:val="32"/>
          <w:szCs w:val="32"/>
          <w:highlight w:val="none"/>
        </w:rPr>
        <w:t>实施“头雁领航·强村富民”工程，加强村（社区）“两委”班子建设。健全凝聚服务群众工作机制，加强乡村治理、社区治理，</w:t>
      </w:r>
      <w:r>
        <w:rPr>
          <w:rFonts w:hint="eastAsia" w:ascii="Times New Roman" w:hAnsi="Times New Roman" w:eastAsia="方正仿宋_GBK" w:cs="方正仿宋_GBK"/>
          <w:color w:val="auto"/>
          <w:sz w:val="32"/>
          <w:szCs w:val="32"/>
          <w:highlight w:val="none"/>
          <w:lang w:val="en-US" w:eastAsia="zh-CN"/>
        </w:rPr>
        <w:t>融入</w:t>
      </w:r>
      <w:r>
        <w:rPr>
          <w:rFonts w:hint="eastAsia" w:ascii="Times New Roman" w:hAnsi="Times New Roman" w:eastAsia="方正仿宋_GBK" w:cs="方正仿宋_GBK"/>
          <w:color w:val="auto"/>
          <w:sz w:val="32"/>
          <w:szCs w:val="32"/>
          <w:highlight w:val="none"/>
        </w:rPr>
        <w:t>“渝里乡约”建设，完善服务设施和经费保障机制，提升基层服务管理能力。规范发展志愿服务，打造</w:t>
      </w:r>
      <w:r>
        <w:rPr>
          <w:rFonts w:hint="eastAsia" w:ascii="Times New Roman" w:hAnsi="Times New Roman" w:eastAsia="方正仿宋_GBK" w:cs="方正仿宋_GBK"/>
          <w:color w:val="auto"/>
          <w:sz w:val="32"/>
          <w:szCs w:val="32"/>
          <w:highlight w:val="none"/>
          <w:lang w:val="en-US" w:eastAsia="zh-CN"/>
        </w:rPr>
        <w:t>具有重庆高新区特色的</w:t>
      </w:r>
      <w:r>
        <w:rPr>
          <w:rFonts w:hint="eastAsia" w:ascii="Times New Roman" w:hAnsi="Times New Roman" w:eastAsia="方正仿宋_GBK" w:cs="方正仿宋_GBK"/>
          <w:color w:val="auto"/>
          <w:sz w:val="32"/>
          <w:szCs w:val="32"/>
          <w:highlight w:val="none"/>
        </w:rPr>
        <w:t>“渝善渝美”志愿服务品牌</w:t>
      </w:r>
      <w:r>
        <w:rPr>
          <w:rFonts w:hint="eastAsia" w:ascii="Times New Roman" w:hAnsi="Times New Roman" w:eastAsia="方正仿宋_GBK" w:cs="方正仿宋_GBK"/>
          <w:color w:val="auto"/>
          <w:sz w:val="32"/>
          <w:szCs w:val="32"/>
          <w:highlight w:val="none"/>
          <w:lang w:val="en-US" w:eastAsia="zh-CN"/>
        </w:rPr>
        <w:t>案例</w:t>
      </w:r>
      <w:r>
        <w:rPr>
          <w:rFonts w:hint="eastAsia" w:ascii="Times New Roman" w:hAnsi="Times New Roman" w:eastAsia="方正仿宋_GBK" w:cs="方正仿宋_GBK"/>
          <w:color w:val="auto"/>
          <w:sz w:val="32"/>
          <w:szCs w:val="32"/>
          <w:highlight w:val="none"/>
        </w:rPr>
        <w:t>。健全为基层减负长效机制。</w:t>
      </w:r>
      <w:bookmarkStart w:id="811" w:name="TitleIndex244"/>
      <w:bookmarkEnd w:id="811"/>
      <w:r>
        <w:rPr>
          <w:rFonts w:hint="eastAsia" w:ascii="Times New Roman" w:hAnsi="Times New Roman" w:eastAsia="方正仿宋_GBK" w:cs="方正仿宋_GBK"/>
          <w:color w:val="auto"/>
          <w:sz w:val="32"/>
          <w:szCs w:val="32"/>
          <w:highlight w:val="none"/>
        </w:rPr>
        <w:t>建立涉众型经济犯罪、网络安全、心理健康问题等新型风险识别预警和源头治理机制，完善社会心理疏导和危机干预机制。构建数字赋能多跨协同“大调解”体系，加强人民法庭、派出所、派驻检察室、司法所等场所标准化建设，持续推进综治中心规范化建设，法治化推动矛盾纠纷源头化解、多元化解、有序化解。深化党建引领“民呼我为”改革，推进信访工作法治化，强化信访问题实质性解决。</w:t>
      </w:r>
    </w:p>
    <w:p w14:paraId="190EB7A3">
      <w:pPr>
        <w:overflowPunct w:val="0"/>
        <w:adjustRightInd w:val="0"/>
        <w:snapToGrid w:val="0"/>
        <w:spacing w:line="600" w:lineRule="exact"/>
        <w:jc w:val="center"/>
        <w:outlineLvl w:val="2"/>
        <w:rPr>
          <w:color w:val="auto"/>
          <w:highlight w:val="none"/>
        </w:rPr>
      </w:pPr>
      <w:bookmarkStart w:id="812" w:name="_Toc987339824"/>
      <w:bookmarkStart w:id="813" w:name="_Toc670"/>
      <w:bookmarkStart w:id="814" w:name="_Toc205312831"/>
      <w:bookmarkStart w:id="815" w:name="_Toc15950"/>
      <w:bookmarkStart w:id="816" w:name="_Toc17609"/>
      <w:bookmarkStart w:id="817" w:name="_Toc32657"/>
      <w:bookmarkStart w:id="818" w:name="_Toc3771"/>
      <w:bookmarkStart w:id="819" w:name="_Toc39"/>
      <w:bookmarkStart w:id="820" w:name="_Toc4046"/>
      <w:bookmarkStart w:id="821" w:name="_Toc15369"/>
      <w:r>
        <w:rPr>
          <w:rFonts w:hint="eastAsia" w:ascii="Times New Roman" w:hAnsi="Times New Roman" w:eastAsia="方正楷体_GBK" w:cs="方正楷体_GBK"/>
          <w:color w:val="auto"/>
          <w:sz w:val="32"/>
          <w:szCs w:val="32"/>
          <w:highlight w:val="none"/>
        </w:rPr>
        <w:t>第二节 提升基层社会治理水平</w:t>
      </w:r>
      <w:bookmarkEnd w:id="812"/>
      <w:bookmarkEnd w:id="813"/>
      <w:bookmarkEnd w:id="814"/>
      <w:bookmarkEnd w:id="815"/>
      <w:bookmarkEnd w:id="816"/>
      <w:bookmarkEnd w:id="817"/>
      <w:bookmarkEnd w:id="818"/>
      <w:bookmarkEnd w:id="819"/>
      <w:bookmarkEnd w:id="820"/>
    </w:p>
    <w:p w14:paraId="46D0F1FA">
      <w:pPr>
        <w:adjustRightInd w:val="0"/>
        <w:snapToGrid w:val="0"/>
        <w:spacing w:line="600" w:lineRule="exact"/>
        <w:ind w:firstLine="640" w:firstLineChars="200"/>
        <w:textAlignment w:val="baseline"/>
        <w:rPr>
          <w:rFonts w:ascii="Times New Roman" w:hAnsi="Times New Roman" w:eastAsia="方正仿宋_GBK" w:cs="Times New Roman"/>
          <w:bCs/>
          <w:color w:val="auto"/>
          <w:kern w:val="0"/>
          <w:sz w:val="32"/>
          <w:szCs w:val="32"/>
          <w:highlight w:val="none"/>
        </w:rPr>
      </w:pPr>
      <w:r>
        <w:rPr>
          <w:rFonts w:hint="eastAsia" w:ascii="Times New Roman" w:hAnsi="Times New Roman" w:eastAsia="方正仿宋_GBK" w:cs="Times New Roman"/>
          <w:bCs/>
          <w:color w:val="auto"/>
          <w:kern w:val="0"/>
          <w:sz w:val="32"/>
          <w:szCs w:val="32"/>
          <w:highlight w:val="none"/>
        </w:rPr>
        <w:t>坚持党建引领基层高效能治理，以提升群众获得感、幸福感、安全感为目标，深化具有科学城辨识度的基层治理创新实践。持续强化党组织在基层治理中的领导核心作用，推广“党建+民非”等模式，推动资源、服务、管理向基层下沉，将党的政治优势、组织优势转化为治理效能。全面深化数智赋能，推动“城市大脑”与“1+2”综治中心体系深度融合，构建宽口径、全量化的社会治理数字基座。拓展“共享电单车监管一件事”等智能应用场景，完善“感知预警—决策处置”闭环，推动治理模式从“被动响应”向“主动发现、未诉先办”转型，实现“一屏观全域、一网揽全局”。坚持和发展新时代“枫桥经验”，优化“五带四沉三协同”区带镇街工作机制与“网格+镇街+区中心”分层过滤体系，确保矛盾纠纷化解率稳定在98%以上，基本实现“小事不出村、大事不出镇、矛盾不上交”。</w:t>
      </w:r>
    </w:p>
    <w:p w14:paraId="78A332A5">
      <w:pPr>
        <w:overflowPunct w:val="0"/>
        <w:adjustRightInd w:val="0"/>
        <w:snapToGrid w:val="0"/>
        <w:spacing w:line="600" w:lineRule="exact"/>
        <w:jc w:val="center"/>
        <w:outlineLvl w:val="2"/>
        <w:rPr>
          <w:color w:val="auto"/>
          <w:highlight w:val="none"/>
        </w:rPr>
      </w:pPr>
      <w:bookmarkStart w:id="822" w:name="_Toc1227"/>
      <w:bookmarkStart w:id="823" w:name="_Toc19728"/>
      <w:bookmarkStart w:id="824" w:name="_Toc614281599"/>
      <w:bookmarkStart w:id="825" w:name="_Toc1834013535"/>
      <w:bookmarkStart w:id="826" w:name="_Toc10484"/>
      <w:bookmarkStart w:id="827" w:name="_Toc9358"/>
      <w:r>
        <w:rPr>
          <w:rFonts w:hint="eastAsia" w:ascii="Times New Roman" w:hAnsi="Times New Roman" w:eastAsia="方正楷体_GBK" w:cs="方正楷体_GBK"/>
          <w:color w:val="auto"/>
          <w:sz w:val="32"/>
          <w:szCs w:val="32"/>
          <w:highlight w:val="none"/>
        </w:rPr>
        <w:t>第三节 提升社区治理服务效能</w:t>
      </w:r>
      <w:bookmarkEnd w:id="809"/>
      <w:bookmarkEnd w:id="810"/>
      <w:bookmarkEnd w:id="821"/>
      <w:bookmarkEnd w:id="822"/>
      <w:bookmarkEnd w:id="823"/>
      <w:bookmarkEnd w:id="824"/>
      <w:bookmarkEnd w:id="825"/>
      <w:bookmarkEnd w:id="826"/>
      <w:bookmarkEnd w:id="827"/>
    </w:p>
    <w:p w14:paraId="4980EA65">
      <w:pPr>
        <w:adjustRightInd w:val="0"/>
        <w:snapToGrid w:val="0"/>
        <w:spacing w:line="600" w:lineRule="exact"/>
        <w:ind w:firstLine="640" w:firstLineChars="200"/>
        <w:textAlignment w:val="baseline"/>
        <w:rPr>
          <w:rFonts w:hint="eastAsia" w:ascii="Times New Roman" w:hAnsi="Times New Roman" w:eastAsia="方正仿宋_GBK" w:cs="Times New Roman"/>
          <w:bCs/>
          <w:color w:val="auto"/>
          <w:kern w:val="0"/>
          <w:sz w:val="32"/>
          <w:szCs w:val="32"/>
          <w:highlight w:val="none"/>
          <w:lang w:eastAsia="zh-CN"/>
        </w:rPr>
      </w:pPr>
      <w:r>
        <w:rPr>
          <w:rFonts w:ascii="Times New Roman" w:hAnsi="Times New Roman" w:eastAsia="方正仿宋_GBK" w:cs="Times New Roman"/>
          <w:bCs/>
          <w:color w:val="auto"/>
          <w:kern w:val="0"/>
          <w:sz w:val="32"/>
          <w:szCs w:val="32"/>
          <w:highlight w:val="none"/>
        </w:rPr>
        <w:t>聚焦社区基础单元，以提升居民生活品质为核心，着力增强社区治理服务效能，构建精准高效、共建共享的</w:t>
      </w:r>
      <w:r>
        <w:rPr>
          <w:rFonts w:hint="eastAsia" w:ascii="Times New Roman" w:hAnsi="Times New Roman" w:eastAsia="方正仿宋_GBK" w:cs="Times New Roman"/>
          <w:bCs/>
          <w:color w:val="auto"/>
          <w:kern w:val="0"/>
          <w:sz w:val="32"/>
          <w:szCs w:val="32"/>
          <w:highlight w:val="none"/>
        </w:rPr>
        <w:t>“</w:t>
      </w:r>
      <w:r>
        <w:rPr>
          <w:rFonts w:ascii="Times New Roman" w:hAnsi="Times New Roman" w:eastAsia="方正仿宋_GBK" w:cs="Times New Roman"/>
          <w:bCs/>
          <w:color w:val="auto"/>
          <w:kern w:val="0"/>
          <w:sz w:val="32"/>
          <w:szCs w:val="32"/>
          <w:highlight w:val="none"/>
        </w:rPr>
        <w:t>美好生活共同体</w:t>
      </w:r>
      <w:r>
        <w:rPr>
          <w:rFonts w:hint="eastAsia" w:ascii="Times New Roman" w:hAnsi="Times New Roman" w:eastAsia="方正仿宋_GBK" w:cs="Times New Roman"/>
          <w:bCs/>
          <w:color w:val="auto"/>
          <w:kern w:val="0"/>
          <w:sz w:val="32"/>
          <w:szCs w:val="32"/>
          <w:highlight w:val="none"/>
        </w:rPr>
        <w:t>”</w:t>
      </w:r>
      <w:r>
        <w:rPr>
          <w:rFonts w:ascii="Times New Roman" w:hAnsi="Times New Roman" w:eastAsia="方正仿宋_GBK" w:cs="Times New Roman"/>
          <w:bCs/>
          <w:color w:val="auto"/>
          <w:kern w:val="0"/>
          <w:sz w:val="32"/>
          <w:szCs w:val="32"/>
          <w:highlight w:val="none"/>
        </w:rPr>
        <w:t>。深化</w:t>
      </w:r>
      <w:r>
        <w:rPr>
          <w:rFonts w:hint="eastAsia" w:ascii="Times New Roman" w:hAnsi="Times New Roman" w:eastAsia="方正仿宋_GBK" w:cs="Times New Roman"/>
          <w:bCs/>
          <w:color w:val="auto"/>
          <w:kern w:val="0"/>
          <w:sz w:val="32"/>
          <w:szCs w:val="32"/>
          <w:highlight w:val="none"/>
        </w:rPr>
        <w:t>“</w:t>
      </w:r>
      <w:r>
        <w:rPr>
          <w:rFonts w:ascii="Times New Roman" w:hAnsi="Times New Roman" w:eastAsia="方正仿宋_GBK" w:cs="Times New Roman"/>
          <w:bCs/>
          <w:color w:val="auto"/>
          <w:kern w:val="0"/>
          <w:sz w:val="32"/>
          <w:szCs w:val="32"/>
          <w:highlight w:val="none"/>
        </w:rPr>
        <w:t>社区党组织</w:t>
      </w:r>
      <w:r>
        <w:rPr>
          <w:rFonts w:hint="eastAsia" w:ascii="Times New Roman" w:hAnsi="Times New Roman" w:eastAsia="方正仿宋_GBK" w:cs="Times New Roman"/>
          <w:bCs/>
          <w:color w:val="auto"/>
          <w:kern w:val="0"/>
          <w:sz w:val="32"/>
          <w:szCs w:val="32"/>
          <w:highlight w:val="none"/>
          <w:lang w:eastAsia="zh-CN"/>
        </w:rPr>
        <w:t>—</w:t>
      </w:r>
      <w:r>
        <w:rPr>
          <w:rFonts w:ascii="Times New Roman" w:hAnsi="Times New Roman" w:eastAsia="方正仿宋_GBK" w:cs="Times New Roman"/>
          <w:bCs/>
          <w:color w:val="auto"/>
          <w:kern w:val="0"/>
          <w:sz w:val="32"/>
          <w:szCs w:val="32"/>
          <w:highlight w:val="none"/>
        </w:rPr>
        <w:t>网格党支部</w:t>
      </w:r>
      <w:r>
        <w:rPr>
          <w:rFonts w:hint="eastAsia" w:ascii="Times New Roman" w:hAnsi="Times New Roman" w:eastAsia="方正仿宋_GBK" w:cs="Times New Roman"/>
          <w:bCs/>
          <w:color w:val="auto"/>
          <w:kern w:val="0"/>
          <w:sz w:val="32"/>
          <w:szCs w:val="32"/>
          <w:highlight w:val="none"/>
          <w:lang w:eastAsia="zh-CN"/>
        </w:rPr>
        <w:t>—</w:t>
      </w:r>
      <w:r>
        <w:rPr>
          <w:rFonts w:ascii="Times New Roman" w:hAnsi="Times New Roman" w:eastAsia="方正仿宋_GBK" w:cs="Times New Roman"/>
          <w:bCs/>
          <w:color w:val="auto"/>
          <w:kern w:val="0"/>
          <w:sz w:val="32"/>
          <w:szCs w:val="32"/>
          <w:highlight w:val="none"/>
        </w:rPr>
        <w:t>楼栋党小组</w:t>
      </w:r>
      <w:r>
        <w:rPr>
          <w:rFonts w:hint="eastAsia" w:ascii="Times New Roman" w:hAnsi="Times New Roman" w:eastAsia="方正仿宋_GBK" w:cs="Times New Roman"/>
          <w:bCs/>
          <w:color w:val="auto"/>
          <w:kern w:val="0"/>
          <w:sz w:val="32"/>
          <w:szCs w:val="32"/>
          <w:highlight w:val="none"/>
        </w:rPr>
        <w:t>”</w:t>
      </w:r>
      <w:r>
        <w:rPr>
          <w:rFonts w:ascii="Times New Roman" w:hAnsi="Times New Roman" w:eastAsia="方正仿宋_GBK" w:cs="Times New Roman"/>
          <w:bCs/>
          <w:color w:val="auto"/>
          <w:kern w:val="0"/>
          <w:sz w:val="32"/>
          <w:szCs w:val="32"/>
          <w:highlight w:val="none"/>
        </w:rPr>
        <w:t>组织链条，推广</w:t>
      </w:r>
      <w:r>
        <w:rPr>
          <w:rFonts w:hint="eastAsia" w:ascii="Times New Roman" w:hAnsi="Times New Roman" w:eastAsia="方正仿宋_GBK" w:cs="Times New Roman"/>
          <w:bCs/>
          <w:color w:val="auto"/>
          <w:kern w:val="0"/>
          <w:sz w:val="32"/>
          <w:szCs w:val="32"/>
          <w:highlight w:val="none"/>
        </w:rPr>
        <w:t>“</w:t>
      </w:r>
      <w:r>
        <w:rPr>
          <w:rFonts w:ascii="Times New Roman" w:hAnsi="Times New Roman" w:eastAsia="方正仿宋_GBK" w:cs="Times New Roman"/>
          <w:bCs/>
          <w:color w:val="auto"/>
          <w:kern w:val="0"/>
          <w:sz w:val="32"/>
          <w:szCs w:val="32"/>
          <w:highlight w:val="none"/>
        </w:rPr>
        <w:t>红色议事厅</w:t>
      </w:r>
      <w:r>
        <w:rPr>
          <w:rFonts w:hint="eastAsia" w:ascii="Times New Roman" w:hAnsi="Times New Roman" w:eastAsia="方正仿宋_GBK" w:cs="Times New Roman"/>
          <w:bCs/>
          <w:color w:val="auto"/>
          <w:kern w:val="0"/>
          <w:sz w:val="32"/>
          <w:szCs w:val="32"/>
          <w:highlight w:val="none"/>
        </w:rPr>
        <w:t>”</w:t>
      </w:r>
      <w:r>
        <w:rPr>
          <w:rFonts w:ascii="Times New Roman" w:hAnsi="Times New Roman" w:eastAsia="方正仿宋_GBK" w:cs="Times New Roman"/>
          <w:bCs/>
          <w:color w:val="auto"/>
          <w:kern w:val="0"/>
          <w:sz w:val="32"/>
          <w:szCs w:val="32"/>
          <w:highlight w:val="none"/>
        </w:rPr>
        <w:t>等协商平台，确保党的组织和工作在社区治理中全面覆盖、有效引领。全面推进数智赋能社区</w:t>
      </w:r>
      <w:r>
        <w:rPr>
          <w:rFonts w:hint="eastAsia" w:ascii="Times New Roman" w:hAnsi="Times New Roman" w:eastAsia="方正仿宋_GBK" w:cs="Times New Roman"/>
          <w:bCs/>
          <w:color w:val="auto"/>
          <w:kern w:val="0"/>
          <w:sz w:val="32"/>
          <w:szCs w:val="32"/>
          <w:highlight w:val="none"/>
        </w:rPr>
        <w:t>建设</w:t>
      </w:r>
      <w:r>
        <w:rPr>
          <w:rFonts w:ascii="Times New Roman" w:hAnsi="Times New Roman" w:eastAsia="方正仿宋_GBK" w:cs="Times New Roman"/>
          <w:bCs/>
          <w:color w:val="auto"/>
          <w:kern w:val="0"/>
          <w:sz w:val="32"/>
          <w:szCs w:val="32"/>
          <w:highlight w:val="none"/>
        </w:rPr>
        <w:t>，推动</w:t>
      </w:r>
      <w:r>
        <w:rPr>
          <w:rFonts w:hint="eastAsia" w:ascii="Times New Roman" w:hAnsi="Times New Roman" w:eastAsia="方正仿宋_GBK" w:cs="Times New Roman"/>
          <w:bCs/>
          <w:color w:val="auto"/>
          <w:kern w:val="0"/>
          <w:sz w:val="32"/>
          <w:szCs w:val="32"/>
          <w:highlight w:val="none"/>
        </w:rPr>
        <w:t>“</w:t>
      </w:r>
      <w:r>
        <w:rPr>
          <w:rFonts w:ascii="Times New Roman" w:hAnsi="Times New Roman" w:eastAsia="方正仿宋_GBK" w:cs="Times New Roman"/>
          <w:bCs/>
          <w:color w:val="auto"/>
          <w:kern w:val="0"/>
          <w:sz w:val="32"/>
          <w:szCs w:val="32"/>
          <w:highlight w:val="none"/>
        </w:rPr>
        <w:t>智慧社区</w:t>
      </w:r>
      <w:r>
        <w:rPr>
          <w:rFonts w:hint="eastAsia" w:ascii="Times New Roman" w:hAnsi="Times New Roman" w:eastAsia="方正仿宋_GBK" w:cs="Times New Roman"/>
          <w:bCs/>
          <w:color w:val="auto"/>
          <w:kern w:val="0"/>
          <w:sz w:val="32"/>
          <w:szCs w:val="32"/>
          <w:highlight w:val="none"/>
        </w:rPr>
        <w:t>”</w:t>
      </w:r>
      <w:r>
        <w:rPr>
          <w:rFonts w:ascii="Times New Roman" w:hAnsi="Times New Roman" w:eastAsia="方正仿宋_GBK" w:cs="Times New Roman"/>
          <w:bCs/>
          <w:color w:val="auto"/>
          <w:kern w:val="0"/>
          <w:sz w:val="32"/>
          <w:szCs w:val="32"/>
          <w:highlight w:val="none"/>
        </w:rPr>
        <w:t>平台全覆盖，深化数据互联互通，拓展</w:t>
      </w:r>
      <w:r>
        <w:rPr>
          <w:rFonts w:hint="eastAsia" w:ascii="Times New Roman" w:hAnsi="Times New Roman" w:eastAsia="方正仿宋_GBK" w:cs="Times New Roman"/>
          <w:bCs/>
          <w:color w:val="auto"/>
          <w:kern w:val="0"/>
          <w:sz w:val="32"/>
          <w:szCs w:val="32"/>
          <w:highlight w:val="none"/>
        </w:rPr>
        <w:t>“</w:t>
      </w:r>
      <w:r>
        <w:rPr>
          <w:rFonts w:ascii="Times New Roman" w:hAnsi="Times New Roman" w:eastAsia="方正仿宋_GBK" w:cs="Times New Roman"/>
          <w:bCs/>
          <w:color w:val="auto"/>
          <w:kern w:val="0"/>
          <w:sz w:val="32"/>
          <w:szCs w:val="32"/>
          <w:highlight w:val="none"/>
        </w:rPr>
        <w:t>政策找人</w:t>
      </w:r>
      <w:r>
        <w:rPr>
          <w:rFonts w:hint="eastAsia" w:ascii="Times New Roman" w:hAnsi="Times New Roman" w:eastAsia="方正仿宋_GBK" w:cs="Times New Roman"/>
          <w:bCs/>
          <w:color w:val="auto"/>
          <w:kern w:val="0"/>
          <w:sz w:val="32"/>
          <w:szCs w:val="32"/>
          <w:highlight w:val="none"/>
        </w:rPr>
        <w:t>”</w:t>
      </w:r>
      <w:r>
        <w:rPr>
          <w:rFonts w:ascii="Times New Roman" w:hAnsi="Times New Roman" w:eastAsia="方正仿宋_GBK" w:cs="Times New Roman"/>
          <w:bCs/>
          <w:color w:val="auto"/>
          <w:kern w:val="0"/>
          <w:sz w:val="32"/>
          <w:szCs w:val="32"/>
          <w:highlight w:val="none"/>
        </w:rPr>
        <w:t>、智慧安防、为老助残等精准服务场景，实现社区事务</w:t>
      </w:r>
      <w:r>
        <w:rPr>
          <w:rFonts w:hint="eastAsia" w:ascii="Times New Roman" w:hAnsi="Times New Roman" w:eastAsia="方正仿宋_GBK" w:cs="Times New Roman"/>
          <w:bCs/>
          <w:color w:val="auto"/>
          <w:kern w:val="0"/>
          <w:sz w:val="32"/>
          <w:szCs w:val="32"/>
          <w:highlight w:val="none"/>
        </w:rPr>
        <w:t>“</w:t>
      </w:r>
      <w:r>
        <w:rPr>
          <w:rFonts w:ascii="Times New Roman" w:hAnsi="Times New Roman" w:eastAsia="方正仿宋_GBK" w:cs="Times New Roman"/>
          <w:bCs/>
          <w:color w:val="auto"/>
          <w:kern w:val="0"/>
          <w:sz w:val="32"/>
          <w:szCs w:val="32"/>
          <w:highlight w:val="none"/>
        </w:rPr>
        <w:t>一网通办</w:t>
      </w:r>
      <w:r>
        <w:rPr>
          <w:rFonts w:hint="eastAsia" w:ascii="Times New Roman" w:hAnsi="Times New Roman" w:eastAsia="方正仿宋_GBK" w:cs="Times New Roman"/>
          <w:bCs/>
          <w:color w:val="auto"/>
          <w:kern w:val="0"/>
          <w:sz w:val="32"/>
          <w:szCs w:val="32"/>
          <w:highlight w:val="none"/>
        </w:rPr>
        <w:t>”</w:t>
      </w:r>
      <w:r>
        <w:rPr>
          <w:rFonts w:ascii="Times New Roman" w:hAnsi="Times New Roman" w:eastAsia="方正仿宋_GBK" w:cs="Times New Roman"/>
          <w:bCs/>
          <w:color w:val="auto"/>
          <w:kern w:val="0"/>
          <w:sz w:val="32"/>
          <w:szCs w:val="32"/>
          <w:highlight w:val="none"/>
        </w:rPr>
        <w:t>、居民诉求</w:t>
      </w:r>
      <w:r>
        <w:rPr>
          <w:rFonts w:hint="eastAsia" w:ascii="Times New Roman" w:hAnsi="Times New Roman" w:eastAsia="方正仿宋_GBK" w:cs="Times New Roman"/>
          <w:bCs/>
          <w:color w:val="auto"/>
          <w:kern w:val="0"/>
          <w:sz w:val="32"/>
          <w:szCs w:val="32"/>
          <w:highlight w:val="none"/>
        </w:rPr>
        <w:t>“</w:t>
      </w:r>
      <w:r>
        <w:rPr>
          <w:rFonts w:ascii="Times New Roman" w:hAnsi="Times New Roman" w:eastAsia="方正仿宋_GBK" w:cs="Times New Roman"/>
          <w:bCs/>
          <w:color w:val="auto"/>
          <w:kern w:val="0"/>
          <w:sz w:val="32"/>
          <w:szCs w:val="32"/>
          <w:highlight w:val="none"/>
        </w:rPr>
        <w:t>一键响应</w:t>
      </w:r>
      <w:r>
        <w:rPr>
          <w:rFonts w:hint="eastAsia" w:ascii="Times New Roman" w:hAnsi="Times New Roman" w:eastAsia="方正仿宋_GBK" w:cs="Times New Roman"/>
          <w:bCs/>
          <w:color w:val="auto"/>
          <w:kern w:val="0"/>
          <w:sz w:val="32"/>
          <w:szCs w:val="32"/>
          <w:highlight w:val="none"/>
        </w:rPr>
        <w:t>”</w:t>
      </w:r>
      <w:r>
        <w:rPr>
          <w:rFonts w:ascii="Times New Roman" w:hAnsi="Times New Roman" w:eastAsia="方正仿宋_GBK" w:cs="Times New Roman"/>
          <w:bCs/>
          <w:color w:val="auto"/>
          <w:kern w:val="0"/>
          <w:sz w:val="32"/>
          <w:szCs w:val="32"/>
          <w:highlight w:val="none"/>
        </w:rPr>
        <w:t>。创新协同治理机制，健全</w:t>
      </w:r>
      <w:r>
        <w:rPr>
          <w:rFonts w:hint="eastAsia" w:ascii="Times New Roman" w:hAnsi="Times New Roman" w:eastAsia="方正仿宋_GBK" w:cs="Times New Roman"/>
          <w:bCs/>
          <w:color w:val="auto"/>
          <w:kern w:val="0"/>
          <w:sz w:val="32"/>
          <w:szCs w:val="32"/>
          <w:highlight w:val="none"/>
        </w:rPr>
        <w:t>“</w:t>
      </w:r>
      <w:r>
        <w:rPr>
          <w:rFonts w:ascii="Times New Roman" w:hAnsi="Times New Roman" w:eastAsia="方正仿宋_GBK" w:cs="Times New Roman"/>
          <w:bCs/>
          <w:color w:val="auto"/>
          <w:kern w:val="0"/>
          <w:sz w:val="32"/>
          <w:szCs w:val="32"/>
          <w:highlight w:val="none"/>
        </w:rPr>
        <w:t>五社联动</w:t>
      </w:r>
      <w:r>
        <w:rPr>
          <w:rFonts w:hint="eastAsia" w:ascii="Times New Roman" w:hAnsi="Times New Roman" w:eastAsia="方正仿宋_GBK" w:cs="Times New Roman"/>
          <w:bCs/>
          <w:color w:val="auto"/>
          <w:kern w:val="0"/>
          <w:sz w:val="32"/>
          <w:szCs w:val="32"/>
          <w:highlight w:val="none"/>
        </w:rPr>
        <w:t>”</w:t>
      </w:r>
      <w:r>
        <w:rPr>
          <w:rFonts w:ascii="Times New Roman" w:hAnsi="Times New Roman" w:eastAsia="方正仿宋_GBK" w:cs="Times New Roman"/>
          <w:bCs/>
          <w:color w:val="auto"/>
          <w:kern w:val="0"/>
          <w:sz w:val="32"/>
          <w:szCs w:val="32"/>
          <w:highlight w:val="none"/>
        </w:rPr>
        <w:t>模式，积极培育社区社会组织与志愿服务力量，完善社区工作者专业化职业化体系，引导驻区单位、商户、新市民等多方主体有序参与，形成</w:t>
      </w:r>
      <w:r>
        <w:rPr>
          <w:rFonts w:hint="eastAsia" w:ascii="Times New Roman" w:hAnsi="Times New Roman" w:eastAsia="方正仿宋_GBK" w:cs="Times New Roman"/>
          <w:bCs/>
          <w:color w:val="auto"/>
          <w:kern w:val="0"/>
          <w:sz w:val="32"/>
          <w:szCs w:val="32"/>
          <w:highlight w:val="none"/>
        </w:rPr>
        <w:t>“</w:t>
      </w:r>
      <w:r>
        <w:rPr>
          <w:rFonts w:ascii="Times New Roman" w:hAnsi="Times New Roman" w:eastAsia="方正仿宋_GBK" w:cs="Times New Roman"/>
          <w:bCs/>
          <w:color w:val="auto"/>
          <w:kern w:val="0"/>
          <w:sz w:val="32"/>
          <w:szCs w:val="32"/>
          <w:highlight w:val="none"/>
        </w:rPr>
        <w:t>人人参与、人人尽责</w:t>
      </w:r>
      <w:r>
        <w:rPr>
          <w:rFonts w:hint="eastAsia" w:ascii="Times New Roman" w:hAnsi="Times New Roman" w:eastAsia="方正仿宋_GBK" w:cs="Times New Roman"/>
          <w:bCs/>
          <w:color w:val="auto"/>
          <w:kern w:val="0"/>
          <w:sz w:val="32"/>
          <w:szCs w:val="32"/>
          <w:highlight w:val="none"/>
        </w:rPr>
        <w:t>”</w:t>
      </w:r>
      <w:r>
        <w:rPr>
          <w:rFonts w:ascii="Times New Roman" w:hAnsi="Times New Roman" w:eastAsia="方正仿宋_GBK" w:cs="Times New Roman"/>
          <w:bCs/>
          <w:color w:val="auto"/>
          <w:kern w:val="0"/>
          <w:sz w:val="32"/>
          <w:szCs w:val="32"/>
          <w:highlight w:val="none"/>
        </w:rPr>
        <w:t>的生动局面</w:t>
      </w:r>
      <w:r>
        <w:rPr>
          <w:rFonts w:hint="eastAsia" w:ascii="Times New Roman" w:hAnsi="Times New Roman" w:eastAsia="方正仿宋_GBK" w:cs="Times New Roman"/>
          <w:bCs/>
          <w:color w:val="auto"/>
          <w:kern w:val="0"/>
          <w:sz w:val="32"/>
          <w:szCs w:val="32"/>
          <w:highlight w:val="none"/>
          <w:lang w:eastAsia="zh-CN"/>
        </w:rPr>
        <w:t>。</w:t>
      </w:r>
    </w:p>
    <w:p w14:paraId="51FA7571">
      <w:pPr>
        <w:adjustRightInd w:val="0"/>
        <w:snapToGrid w:val="0"/>
        <w:spacing w:line="600" w:lineRule="exact"/>
        <w:ind w:firstLine="640" w:firstLineChars="200"/>
        <w:textAlignment w:val="baseline"/>
        <w:rPr>
          <w:rFonts w:hint="eastAsia" w:ascii="Times New Roman" w:hAnsi="Times New Roman" w:eastAsia="方正仿宋_GBK" w:cs="Times New Roman"/>
          <w:bCs/>
          <w:color w:val="auto"/>
          <w:kern w:val="0"/>
          <w:sz w:val="32"/>
          <w:szCs w:val="32"/>
          <w:highlight w:val="none"/>
          <w:lang w:eastAsia="zh-CN"/>
        </w:rPr>
      </w:pPr>
    </w:p>
    <w:p w14:paraId="5C7BD3FC">
      <w:pPr>
        <w:numPr>
          <w:ilvl w:val="255"/>
          <w:numId w:val="0"/>
        </w:numPr>
        <w:overflowPunct w:val="0"/>
        <w:adjustRightInd w:val="0"/>
        <w:snapToGrid w:val="0"/>
        <w:spacing w:line="600" w:lineRule="exact"/>
        <w:ind w:firstLine="0" w:firstLineChars="0"/>
        <w:jc w:val="center"/>
        <w:textAlignment w:val="auto"/>
        <w:outlineLvl w:val="1"/>
        <w:rPr>
          <w:rFonts w:hint="eastAsia" w:ascii="Times New Roman" w:hAnsi="Times New Roman" w:eastAsia="方正黑体_GBK" w:cs="方正黑体_GBK"/>
          <w:bCs w:val="0"/>
          <w:color w:val="auto"/>
          <w:kern w:val="2"/>
          <w:sz w:val="32"/>
          <w:szCs w:val="32"/>
          <w:highlight w:val="none"/>
          <w:lang w:val="en-US" w:eastAsia="zh-CN"/>
        </w:rPr>
      </w:pPr>
      <w:bookmarkStart w:id="828" w:name="_Toc1276943264"/>
      <w:bookmarkStart w:id="829" w:name="_Toc1432697354"/>
      <w:bookmarkStart w:id="830" w:name="_Toc1465"/>
      <w:r>
        <w:rPr>
          <w:rFonts w:hint="eastAsia" w:ascii="Times New Roman" w:hAnsi="Times New Roman" w:eastAsia="方正黑体_GBK" w:cs="方正黑体_GBK"/>
          <w:bCs w:val="0"/>
          <w:color w:val="auto"/>
          <w:kern w:val="2"/>
          <w:sz w:val="32"/>
          <w:szCs w:val="32"/>
          <w:highlight w:val="none"/>
          <w:lang w:val="en-US" w:eastAsia="zh-CN"/>
        </w:rPr>
        <w:t>第六章 推动实现高水平城乡融合发展</w:t>
      </w:r>
      <w:bookmarkEnd w:id="828"/>
      <w:bookmarkEnd w:id="829"/>
      <w:bookmarkEnd w:id="830"/>
    </w:p>
    <w:p w14:paraId="24EF71DA">
      <w:pPr>
        <w:pStyle w:val="19"/>
        <w:overflowPunct w:val="0"/>
        <w:spacing w:beforeAutospacing="0" w:afterAutospacing="0" w:line="600" w:lineRule="exact"/>
        <w:ind w:firstLine="640" w:firstLineChars="200"/>
        <w:jc w:val="both"/>
        <w:rPr>
          <w:rFonts w:ascii="Times New Roman" w:hAnsi="Times New Roman" w:eastAsia="方正仿宋_GBK"/>
          <w:color w:val="auto"/>
          <w:sz w:val="32"/>
          <w:szCs w:val="32"/>
          <w:highlight w:val="none"/>
        </w:rPr>
      </w:pPr>
      <w:r>
        <w:rPr>
          <w:rFonts w:hint="eastAsia" w:ascii="Times New Roman" w:hAnsi="Times New Roman" w:eastAsia="方正仿宋_GBK" w:cs="方正仿宋_GBK"/>
          <w:color w:val="auto"/>
          <w:sz w:val="32"/>
          <w:szCs w:val="32"/>
          <w:highlight w:val="none"/>
        </w:rPr>
        <w:t>学习运用“千万工程”经验，</w:t>
      </w:r>
      <w:r>
        <w:rPr>
          <w:rFonts w:hint="eastAsia" w:ascii="Times New Roman" w:hAnsi="Times New Roman" w:eastAsia="方正仿宋_GBK"/>
          <w:color w:val="auto"/>
          <w:sz w:val="32"/>
          <w:szCs w:val="32"/>
          <w:highlight w:val="none"/>
        </w:rPr>
        <w:t>以城乡融合发展为引领，加强国土空间协同治理，强化农业科技支撑赋能，着力建设示范性和美乡村，大力维护粮食安全，提升现代农业发展能级，构建宜居宜业、协同高效的城乡融合新格局。</w:t>
      </w:r>
    </w:p>
    <w:p w14:paraId="5901FCD1">
      <w:pPr>
        <w:adjustRightInd w:val="0"/>
        <w:snapToGrid w:val="0"/>
        <w:spacing w:line="600" w:lineRule="exact"/>
        <w:jc w:val="center"/>
        <w:outlineLvl w:val="2"/>
        <w:rPr>
          <w:rFonts w:ascii="Times New Roman" w:hAnsi="Times New Roman" w:eastAsia="方正仿宋_GBK" w:cs="方正仿宋_GBK"/>
          <w:color w:val="auto"/>
          <w:sz w:val="32"/>
          <w:szCs w:val="32"/>
          <w:highlight w:val="none"/>
        </w:rPr>
      </w:pPr>
      <w:bookmarkStart w:id="831" w:name="_Toc27987"/>
      <w:bookmarkStart w:id="832" w:name="_Toc1781353577"/>
      <w:bookmarkStart w:id="833" w:name="_Toc1757778514"/>
      <w:r>
        <w:rPr>
          <w:rFonts w:hint="eastAsia" w:ascii="Times New Roman" w:hAnsi="Times New Roman" w:eastAsia="方正楷体_GBK" w:cs="Times New Roman"/>
          <w:color w:val="auto"/>
          <w:sz w:val="32"/>
          <w:highlight w:val="none"/>
        </w:rPr>
        <w:t>第一节 加强国土空间协同治理</w:t>
      </w:r>
      <w:bookmarkEnd w:id="831"/>
      <w:bookmarkEnd w:id="832"/>
      <w:bookmarkEnd w:id="833"/>
    </w:p>
    <w:p w14:paraId="61F34FE3">
      <w:pPr>
        <w:pStyle w:val="19"/>
        <w:overflowPunct w:val="0"/>
        <w:spacing w:beforeAutospacing="0" w:afterAutospacing="0" w:line="600" w:lineRule="exact"/>
        <w:ind w:firstLine="640" w:firstLineChars="200"/>
        <w:jc w:val="both"/>
        <w:rPr>
          <w:rFonts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color w:val="auto"/>
          <w:sz w:val="32"/>
          <w:szCs w:val="32"/>
          <w:highlight w:val="none"/>
        </w:rPr>
        <w:t>推进国土空间协同治理。结合高新区主体功能定位，强化国土空间规划“一张图”动态管理，建立健全耕地和永久基本农田、生态保护红线、城镇开发边界</w:t>
      </w:r>
      <w:r>
        <w:rPr>
          <w:rFonts w:hint="eastAsia" w:ascii="Times New Roman" w:hAnsi="Times New Roman" w:eastAsia="方正仿宋_GBK" w:cs="方正仿宋_GBK"/>
          <w:color w:val="auto"/>
          <w:sz w:val="32"/>
          <w:szCs w:val="32"/>
          <w:highlight w:val="none"/>
          <w:lang w:val="en-US" w:eastAsia="zh-CN"/>
        </w:rPr>
        <w:t>三条</w:t>
      </w:r>
      <w:r>
        <w:rPr>
          <w:rFonts w:hint="eastAsia" w:ascii="Times New Roman" w:hAnsi="Times New Roman" w:eastAsia="方正仿宋_GBK" w:cs="方正仿宋_GBK"/>
          <w:color w:val="auto"/>
          <w:sz w:val="32"/>
          <w:szCs w:val="32"/>
          <w:highlight w:val="none"/>
        </w:rPr>
        <w:t>控制线动态监测、局部优化机制。分区分类实施差别化、精细化用途管制，实行建设用地存量统筹和增量供给，强化用地用林用草等联动审批。持续完善高新区“一级三类”国土空间规划体系，按需推进详细规划编制报批。加强国土空间规划与国民经济和社会发展规划衔接，保障重大项目用地需求。</w:t>
      </w:r>
    </w:p>
    <w:p w14:paraId="40B1CCFD">
      <w:pPr>
        <w:pStyle w:val="19"/>
        <w:overflowPunct w:val="0"/>
        <w:spacing w:beforeAutospacing="0" w:afterAutospacing="0" w:line="600" w:lineRule="exact"/>
        <w:ind w:firstLine="640" w:firstLineChars="200"/>
        <w:jc w:val="both"/>
        <w:rPr>
          <w:rFonts w:ascii="Times New Roman" w:hAnsi="Times New Roman" w:eastAsia="方正仿宋_GBK"/>
          <w:color w:val="auto"/>
          <w:sz w:val="32"/>
          <w:szCs w:val="32"/>
          <w:highlight w:val="none"/>
        </w:rPr>
      </w:pPr>
      <w:r>
        <w:rPr>
          <w:rFonts w:hint="eastAsia" w:ascii="Times New Roman" w:hAnsi="Times New Roman" w:eastAsia="方正仿宋_GBK" w:cs="方正仿宋_GBK"/>
          <w:color w:val="auto"/>
          <w:sz w:val="32"/>
          <w:szCs w:val="32"/>
          <w:highlight w:val="none"/>
        </w:rPr>
        <w:t>推动城乡规划、产业、要素、机制融合</w:t>
      </w:r>
      <w:r>
        <w:rPr>
          <w:rFonts w:hint="eastAsia" w:ascii="Times New Roman" w:hAnsi="Times New Roman" w:eastAsia="方正仿宋_GBK"/>
          <w:color w:val="auto"/>
          <w:sz w:val="32"/>
          <w:szCs w:val="32"/>
          <w:highlight w:val="none"/>
        </w:rPr>
        <w:t>。发挥城市辐射带动作用，</w:t>
      </w:r>
      <w:r>
        <w:rPr>
          <w:rFonts w:hint="eastAsia" w:ascii="Times New Roman" w:hAnsi="Times New Roman" w:eastAsia="方正仿宋_GBK" w:cs="方正仿宋_GBK"/>
          <w:color w:val="auto"/>
          <w:sz w:val="32"/>
          <w:szCs w:val="32"/>
          <w:highlight w:val="none"/>
        </w:rPr>
        <w:t>促进农业转移人口全面融入城市。</w:t>
      </w:r>
      <w:r>
        <w:rPr>
          <w:rFonts w:hint="eastAsia" w:ascii="Times New Roman" w:hAnsi="Times New Roman" w:eastAsia="方正仿宋_GBK"/>
          <w:color w:val="auto"/>
          <w:sz w:val="32"/>
          <w:szCs w:val="32"/>
          <w:highlight w:val="none"/>
        </w:rPr>
        <w:t>实现城乡“水、电、路、气、讯、物流”一体化规划建设和管护，梯次推进农村聚居点市政设施管网覆盖、城乡供水和饮水质量提升。按需编制</w:t>
      </w:r>
      <w:r>
        <w:rPr>
          <w:rFonts w:hint="eastAsia" w:ascii="ti" w:hAnsi="ti" w:eastAsia="方正仿宋_GBK" w:cs="方正仿宋_GBK"/>
          <w:snapToGrid w:val="0"/>
          <w:color w:val="auto"/>
          <w:sz w:val="32"/>
          <w:szCs w:val="32"/>
          <w:highlight w:val="none"/>
          <w:shd w:val="clear" w:color="auto" w:fill="FFFFFF"/>
        </w:rPr>
        <w:t>村庄规划</w:t>
      </w:r>
      <w:r>
        <w:rPr>
          <w:rFonts w:hint="eastAsia"/>
          <w:color w:val="auto"/>
          <w:highlight w:val="none"/>
        </w:rPr>
        <w:t>，</w:t>
      </w:r>
      <w:r>
        <w:rPr>
          <w:rFonts w:hint="eastAsia" w:ascii="Times New Roman" w:hAnsi="Times New Roman" w:eastAsia="方正仿宋_GBK"/>
          <w:color w:val="auto"/>
          <w:sz w:val="32"/>
          <w:szCs w:val="32"/>
          <w:highlight w:val="none"/>
        </w:rPr>
        <w:t>保障乡村振兴项目落地空间，完善</w:t>
      </w:r>
      <w:r>
        <w:rPr>
          <w:rFonts w:ascii="Times New Roman" w:hAnsi="Times New Roman" w:eastAsia="方正仿宋_GBK"/>
          <w:color w:val="auto"/>
          <w:sz w:val="32"/>
          <w:szCs w:val="32"/>
          <w:highlight w:val="none"/>
        </w:rPr>
        <w:t>村庄建设用地指标</w:t>
      </w:r>
      <w:r>
        <w:rPr>
          <w:rFonts w:hint="eastAsia" w:ascii="Times New Roman" w:hAnsi="Times New Roman" w:eastAsia="方正仿宋_GBK"/>
          <w:color w:val="auto"/>
          <w:sz w:val="32"/>
          <w:szCs w:val="32"/>
          <w:highlight w:val="none"/>
        </w:rPr>
        <w:t>分级</w:t>
      </w:r>
      <w:r>
        <w:rPr>
          <w:rFonts w:ascii="Times New Roman" w:hAnsi="Times New Roman" w:eastAsia="方正仿宋_GBK"/>
          <w:color w:val="auto"/>
          <w:sz w:val="32"/>
          <w:szCs w:val="32"/>
          <w:highlight w:val="none"/>
        </w:rPr>
        <w:t>管理机制</w:t>
      </w:r>
      <w:r>
        <w:rPr>
          <w:rFonts w:hint="eastAsia" w:ascii="Times New Roman" w:hAnsi="Times New Roman" w:eastAsia="方正仿宋_GBK"/>
          <w:color w:val="auto"/>
          <w:sz w:val="32"/>
          <w:szCs w:val="32"/>
          <w:highlight w:val="none"/>
        </w:rPr>
        <w:t>。按需推进农村集体经营性建设用地入市，</w:t>
      </w:r>
      <w:r>
        <w:rPr>
          <w:rFonts w:hint="eastAsia" w:ascii="Times New Roman" w:hAnsi="Times New Roman" w:eastAsia="方正仿宋_GBK"/>
          <w:color w:val="auto"/>
          <w:sz w:val="32"/>
          <w:szCs w:val="32"/>
          <w:highlight w:val="none"/>
          <w:lang w:bidi="ar"/>
        </w:rPr>
        <w:t>深化集体林权制度改革</w:t>
      </w:r>
      <w:r>
        <w:rPr>
          <w:rFonts w:hint="eastAsia" w:ascii="Times New Roman" w:hAnsi="Times New Roman" w:eastAsia="方正仿宋_GBK"/>
          <w:color w:val="auto"/>
          <w:sz w:val="32"/>
          <w:szCs w:val="32"/>
          <w:highlight w:val="none"/>
        </w:rPr>
        <w:t>。壮大新型农村集体经济，</w:t>
      </w:r>
      <w:r>
        <w:rPr>
          <w:rFonts w:hint="eastAsia" w:ascii="Times New Roman" w:hAnsi="Times New Roman" w:eastAsia="方正仿宋_GBK"/>
          <w:color w:val="auto"/>
          <w:sz w:val="32"/>
          <w:szCs w:val="32"/>
          <w:highlight w:val="none"/>
          <w:lang w:bidi="ar"/>
        </w:rPr>
        <w:t>推广农安村土地入股分红、虎峰山村闲置农房租赁增收经验，</w:t>
      </w:r>
      <w:r>
        <w:rPr>
          <w:rFonts w:hint="eastAsia" w:ascii="Times New Roman" w:hAnsi="Times New Roman" w:eastAsia="方正仿宋_GBK"/>
          <w:color w:val="auto"/>
          <w:sz w:val="32"/>
          <w:szCs w:val="32"/>
          <w:highlight w:val="none"/>
        </w:rPr>
        <w:t>探索“资源盘活+产业培育+利益联结”增收模式。以</w:t>
      </w:r>
      <w:r>
        <w:rPr>
          <w:rFonts w:hint="eastAsia" w:ascii="Times New Roman" w:hAnsi="Times New Roman" w:eastAsia="方正仿宋_GBK"/>
          <w:color w:val="auto"/>
          <w:sz w:val="32"/>
          <w:szCs w:val="32"/>
          <w:highlight w:val="none"/>
          <w:lang w:bidi="ar"/>
        </w:rPr>
        <w:t>巴福镇钟鹤村为重点试点区域，稳步推进第二轮农村土地承包到期后再延长三十年试点。到</w:t>
      </w:r>
      <w:r>
        <w:rPr>
          <w:rFonts w:hint="eastAsia" w:ascii="Times New Roman" w:hAnsi="Times New Roman" w:eastAsia="方正仿宋_GBK"/>
          <w:color w:val="auto"/>
          <w:sz w:val="32"/>
          <w:szCs w:val="32"/>
          <w:highlight w:val="none"/>
        </w:rPr>
        <w:t>2030年，常住人口城镇化率不低于90%。</w:t>
      </w:r>
    </w:p>
    <w:p w14:paraId="31FAD167">
      <w:pPr>
        <w:adjustRightInd/>
        <w:snapToGrid/>
        <w:spacing w:line="240" w:lineRule="auto"/>
        <w:jc w:val="left"/>
        <w:outlineLvl w:val="9"/>
        <w:rPr>
          <w:rFonts w:hint="eastAsia" w:ascii="Times New Roman" w:hAnsi="Times New Roman" w:eastAsia="方正楷体_GBK" w:cs="Times New Roman"/>
          <w:color w:val="auto"/>
          <w:sz w:val="32"/>
          <w:highlight w:val="none"/>
        </w:rPr>
      </w:pPr>
      <w:bookmarkStart w:id="834" w:name="_Toc50953019"/>
      <w:bookmarkStart w:id="835" w:name="_Toc1140045812"/>
      <w:bookmarkStart w:id="836" w:name="_Toc29318"/>
      <w:r>
        <w:rPr>
          <w:rFonts w:hint="eastAsia" w:ascii="Times New Roman" w:hAnsi="Times New Roman" w:eastAsia="方正楷体_GBK" w:cs="Times New Roman"/>
          <w:color w:val="auto"/>
          <w:sz w:val="32"/>
          <w:highlight w:val="none"/>
        </w:rPr>
        <w:br w:type="page"/>
      </w:r>
    </w:p>
    <w:p w14:paraId="38853E78">
      <w:pPr>
        <w:adjustRightInd w:val="0"/>
        <w:snapToGrid w:val="0"/>
        <w:spacing w:line="600" w:lineRule="exact"/>
        <w:jc w:val="center"/>
        <w:outlineLvl w:val="2"/>
        <w:rPr>
          <w:rFonts w:ascii="Times New Roman" w:hAnsi="Times New Roman" w:eastAsia="方正楷体_GBK" w:cs="Times New Roman"/>
          <w:color w:val="auto"/>
          <w:sz w:val="32"/>
          <w:highlight w:val="none"/>
        </w:rPr>
      </w:pPr>
      <w:r>
        <w:rPr>
          <w:rFonts w:hint="eastAsia" w:ascii="Times New Roman" w:hAnsi="Times New Roman" w:eastAsia="方正楷体_GBK" w:cs="Times New Roman"/>
          <w:color w:val="auto"/>
          <w:sz w:val="32"/>
          <w:highlight w:val="none"/>
        </w:rPr>
        <w:t xml:space="preserve">第二节 </w:t>
      </w:r>
      <w:bookmarkEnd w:id="834"/>
      <w:bookmarkEnd w:id="835"/>
      <w:r>
        <w:rPr>
          <w:rFonts w:hint="eastAsia" w:ascii="Times New Roman" w:hAnsi="Times New Roman" w:eastAsia="方正楷体_GBK" w:cs="Times New Roman"/>
          <w:color w:val="auto"/>
          <w:sz w:val="32"/>
          <w:highlight w:val="none"/>
        </w:rPr>
        <w:t>提升农业科技和安全水平</w:t>
      </w:r>
      <w:bookmarkEnd w:id="836"/>
    </w:p>
    <w:p w14:paraId="336828C7">
      <w:pPr>
        <w:pStyle w:val="20"/>
        <w:adjustRightInd w:val="0"/>
        <w:snapToGrid w:val="0"/>
        <w:spacing w:after="0" w:line="600" w:lineRule="exact"/>
        <w:ind w:firstLine="640" w:firstLineChars="200"/>
        <w:rPr>
          <w:rFonts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rPr>
        <w:t>强化农业科技支撑。深化实施种业振兴行动，发挥种质创制大科学中心科研平台优势，深化“区企共建、院地合作”机制，联合市农科院等科研院所开展科企联合育种攻关，建设农业农村部种质创制重点实验室，强化人才培育和产业转化。推动农业关键核心技术攻关和装备研发制造，加快推动山地农业科技创新基地等科创平台建设，促进科技强农向</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rPr>
        <w:t>种</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rPr>
        <w:t>养</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rPr>
        <w:t>加</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rPr>
        <w:t>储</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rPr>
        <w:t>销</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rPr>
        <w:t>全链条延伸。升级智能农机产线，提升微耕机、收割机等优势产品市占率，规划建设山地智能农机装备研发中心与试验验证场，为农机装备性能测试、改进提供平台支撑。推动智慧农业技术集成应用，发展农业机器人、天空地一体化遥感监测、智能灌溉系统，推动鱼菜共生AI工厂、食用菌智能工厂、蔬菜数字工厂</w:t>
      </w:r>
      <w:r>
        <w:rPr>
          <w:rFonts w:hint="eastAsia" w:ascii="Times New Roman" w:hAnsi="Times New Roman" w:eastAsia="方正仿宋_GBK" w:cs="Times New Roman"/>
          <w:color w:val="auto"/>
          <w:sz w:val="32"/>
          <w:szCs w:val="32"/>
          <w:highlight w:val="none"/>
          <w:lang w:val="en-US" w:eastAsia="zh-CN"/>
        </w:rPr>
        <w:t>等</w:t>
      </w:r>
      <w:r>
        <w:rPr>
          <w:rFonts w:hint="eastAsia" w:ascii="Times New Roman" w:hAnsi="Times New Roman" w:eastAsia="方正仿宋_GBK" w:cs="Times New Roman"/>
          <w:color w:val="auto"/>
          <w:sz w:val="32"/>
          <w:szCs w:val="32"/>
          <w:highlight w:val="none"/>
        </w:rPr>
        <w:t>产业化应用，提升农业生产数字化水平。</w:t>
      </w:r>
    </w:p>
    <w:p w14:paraId="41584DC4">
      <w:pPr>
        <w:adjustRightInd w:val="0"/>
        <w:snapToGrid w:val="0"/>
        <w:spacing w:line="600" w:lineRule="exact"/>
        <w:ind w:firstLine="640" w:firstLineChars="200"/>
        <w:rPr>
          <w:rFonts w:hint="eastAsia" w:ascii="方正仿宋_GBK" w:hAnsi="方正仿宋_GBK" w:eastAsia="方正仿宋_GBK" w:cs="方正仿宋_GBK"/>
          <w:color w:val="auto"/>
          <w:sz w:val="32"/>
          <w:szCs w:val="32"/>
          <w:highlight w:val="none"/>
        </w:rPr>
      </w:pPr>
      <w:r>
        <w:rPr>
          <w:rFonts w:hint="eastAsia" w:ascii="Times New Roman" w:hAnsi="Times New Roman" w:eastAsia="方正仿宋_GBK" w:cs="Times New Roman"/>
          <w:color w:val="auto"/>
          <w:sz w:val="32"/>
          <w:szCs w:val="32"/>
          <w:highlight w:val="none"/>
        </w:rPr>
        <w:t>大力维护粮食安全。</w:t>
      </w:r>
      <w:r>
        <w:rPr>
          <w:rFonts w:hint="eastAsia" w:ascii="方正仿宋_GBK" w:hAnsi="方正仿宋_GBK" w:eastAsia="方正仿宋_GBK" w:cs="方正仿宋_GBK"/>
          <w:color w:val="auto"/>
          <w:sz w:val="32"/>
          <w:szCs w:val="32"/>
          <w:highlight w:val="none"/>
        </w:rPr>
        <w:t>严格落实耕地保护与用途管制制度，坚决守住耕地红线，统筹协调耕林空间布局，严格遏制耕地“非农化”、防止耕地“非粮化”，牢牢守住全区</w:t>
      </w:r>
      <w:r>
        <w:rPr>
          <w:rFonts w:ascii="Times New Roman" w:hAnsi="Times New Roman" w:eastAsia="方正仿宋_GBK" w:cs="Times New Roman"/>
          <w:color w:val="auto"/>
          <w:sz w:val="32"/>
          <w:szCs w:val="32"/>
          <w:highlight w:val="none"/>
        </w:rPr>
        <w:t>27.3</w:t>
      </w:r>
      <w:r>
        <w:rPr>
          <w:rFonts w:hint="eastAsia" w:ascii="方正仿宋_GBK" w:hAnsi="方正仿宋_GBK" w:eastAsia="方正仿宋_GBK" w:cs="方正仿宋_GBK"/>
          <w:color w:val="auto"/>
          <w:sz w:val="32"/>
          <w:szCs w:val="32"/>
          <w:highlight w:val="none"/>
        </w:rPr>
        <w:t>平方公里耕地保有量和</w:t>
      </w:r>
      <w:r>
        <w:rPr>
          <w:rFonts w:ascii="Times New Roman" w:hAnsi="Times New Roman" w:eastAsia="方正仿宋_GBK" w:cs="Times New Roman"/>
          <w:color w:val="auto"/>
          <w:sz w:val="32"/>
          <w:szCs w:val="32"/>
          <w:highlight w:val="none"/>
        </w:rPr>
        <w:t>4</w:t>
      </w:r>
      <w:r>
        <w:rPr>
          <w:rFonts w:hint="eastAsia" w:ascii="方正仿宋_GBK" w:hAnsi="方正仿宋_GBK" w:eastAsia="方正仿宋_GBK" w:cs="方正仿宋_GBK"/>
          <w:color w:val="auto"/>
          <w:sz w:val="32"/>
          <w:szCs w:val="32"/>
          <w:highlight w:val="none"/>
        </w:rPr>
        <w:t>平方公里永久基本农田。全面提升耕地质量与抗灾能力，深入实施新一轮高标准农田建设与改造提升工程，实现永久基本农田与高标准农田“双向奔赴”、“粮田”与“良田”“双向匹配”。</w:t>
      </w:r>
      <w:r>
        <w:rPr>
          <w:rFonts w:hint="eastAsia" w:ascii="Times New Roman" w:hAnsi="Times New Roman" w:eastAsia="方正仿宋_GBK" w:cs="方正仿宋_GBK"/>
          <w:color w:val="auto"/>
          <w:sz w:val="32"/>
          <w:szCs w:val="32"/>
          <w:highlight w:val="none"/>
        </w:rPr>
        <w:t>稳步开展全域土地综合整治。到</w:t>
      </w:r>
      <w:r>
        <w:rPr>
          <w:rFonts w:ascii="Times New Roman" w:hAnsi="Times New Roman" w:eastAsia="方正仿宋_GBK" w:cs="Times New Roman"/>
          <w:color w:val="auto"/>
          <w:sz w:val="32"/>
          <w:szCs w:val="32"/>
          <w:highlight w:val="none"/>
        </w:rPr>
        <w:t>2030</w:t>
      </w:r>
      <w:r>
        <w:rPr>
          <w:rFonts w:hint="eastAsia" w:ascii="方正仿宋_GBK" w:hAnsi="方正仿宋_GBK" w:eastAsia="方正仿宋_GBK" w:cs="方正仿宋_GBK"/>
          <w:color w:val="auto"/>
          <w:sz w:val="32"/>
          <w:szCs w:val="32"/>
          <w:highlight w:val="none"/>
        </w:rPr>
        <w:t>年，全区粮食综合生产能力稳定</w:t>
      </w:r>
      <w:r>
        <w:rPr>
          <w:rFonts w:ascii="Times New Roman" w:hAnsi="Times New Roman" w:eastAsia="方正仿宋_GBK" w:cs="Times New Roman"/>
          <w:color w:val="auto"/>
          <w:sz w:val="32"/>
          <w:szCs w:val="32"/>
          <w:highlight w:val="none"/>
        </w:rPr>
        <w:t>在2800吨以</w:t>
      </w:r>
      <w:r>
        <w:rPr>
          <w:rFonts w:hint="eastAsia" w:ascii="方正仿宋_GBK" w:hAnsi="方正仿宋_GBK" w:eastAsia="方正仿宋_GBK" w:cs="方正仿宋_GBK"/>
          <w:color w:val="auto"/>
          <w:sz w:val="32"/>
          <w:szCs w:val="32"/>
          <w:highlight w:val="none"/>
        </w:rPr>
        <w:t>上。</w:t>
      </w:r>
    </w:p>
    <w:p w14:paraId="113261E6">
      <w:pPr>
        <w:adjustRightInd w:val="0"/>
        <w:snapToGrid w:val="0"/>
        <w:spacing w:line="600" w:lineRule="exact"/>
        <w:jc w:val="center"/>
        <w:outlineLvl w:val="2"/>
        <w:rPr>
          <w:rFonts w:ascii="Times New Roman" w:hAnsi="Times New Roman" w:eastAsia="方正黑体_GBK" w:cs="方正黑体_GBK"/>
          <w:color w:val="auto"/>
          <w:sz w:val="32"/>
          <w:szCs w:val="32"/>
          <w:highlight w:val="none"/>
        </w:rPr>
      </w:pPr>
      <w:bookmarkStart w:id="837" w:name="_Toc32090"/>
      <w:bookmarkStart w:id="838" w:name="_Toc900863750"/>
      <w:bookmarkStart w:id="839" w:name="_Toc1668898827"/>
      <w:r>
        <w:rPr>
          <w:rFonts w:hint="eastAsia" w:ascii="Times New Roman" w:hAnsi="Times New Roman" w:eastAsia="方正楷体_GBK" w:cs="Times New Roman"/>
          <w:color w:val="auto"/>
          <w:sz w:val="32"/>
          <w:highlight w:val="none"/>
        </w:rPr>
        <w:t>第三节 建设示范性和美乡村</w:t>
      </w:r>
      <w:bookmarkEnd w:id="837"/>
      <w:bookmarkEnd w:id="838"/>
      <w:bookmarkEnd w:id="839"/>
    </w:p>
    <w:p w14:paraId="5C88788D">
      <w:pPr>
        <w:spacing w:line="600" w:lineRule="exact"/>
        <w:ind w:firstLine="640" w:firstLineChars="200"/>
        <w:rPr>
          <w:rFonts w:ascii="Times New Roman" w:hAnsi="Times New Roman" w:cs="Times New Roman"/>
          <w:color w:val="auto"/>
          <w:kern w:val="1"/>
          <w:szCs w:val="32"/>
          <w:highlight w:val="none"/>
        </w:rPr>
      </w:pPr>
      <w:r>
        <w:rPr>
          <w:rFonts w:hint="eastAsia" w:ascii="Times New Roman" w:hAnsi="Times New Roman" w:eastAsia="方正仿宋_GBK" w:cs="Times New Roman"/>
          <w:color w:val="auto"/>
          <w:sz w:val="32"/>
          <w:szCs w:val="32"/>
          <w:highlight w:val="none"/>
        </w:rPr>
        <w:t>提升乡村建设现代化水平。</w:t>
      </w:r>
      <w:r>
        <w:rPr>
          <w:rFonts w:hint="eastAsia" w:ascii="Times New Roman" w:hAnsi="Times New Roman" w:eastAsia="方正仿宋_GBK" w:cs="Times New Roman"/>
          <w:color w:val="auto"/>
          <w:sz w:val="32"/>
          <w:szCs w:val="32"/>
          <w:highlight w:val="none"/>
          <w:lang w:eastAsia="zh"/>
        </w:rPr>
        <w:t>持续整治提升农村人居环境，接续开展“五清理一活动”，推动村容村貌整治提升</w:t>
      </w:r>
      <w:r>
        <w:rPr>
          <w:rFonts w:hint="eastAsia" w:ascii="Times New Roman" w:hAnsi="Times New Roman" w:eastAsia="方正仿宋_GBK" w:cs="Times New Roman"/>
          <w:color w:val="auto"/>
          <w:sz w:val="32"/>
          <w:szCs w:val="32"/>
          <w:highlight w:val="none"/>
        </w:rPr>
        <w:t>。落实巴渝和美乡村建设要求，统筹管控乡村建设项目布局、体量、高度等，提升乡村地区风貌管理水平。持续推进数字乡村建设，补齐农业农村数字基础设施短板，推进乡村网络基础设施优化升级。</w:t>
      </w:r>
      <w:r>
        <w:rPr>
          <w:rFonts w:hint="eastAsia" w:ascii="Times New Roman" w:hAnsi="Times New Roman" w:eastAsia="方正仿宋_GBK"/>
          <w:color w:val="auto"/>
          <w:sz w:val="32"/>
          <w:szCs w:val="32"/>
          <w:highlight w:val="none"/>
        </w:rPr>
        <w:t>实施耕地保护利用、科技创新转化、农业产业培育</w:t>
      </w:r>
      <w:r>
        <w:rPr>
          <w:rFonts w:hint="eastAsia" w:ascii="Times New Roman" w:hAnsi="Times New Roman" w:eastAsia="方正仿宋_GBK"/>
          <w:color w:val="auto"/>
          <w:sz w:val="32"/>
          <w:szCs w:val="32"/>
          <w:highlight w:val="none"/>
          <w:lang w:val="en-US" w:eastAsia="zh-CN"/>
        </w:rPr>
        <w:t>与</w:t>
      </w:r>
      <w:r>
        <w:rPr>
          <w:rFonts w:hint="eastAsia" w:ascii="Times New Roman" w:hAnsi="Times New Roman" w:eastAsia="方正仿宋_GBK"/>
          <w:color w:val="auto"/>
          <w:sz w:val="32"/>
          <w:szCs w:val="32"/>
          <w:highlight w:val="none"/>
        </w:rPr>
        <w:t>和美乡村建设等领域农业农村现代化重点项目。</w:t>
      </w:r>
      <w:r>
        <w:rPr>
          <w:rFonts w:ascii="Times New Roman" w:hAnsi="Times New Roman" w:eastAsia="方正仿宋_GBK" w:cs="Times New Roman"/>
          <w:color w:val="auto"/>
          <w:sz w:val="32"/>
          <w:szCs w:val="32"/>
          <w:highlight w:val="none"/>
        </w:rPr>
        <w:t>推进金凤镇九凤村、曾家镇虎峰山村和美乡村连</w:t>
      </w:r>
      <w:r>
        <w:rPr>
          <w:rFonts w:hint="eastAsia" w:ascii="Times New Roman" w:hAnsi="Times New Roman" w:eastAsia="方正仿宋_GBK" w:cs="Times New Roman"/>
          <w:color w:val="auto"/>
          <w:sz w:val="32"/>
          <w:szCs w:val="32"/>
          <w:highlight w:val="none"/>
        </w:rPr>
        <w:t>片建设，助力村庄产业发展，提升乡村治理水平</w:t>
      </w:r>
      <w:r>
        <w:rPr>
          <w:rFonts w:ascii="Times New Roman" w:hAnsi="Times New Roman" w:eastAsia="方正仿宋_GBK" w:cs="Times New Roman"/>
          <w:color w:val="auto"/>
          <w:sz w:val="32"/>
          <w:szCs w:val="32"/>
          <w:highlight w:val="none"/>
        </w:rPr>
        <w:t>。</w:t>
      </w:r>
      <w:r>
        <w:rPr>
          <w:rFonts w:hint="eastAsia" w:ascii="Times New Roman" w:hAnsi="Times New Roman" w:eastAsia="方正仿宋_GBK" w:cs="Times New Roman"/>
          <w:color w:val="auto"/>
          <w:sz w:val="32"/>
          <w:szCs w:val="32"/>
          <w:highlight w:val="none"/>
        </w:rPr>
        <w:t>到2030年，</w:t>
      </w:r>
      <w:r>
        <w:rPr>
          <w:rFonts w:hint="eastAsia" w:ascii="Times New Roman" w:hAnsi="Times New Roman" w:eastAsia="方正仿宋_GBK" w:cs="Times New Roman"/>
          <w:color w:val="auto"/>
          <w:sz w:val="32"/>
          <w:szCs w:val="32"/>
          <w:highlight w:val="none"/>
          <w:lang w:val="en-US" w:eastAsia="zh-CN"/>
        </w:rPr>
        <w:t>高标准建成</w:t>
      </w:r>
      <w:r>
        <w:rPr>
          <w:rFonts w:hint="eastAsia" w:ascii="Times New Roman" w:hAnsi="Times New Roman" w:eastAsia="方正仿宋_GBK" w:cs="Times New Roman"/>
          <w:color w:val="auto"/>
          <w:sz w:val="32"/>
          <w:szCs w:val="32"/>
          <w:highlight w:val="none"/>
        </w:rPr>
        <w:t>巴渝和美乡村</w:t>
      </w:r>
      <w:r>
        <w:rPr>
          <w:rFonts w:hint="eastAsia" w:ascii="Times New Roman" w:hAnsi="Times New Roman" w:eastAsia="方正仿宋_GBK" w:cs="Times New Roman"/>
          <w:color w:val="auto"/>
          <w:sz w:val="32"/>
          <w:szCs w:val="32"/>
          <w:highlight w:val="none"/>
          <w:lang w:val="en-US" w:eastAsia="zh-CN"/>
        </w:rPr>
        <w:t>累计55</w:t>
      </w:r>
      <w:r>
        <w:rPr>
          <w:rFonts w:hint="eastAsia" w:ascii="Times New Roman" w:hAnsi="Times New Roman" w:eastAsia="方正仿宋_GBK" w:cs="Times New Roman"/>
          <w:color w:val="auto"/>
          <w:sz w:val="32"/>
          <w:szCs w:val="32"/>
          <w:highlight w:val="none"/>
        </w:rPr>
        <w:t>个</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lang w:val="en-US" w:eastAsia="zh-CN"/>
        </w:rPr>
        <w:t>其中新增2个</w:t>
      </w:r>
      <w:r>
        <w:rPr>
          <w:rFonts w:hint="eastAsia" w:ascii="Times New Roman" w:hAnsi="Times New Roman" w:eastAsia="方正仿宋_GBK" w:cs="Times New Roman"/>
          <w:color w:val="auto"/>
          <w:sz w:val="32"/>
          <w:szCs w:val="32"/>
          <w:highlight w:val="none"/>
        </w:rPr>
        <w:t>。</w:t>
      </w:r>
    </w:p>
    <w:p w14:paraId="3B9C6649">
      <w:pPr>
        <w:adjustRightInd w:val="0"/>
        <w:snapToGrid w:val="0"/>
        <w:spacing w:line="600" w:lineRule="exact"/>
        <w:ind w:firstLine="640" w:firstLineChars="200"/>
        <w:textAlignment w:val="baseline"/>
        <w:rPr>
          <w:rFonts w:ascii="Times New Roman" w:hAnsi="Times New Roman" w:eastAsia="方正仿宋_GBK" w:cs="方正仿宋_GBK"/>
          <w:color w:val="auto"/>
          <w:sz w:val="32"/>
          <w:szCs w:val="32"/>
          <w:highlight w:val="none"/>
        </w:rPr>
      </w:pPr>
      <w:r>
        <w:rPr>
          <w:rFonts w:hint="eastAsia" w:ascii="Times New Roman" w:hAnsi="Times New Roman" w:eastAsia="方正仿宋_GBK" w:cs="Times New Roman"/>
          <w:color w:val="auto"/>
          <w:sz w:val="32"/>
          <w:szCs w:val="32"/>
          <w:highlight w:val="none"/>
        </w:rPr>
        <w:t>提升</w:t>
      </w:r>
      <w:r>
        <w:rPr>
          <w:rFonts w:ascii="Times New Roman" w:hAnsi="Times New Roman" w:eastAsia="方正仿宋_GBK" w:cs="Times New Roman"/>
          <w:color w:val="auto"/>
          <w:sz w:val="32"/>
          <w:szCs w:val="32"/>
          <w:highlight w:val="none"/>
        </w:rPr>
        <w:t>乡村治理效能</w:t>
      </w:r>
      <w:r>
        <w:rPr>
          <w:rFonts w:hint="eastAsia" w:ascii="Times New Roman" w:hAnsi="Times New Roman" w:eastAsia="方正仿宋_GBK" w:cs="Times New Roman"/>
          <w:color w:val="auto"/>
          <w:sz w:val="32"/>
          <w:szCs w:val="32"/>
          <w:highlight w:val="none"/>
        </w:rPr>
        <w:t>。</w:t>
      </w:r>
      <w:r>
        <w:rPr>
          <w:rFonts w:hint="eastAsia" w:ascii="Times New Roman" w:hAnsi="Times New Roman" w:eastAsia="方正仿宋_GBK" w:cs="方正仿宋_GBK"/>
          <w:color w:val="auto"/>
          <w:sz w:val="32"/>
          <w:szCs w:val="32"/>
          <w:highlight w:val="none"/>
        </w:rPr>
        <w:t>建好建强农村基层党组织，</w:t>
      </w:r>
      <w:r>
        <w:rPr>
          <w:rFonts w:ascii="Times New Roman" w:hAnsi="Times New Roman" w:eastAsia="方正仿宋_GBK" w:cs="Times New Roman"/>
          <w:color w:val="auto"/>
          <w:sz w:val="32"/>
          <w:szCs w:val="32"/>
          <w:highlight w:val="none"/>
        </w:rPr>
        <w:t>扎实推动乡村</w:t>
      </w:r>
      <w:r>
        <w:rPr>
          <w:rFonts w:hint="eastAsia" w:ascii="Times New Roman" w:hAnsi="Times New Roman" w:eastAsia="方正仿宋_GBK" w:cs="Times New Roman"/>
          <w:color w:val="auto"/>
          <w:sz w:val="32"/>
          <w:szCs w:val="32"/>
          <w:highlight w:val="none"/>
        </w:rPr>
        <w:t>“</w:t>
      </w:r>
      <w:r>
        <w:rPr>
          <w:rFonts w:ascii="Times New Roman" w:hAnsi="Times New Roman" w:eastAsia="方正仿宋_GBK" w:cs="Times New Roman"/>
          <w:color w:val="auto"/>
          <w:sz w:val="32"/>
          <w:szCs w:val="32"/>
          <w:highlight w:val="none"/>
        </w:rPr>
        <w:t>四治</w:t>
      </w:r>
      <w:r>
        <w:rPr>
          <w:rFonts w:hint="eastAsia" w:ascii="Times New Roman" w:hAnsi="Times New Roman" w:eastAsia="方正仿宋_GBK" w:cs="Times New Roman"/>
          <w:color w:val="auto"/>
          <w:sz w:val="32"/>
          <w:szCs w:val="32"/>
          <w:highlight w:val="none"/>
        </w:rPr>
        <w:t>”</w:t>
      </w:r>
      <w:r>
        <w:rPr>
          <w:rFonts w:ascii="Times New Roman" w:hAnsi="Times New Roman" w:eastAsia="方正仿宋_GBK" w:cs="Times New Roman"/>
          <w:color w:val="auto"/>
          <w:sz w:val="32"/>
          <w:szCs w:val="32"/>
          <w:highlight w:val="none"/>
        </w:rPr>
        <w:t>融合，落实</w:t>
      </w:r>
      <w:r>
        <w:rPr>
          <w:rFonts w:hint="eastAsia" w:ascii="Times New Roman" w:hAnsi="Times New Roman" w:eastAsia="方正仿宋_GBK" w:cs="Times New Roman"/>
          <w:color w:val="auto"/>
          <w:sz w:val="32"/>
          <w:szCs w:val="32"/>
          <w:highlight w:val="none"/>
        </w:rPr>
        <w:t>“</w:t>
      </w:r>
      <w:r>
        <w:rPr>
          <w:rFonts w:ascii="Times New Roman" w:hAnsi="Times New Roman" w:eastAsia="方正仿宋_GBK" w:cs="Times New Roman"/>
          <w:color w:val="auto"/>
          <w:sz w:val="32"/>
          <w:szCs w:val="32"/>
          <w:highlight w:val="none"/>
        </w:rPr>
        <w:t>四议两公开</w:t>
      </w:r>
      <w:r>
        <w:rPr>
          <w:rFonts w:hint="eastAsia" w:ascii="Times New Roman" w:hAnsi="Times New Roman" w:eastAsia="方正仿宋_GBK" w:cs="Times New Roman"/>
          <w:color w:val="auto"/>
          <w:sz w:val="32"/>
          <w:szCs w:val="32"/>
          <w:highlight w:val="none"/>
        </w:rPr>
        <w:t>”</w:t>
      </w:r>
      <w:r>
        <w:rPr>
          <w:rFonts w:ascii="Times New Roman" w:hAnsi="Times New Roman" w:eastAsia="方正仿宋_GBK" w:cs="Times New Roman"/>
          <w:color w:val="auto"/>
          <w:sz w:val="32"/>
          <w:szCs w:val="32"/>
          <w:highlight w:val="none"/>
        </w:rPr>
        <w:t>制度。聚焦</w:t>
      </w:r>
      <w:r>
        <w:rPr>
          <w:rFonts w:hint="eastAsia" w:ascii="Times New Roman" w:hAnsi="Times New Roman" w:eastAsia="方正仿宋_GBK" w:cs="Times New Roman"/>
          <w:color w:val="auto"/>
          <w:sz w:val="32"/>
          <w:szCs w:val="32"/>
          <w:highlight w:val="none"/>
        </w:rPr>
        <w:t>“</w:t>
      </w:r>
      <w:r>
        <w:rPr>
          <w:rFonts w:ascii="Times New Roman" w:hAnsi="Times New Roman" w:eastAsia="方正仿宋_GBK" w:cs="Times New Roman"/>
          <w:color w:val="auto"/>
          <w:sz w:val="32"/>
          <w:szCs w:val="32"/>
          <w:highlight w:val="none"/>
        </w:rPr>
        <w:t>三制一化</w:t>
      </w:r>
      <w:r>
        <w:rPr>
          <w:rFonts w:hint="eastAsia" w:ascii="Times New Roman" w:hAnsi="Times New Roman" w:eastAsia="方正仿宋_GBK" w:cs="Times New Roman"/>
          <w:color w:val="auto"/>
          <w:sz w:val="32"/>
          <w:szCs w:val="32"/>
          <w:highlight w:val="none"/>
        </w:rPr>
        <w:t>”</w:t>
      </w:r>
      <w:r>
        <w:rPr>
          <w:rFonts w:ascii="Times New Roman" w:hAnsi="Times New Roman" w:eastAsia="方正仿宋_GBK" w:cs="Times New Roman"/>
          <w:color w:val="auto"/>
          <w:sz w:val="32"/>
          <w:szCs w:val="32"/>
          <w:highlight w:val="none"/>
        </w:rPr>
        <w:t>重点任务，规范村级组织管理，细化乡村微治理单元。</w:t>
      </w:r>
      <w:r>
        <w:rPr>
          <w:rFonts w:hint="eastAsia" w:ascii="Times New Roman" w:hAnsi="Times New Roman" w:eastAsia="方正仿宋_GBK" w:cs="方正仿宋_GBK"/>
          <w:color w:val="auto"/>
          <w:sz w:val="32"/>
          <w:szCs w:val="32"/>
          <w:highlight w:val="none"/>
        </w:rPr>
        <w:t>拓宽村民参与村级公共事务渠道，依法管理农村宗教事务。</w:t>
      </w:r>
    </w:p>
    <w:p w14:paraId="253A23BB">
      <w:pPr>
        <w:widowControl/>
        <w:overflowPunct w:val="0"/>
        <w:snapToGrid w:val="0"/>
        <w:jc w:val="center"/>
        <w:rPr>
          <w:rFonts w:hint="eastAsia" w:ascii="Times New Roman" w:hAnsi="Times New Roman" w:eastAsia="方正黑体_GBK" w:cs="方正黑体_GBK"/>
          <w:color w:val="auto"/>
          <w:kern w:val="0"/>
          <w:sz w:val="32"/>
          <w:szCs w:val="32"/>
          <w:highlight w:val="none"/>
          <w:u w:val="none"/>
          <w:lang w:bidi="ar"/>
        </w:rPr>
      </w:pPr>
      <w:r>
        <w:rPr>
          <w:rFonts w:hint="eastAsia" w:ascii="Times New Roman" w:hAnsi="Times New Roman" w:eastAsia="方正黑体_GBK" w:cs="方正黑体_GBK"/>
          <w:color w:val="auto"/>
          <w:kern w:val="0"/>
          <w:sz w:val="32"/>
          <w:szCs w:val="32"/>
          <w:highlight w:val="none"/>
          <w:u w:val="none"/>
          <w:lang w:bidi="ar"/>
        </w:rPr>
        <w:t>专栏</w:t>
      </w:r>
      <w:r>
        <w:rPr>
          <w:rFonts w:hint="eastAsia" w:ascii="Times New Roman" w:hAnsi="Times New Roman" w:eastAsia="方正黑体_GBK" w:cs="方正黑体_GBK"/>
          <w:color w:val="auto"/>
          <w:kern w:val="0"/>
          <w:sz w:val="32"/>
          <w:szCs w:val="32"/>
          <w:highlight w:val="none"/>
          <w:u w:val="none"/>
          <w:lang w:val="en-US" w:eastAsia="zh-CN" w:bidi="ar"/>
        </w:rPr>
        <w:t>30</w:t>
      </w:r>
      <w:r>
        <w:rPr>
          <w:rFonts w:hint="eastAsia" w:ascii="Times New Roman" w:hAnsi="Times New Roman" w:eastAsia="方正黑体_GBK" w:cs="方正黑体_GBK"/>
          <w:color w:val="auto"/>
          <w:kern w:val="0"/>
          <w:sz w:val="32"/>
          <w:szCs w:val="32"/>
          <w:highlight w:val="none"/>
          <w:u w:val="none"/>
          <w:lang w:bidi="ar"/>
        </w:rPr>
        <w:t xml:space="preserve"> 农业农村现代化重点项目</w:t>
      </w:r>
    </w:p>
    <w:tbl>
      <w:tblPr>
        <w:tblStyle w:val="22"/>
        <w:tblW w:w="9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0"/>
      </w:tblGrid>
      <w:tr w14:paraId="58BE4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90" w:type="dxa"/>
          </w:tcPr>
          <w:p w14:paraId="40C633C6">
            <w:pPr>
              <w:pStyle w:val="38"/>
              <w:spacing w:line="340" w:lineRule="exact"/>
              <w:rPr>
                <w:rFonts w:hint="eastAsia" w:ascii="Times New Roman" w:hAnsi="Times New Roman" w:eastAsia="方正黑体_GBK" w:cs="方正黑体_GBK"/>
                <w:color w:val="auto"/>
                <w:kern w:val="0"/>
                <w:sz w:val="24"/>
                <w:szCs w:val="24"/>
                <w:highlight w:val="none"/>
                <w:u w:val="none"/>
                <w:lang w:bidi="ar"/>
              </w:rPr>
            </w:pPr>
            <w:r>
              <w:rPr>
                <w:rFonts w:hint="eastAsia" w:ascii="Times New Roman" w:hAnsi="Times New Roman" w:eastAsia="方正黑体_GBK" w:cs="方正黑体_GBK"/>
                <w:color w:val="auto"/>
                <w:kern w:val="0"/>
                <w:sz w:val="24"/>
                <w:szCs w:val="24"/>
                <w:highlight w:val="none"/>
                <w:u w:val="none"/>
                <w:lang w:bidi="ar"/>
              </w:rPr>
              <w:t>1</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szCs w:val="24"/>
                <w:highlight w:val="none"/>
                <w:u w:val="none"/>
                <w:lang w:bidi="ar"/>
              </w:rPr>
              <w:t>耕地保护和农田建设类。</w:t>
            </w:r>
            <w:r>
              <w:rPr>
                <w:rFonts w:hint="eastAsia" w:ascii="方正书宋_GBK" w:hAnsi="方正书宋_GBK" w:eastAsia="方正书宋_GBK" w:cs="方正书宋_GBK"/>
                <w:color w:val="auto"/>
                <w:kern w:val="0"/>
                <w:sz w:val="24"/>
                <w:szCs w:val="24"/>
                <w:highlight w:val="none"/>
                <w:lang w:bidi="ar"/>
              </w:rPr>
              <w:t>高新区高标准基本农田提质增效示范项目。</w:t>
            </w:r>
          </w:p>
          <w:p w14:paraId="6CD612DB">
            <w:pPr>
              <w:pStyle w:val="38"/>
              <w:spacing w:line="340" w:lineRule="exact"/>
              <w:rPr>
                <w:rFonts w:hint="eastAsia" w:ascii="方正书宋_GBK" w:hAnsi="方正书宋_GBK" w:eastAsia="方正书宋_GBK" w:cs="方正书宋_GBK"/>
                <w:color w:val="auto"/>
                <w:kern w:val="0"/>
                <w:sz w:val="24"/>
                <w:szCs w:val="24"/>
                <w:highlight w:val="none"/>
                <w:lang w:bidi="ar"/>
              </w:rPr>
            </w:pPr>
            <w:r>
              <w:rPr>
                <w:rFonts w:hint="eastAsia" w:ascii="Times New Roman" w:hAnsi="Times New Roman" w:eastAsia="方正黑体_GBK" w:cs="方正黑体_GBK"/>
                <w:color w:val="auto"/>
                <w:kern w:val="0"/>
                <w:sz w:val="24"/>
                <w:szCs w:val="24"/>
                <w:highlight w:val="none"/>
                <w:u w:val="none"/>
                <w:lang w:bidi="ar"/>
              </w:rPr>
              <w:t>2</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szCs w:val="24"/>
                <w:highlight w:val="none"/>
                <w:u w:val="none"/>
                <w:lang w:bidi="ar"/>
              </w:rPr>
              <w:t>特色产业培育类。</w:t>
            </w:r>
            <w:r>
              <w:rPr>
                <w:rFonts w:hint="eastAsia" w:ascii="方正书宋_GBK" w:hAnsi="方正书宋_GBK" w:eastAsia="方正书宋_GBK" w:cs="方正书宋_GBK"/>
                <w:color w:val="auto"/>
                <w:kern w:val="0"/>
                <w:sz w:val="24"/>
                <w:szCs w:val="24"/>
                <w:highlight w:val="none"/>
                <w:lang w:bidi="ar"/>
              </w:rPr>
              <w:t>食农加工数智科技产业园、食药同源食品科技产业园项目、休闲食品研发生产与运营中心项目、石板镇天池村光伏+食用菌现代农业观光园</w:t>
            </w:r>
            <w:r>
              <w:rPr>
                <w:rFonts w:hint="eastAsia" w:ascii="方正书宋_GBK" w:hAnsi="方正书宋_GBK" w:eastAsia="方正书宋_GBK" w:cs="方正书宋_GBK"/>
                <w:color w:val="auto"/>
                <w:kern w:val="0"/>
                <w:sz w:val="24"/>
                <w:szCs w:val="24"/>
                <w:highlight w:val="none"/>
                <w:lang w:val="en-US" w:eastAsia="zh-CN" w:bidi="ar"/>
              </w:rPr>
              <w:t>项目</w:t>
            </w:r>
            <w:r>
              <w:rPr>
                <w:rFonts w:hint="eastAsia" w:ascii="方正书宋_GBK" w:hAnsi="方正书宋_GBK" w:eastAsia="方正书宋_GBK" w:cs="方正书宋_GBK"/>
                <w:color w:val="auto"/>
                <w:kern w:val="0"/>
                <w:sz w:val="24"/>
                <w:szCs w:val="24"/>
                <w:highlight w:val="none"/>
                <w:lang w:bidi="ar"/>
              </w:rPr>
              <w:t>、科学城食安谷项目、冬虫夏草培植创新基地项目。</w:t>
            </w:r>
          </w:p>
          <w:p w14:paraId="67B4037C">
            <w:pPr>
              <w:pStyle w:val="38"/>
              <w:spacing w:line="340" w:lineRule="exact"/>
              <w:rPr>
                <w:rFonts w:hint="eastAsia" w:ascii="方正书宋_GBK" w:hAnsi="方正书宋_GBK" w:eastAsia="方正书宋_GBK" w:cs="方正书宋_GBK"/>
                <w:color w:val="auto"/>
                <w:kern w:val="0"/>
                <w:sz w:val="24"/>
                <w:szCs w:val="24"/>
                <w:highlight w:val="none"/>
                <w:lang w:bidi="ar"/>
              </w:rPr>
            </w:pPr>
            <w:r>
              <w:rPr>
                <w:rFonts w:hint="eastAsia" w:ascii="Times New Roman" w:hAnsi="Times New Roman" w:eastAsia="方正黑体_GBK" w:cs="方正黑体_GBK"/>
                <w:color w:val="auto"/>
                <w:kern w:val="0"/>
                <w:sz w:val="24"/>
                <w:szCs w:val="24"/>
                <w:highlight w:val="none"/>
                <w:u w:val="none"/>
                <w:lang w:bidi="ar"/>
              </w:rPr>
              <w:t>3</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szCs w:val="24"/>
                <w:highlight w:val="none"/>
                <w:u w:val="none"/>
                <w:lang w:bidi="ar"/>
              </w:rPr>
              <w:t>农文旅融合发展类。</w:t>
            </w:r>
            <w:r>
              <w:rPr>
                <w:rFonts w:hint="eastAsia" w:ascii="方正书宋_GBK" w:hAnsi="方正书宋_GBK" w:eastAsia="方正书宋_GBK" w:cs="方正书宋_GBK"/>
                <w:color w:val="auto"/>
                <w:spacing w:val="-6"/>
                <w:kern w:val="0"/>
                <w:sz w:val="24"/>
                <w:szCs w:val="24"/>
                <w:highlight w:val="none"/>
                <w:lang w:bidi="ar"/>
              </w:rPr>
              <w:t>虎峰山生态艺术廊道建设项目、高新区安全能力提升工程（含谷标段）、走马古镇及周边历史风貌保护和修复项目、走马镇农文旅融合配套设施完善项目、石板镇天池村萌特矿坑农文旅融合项目、金凤</w:t>
            </w:r>
            <w:r>
              <w:rPr>
                <w:rFonts w:hint="eastAsia" w:ascii="方正书宋_GBK" w:hAnsi="方正书宋_GBK" w:eastAsia="方正书宋_GBK" w:cs="方正书宋_GBK"/>
                <w:color w:val="auto"/>
                <w:spacing w:val="-6"/>
                <w:kern w:val="0"/>
                <w:sz w:val="24"/>
                <w:szCs w:val="24"/>
                <w:highlight w:val="none"/>
                <w:lang w:eastAsia="zh-CN" w:bidi="ar"/>
              </w:rPr>
              <w:t>—</w:t>
            </w:r>
            <w:r>
              <w:rPr>
                <w:rFonts w:hint="eastAsia" w:ascii="方正书宋_GBK" w:hAnsi="方正书宋_GBK" w:eastAsia="方正书宋_GBK" w:cs="方正书宋_GBK"/>
                <w:color w:val="auto"/>
                <w:spacing w:val="-6"/>
                <w:kern w:val="0"/>
                <w:sz w:val="24"/>
                <w:szCs w:val="24"/>
                <w:highlight w:val="none"/>
                <w:lang w:bidi="ar"/>
              </w:rPr>
              <w:t>曾家片区生态农旅连片提升项目。</w:t>
            </w:r>
          </w:p>
          <w:p w14:paraId="1A476AE3">
            <w:pPr>
              <w:pStyle w:val="38"/>
              <w:spacing w:line="340" w:lineRule="exact"/>
              <w:rPr>
                <w:rFonts w:hint="eastAsia" w:ascii="方正书宋_GBK" w:hAnsi="方正书宋_GBK" w:eastAsia="方正书宋_GBK" w:cs="方正书宋_GBK"/>
                <w:color w:val="auto"/>
                <w:kern w:val="0"/>
                <w:sz w:val="24"/>
                <w:szCs w:val="24"/>
                <w:highlight w:val="none"/>
                <w:lang w:bidi="ar"/>
              </w:rPr>
            </w:pPr>
            <w:r>
              <w:rPr>
                <w:rFonts w:hint="eastAsia" w:ascii="Times New Roman" w:hAnsi="Times New Roman" w:eastAsia="方正黑体_GBK" w:cs="方正黑体_GBK"/>
                <w:color w:val="auto"/>
                <w:kern w:val="0"/>
                <w:sz w:val="24"/>
                <w:szCs w:val="24"/>
                <w:highlight w:val="none"/>
                <w:u w:val="none"/>
                <w:lang w:bidi="ar"/>
              </w:rPr>
              <w:t>4</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szCs w:val="24"/>
                <w:highlight w:val="none"/>
                <w:u w:val="none"/>
                <w:lang w:bidi="ar"/>
              </w:rPr>
              <w:t>巴渝和美乡村类。</w:t>
            </w:r>
            <w:r>
              <w:rPr>
                <w:rFonts w:hint="eastAsia" w:ascii="方正书宋_GBK" w:hAnsi="方正书宋_GBK" w:eastAsia="方正书宋_GBK" w:cs="方正书宋_GBK"/>
                <w:color w:val="auto"/>
                <w:kern w:val="0"/>
                <w:sz w:val="24"/>
                <w:szCs w:val="24"/>
                <w:highlight w:val="none"/>
                <w:lang w:bidi="ar"/>
              </w:rPr>
              <w:t>巴福镇巴林路沿线院落连片整治</w:t>
            </w:r>
            <w:r>
              <w:rPr>
                <w:rFonts w:hint="eastAsia" w:ascii="方正书宋_GBK" w:hAnsi="方正书宋_GBK" w:eastAsia="方正书宋_GBK" w:cs="方正书宋_GBK"/>
                <w:color w:val="auto"/>
                <w:kern w:val="0"/>
                <w:sz w:val="24"/>
                <w:szCs w:val="24"/>
                <w:highlight w:val="none"/>
                <w:lang w:val="en-US" w:eastAsia="zh-CN" w:bidi="ar"/>
              </w:rPr>
              <w:t>项目</w:t>
            </w:r>
            <w:r>
              <w:rPr>
                <w:rFonts w:hint="eastAsia" w:ascii="方正书宋_GBK" w:hAnsi="方正书宋_GBK" w:eastAsia="方正书宋_GBK" w:cs="方正书宋_GBK"/>
                <w:color w:val="auto"/>
                <w:kern w:val="0"/>
                <w:sz w:val="24"/>
                <w:szCs w:val="24"/>
                <w:highlight w:val="none"/>
                <w:lang w:bidi="ar"/>
              </w:rPr>
              <w:t>、金凤</w:t>
            </w:r>
            <w:r>
              <w:rPr>
                <w:rFonts w:hint="eastAsia" w:ascii="方正书宋_GBK" w:hAnsi="方正书宋_GBK" w:eastAsia="方正书宋_GBK" w:cs="方正书宋_GBK"/>
                <w:color w:val="auto"/>
                <w:kern w:val="0"/>
                <w:sz w:val="24"/>
                <w:szCs w:val="24"/>
                <w:highlight w:val="none"/>
                <w:lang w:eastAsia="zh-CN" w:bidi="ar"/>
              </w:rPr>
              <w:t>—</w:t>
            </w:r>
            <w:r>
              <w:rPr>
                <w:rFonts w:hint="eastAsia" w:ascii="方正书宋_GBK" w:hAnsi="方正书宋_GBK" w:eastAsia="方正书宋_GBK" w:cs="方正书宋_GBK"/>
                <w:color w:val="auto"/>
                <w:kern w:val="0"/>
                <w:sz w:val="24"/>
                <w:szCs w:val="24"/>
                <w:highlight w:val="none"/>
                <w:lang w:bidi="ar"/>
              </w:rPr>
              <w:t>曾家和美乡村连片共建项目。</w:t>
            </w:r>
          </w:p>
          <w:p w14:paraId="38606658">
            <w:pPr>
              <w:pStyle w:val="38"/>
              <w:spacing w:line="340" w:lineRule="exact"/>
              <w:rPr>
                <w:rFonts w:hint="eastAsia" w:ascii="方正书宋_GBK" w:hAnsi="方正书宋_GBK" w:eastAsia="方正书宋_GBK" w:cs="方正书宋_GBK"/>
                <w:color w:val="auto"/>
                <w:sz w:val="24"/>
                <w:szCs w:val="24"/>
                <w:highlight w:val="none"/>
              </w:rPr>
            </w:pPr>
            <w:r>
              <w:rPr>
                <w:rFonts w:hint="eastAsia" w:ascii="Times New Roman" w:hAnsi="Times New Roman" w:eastAsia="方正黑体_GBK" w:cs="方正黑体_GBK"/>
                <w:color w:val="auto"/>
                <w:kern w:val="0"/>
                <w:sz w:val="24"/>
                <w:szCs w:val="24"/>
                <w:highlight w:val="none"/>
                <w:u w:val="none"/>
                <w:lang w:bidi="ar"/>
              </w:rPr>
              <w:t>5</w:t>
            </w:r>
            <w:r>
              <w:rPr>
                <w:rFonts w:hint="eastAsia" w:ascii="Times New Roman" w:hAnsi="Times New Roman" w:eastAsia="方正黑体_GBK" w:cs="方正黑体_GBK"/>
                <w:color w:val="auto"/>
                <w:sz w:val="24"/>
                <w:szCs w:val="24"/>
                <w:highlight w:val="none"/>
                <w:u w:val="none"/>
              </w:rPr>
              <w:t>．</w:t>
            </w:r>
            <w:r>
              <w:rPr>
                <w:rFonts w:hint="eastAsia" w:ascii="Times New Roman" w:hAnsi="Times New Roman" w:eastAsia="方正黑体_GBK" w:cs="方正黑体_GBK"/>
                <w:color w:val="auto"/>
                <w:kern w:val="0"/>
                <w:sz w:val="24"/>
                <w:szCs w:val="24"/>
                <w:highlight w:val="none"/>
                <w:u w:val="none"/>
                <w:lang w:bidi="ar"/>
              </w:rPr>
              <w:t>基础设施及公共服务配套</w:t>
            </w:r>
            <w:r>
              <w:rPr>
                <w:rFonts w:hint="eastAsia" w:eastAsia="方正黑体_GBK" w:cs="方正黑体_GBK"/>
                <w:color w:val="auto"/>
                <w:kern w:val="0"/>
                <w:sz w:val="24"/>
                <w:szCs w:val="24"/>
                <w:highlight w:val="none"/>
                <w:u w:val="none"/>
                <w:lang w:val="en-US" w:eastAsia="zh-CN" w:bidi="ar"/>
              </w:rPr>
              <w:t>类</w:t>
            </w:r>
            <w:r>
              <w:rPr>
                <w:rFonts w:hint="eastAsia" w:ascii="Times New Roman" w:hAnsi="Times New Roman" w:eastAsia="方正黑体_GBK" w:cs="方正黑体_GBK"/>
                <w:color w:val="auto"/>
                <w:kern w:val="0"/>
                <w:sz w:val="24"/>
                <w:szCs w:val="24"/>
                <w:highlight w:val="none"/>
                <w:u w:val="none"/>
                <w:lang w:bidi="ar"/>
              </w:rPr>
              <w:t>。</w:t>
            </w:r>
            <w:r>
              <w:rPr>
                <w:rFonts w:hint="eastAsia" w:ascii="方正书宋_GBK" w:hAnsi="方正书宋_GBK" w:eastAsia="方正书宋_GBK" w:cs="方正书宋_GBK"/>
                <w:color w:val="auto"/>
                <w:kern w:val="0"/>
                <w:sz w:val="24"/>
                <w:szCs w:val="24"/>
                <w:highlight w:val="none"/>
                <w:lang w:bidi="ar"/>
              </w:rPr>
              <w:t>乡村振兴道路提质升级项目、金凤镇便民步道修缮及配套设施工程。</w:t>
            </w:r>
          </w:p>
        </w:tc>
      </w:tr>
    </w:tbl>
    <w:p w14:paraId="35309081">
      <w:pPr>
        <w:widowControl/>
        <w:spacing w:line="600" w:lineRule="exact"/>
        <w:jc w:val="left"/>
        <w:rPr>
          <w:rFonts w:ascii="Times New Roman" w:hAnsi="Times New Roman" w:eastAsia="方正仿宋_GBK" w:cs="Times New Roman"/>
          <w:bCs/>
          <w:snapToGrid w:val="0"/>
          <w:color w:val="auto"/>
          <w:kern w:val="0"/>
          <w:sz w:val="33"/>
          <w:szCs w:val="32"/>
          <w:highlight w:val="none"/>
          <w:lang w:bidi="ar"/>
        </w:rPr>
      </w:pPr>
      <w:r>
        <w:rPr>
          <w:rFonts w:hint="eastAsia" w:ascii="Times New Roman" w:hAnsi="Times New Roman" w:eastAsia="方正黑体_GBK" w:cs="方正黑体_GBK"/>
          <w:color w:val="auto"/>
          <w:sz w:val="32"/>
          <w:szCs w:val="32"/>
          <w:highlight w:val="none"/>
        </w:rPr>
        <w:br w:type="page"/>
      </w:r>
    </w:p>
    <w:p w14:paraId="5872EEED">
      <w:pPr>
        <w:overflowPunct w:val="0"/>
        <w:adjustRightInd w:val="0"/>
        <w:snapToGrid w:val="0"/>
        <w:spacing w:line="600" w:lineRule="exact"/>
        <w:jc w:val="center"/>
        <w:outlineLvl w:val="0"/>
        <w:rPr>
          <w:rFonts w:ascii="Times New Roman" w:hAnsi="Times New Roman" w:eastAsia="方正黑体_GBK" w:cs="方正黑体_GBK"/>
          <w:color w:val="auto"/>
          <w:sz w:val="32"/>
          <w:szCs w:val="32"/>
          <w:highlight w:val="none"/>
        </w:rPr>
      </w:pPr>
      <w:bookmarkStart w:id="840" w:name="_Toc10070"/>
      <w:bookmarkStart w:id="841" w:name="_Toc1057334900"/>
      <w:bookmarkStart w:id="842" w:name="_Toc21583"/>
      <w:bookmarkStart w:id="843" w:name="_Toc25918"/>
      <w:bookmarkStart w:id="844" w:name="_Toc898671922"/>
      <w:r>
        <w:rPr>
          <w:rFonts w:hint="eastAsia" w:ascii="Times New Roman" w:hAnsi="Times New Roman" w:eastAsia="方正黑体_GBK" w:cs="方正黑体_GBK"/>
          <w:color w:val="auto"/>
          <w:sz w:val="32"/>
          <w:szCs w:val="32"/>
          <w:highlight w:val="none"/>
        </w:rPr>
        <w:t>第</w:t>
      </w:r>
      <w:r>
        <w:rPr>
          <w:rFonts w:hint="eastAsia" w:ascii="Times New Roman" w:hAnsi="Times New Roman" w:eastAsia="方正黑体_GBK" w:cs="方正黑体_GBK"/>
          <w:color w:val="auto"/>
          <w:sz w:val="32"/>
          <w:szCs w:val="32"/>
          <w:highlight w:val="none"/>
          <w:lang w:val="en-US" w:eastAsia="zh-CN"/>
        </w:rPr>
        <w:t>八</w:t>
      </w:r>
      <w:r>
        <w:rPr>
          <w:rFonts w:hint="eastAsia" w:ascii="Times New Roman" w:hAnsi="Times New Roman" w:eastAsia="方正黑体_GBK" w:cs="方正黑体_GBK"/>
          <w:color w:val="auto"/>
          <w:sz w:val="32"/>
          <w:szCs w:val="32"/>
          <w:highlight w:val="none"/>
        </w:rPr>
        <w:t>篇 健全规划实施保障机制</w:t>
      </w:r>
      <w:bookmarkEnd w:id="840"/>
      <w:bookmarkEnd w:id="841"/>
      <w:bookmarkEnd w:id="842"/>
      <w:bookmarkEnd w:id="843"/>
      <w:bookmarkEnd w:id="844"/>
    </w:p>
    <w:p w14:paraId="7C026CA0">
      <w:pPr>
        <w:overflowPunct w:val="0"/>
        <w:adjustRightInd w:val="0"/>
        <w:snapToGrid w:val="0"/>
        <w:spacing w:line="600" w:lineRule="exact"/>
        <w:ind w:firstLine="640" w:firstLineChars="200"/>
        <w:rPr>
          <w:rFonts w:ascii="Times New Roman" w:hAnsi="Times New Roman" w:eastAsia="方正仿宋_GBK" w:cs="Times New Roman"/>
          <w:color w:val="auto"/>
          <w:sz w:val="32"/>
          <w:szCs w:val="32"/>
          <w:highlight w:val="none"/>
        </w:rPr>
      </w:pPr>
    </w:p>
    <w:p w14:paraId="5BB3D100">
      <w:pPr>
        <w:adjustRightInd w:val="0"/>
        <w:snapToGrid w:val="0"/>
        <w:spacing w:line="600" w:lineRule="exact"/>
        <w:ind w:firstLine="640" w:firstLineChars="200"/>
        <w:textAlignment w:val="baseline"/>
        <w:rPr>
          <w:rFonts w:ascii="Times New Roman" w:hAnsi="Times New Roman" w:eastAsia="方正仿宋_GBK" w:cs="Times New Roman"/>
          <w:color w:val="auto"/>
          <w:sz w:val="32"/>
          <w:szCs w:val="20"/>
          <w:highlight w:val="none"/>
        </w:rPr>
      </w:pPr>
      <w:r>
        <w:rPr>
          <w:rFonts w:hint="eastAsia" w:ascii="Times New Roman" w:hAnsi="Times New Roman" w:eastAsia="方正仿宋_GBK" w:cs="Times New Roman"/>
          <w:color w:val="auto"/>
          <w:sz w:val="32"/>
          <w:szCs w:val="20"/>
          <w:highlight w:val="none"/>
        </w:rPr>
        <w:t>坚持和加强党的全面领导，聚焦规划目标、重点任务、重点项目实施，最大程度激发全</w:t>
      </w:r>
      <w:r>
        <w:rPr>
          <w:rFonts w:hint="eastAsia" w:ascii="Times New Roman" w:hAnsi="Times New Roman" w:eastAsia="方正仿宋_GBK" w:cs="Times New Roman"/>
          <w:bCs/>
          <w:snapToGrid w:val="0"/>
          <w:color w:val="auto"/>
          <w:kern w:val="0"/>
          <w:sz w:val="32"/>
          <w:szCs w:val="32"/>
          <w:highlight w:val="none"/>
          <w:lang w:bidi="ar"/>
        </w:rPr>
        <w:t>社会</w:t>
      </w:r>
      <w:r>
        <w:rPr>
          <w:rFonts w:hint="eastAsia" w:ascii="Times New Roman" w:hAnsi="Times New Roman" w:eastAsia="方正仿宋_GBK" w:cs="Times New Roman"/>
          <w:color w:val="auto"/>
          <w:sz w:val="32"/>
          <w:szCs w:val="20"/>
          <w:highlight w:val="none"/>
        </w:rPr>
        <w:t>力量，建立健全规划有效实施的保障机制，凝聚推动规划落地见效的强大合力。</w:t>
      </w:r>
    </w:p>
    <w:p w14:paraId="3E201097">
      <w:pPr>
        <w:adjustRightInd w:val="0"/>
        <w:snapToGrid w:val="0"/>
        <w:spacing w:line="600" w:lineRule="exact"/>
        <w:ind w:firstLine="640" w:firstLineChars="200"/>
        <w:textAlignment w:val="baseline"/>
        <w:rPr>
          <w:rFonts w:ascii="Times New Roman" w:hAnsi="Times New Roman" w:eastAsia="方正仿宋_GBK" w:cs="Times New Roman"/>
          <w:color w:val="auto"/>
          <w:sz w:val="32"/>
          <w:szCs w:val="20"/>
          <w:highlight w:val="none"/>
        </w:rPr>
      </w:pPr>
    </w:p>
    <w:p w14:paraId="6AB4C1DB">
      <w:pPr>
        <w:numPr>
          <w:ilvl w:val="255"/>
          <w:numId w:val="0"/>
        </w:numPr>
        <w:overflowPunct w:val="0"/>
        <w:adjustRightInd w:val="0"/>
        <w:snapToGrid w:val="0"/>
        <w:spacing w:line="600" w:lineRule="exact"/>
        <w:jc w:val="center"/>
        <w:outlineLvl w:val="1"/>
        <w:rPr>
          <w:rFonts w:ascii="Times New Roman" w:hAnsi="Times New Roman" w:eastAsia="方正黑体_GBK"/>
          <w:bCs/>
          <w:color w:val="auto"/>
          <w:sz w:val="32"/>
          <w:highlight w:val="none"/>
        </w:rPr>
      </w:pPr>
      <w:bookmarkStart w:id="845" w:name="_Toc11494"/>
      <w:bookmarkStart w:id="846" w:name="_Toc30487"/>
      <w:bookmarkStart w:id="847" w:name="_Toc24662"/>
      <w:bookmarkStart w:id="848" w:name="_Toc16729"/>
      <w:bookmarkStart w:id="849" w:name="_Toc200485375"/>
      <w:bookmarkStart w:id="850" w:name="_Toc14085"/>
      <w:bookmarkStart w:id="851" w:name="_Toc726503703"/>
      <w:bookmarkStart w:id="852" w:name="_Toc16856"/>
      <w:bookmarkStart w:id="853" w:name="_Toc16970"/>
      <w:bookmarkStart w:id="854" w:name="_Toc7397"/>
      <w:bookmarkStart w:id="855" w:name="_Toc12118"/>
      <w:r>
        <w:rPr>
          <w:rFonts w:hint="eastAsia" w:ascii="Times New Roman" w:hAnsi="Times New Roman" w:eastAsia="方正黑体_GBK" w:cs="方正黑体_GBK"/>
          <w:color w:val="auto"/>
          <w:sz w:val="32"/>
          <w:szCs w:val="32"/>
          <w:highlight w:val="none"/>
        </w:rPr>
        <w:t>第一章 坚持党对经济社会发展的全面领导</w:t>
      </w:r>
      <w:bookmarkEnd w:id="845"/>
      <w:bookmarkEnd w:id="846"/>
      <w:bookmarkEnd w:id="847"/>
      <w:bookmarkEnd w:id="848"/>
      <w:bookmarkEnd w:id="849"/>
      <w:bookmarkEnd w:id="850"/>
      <w:bookmarkEnd w:id="851"/>
      <w:bookmarkEnd w:id="852"/>
      <w:bookmarkEnd w:id="853"/>
      <w:bookmarkEnd w:id="854"/>
      <w:bookmarkEnd w:id="855"/>
    </w:p>
    <w:p w14:paraId="65986B68">
      <w:pPr>
        <w:pStyle w:val="19"/>
        <w:overflowPunct w:val="0"/>
        <w:adjustRightInd w:val="0"/>
        <w:snapToGrid w:val="0"/>
        <w:spacing w:beforeAutospacing="0" w:afterAutospacing="0" w:line="600" w:lineRule="exact"/>
        <w:ind w:firstLine="640" w:firstLineChars="200"/>
        <w:jc w:val="both"/>
        <w:rPr>
          <w:rFonts w:ascii="Times New Roman" w:hAnsi="Times New Roman" w:eastAsia="方正仿宋_GBK" w:cs="方正仿宋_GBK"/>
          <w:color w:val="auto"/>
          <w:sz w:val="32"/>
          <w:szCs w:val="32"/>
          <w:highlight w:val="none"/>
        </w:rPr>
      </w:pPr>
      <w:bookmarkStart w:id="856" w:name="_Toc1111757057"/>
      <w:bookmarkStart w:id="857" w:name="_Toc6558"/>
      <w:bookmarkStart w:id="858" w:name="_Toc1629764424"/>
      <w:bookmarkStart w:id="859" w:name="_Toc1442260421_WPSOffice_Level3"/>
      <w:bookmarkStart w:id="860" w:name="_Toc1610296139"/>
      <w:bookmarkStart w:id="861" w:name="_Toc365354230"/>
      <w:r>
        <w:rPr>
          <w:rFonts w:hint="eastAsia" w:ascii="Times New Roman" w:hAnsi="Times New Roman" w:eastAsia="方正仿宋_GBK" w:cs="方正仿宋_GBK"/>
          <w:color w:val="auto"/>
          <w:sz w:val="32"/>
          <w:szCs w:val="32"/>
          <w:highlight w:val="none"/>
        </w:rPr>
        <w:t>贯彻党把方向、谋大局、定政策、促改革要求，将党的政治优势、组织优势和社会主义制度集中力量办大事的制度优势，转化为推进规划实施的强大动力和根本保障。</w:t>
      </w:r>
    </w:p>
    <w:p w14:paraId="0CCC5B54">
      <w:pPr>
        <w:adjustRightInd w:val="0"/>
        <w:snapToGrid w:val="0"/>
        <w:spacing w:line="600" w:lineRule="exact"/>
        <w:jc w:val="center"/>
        <w:outlineLvl w:val="2"/>
        <w:rPr>
          <w:rFonts w:ascii="Times New Roman" w:hAnsi="Times New Roman" w:eastAsia="方正仿宋_GBK" w:cs="方正仿宋_GBK"/>
          <w:color w:val="auto"/>
          <w:sz w:val="32"/>
          <w:szCs w:val="32"/>
          <w:highlight w:val="none"/>
        </w:rPr>
      </w:pPr>
      <w:bookmarkStart w:id="862" w:name="_Toc20327"/>
      <w:bookmarkStart w:id="863" w:name="_Toc17424"/>
      <w:bookmarkStart w:id="864" w:name="_Toc155855482"/>
      <w:bookmarkStart w:id="865" w:name="_Toc1903203126"/>
      <w:bookmarkStart w:id="866" w:name="_Toc23429"/>
      <w:r>
        <w:rPr>
          <w:rFonts w:hint="eastAsia" w:ascii="Times New Roman" w:hAnsi="Times New Roman" w:eastAsia="方正楷体_GBK" w:cs="方正楷体_GBK"/>
          <w:color w:val="auto"/>
          <w:sz w:val="32"/>
          <w:szCs w:val="32"/>
          <w:highlight w:val="none"/>
        </w:rPr>
        <w:t>第一节 强化党对规划实施的全过程领导</w:t>
      </w:r>
      <w:bookmarkEnd w:id="856"/>
      <w:bookmarkEnd w:id="857"/>
      <w:bookmarkEnd w:id="858"/>
      <w:bookmarkEnd w:id="859"/>
      <w:bookmarkEnd w:id="860"/>
      <w:bookmarkEnd w:id="861"/>
      <w:bookmarkEnd w:id="862"/>
      <w:bookmarkEnd w:id="863"/>
      <w:bookmarkEnd w:id="864"/>
      <w:bookmarkEnd w:id="865"/>
      <w:bookmarkEnd w:id="866"/>
    </w:p>
    <w:p w14:paraId="5F62B857">
      <w:pPr>
        <w:pStyle w:val="19"/>
        <w:overflowPunct w:val="0"/>
        <w:adjustRightInd w:val="0"/>
        <w:snapToGrid w:val="0"/>
        <w:spacing w:beforeAutospacing="0" w:afterAutospacing="0" w:line="600" w:lineRule="exact"/>
        <w:ind w:firstLine="640" w:firstLineChars="200"/>
        <w:jc w:val="both"/>
        <w:rPr>
          <w:rFonts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color w:val="auto"/>
          <w:sz w:val="32"/>
          <w:szCs w:val="32"/>
          <w:highlight w:val="none"/>
        </w:rPr>
        <w:t>深入学习贯彻习近平新时代中国特色社会主义思想，增强“四个意识”、坚定“四个自信”、做到“两个维护”，健全习近平总书记重要指示批示和党中央决策部署闭环落实机制，加强规划实施的统筹协调和指导推动，形成分工明确、协同联动、广泛参与的规划实施工作格局，确保上下贯通、执行有力。健全党建统领“885”工作机制，全面推动各项重点任务闭环落实。</w:t>
      </w:r>
      <w:r>
        <w:rPr>
          <w:rFonts w:hint="eastAsia" w:ascii="Times New Roman" w:hAnsi="Times New Roman" w:eastAsia="方正仿宋_GBK" w:cs="方正仿宋_GBK"/>
          <w:color w:val="auto"/>
          <w:sz w:val="32"/>
          <w:szCs w:val="32"/>
          <w:highlight w:val="none"/>
          <w:lang w:val="en-US" w:eastAsia="zh-CN"/>
        </w:rPr>
        <w:t>将</w:t>
      </w:r>
      <w:r>
        <w:rPr>
          <w:rFonts w:hint="eastAsia" w:ascii="Times New Roman" w:hAnsi="Times New Roman" w:eastAsia="方正仿宋_GBK" w:cs="方正仿宋_GBK"/>
          <w:color w:val="auto"/>
          <w:sz w:val="32"/>
          <w:szCs w:val="32"/>
          <w:highlight w:val="none"/>
        </w:rPr>
        <w:t>规划目标任务落实情况</w:t>
      </w:r>
      <w:r>
        <w:rPr>
          <w:rFonts w:hint="eastAsia" w:ascii="Times New Roman" w:hAnsi="Times New Roman" w:eastAsia="方正仿宋_GBK" w:cs="方正仿宋_GBK"/>
          <w:color w:val="auto"/>
          <w:sz w:val="32"/>
          <w:szCs w:val="32"/>
          <w:highlight w:val="none"/>
          <w:lang w:val="en-US" w:eastAsia="zh-CN"/>
        </w:rPr>
        <w:t>纳入各部门</w:t>
      </w:r>
      <w:r>
        <w:rPr>
          <w:rFonts w:hint="eastAsia" w:ascii="Times New Roman" w:hAnsi="Times New Roman" w:eastAsia="方正仿宋_GBK" w:cs="方正仿宋_GBK"/>
          <w:color w:val="auto"/>
          <w:sz w:val="32"/>
          <w:szCs w:val="32"/>
          <w:highlight w:val="none"/>
        </w:rPr>
        <w:t>向党工委管委会报告</w:t>
      </w:r>
      <w:r>
        <w:rPr>
          <w:rFonts w:hint="eastAsia" w:ascii="Times New Roman" w:hAnsi="Times New Roman" w:eastAsia="方正仿宋_GBK" w:cs="方正仿宋_GBK"/>
          <w:color w:val="auto"/>
          <w:sz w:val="32"/>
          <w:szCs w:val="32"/>
          <w:highlight w:val="none"/>
          <w:lang w:val="en-US" w:eastAsia="zh-CN"/>
        </w:rPr>
        <w:t>的重要内容</w:t>
      </w:r>
      <w:r>
        <w:rPr>
          <w:rFonts w:hint="eastAsia" w:ascii="Times New Roman" w:hAnsi="Times New Roman" w:eastAsia="方正仿宋_GBK" w:cs="方正仿宋_GBK"/>
          <w:color w:val="auto"/>
          <w:sz w:val="32"/>
          <w:szCs w:val="32"/>
          <w:highlight w:val="none"/>
        </w:rPr>
        <w:t>。</w:t>
      </w:r>
    </w:p>
    <w:p w14:paraId="0CF07EFA">
      <w:pPr>
        <w:overflowPunct w:val="0"/>
        <w:adjustRightInd w:val="0"/>
        <w:snapToGrid w:val="0"/>
        <w:spacing w:line="600" w:lineRule="exact"/>
        <w:jc w:val="center"/>
        <w:outlineLvl w:val="2"/>
        <w:rPr>
          <w:rFonts w:ascii="Times New Roman" w:hAnsi="Times New Roman" w:eastAsia="方正楷体_GBK" w:cs="方正楷体_GBK"/>
          <w:color w:val="auto"/>
          <w:sz w:val="32"/>
          <w:szCs w:val="32"/>
          <w:highlight w:val="none"/>
        </w:rPr>
      </w:pPr>
      <w:bookmarkStart w:id="867" w:name="TitleIndex248"/>
      <w:bookmarkEnd w:id="867"/>
      <w:bookmarkStart w:id="868" w:name="_Toc366016617"/>
      <w:bookmarkStart w:id="869" w:name="_Toc366964245"/>
      <w:bookmarkStart w:id="870" w:name="_Toc1680520281"/>
      <w:bookmarkStart w:id="871" w:name="_Toc1253395148"/>
      <w:bookmarkStart w:id="872" w:name="_Toc2510"/>
      <w:bookmarkStart w:id="873" w:name="_Toc239352133"/>
      <w:bookmarkStart w:id="874" w:name="_Toc1599830873_WPSOffice_Level3"/>
      <w:bookmarkStart w:id="875" w:name="_Toc13410"/>
      <w:bookmarkStart w:id="876" w:name="_Toc31850"/>
      <w:bookmarkStart w:id="877" w:name="_Toc12107"/>
      <w:bookmarkStart w:id="878" w:name="_Toc1062994586"/>
      <w:r>
        <w:rPr>
          <w:rFonts w:hint="eastAsia" w:ascii="Times New Roman" w:hAnsi="Times New Roman" w:eastAsia="方正楷体_GBK" w:cs="方正楷体_GBK"/>
          <w:color w:val="auto"/>
          <w:sz w:val="32"/>
          <w:szCs w:val="32"/>
          <w:highlight w:val="none"/>
        </w:rPr>
        <w:t>第二节 全面提高干部现代化建设能力</w:t>
      </w:r>
      <w:bookmarkEnd w:id="868"/>
      <w:bookmarkEnd w:id="869"/>
      <w:bookmarkEnd w:id="870"/>
      <w:bookmarkEnd w:id="871"/>
      <w:bookmarkEnd w:id="872"/>
      <w:bookmarkEnd w:id="873"/>
      <w:bookmarkEnd w:id="874"/>
      <w:bookmarkEnd w:id="875"/>
      <w:bookmarkEnd w:id="876"/>
      <w:bookmarkEnd w:id="877"/>
      <w:bookmarkEnd w:id="878"/>
    </w:p>
    <w:p w14:paraId="237F63D2">
      <w:pPr>
        <w:pStyle w:val="19"/>
        <w:overflowPunct w:val="0"/>
        <w:adjustRightInd w:val="0"/>
        <w:snapToGrid w:val="0"/>
        <w:spacing w:beforeAutospacing="0" w:afterAutospacing="0" w:line="600" w:lineRule="exact"/>
        <w:ind w:firstLine="640" w:firstLineChars="200"/>
        <w:jc w:val="both"/>
        <w:rPr>
          <w:rFonts w:ascii="Times New Roman" w:hAnsi="Times New Roman" w:eastAsia="方正仿宋_GBK" w:cs="方正仿宋_GBK"/>
          <w:color w:val="auto"/>
          <w:sz w:val="32"/>
          <w:szCs w:val="32"/>
          <w:highlight w:val="none"/>
        </w:rPr>
      </w:pPr>
      <w:r>
        <w:rPr>
          <w:rFonts w:hint="eastAsia" w:ascii="Times New Roman" w:hAnsi="Times New Roman" w:eastAsia="方正仿宋_GBK" w:cs="方正仿宋_GBK"/>
          <w:color w:val="auto"/>
          <w:sz w:val="32"/>
          <w:szCs w:val="32"/>
          <w:highlight w:val="none"/>
        </w:rPr>
        <w:t>坚持正确用人导向，把政治标准放在首位，建强领导班子和干部队伍。全面贯彻落实新时代党的组织路线，</w:t>
      </w:r>
      <w:r>
        <w:rPr>
          <w:rFonts w:hint="eastAsia" w:ascii="Times New Roman" w:hAnsi="Times New Roman" w:eastAsia="方正仿宋_GBK" w:cs="Times New Roman"/>
          <w:spacing w:val="0"/>
          <w:sz w:val="32"/>
          <w:szCs w:val="32"/>
          <w:highlight w:val="none"/>
          <w:u w:val="none" w:color="auto"/>
          <w:lang w:val="en-US" w:eastAsia="zh-CN"/>
        </w:rPr>
        <w:t>扎实开展树立和践行正确政绩观学习教育，</w:t>
      </w:r>
      <w:r>
        <w:rPr>
          <w:rFonts w:hint="eastAsia" w:ascii="Times New Roman" w:hAnsi="Times New Roman" w:eastAsia="方正仿宋_GBK" w:cs="方正仿宋_GBK"/>
          <w:color w:val="auto"/>
          <w:sz w:val="32"/>
          <w:szCs w:val="32"/>
          <w:highlight w:val="none"/>
        </w:rPr>
        <w:t>坚持为人民出政绩、以实干出政绩，自觉按规律办事，以正确政绩观推动高质量发展，以实绩实效回应人民群众新要求新期待。完善干部差异化考核评价机制，提高考核的针对性和科学性，调整不胜任现职干部，推进领导干部能上能下常态化。深化干部现代化建设能力提升计划。坚持严管厚爱结合、激励约束并重，探索尽职免责管理模式，鼓励干部大胆创新、奋发作为。</w:t>
      </w:r>
    </w:p>
    <w:p w14:paraId="7B64F2D1">
      <w:pPr>
        <w:overflowPunct w:val="0"/>
        <w:adjustRightInd w:val="0"/>
        <w:snapToGrid w:val="0"/>
        <w:spacing w:line="600" w:lineRule="exact"/>
        <w:jc w:val="center"/>
        <w:outlineLvl w:val="2"/>
        <w:rPr>
          <w:color w:val="auto"/>
          <w:highlight w:val="none"/>
        </w:rPr>
      </w:pPr>
      <w:bookmarkStart w:id="879" w:name="TitleIndex249"/>
      <w:bookmarkEnd w:id="879"/>
      <w:bookmarkStart w:id="880" w:name="_Toc2515"/>
      <w:bookmarkStart w:id="881" w:name="_Toc780544460_WPSOffice_Level3"/>
      <w:bookmarkStart w:id="882" w:name="_Toc799437423"/>
      <w:bookmarkStart w:id="883" w:name="_Toc14363"/>
      <w:bookmarkStart w:id="884" w:name="_Toc1950711774"/>
      <w:bookmarkStart w:id="885" w:name="_Toc8710"/>
      <w:bookmarkStart w:id="886" w:name="_Toc4962"/>
      <w:bookmarkStart w:id="887" w:name="_Toc2021726980"/>
      <w:bookmarkStart w:id="888" w:name="_Toc2028801057"/>
      <w:bookmarkStart w:id="889" w:name="_Toc1993110092"/>
      <w:bookmarkStart w:id="890" w:name="_Toc1248116911"/>
      <w:r>
        <w:rPr>
          <w:rFonts w:hint="eastAsia" w:ascii="Times New Roman" w:hAnsi="Times New Roman" w:eastAsia="方正楷体_GBK" w:cs="方正楷体_GBK"/>
          <w:color w:val="auto"/>
          <w:sz w:val="32"/>
          <w:szCs w:val="32"/>
          <w:highlight w:val="none"/>
        </w:rPr>
        <w:t>第三节 完善监督体系</w:t>
      </w:r>
      <w:bookmarkEnd w:id="880"/>
      <w:bookmarkEnd w:id="881"/>
      <w:bookmarkEnd w:id="882"/>
      <w:bookmarkEnd w:id="883"/>
      <w:bookmarkEnd w:id="884"/>
      <w:bookmarkEnd w:id="885"/>
      <w:bookmarkEnd w:id="886"/>
      <w:bookmarkEnd w:id="887"/>
      <w:bookmarkEnd w:id="888"/>
      <w:bookmarkEnd w:id="889"/>
      <w:bookmarkEnd w:id="890"/>
    </w:p>
    <w:p w14:paraId="408DA865">
      <w:pPr>
        <w:adjustRightInd w:val="0"/>
        <w:snapToGrid w:val="0"/>
        <w:spacing w:line="600" w:lineRule="exact"/>
        <w:ind w:firstLine="640" w:firstLineChars="200"/>
        <w:textAlignment w:val="baseline"/>
        <w:rPr>
          <w:rFonts w:ascii="Times New Roman" w:hAnsi="Times New Roman" w:eastAsia="方正仿宋_GBK" w:cs="Times New Roman"/>
          <w:color w:val="auto"/>
          <w:sz w:val="32"/>
          <w:szCs w:val="20"/>
          <w:highlight w:val="none"/>
        </w:rPr>
      </w:pPr>
      <w:r>
        <w:rPr>
          <w:rFonts w:hint="eastAsia" w:ascii="Times New Roman" w:hAnsi="Times New Roman" w:eastAsia="方正仿宋_GBK" w:cs="方正仿宋_GBK"/>
          <w:color w:val="auto"/>
          <w:sz w:val="32"/>
          <w:szCs w:val="32"/>
          <w:highlight w:val="none"/>
        </w:rPr>
        <w:t>健全党统一领导、全面覆盖、权威高效的监督体系，持续完善深入肃清流毒影响机制，营造风清气正的政治生态。强化全面从严治党主体责任和监督责任，推进政治监督具体化、精准化、常态化，发挥政治巡察利剑作用。锲而不舍落实中央八项规定精神，狠刹各种不正之风，推进作风建设常态化长效化。保持反腐败永远在路上的清醒坚定，一体推进不敢腐、不能腐、不想腐，着力铲除腐败滋生的土壤和条件。严查权力集中、资金密集、资源富集领域腐败，有效防治新型腐败和隐性腐败，持续深化整治群众身边不正之风和腐败问题，全域深化清廉重庆建设。加强对“一把手”等“关键少数”和年轻干部等重点群体的监督。以党内监督为主导，推动各类监督贯通协调，深化纪检监察监督与审计、财会、统计等监督协作配合机制。深化纪检监察体制改革，加强纪检监察工作规范化、法治化、正规化建设。</w:t>
      </w:r>
    </w:p>
    <w:p w14:paraId="44557664">
      <w:pPr>
        <w:adjustRightInd w:val="0"/>
        <w:snapToGrid w:val="0"/>
        <w:spacing w:line="600" w:lineRule="exact"/>
        <w:ind w:firstLine="640" w:firstLineChars="200"/>
        <w:textAlignment w:val="baseline"/>
        <w:rPr>
          <w:rFonts w:ascii="Times New Roman" w:hAnsi="Times New Roman" w:eastAsia="方正仿宋_GBK" w:cs="Times New Roman"/>
          <w:color w:val="auto"/>
          <w:sz w:val="32"/>
          <w:szCs w:val="20"/>
          <w:highlight w:val="none"/>
        </w:rPr>
      </w:pPr>
    </w:p>
    <w:p w14:paraId="73F2804D">
      <w:pPr>
        <w:numPr>
          <w:ilvl w:val="255"/>
          <w:numId w:val="0"/>
        </w:numPr>
        <w:overflowPunct w:val="0"/>
        <w:adjustRightInd w:val="0"/>
        <w:snapToGrid w:val="0"/>
        <w:spacing w:line="600" w:lineRule="exact"/>
        <w:jc w:val="center"/>
        <w:outlineLvl w:val="1"/>
        <w:rPr>
          <w:rFonts w:ascii="Times New Roman" w:hAnsi="Times New Roman" w:eastAsia="方正黑体_GBK" w:cs="方正黑体_GBK"/>
          <w:color w:val="auto"/>
          <w:sz w:val="32"/>
          <w:szCs w:val="32"/>
          <w:highlight w:val="none"/>
        </w:rPr>
      </w:pPr>
      <w:bookmarkStart w:id="891" w:name="_Toc9546"/>
      <w:bookmarkStart w:id="892" w:name="_Toc32065"/>
      <w:bookmarkStart w:id="893" w:name="_Toc31057"/>
      <w:bookmarkStart w:id="894" w:name="_Toc15972"/>
      <w:bookmarkStart w:id="895" w:name="_Toc480659281"/>
      <w:bookmarkStart w:id="896" w:name="_Toc8189"/>
      <w:bookmarkStart w:id="897" w:name="_Toc3950"/>
      <w:bookmarkStart w:id="898" w:name="_Toc13753"/>
      <w:bookmarkStart w:id="899" w:name="_Toc25203"/>
      <w:bookmarkStart w:id="900" w:name="_Toc1487072729"/>
      <w:bookmarkStart w:id="901" w:name="_Toc29111"/>
      <w:r>
        <w:rPr>
          <w:rFonts w:hint="eastAsia" w:ascii="Times New Roman" w:hAnsi="Times New Roman" w:eastAsia="方正黑体_GBK" w:cs="方正黑体_GBK"/>
          <w:color w:val="auto"/>
          <w:sz w:val="32"/>
          <w:szCs w:val="32"/>
          <w:highlight w:val="none"/>
        </w:rPr>
        <w:t>第二章 广泛调动社会力量</w:t>
      </w:r>
      <w:bookmarkEnd w:id="891"/>
      <w:bookmarkEnd w:id="892"/>
      <w:bookmarkEnd w:id="893"/>
      <w:bookmarkEnd w:id="894"/>
      <w:bookmarkEnd w:id="895"/>
      <w:bookmarkEnd w:id="896"/>
      <w:bookmarkEnd w:id="897"/>
      <w:bookmarkEnd w:id="898"/>
      <w:bookmarkEnd w:id="899"/>
      <w:bookmarkEnd w:id="900"/>
      <w:bookmarkEnd w:id="901"/>
    </w:p>
    <w:p w14:paraId="71287B07">
      <w:pPr>
        <w:adjustRightInd w:val="0"/>
        <w:snapToGrid w:val="0"/>
        <w:spacing w:line="600" w:lineRule="exact"/>
        <w:ind w:firstLine="640" w:firstLineChars="200"/>
        <w:textAlignment w:val="baseline"/>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始终坚持党的领导、人民当家作主、依法治国三者有机统一，笃定不移走好中国特色社会主义政治发展道路。持续巩固和壮大最广泛的爱国统一战线，充分调动民主党派、工商联及无党派人士的积极性与主动性，着力促进政党、民族、宗教、阶层、海内外同胞五大关系和谐共处。进一步强化工会、共青团、妇联、科协等群团组织的桥梁纽带功能，凝聚各方合力，共同为重庆高新区改革攻坚、发展提质、大局稳定注入强劲动能。积极引导广大企业家厚植爱国情怀，带领企业朝着质量更优、效益更高、竞争力更强、影响力更大的方向迈进，全力争当新时代构建新发展格局、建设现代化经济体系、推动高质量发展的中坚力量。突出青年在创新创业中的主力军地位，健全青年创新创业全链条服务体系，有效激发青年群体的创新活力与创业热情，加快培育储备一批高素质青年人才。</w:t>
      </w:r>
    </w:p>
    <w:p w14:paraId="5C3CD8E5">
      <w:pPr>
        <w:adjustRightInd w:val="0"/>
        <w:snapToGrid w:val="0"/>
        <w:spacing w:line="600" w:lineRule="exact"/>
        <w:ind w:firstLine="640" w:firstLineChars="200"/>
        <w:textAlignment w:val="baseline"/>
        <w:rPr>
          <w:rFonts w:ascii="Times New Roman" w:hAnsi="Times New Roman" w:eastAsia="方正仿宋_GBK" w:cs="Times New Roman"/>
          <w:color w:val="auto"/>
          <w:sz w:val="32"/>
          <w:szCs w:val="20"/>
          <w:highlight w:val="none"/>
        </w:rPr>
      </w:pPr>
    </w:p>
    <w:p w14:paraId="2E943BC8">
      <w:pPr>
        <w:numPr>
          <w:ilvl w:val="255"/>
          <w:numId w:val="0"/>
        </w:numPr>
        <w:overflowPunct w:val="0"/>
        <w:adjustRightInd w:val="0"/>
        <w:snapToGrid w:val="0"/>
        <w:spacing w:line="600" w:lineRule="exact"/>
        <w:jc w:val="center"/>
        <w:outlineLvl w:val="1"/>
        <w:rPr>
          <w:rFonts w:ascii="Times New Roman" w:hAnsi="Times New Roman" w:eastAsia="方正黑体_GBK" w:cs="方正黑体_GBK"/>
          <w:color w:val="auto"/>
          <w:sz w:val="32"/>
          <w:szCs w:val="32"/>
          <w:highlight w:val="none"/>
        </w:rPr>
      </w:pPr>
      <w:bookmarkStart w:id="902" w:name="_Toc31857"/>
      <w:bookmarkStart w:id="903" w:name="_Toc12606"/>
      <w:bookmarkStart w:id="904" w:name="_Toc19080"/>
      <w:bookmarkStart w:id="905" w:name="_Toc1754539400"/>
      <w:bookmarkStart w:id="906" w:name="_Toc17602"/>
      <w:bookmarkStart w:id="907" w:name="_Toc25849"/>
      <w:bookmarkStart w:id="908" w:name="_Toc816672517"/>
      <w:bookmarkStart w:id="909" w:name="_Toc19807"/>
      <w:bookmarkStart w:id="910" w:name="_Toc19353"/>
      <w:bookmarkStart w:id="911" w:name="_Toc2171"/>
      <w:bookmarkStart w:id="912" w:name="_Toc16793"/>
      <w:r>
        <w:rPr>
          <w:rFonts w:hint="eastAsia" w:ascii="Times New Roman" w:hAnsi="Times New Roman" w:eastAsia="方正黑体_GBK" w:cs="方正黑体_GBK"/>
          <w:color w:val="auto"/>
          <w:sz w:val="32"/>
          <w:szCs w:val="32"/>
          <w:highlight w:val="none"/>
        </w:rPr>
        <w:t>第三章 加强规划组织实施</w:t>
      </w:r>
      <w:bookmarkEnd w:id="902"/>
      <w:bookmarkEnd w:id="903"/>
      <w:bookmarkEnd w:id="904"/>
      <w:bookmarkEnd w:id="905"/>
      <w:bookmarkEnd w:id="906"/>
      <w:bookmarkEnd w:id="907"/>
      <w:bookmarkEnd w:id="908"/>
    </w:p>
    <w:p w14:paraId="736DDB04">
      <w:pPr>
        <w:adjustRightInd w:val="0"/>
        <w:snapToGrid w:val="0"/>
        <w:spacing w:line="600" w:lineRule="exact"/>
        <w:ind w:firstLine="640" w:firstLineChars="200"/>
        <w:textAlignment w:val="baseline"/>
        <w:rPr>
          <w:rFonts w:ascii="Times New Roman" w:hAnsi="Times New Roman" w:eastAsia="方正仿宋_GBK" w:cs="Times New Roman"/>
          <w:color w:val="auto"/>
          <w:sz w:val="32"/>
          <w:szCs w:val="20"/>
          <w:highlight w:val="none"/>
        </w:rPr>
      </w:pPr>
      <w:r>
        <w:rPr>
          <w:rFonts w:hint="eastAsia" w:ascii="Times New Roman" w:hAnsi="Times New Roman" w:eastAsia="方正仿宋_GBK" w:cs="Times New Roman"/>
          <w:color w:val="auto"/>
          <w:sz w:val="32"/>
          <w:szCs w:val="20"/>
          <w:highlight w:val="none"/>
        </w:rPr>
        <w:t>以推动规划落地见效为导向，加强规划实施全过程管理监测，加强规划全方位衔接，增强规划管理、项目支撑、监测评价等能力建设，实现规划有支撑、管理有闭环，加速目标任务高效达成。</w:t>
      </w:r>
    </w:p>
    <w:p w14:paraId="7991DE47">
      <w:pPr>
        <w:overflowPunct w:val="0"/>
        <w:adjustRightInd w:val="0"/>
        <w:snapToGrid w:val="0"/>
        <w:spacing w:line="600" w:lineRule="exact"/>
        <w:jc w:val="center"/>
        <w:outlineLvl w:val="2"/>
        <w:rPr>
          <w:color w:val="auto"/>
          <w:highlight w:val="none"/>
        </w:rPr>
      </w:pPr>
      <w:bookmarkStart w:id="913" w:name="_Toc1445738843"/>
      <w:bookmarkStart w:id="914" w:name="_Toc13498"/>
      <w:bookmarkStart w:id="915" w:name="_Toc31944"/>
      <w:bookmarkStart w:id="916" w:name="_Toc13535"/>
      <w:bookmarkStart w:id="917" w:name="_Toc884"/>
      <w:bookmarkStart w:id="918" w:name="_Toc1247005242"/>
      <w:r>
        <w:rPr>
          <w:rFonts w:hint="eastAsia" w:ascii="Times New Roman" w:hAnsi="Times New Roman" w:eastAsia="方正楷体_GBK" w:cs="方正楷体_GBK"/>
          <w:color w:val="auto"/>
          <w:sz w:val="32"/>
          <w:szCs w:val="32"/>
          <w:highlight w:val="none"/>
        </w:rPr>
        <w:t>第一节 完善规划管理制度</w:t>
      </w:r>
      <w:bookmarkEnd w:id="913"/>
      <w:bookmarkEnd w:id="914"/>
      <w:bookmarkEnd w:id="915"/>
      <w:bookmarkEnd w:id="916"/>
      <w:bookmarkEnd w:id="917"/>
      <w:bookmarkEnd w:id="918"/>
    </w:p>
    <w:p w14:paraId="503F11BD">
      <w:pPr>
        <w:adjustRightInd w:val="0"/>
        <w:snapToGrid w:val="0"/>
        <w:spacing w:line="600" w:lineRule="exact"/>
        <w:ind w:firstLine="640" w:firstLineChars="200"/>
        <w:textAlignment w:val="baseline"/>
        <w:rPr>
          <w:rFonts w:ascii="Times New Roman" w:hAnsi="Times New Roman" w:eastAsia="方正仿宋_GBK" w:cs="Times New Roman"/>
          <w:color w:val="auto"/>
          <w:sz w:val="32"/>
          <w:szCs w:val="20"/>
          <w:highlight w:val="none"/>
        </w:rPr>
      </w:pPr>
      <w:r>
        <w:rPr>
          <w:rFonts w:hint="eastAsia" w:ascii="Times New Roman" w:hAnsi="Times New Roman" w:eastAsia="方正仿宋_GBK" w:cs="Times New Roman"/>
          <w:color w:val="auto"/>
          <w:sz w:val="32"/>
          <w:szCs w:val="20"/>
          <w:highlight w:val="none"/>
        </w:rPr>
        <w:t>践行“多规合一”理念，构建以重庆高新区发展规划纲要为统领，以国土空间规划为基础，以专项规划和片区规划为支撑，定位准确、边界清晰、功能互补、统一衔接的规划体系。坚持把</w:t>
      </w:r>
      <w:r>
        <w:rPr>
          <w:rFonts w:ascii="Times New Roman" w:hAnsi="Times New Roman" w:eastAsia="方正仿宋_GBK" w:cs="Times New Roman"/>
          <w:color w:val="auto"/>
          <w:sz w:val="32"/>
          <w:szCs w:val="20"/>
          <w:highlight w:val="none"/>
        </w:rPr>
        <w:t>本规划作为制定</w:t>
      </w:r>
      <w:r>
        <w:rPr>
          <w:rFonts w:hint="eastAsia" w:ascii="Times New Roman" w:hAnsi="Times New Roman" w:eastAsia="方正仿宋_GBK" w:cs="Times New Roman"/>
          <w:color w:val="auto"/>
          <w:sz w:val="32"/>
          <w:szCs w:val="20"/>
          <w:highlight w:val="none"/>
        </w:rPr>
        <w:t>国</w:t>
      </w:r>
      <w:r>
        <w:rPr>
          <w:rFonts w:hint="eastAsia" w:ascii="Times New Roman" w:hAnsi="Times New Roman" w:eastAsia="方正仿宋_GBK" w:cs="Times New Roman"/>
          <w:color w:val="auto"/>
          <w:sz w:val="32"/>
          <w:szCs w:val="32"/>
          <w:highlight w:val="none"/>
        </w:rPr>
        <w:t>土</w:t>
      </w:r>
      <w:r>
        <w:rPr>
          <w:rFonts w:ascii="Times New Roman" w:hAnsi="Times New Roman" w:eastAsia="方正仿宋_GBK" w:cs="Times New Roman"/>
          <w:color w:val="auto"/>
          <w:sz w:val="32"/>
          <w:szCs w:val="32"/>
          <w:highlight w:val="none"/>
        </w:rPr>
        <w:t>空间</w:t>
      </w:r>
      <w:r>
        <w:rPr>
          <w:rFonts w:hint="eastAsia" w:ascii="Times New Roman" w:hAnsi="Times New Roman" w:eastAsia="方正仿宋_GBK" w:cs="Times New Roman"/>
          <w:bCs/>
          <w:snapToGrid w:val="0"/>
          <w:color w:val="auto"/>
          <w:kern w:val="0"/>
          <w:sz w:val="32"/>
          <w:szCs w:val="32"/>
          <w:highlight w:val="none"/>
          <w:lang w:bidi="ar"/>
        </w:rPr>
        <w:t>规划</w:t>
      </w:r>
      <w:r>
        <w:rPr>
          <w:rFonts w:ascii="Times New Roman" w:hAnsi="Times New Roman" w:eastAsia="方正仿宋_GBK" w:cs="Times New Roman"/>
          <w:color w:val="auto"/>
          <w:sz w:val="32"/>
          <w:szCs w:val="32"/>
          <w:highlight w:val="none"/>
        </w:rPr>
        <w:t>、专项规划、各</w:t>
      </w:r>
      <w:r>
        <w:rPr>
          <w:rFonts w:hint="eastAsia" w:ascii="Times New Roman" w:hAnsi="Times New Roman" w:eastAsia="方正仿宋_GBK" w:cs="Times New Roman"/>
          <w:color w:val="auto"/>
          <w:sz w:val="32"/>
          <w:szCs w:val="32"/>
          <w:highlight w:val="none"/>
        </w:rPr>
        <w:t>片</w:t>
      </w:r>
      <w:r>
        <w:rPr>
          <w:rFonts w:ascii="Times New Roman" w:hAnsi="Times New Roman" w:eastAsia="方正仿宋_GBK" w:cs="Times New Roman"/>
          <w:color w:val="auto"/>
          <w:sz w:val="32"/>
          <w:szCs w:val="20"/>
          <w:highlight w:val="none"/>
        </w:rPr>
        <w:t>区发展规划及相关政策、安排重大项目的重要依据</w:t>
      </w:r>
      <w:r>
        <w:rPr>
          <w:rFonts w:hint="eastAsia" w:ascii="Times New Roman" w:hAnsi="Times New Roman" w:eastAsia="方正仿宋_GBK" w:cs="Times New Roman"/>
          <w:color w:val="auto"/>
          <w:sz w:val="32"/>
          <w:szCs w:val="20"/>
          <w:highlight w:val="none"/>
        </w:rPr>
        <w:t>。强化规划对公共预算安排、金融资本运用、国土空间开发、资源配置等领域的统筹引领。</w:t>
      </w:r>
      <w:r>
        <w:rPr>
          <w:rFonts w:ascii="Times New Roman" w:hAnsi="Times New Roman" w:eastAsia="方正仿宋_GBK" w:cs="Times New Roman"/>
          <w:color w:val="auto"/>
          <w:sz w:val="32"/>
          <w:szCs w:val="20"/>
          <w:highlight w:val="none"/>
        </w:rPr>
        <w:t>强化年度工作计划与规划衔接落实，将</w:t>
      </w:r>
      <w:r>
        <w:rPr>
          <w:rFonts w:hint="eastAsia" w:ascii="Times New Roman" w:hAnsi="Times New Roman" w:eastAsia="方正仿宋_GBK" w:cs="Times New Roman"/>
          <w:color w:val="auto"/>
          <w:sz w:val="32"/>
          <w:szCs w:val="20"/>
          <w:highlight w:val="none"/>
        </w:rPr>
        <w:t>本</w:t>
      </w:r>
      <w:r>
        <w:rPr>
          <w:rFonts w:ascii="Times New Roman" w:hAnsi="Times New Roman" w:eastAsia="方正仿宋_GBK" w:cs="Times New Roman"/>
          <w:color w:val="auto"/>
          <w:sz w:val="32"/>
          <w:szCs w:val="20"/>
          <w:highlight w:val="none"/>
        </w:rPr>
        <w:t>规划主要指标</w:t>
      </w:r>
      <w:r>
        <w:rPr>
          <w:rFonts w:hint="eastAsia" w:ascii="Times New Roman" w:hAnsi="Times New Roman" w:eastAsia="方正仿宋_GBK" w:cs="Times New Roman"/>
          <w:color w:val="auto"/>
          <w:sz w:val="32"/>
          <w:szCs w:val="20"/>
          <w:highlight w:val="none"/>
        </w:rPr>
        <w:t>和重大政策、重大改革举措、重大工程项目</w:t>
      </w:r>
      <w:r>
        <w:rPr>
          <w:rFonts w:ascii="Times New Roman" w:hAnsi="Times New Roman" w:eastAsia="方正仿宋_GBK" w:cs="Times New Roman"/>
          <w:color w:val="auto"/>
          <w:sz w:val="32"/>
          <w:szCs w:val="20"/>
          <w:highlight w:val="none"/>
        </w:rPr>
        <w:t>纳入年度</w:t>
      </w:r>
      <w:r>
        <w:rPr>
          <w:rFonts w:hint="eastAsia" w:ascii="Times New Roman" w:hAnsi="Times New Roman" w:eastAsia="方正仿宋_GBK" w:cs="Times New Roman"/>
          <w:color w:val="auto"/>
          <w:sz w:val="32"/>
          <w:szCs w:val="20"/>
          <w:highlight w:val="none"/>
        </w:rPr>
        <w:t>计划实施。</w:t>
      </w:r>
    </w:p>
    <w:p w14:paraId="5D10A1A1">
      <w:pPr>
        <w:overflowPunct w:val="0"/>
        <w:adjustRightInd w:val="0"/>
        <w:snapToGrid w:val="0"/>
        <w:spacing w:line="600" w:lineRule="exact"/>
        <w:jc w:val="center"/>
        <w:outlineLvl w:val="2"/>
        <w:rPr>
          <w:color w:val="auto"/>
          <w:highlight w:val="none"/>
        </w:rPr>
      </w:pPr>
      <w:bookmarkStart w:id="919" w:name="_Toc22529"/>
      <w:bookmarkStart w:id="920" w:name="_Toc20699"/>
      <w:bookmarkStart w:id="921" w:name="_Toc3757"/>
      <w:bookmarkStart w:id="922" w:name="_Toc1124191221"/>
      <w:bookmarkStart w:id="923" w:name="_Toc1902752143"/>
      <w:bookmarkStart w:id="924" w:name="_Toc9503"/>
      <w:r>
        <w:rPr>
          <w:rFonts w:hint="eastAsia" w:ascii="Times New Roman" w:hAnsi="Times New Roman" w:eastAsia="方正楷体_GBK" w:cs="方正楷体_GBK"/>
          <w:color w:val="auto"/>
          <w:sz w:val="32"/>
          <w:szCs w:val="32"/>
          <w:highlight w:val="none"/>
        </w:rPr>
        <w:t>第二节 强化“四个重大”支撑</w:t>
      </w:r>
      <w:bookmarkEnd w:id="919"/>
      <w:bookmarkEnd w:id="920"/>
      <w:bookmarkEnd w:id="921"/>
      <w:bookmarkEnd w:id="922"/>
      <w:bookmarkEnd w:id="923"/>
      <w:bookmarkEnd w:id="924"/>
    </w:p>
    <w:p w14:paraId="72E9226A">
      <w:pPr>
        <w:adjustRightInd w:val="0"/>
        <w:snapToGrid w:val="0"/>
        <w:spacing w:line="600" w:lineRule="exact"/>
        <w:ind w:firstLine="640" w:firstLineChars="200"/>
        <w:textAlignment w:val="baseline"/>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坚持以规划</w:t>
      </w:r>
      <w:r>
        <w:rPr>
          <w:rFonts w:hint="eastAsia" w:ascii="Times New Roman" w:hAnsi="Times New Roman" w:eastAsia="方正仿宋_GBK" w:cs="Times New Roman"/>
          <w:color w:val="auto"/>
          <w:sz w:val="32"/>
          <w:szCs w:val="32"/>
          <w:highlight w:val="none"/>
        </w:rPr>
        <w:t>谋定</w:t>
      </w:r>
      <w:r>
        <w:rPr>
          <w:rFonts w:ascii="Times New Roman" w:hAnsi="Times New Roman" w:eastAsia="方正仿宋_GBK" w:cs="Times New Roman"/>
          <w:color w:val="auto"/>
          <w:sz w:val="32"/>
          <w:szCs w:val="32"/>
          <w:highlight w:val="none"/>
        </w:rPr>
        <w:t>项目、以项目</w:t>
      </w:r>
      <w:r>
        <w:rPr>
          <w:rFonts w:hint="eastAsia" w:ascii="Times New Roman" w:hAnsi="Times New Roman" w:eastAsia="方正仿宋_GBK" w:cs="Times New Roman"/>
          <w:color w:val="auto"/>
          <w:sz w:val="32"/>
          <w:szCs w:val="32"/>
          <w:highlight w:val="none"/>
        </w:rPr>
        <w:t>支撑</w:t>
      </w:r>
      <w:r>
        <w:rPr>
          <w:rFonts w:ascii="Times New Roman" w:hAnsi="Times New Roman" w:eastAsia="方正仿宋_GBK" w:cs="Times New Roman"/>
          <w:color w:val="auto"/>
          <w:sz w:val="32"/>
          <w:szCs w:val="32"/>
          <w:highlight w:val="none"/>
        </w:rPr>
        <w:t>规划，统筹财政、土地、人才、金融、环保、用能等关键要素保障，推动规划明确的重大项目、重大政策、重大改革、重大平台落地见效。健全重大项目储备库管理制度与闭环推进机制，</w:t>
      </w:r>
      <w:r>
        <w:rPr>
          <w:rFonts w:hint="eastAsia" w:ascii="Times New Roman" w:hAnsi="Times New Roman" w:eastAsia="方正仿宋_GBK" w:cs="Times New Roman"/>
          <w:color w:val="auto"/>
          <w:sz w:val="32"/>
          <w:szCs w:val="32"/>
          <w:highlight w:val="none"/>
          <w:lang w:val="en-US" w:eastAsia="zh-CN"/>
        </w:rPr>
        <w:t>依法</w:t>
      </w:r>
      <w:r>
        <w:rPr>
          <w:rFonts w:ascii="Times New Roman" w:hAnsi="Times New Roman" w:eastAsia="方正仿宋_GBK" w:cs="Times New Roman"/>
          <w:color w:val="auto"/>
          <w:sz w:val="32"/>
          <w:szCs w:val="32"/>
          <w:highlight w:val="none"/>
        </w:rPr>
        <w:t>保障重大工程项目的规划选址、土地供应及融资需求。一体落实中央及市委、市政府部署的重大改革任务</w:t>
      </w:r>
      <w:r>
        <w:rPr>
          <w:rFonts w:hint="eastAsia" w:ascii="Times New Roman" w:hAnsi="Times New Roman" w:eastAsia="方正仿宋_GBK" w:cs="Times New Roman"/>
          <w:color w:val="auto"/>
          <w:sz w:val="32"/>
          <w:szCs w:val="32"/>
          <w:highlight w:val="none"/>
        </w:rPr>
        <w:t>，加大</w:t>
      </w:r>
      <w:r>
        <w:rPr>
          <w:rFonts w:ascii="Times New Roman" w:hAnsi="Times New Roman" w:eastAsia="方正仿宋_GBK" w:cs="Times New Roman"/>
          <w:color w:val="auto"/>
          <w:sz w:val="32"/>
          <w:szCs w:val="32"/>
          <w:highlight w:val="none"/>
        </w:rPr>
        <w:t>探索创新，培育更多原创性、差异化改革实践，形成</w:t>
      </w:r>
      <w:r>
        <w:rPr>
          <w:rFonts w:hint="eastAsia" w:ascii="Times New Roman" w:hAnsi="Times New Roman" w:eastAsia="方正仿宋_GBK" w:cs="Times New Roman"/>
          <w:color w:val="auto"/>
          <w:sz w:val="32"/>
          <w:szCs w:val="32"/>
          <w:highlight w:val="none"/>
        </w:rPr>
        <w:t>“</w:t>
      </w:r>
      <w:r>
        <w:rPr>
          <w:rFonts w:ascii="Times New Roman" w:hAnsi="Times New Roman" w:eastAsia="方正仿宋_GBK" w:cs="Times New Roman"/>
          <w:color w:val="auto"/>
          <w:sz w:val="32"/>
          <w:szCs w:val="32"/>
          <w:highlight w:val="none"/>
        </w:rPr>
        <w:t>一地创新、全域推广</w:t>
      </w:r>
      <w:r>
        <w:rPr>
          <w:rFonts w:hint="eastAsia" w:ascii="Times New Roman" w:hAnsi="Times New Roman" w:eastAsia="方正仿宋_GBK" w:cs="Times New Roman"/>
          <w:color w:val="auto"/>
          <w:sz w:val="32"/>
          <w:szCs w:val="32"/>
          <w:highlight w:val="none"/>
        </w:rPr>
        <w:t>”</w:t>
      </w:r>
      <w:r>
        <w:rPr>
          <w:rFonts w:ascii="Times New Roman" w:hAnsi="Times New Roman" w:eastAsia="方正仿宋_GBK" w:cs="Times New Roman"/>
          <w:color w:val="auto"/>
          <w:sz w:val="32"/>
          <w:szCs w:val="32"/>
          <w:highlight w:val="none"/>
        </w:rPr>
        <w:t>的示范样板。聚焦发展所需、企业所盼、群众所急，持续丰富政策工具箱，强化政策工具的系统集成与协同发力，常态化开展敞口式政策预研储备，打好精准有效的政策组合拳。集中优势资源建设创新、产业、开放、消费等重大平台，打造高质量发展的标志性成果。</w:t>
      </w:r>
    </w:p>
    <w:p w14:paraId="7F5761AA">
      <w:pPr>
        <w:overflowPunct w:val="0"/>
        <w:adjustRightInd w:val="0"/>
        <w:snapToGrid w:val="0"/>
        <w:spacing w:line="600" w:lineRule="exact"/>
        <w:jc w:val="center"/>
        <w:outlineLvl w:val="2"/>
        <w:rPr>
          <w:color w:val="auto"/>
          <w:highlight w:val="none"/>
        </w:rPr>
      </w:pPr>
      <w:bookmarkStart w:id="925" w:name="_Toc1376279924"/>
      <w:bookmarkStart w:id="926" w:name="_Toc12445"/>
      <w:bookmarkStart w:id="927" w:name="_Toc20273"/>
      <w:bookmarkStart w:id="928" w:name="_Toc24854"/>
      <w:bookmarkStart w:id="929" w:name="_Toc19074"/>
      <w:bookmarkStart w:id="930" w:name="_Toc720725041"/>
      <w:r>
        <w:rPr>
          <w:rFonts w:hint="eastAsia" w:ascii="Times New Roman" w:hAnsi="Times New Roman" w:eastAsia="方正楷体_GBK" w:cs="方正楷体_GBK"/>
          <w:color w:val="auto"/>
          <w:sz w:val="32"/>
          <w:szCs w:val="32"/>
          <w:highlight w:val="none"/>
        </w:rPr>
        <w:t>第三节 加强规划实施监测评估</w:t>
      </w:r>
      <w:bookmarkEnd w:id="909"/>
      <w:bookmarkEnd w:id="910"/>
      <w:bookmarkEnd w:id="911"/>
      <w:bookmarkEnd w:id="912"/>
      <w:bookmarkEnd w:id="925"/>
      <w:bookmarkEnd w:id="926"/>
      <w:bookmarkEnd w:id="927"/>
      <w:bookmarkEnd w:id="928"/>
      <w:bookmarkEnd w:id="929"/>
      <w:bookmarkEnd w:id="930"/>
    </w:p>
    <w:p w14:paraId="418D5417">
      <w:pPr>
        <w:adjustRightInd w:val="0"/>
        <w:snapToGrid w:val="0"/>
        <w:spacing w:line="600" w:lineRule="exact"/>
        <w:ind w:firstLine="640" w:firstLineChars="200"/>
        <w:textAlignment w:val="baseline"/>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rPr>
        <w:t>建立健全规划实施监测评估机制，加强规划内容对工作开展的指导作用，推动规划任务拆解落地，明确规划任务分工，按时序、分重点开展规划目标、任务、“四个重大”拆解，确保规划有效落地实施。加强规划实施过程监测，完善规划重大议题调度机制，对年度拆解目标、任务完成情况实施“回头看”行动，动态掌握规划实施进度及效果。持续优化评估考核机制，将规划目标、任务等纳入年度绩效考核体系</w:t>
      </w:r>
      <w:r>
        <w:rPr>
          <w:rFonts w:hint="eastAsia" w:ascii="Times New Roman" w:hAnsi="Times New Roman" w:eastAsia="方正仿宋_GBK" w:cs="Times New Roman"/>
          <w:color w:val="auto"/>
          <w:sz w:val="32"/>
          <w:szCs w:val="32"/>
          <w:highlight w:val="none"/>
          <w:lang w:eastAsia="zh-CN"/>
        </w:rPr>
        <w:t>。</w:t>
      </w:r>
    </w:p>
    <w:p w14:paraId="276A251D">
      <w:pPr>
        <w:rPr>
          <w:rFonts w:hint="default" w:ascii="Times New Roman" w:hAnsi="Times New Roman" w:eastAsia="方正仿宋_GBK" w:cs="Times New Roman"/>
          <w:color w:val="auto"/>
          <w:sz w:val="32"/>
          <w:szCs w:val="32"/>
          <w:highlight w:val="none"/>
          <w:lang w:val="en-US" w:eastAsia="zh-CN"/>
        </w:rPr>
      </w:pPr>
    </w:p>
    <w:p w14:paraId="743EF7C6">
      <w:pPr>
        <w:pStyle w:val="7"/>
        <w:rPr>
          <w:rFonts w:hint="default" w:ascii="Times New Roman" w:hAnsi="Times New Roman" w:eastAsia="方正仿宋_GBK" w:cs="Times New Roman"/>
          <w:color w:val="auto"/>
          <w:sz w:val="32"/>
          <w:szCs w:val="32"/>
          <w:highlight w:val="none"/>
          <w:lang w:val="en-US" w:eastAsia="zh-CN"/>
        </w:rPr>
      </w:pPr>
    </w:p>
    <w:p w14:paraId="67FF71C3">
      <w:pPr>
        <w:pStyle w:val="8"/>
        <w:rPr>
          <w:rFonts w:hint="default"/>
          <w:lang w:val="en-US" w:eastAsia="zh-CN"/>
        </w:rPr>
      </w:pPr>
    </w:p>
    <w:p w14:paraId="1AA819AD">
      <w:pPr>
        <w:rPr>
          <w:rFonts w:hint="default"/>
          <w:lang w:val="en-US" w:eastAsia="zh-CN"/>
        </w:rPr>
      </w:pPr>
    </w:p>
    <w:sectPr>
      <w:footerReference r:id="rId8" w:type="default"/>
      <w:pgSz w:w="11906" w:h="16838"/>
      <w:pgMar w:top="2098" w:right="1531" w:bottom="1984" w:left="1531"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5FC31FA-E846-4BE8-B5AA-6AED8C15FD3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0695EDE3-D60C-4375-A3F4-34B01CB9F619}"/>
  </w:font>
  <w:font w:name="方正楷体_GBK">
    <w:panose1 w:val="02000000000000000000"/>
    <w:charset w:val="86"/>
    <w:family w:val="script"/>
    <w:pitch w:val="default"/>
    <w:sig w:usb0="800002BF" w:usb1="38CF7CFA" w:usb2="00000016" w:usb3="00000000" w:csb0="00040000" w:csb1="00000000"/>
    <w:embedRegular r:id="rId3" w:fontKey="{32A1CF6D-EA7C-4C0C-AF13-8A5DE6D2C27A}"/>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4" w:fontKey="{810AFBB0-6F8F-49B0-964F-2A505FCC3BAB}"/>
  </w:font>
  <w:font w:name="方正仿宋_GBK">
    <w:panose1 w:val="03000509000000000000"/>
    <w:charset w:val="86"/>
    <w:family w:val="auto"/>
    <w:pitch w:val="default"/>
    <w:sig w:usb0="00000001" w:usb1="080E0000" w:usb2="00000000" w:usb3="00000000" w:csb0="00040000" w:csb1="00000000"/>
    <w:embedRegular r:id="rId5" w:fontKey="{87123B4D-533D-467E-A806-979A3164E669}"/>
  </w:font>
  <w:font w:name="方正小标宋_GBK">
    <w:panose1 w:val="02000000000000000000"/>
    <w:charset w:val="86"/>
    <w:family w:val="script"/>
    <w:pitch w:val="default"/>
    <w:sig w:usb0="A00002BF" w:usb1="38CF7CFA" w:usb2="00082016" w:usb3="00000000" w:csb0="00040001" w:csb1="00000000"/>
    <w:embedRegular r:id="rId6" w:fontKey="{9F0B9AAD-D627-4707-A79C-EE85454F9C8C}"/>
  </w:font>
  <w:font w:name="微软雅黑">
    <w:panose1 w:val="020B0503020204020204"/>
    <w:charset w:val="86"/>
    <w:family w:val="auto"/>
    <w:pitch w:val="default"/>
    <w:sig w:usb0="80000287" w:usb1="2ACF3C50" w:usb2="00000016" w:usb3="00000000" w:csb0="0004001F" w:csb1="00000000"/>
    <w:embedRegular r:id="rId7" w:fontKey="{B291BD84-FBC6-4478-BAF6-4B6B85790446}"/>
  </w:font>
  <w:font w:name="方正黑体_GBK">
    <w:panose1 w:val="02010600010101010101"/>
    <w:charset w:val="86"/>
    <w:family w:val="script"/>
    <w:pitch w:val="default"/>
    <w:sig w:usb0="00000001" w:usb1="080E0000" w:usb2="00000000" w:usb3="00000000" w:csb0="00040000" w:csb1="00000000"/>
    <w:embedRegular r:id="rId8" w:fontKey="{F05361F2-8D2E-49A1-AF5C-842E2C94EA5C}"/>
  </w:font>
  <w:font w:name="方正书宋_GBK">
    <w:panose1 w:val="03000509000000000000"/>
    <w:charset w:val="86"/>
    <w:family w:val="script"/>
    <w:pitch w:val="default"/>
    <w:sig w:usb0="00000001" w:usb1="080E0000" w:usb2="00000000" w:usb3="00000000" w:csb0="00040000" w:csb1="00000000"/>
    <w:embedRegular r:id="rId9" w:fontKey="{D98DFE40-829F-4243-A1F8-B376C4A02371}"/>
  </w:font>
  <w:font w:name="ti">
    <w:altName w:val="Noto Sans SC"/>
    <w:panose1 w:val="00000000000000000000"/>
    <w:charset w:val="00"/>
    <w:family w:val="roman"/>
    <w:pitch w:val="default"/>
    <w:sig w:usb0="00000000" w:usb1="00000000" w:usb2="00000000" w:usb3="00000000" w:csb0="00040001" w:csb1="00000000"/>
    <w:embedRegular r:id="rId10" w:fontKey="{B8228C82-5AD6-4313-8F59-A16D357288C2}"/>
  </w:font>
  <w:font w:name="Noto Sans SC">
    <w:panose1 w:val="020B0200000000000000"/>
    <w:charset w:val="86"/>
    <w:family w:val="auto"/>
    <w:pitch w:val="default"/>
    <w:sig w:usb0="20000083" w:usb1="2ADF3C10" w:usb2="00000016" w:usb3="00000000" w:csb0="60060107" w:csb1="00000000"/>
  </w:font>
  <w:font w:name="WPSEMBED2">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8BA5B">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287560">
                          <w:pPr>
                            <w:pStyle w:val="13"/>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1287560">
                    <w:pPr>
                      <w:pStyle w:val="13"/>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421D8">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10FA2">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03C47">
    <w:pPr>
      <w:pStyle w:val="13"/>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10F099">
                          <w:pPr>
                            <w:pStyle w:val="13"/>
                            <w:rPr>
                              <w:rFonts w:hint="eastAsia" w:ascii="宋体" w:hAnsi="宋体" w:eastAsia="宋体" w:cs="宋体"/>
                              <w:sz w:val="28"/>
                              <w:szCs w:val="44"/>
                            </w:rPr>
                          </w:pPr>
                          <w:r>
                            <w:rPr>
                              <w:rFonts w:hint="eastAsia" w:ascii="宋体" w:hAnsi="宋体" w:eastAsia="宋体" w:cs="宋体"/>
                              <w:sz w:val="28"/>
                              <w:szCs w:val="44"/>
                            </w:rPr>
                            <w:t xml:space="preserve">— </w:t>
                          </w:r>
                          <w:r>
                            <w:rPr>
                              <w:rFonts w:hint="eastAsia" w:ascii="宋体" w:hAnsi="宋体" w:eastAsia="宋体" w:cs="宋体"/>
                              <w:sz w:val="28"/>
                              <w:szCs w:val="44"/>
                            </w:rPr>
                            <w:fldChar w:fldCharType="begin"/>
                          </w:r>
                          <w:r>
                            <w:rPr>
                              <w:rFonts w:hint="eastAsia" w:ascii="宋体" w:hAnsi="宋体" w:eastAsia="宋体" w:cs="宋体"/>
                              <w:sz w:val="28"/>
                              <w:szCs w:val="44"/>
                            </w:rPr>
                            <w:instrText xml:space="preserve"> PAGE  \* MERGEFORMAT </w:instrText>
                          </w:r>
                          <w:r>
                            <w:rPr>
                              <w:rFonts w:hint="eastAsia" w:ascii="宋体" w:hAnsi="宋体" w:eastAsia="宋体" w:cs="宋体"/>
                              <w:sz w:val="28"/>
                              <w:szCs w:val="44"/>
                            </w:rPr>
                            <w:fldChar w:fldCharType="separate"/>
                          </w:r>
                          <w:r>
                            <w:rPr>
                              <w:rFonts w:hint="eastAsia" w:ascii="宋体" w:hAnsi="宋体" w:eastAsia="宋体" w:cs="宋体"/>
                              <w:sz w:val="28"/>
                              <w:szCs w:val="44"/>
                            </w:rPr>
                            <w:t>1</w:t>
                          </w:r>
                          <w:r>
                            <w:rPr>
                              <w:rFonts w:hint="eastAsia" w:ascii="宋体" w:hAnsi="宋体" w:eastAsia="宋体" w:cs="宋体"/>
                              <w:sz w:val="28"/>
                              <w:szCs w:val="44"/>
                            </w:rPr>
                            <w:fldChar w:fldCharType="end"/>
                          </w:r>
                          <w:r>
                            <w:rPr>
                              <w:rFonts w:hint="eastAsia" w:ascii="宋体" w:hAnsi="宋体" w:eastAsia="宋体" w:cs="宋体"/>
                              <w:sz w:val="28"/>
                              <w:szCs w:val="4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2A10F099">
                    <w:pPr>
                      <w:pStyle w:val="13"/>
                      <w:rPr>
                        <w:rFonts w:hint="eastAsia" w:ascii="宋体" w:hAnsi="宋体" w:eastAsia="宋体" w:cs="宋体"/>
                        <w:sz w:val="28"/>
                        <w:szCs w:val="44"/>
                      </w:rPr>
                    </w:pPr>
                    <w:r>
                      <w:rPr>
                        <w:rFonts w:hint="eastAsia" w:ascii="宋体" w:hAnsi="宋体" w:eastAsia="宋体" w:cs="宋体"/>
                        <w:sz w:val="28"/>
                        <w:szCs w:val="44"/>
                      </w:rPr>
                      <w:t xml:space="preserve">— </w:t>
                    </w:r>
                    <w:r>
                      <w:rPr>
                        <w:rFonts w:hint="eastAsia" w:ascii="宋体" w:hAnsi="宋体" w:eastAsia="宋体" w:cs="宋体"/>
                        <w:sz w:val="28"/>
                        <w:szCs w:val="44"/>
                      </w:rPr>
                      <w:fldChar w:fldCharType="begin"/>
                    </w:r>
                    <w:r>
                      <w:rPr>
                        <w:rFonts w:hint="eastAsia" w:ascii="宋体" w:hAnsi="宋体" w:eastAsia="宋体" w:cs="宋体"/>
                        <w:sz w:val="28"/>
                        <w:szCs w:val="44"/>
                      </w:rPr>
                      <w:instrText xml:space="preserve"> PAGE  \* MERGEFORMAT </w:instrText>
                    </w:r>
                    <w:r>
                      <w:rPr>
                        <w:rFonts w:hint="eastAsia" w:ascii="宋体" w:hAnsi="宋体" w:eastAsia="宋体" w:cs="宋体"/>
                        <w:sz w:val="28"/>
                        <w:szCs w:val="44"/>
                      </w:rPr>
                      <w:fldChar w:fldCharType="separate"/>
                    </w:r>
                    <w:r>
                      <w:rPr>
                        <w:rFonts w:hint="eastAsia" w:ascii="宋体" w:hAnsi="宋体" w:eastAsia="宋体" w:cs="宋体"/>
                        <w:sz w:val="28"/>
                        <w:szCs w:val="44"/>
                      </w:rPr>
                      <w:t>1</w:t>
                    </w:r>
                    <w:r>
                      <w:rPr>
                        <w:rFonts w:hint="eastAsia" w:ascii="宋体" w:hAnsi="宋体" w:eastAsia="宋体" w:cs="宋体"/>
                        <w:sz w:val="28"/>
                        <w:szCs w:val="44"/>
                      </w:rPr>
                      <w:fldChar w:fldCharType="end"/>
                    </w:r>
                    <w:r>
                      <w:rPr>
                        <w:rFonts w:hint="eastAsia" w:ascii="宋体" w:hAnsi="宋体" w:eastAsia="宋体" w:cs="宋体"/>
                        <w:sz w:val="28"/>
                        <w:szCs w:val="44"/>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F2BC3">
    <w:pPr>
      <w:pStyle w:val="1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A3B62">
    <w:pPr>
      <w:pStyle w:val="1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Y0ODBiYmIxNDU0NTg4NzBlMzk1ZWM4NTk2ZmMxMzIifQ=="/>
  </w:docVars>
  <w:rsids>
    <w:rsidRoot w:val="00DF18BE"/>
    <w:rsid w:val="00042698"/>
    <w:rsid w:val="00047A2C"/>
    <w:rsid w:val="00060C6A"/>
    <w:rsid w:val="00063F6C"/>
    <w:rsid w:val="00072C34"/>
    <w:rsid w:val="000762F7"/>
    <w:rsid w:val="00085720"/>
    <w:rsid w:val="00092FA1"/>
    <w:rsid w:val="000A7B8F"/>
    <w:rsid w:val="000B2C31"/>
    <w:rsid w:val="000D6FDF"/>
    <w:rsid w:val="001020A7"/>
    <w:rsid w:val="00106419"/>
    <w:rsid w:val="00122280"/>
    <w:rsid w:val="0015173E"/>
    <w:rsid w:val="001655E6"/>
    <w:rsid w:val="00177A9F"/>
    <w:rsid w:val="001826CD"/>
    <w:rsid w:val="00192EDB"/>
    <w:rsid w:val="001D61EC"/>
    <w:rsid w:val="001F22A6"/>
    <w:rsid w:val="00217054"/>
    <w:rsid w:val="00223AE0"/>
    <w:rsid w:val="00240551"/>
    <w:rsid w:val="0024769C"/>
    <w:rsid w:val="002630BB"/>
    <w:rsid w:val="002633E8"/>
    <w:rsid w:val="0027720B"/>
    <w:rsid w:val="002B54B9"/>
    <w:rsid w:val="002D2D2C"/>
    <w:rsid w:val="002E5A8F"/>
    <w:rsid w:val="00313B0C"/>
    <w:rsid w:val="003336CD"/>
    <w:rsid w:val="00366C2E"/>
    <w:rsid w:val="003C1170"/>
    <w:rsid w:val="003D3FDE"/>
    <w:rsid w:val="003F3F80"/>
    <w:rsid w:val="004047B2"/>
    <w:rsid w:val="00436717"/>
    <w:rsid w:val="004D0094"/>
    <w:rsid w:val="00504381"/>
    <w:rsid w:val="00523AEE"/>
    <w:rsid w:val="005379C5"/>
    <w:rsid w:val="005450CB"/>
    <w:rsid w:val="005650FD"/>
    <w:rsid w:val="005744B7"/>
    <w:rsid w:val="0058662B"/>
    <w:rsid w:val="005B5F6E"/>
    <w:rsid w:val="005C03EA"/>
    <w:rsid w:val="005C68FA"/>
    <w:rsid w:val="005E7DE3"/>
    <w:rsid w:val="005F5DE1"/>
    <w:rsid w:val="00603C72"/>
    <w:rsid w:val="00647C27"/>
    <w:rsid w:val="00654B5B"/>
    <w:rsid w:val="00664231"/>
    <w:rsid w:val="00684AA1"/>
    <w:rsid w:val="00692FA7"/>
    <w:rsid w:val="006A68E2"/>
    <w:rsid w:val="006B1E81"/>
    <w:rsid w:val="006D113A"/>
    <w:rsid w:val="00726300"/>
    <w:rsid w:val="00773916"/>
    <w:rsid w:val="007919FA"/>
    <w:rsid w:val="007A1859"/>
    <w:rsid w:val="00823409"/>
    <w:rsid w:val="008246E9"/>
    <w:rsid w:val="00825CF4"/>
    <w:rsid w:val="0089154A"/>
    <w:rsid w:val="008A1164"/>
    <w:rsid w:val="008F291B"/>
    <w:rsid w:val="0091418C"/>
    <w:rsid w:val="00930024"/>
    <w:rsid w:val="00931742"/>
    <w:rsid w:val="009C15CF"/>
    <w:rsid w:val="009E70F5"/>
    <w:rsid w:val="00A175E8"/>
    <w:rsid w:val="00A46D25"/>
    <w:rsid w:val="00A96396"/>
    <w:rsid w:val="00AB4D8B"/>
    <w:rsid w:val="00AC4DF8"/>
    <w:rsid w:val="00AC522E"/>
    <w:rsid w:val="00AD729E"/>
    <w:rsid w:val="00B13D5F"/>
    <w:rsid w:val="00B34905"/>
    <w:rsid w:val="00B45E65"/>
    <w:rsid w:val="00B614AA"/>
    <w:rsid w:val="00B61F8A"/>
    <w:rsid w:val="00B6683B"/>
    <w:rsid w:val="00B871E5"/>
    <w:rsid w:val="00B95CDD"/>
    <w:rsid w:val="00BA0CA9"/>
    <w:rsid w:val="00BB78FD"/>
    <w:rsid w:val="00BC299E"/>
    <w:rsid w:val="00BE581A"/>
    <w:rsid w:val="00C00665"/>
    <w:rsid w:val="00C670DA"/>
    <w:rsid w:val="00C84867"/>
    <w:rsid w:val="00CD309F"/>
    <w:rsid w:val="00CE6DE7"/>
    <w:rsid w:val="00D0482A"/>
    <w:rsid w:val="00D15516"/>
    <w:rsid w:val="00D20B4D"/>
    <w:rsid w:val="00D4452A"/>
    <w:rsid w:val="00D76E6D"/>
    <w:rsid w:val="00DB20F7"/>
    <w:rsid w:val="00DF18BE"/>
    <w:rsid w:val="00DF3269"/>
    <w:rsid w:val="00E01DB3"/>
    <w:rsid w:val="00E21DC1"/>
    <w:rsid w:val="00E40D9B"/>
    <w:rsid w:val="00E46004"/>
    <w:rsid w:val="00E55F1A"/>
    <w:rsid w:val="00E57E10"/>
    <w:rsid w:val="00E66C20"/>
    <w:rsid w:val="00E67960"/>
    <w:rsid w:val="00E84814"/>
    <w:rsid w:val="00E90BCA"/>
    <w:rsid w:val="00EB1C0E"/>
    <w:rsid w:val="00ED72EA"/>
    <w:rsid w:val="00F0326F"/>
    <w:rsid w:val="00F118AA"/>
    <w:rsid w:val="00F1537F"/>
    <w:rsid w:val="00F21EF2"/>
    <w:rsid w:val="00F461CA"/>
    <w:rsid w:val="00F6483D"/>
    <w:rsid w:val="00F73629"/>
    <w:rsid w:val="00FA00A3"/>
    <w:rsid w:val="00FA2DD8"/>
    <w:rsid w:val="00FC1FCA"/>
    <w:rsid w:val="00FC2586"/>
    <w:rsid w:val="0100033D"/>
    <w:rsid w:val="011A20F4"/>
    <w:rsid w:val="015123B9"/>
    <w:rsid w:val="015D0D5E"/>
    <w:rsid w:val="016A6FD7"/>
    <w:rsid w:val="017A502F"/>
    <w:rsid w:val="01822573"/>
    <w:rsid w:val="01883901"/>
    <w:rsid w:val="019422A6"/>
    <w:rsid w:val="0196601E"/>
    <w:rsid w:val="01A050EF"/>
    <w:rsid w:val="01AC3A93"/>
    <w:rsid w:val="01B34E22"/>
    <w:rsid w:val="01B42948"/>
    <w:rsid w:val="01C12490"/>
    <w:rsid w:val="01C33A23"/>
    <w:rsid w:val="01D9415D"/>
    <w:rsid w:val="01DB6127"/>
    <w:rsid w:val="01DE333B"/>
    <w:rsid w:val="01EC3E90"/>
    <w:rsid w:val="01F36FCC"/>
    <w:rsid w:val="01F462C4"/>
    <w:rsid w:val="01F571E8"/>
    <w:rsid w:val="01F80A87"/>
    <w:rsid w:val="020A2568"/>
    <w:rsid w:val="020F0DBE"/>
    <w:rsid w:val="020F7B7E"/>
    <w:rsid w:val="02111B48"/>
    <w:rsid w:val="021653B1"/>
    <w:rsid w:val="02184C85"/>
    <w:rsid w:val="021D04ED"/>
    <w:rsid w:val="022504A0"/>
    <w:rsid w:val="022655F4"/>
    <w:rsid w:val="022B0E5C"/>
    <w:rsid w:val="02491AB4"/>
    <w:rsid w:val="024950DF"/>
    <w:rsid w:val="024A681D"/>
    <w:rsid w:val="0264611C"/>
    <w:rsid w:val="026B1259"/>
    <w:rsid w:val="02724161"/>
    <w:rsid w:val="027C6194"/>
    <w:rsid w:val="028A2341"/>
    <w:rsid w:val="02AE13C8"/>
    <w:rsid w:val="02B726F0"/>
    <w:rsid w:val="02C46BBB"/>
    <w:rsid w:val="02DA1F3A"/>
    <w:rsid w:val="02EE64DC"/>
    <w:rsid w:val="03060ADB"/>
    <w:rsid w:val="03072543"/>
    <w:rsid w:val="03100052"/>
    <w:rsid w:val="03125C8A"/>
    <w:rsid w:val="03180BE8"/>
    <w:rsid w:val="032064E7"/>
    <w:rsid w:val="03304250"/>
    <w:rsid w:val="03433A17"/>
    <w:rsid w:val="03435DF1"/>
    <w:rsid w:val="0349368C"/>
    <w:rsid w:val="035A307B"/>
    <w:rsid w:val="035B2A2F"/>
    <w:rsid w:val="035C5045"/>
    <w:rsid w:val="035E700F"/>
    <w:rsid w:val="036B12EF"/>
    <w:rsid w:val="0371289F"/>
    <w:rsid w:val="039406F2"/>
    <w:rsid w:val="03AE3AF3"/>
    <w:rsid w:val="03AF1619"/>
    <w:rsid w:val="03BD7D68"/>
    <w:rsid w:val="03E07A24"/>
    <w:rsid w:val="03E33071"/>
    <w:rsid w:val="03E5503B"/>
    <w:rsid w:val="040760B4"/>
    <w:rsid w:val="04126905"/>
    <w:rsid w:val="04216CBD"/>
    <w:rsid w:val="04246451"/>
    <w:rsid w:val="04253689"/>
    <w:rsid w:val="04275653"/>
    <w:rsid w:val="042F4508"/>
    <w:rsid w:val="043438CC"/>
    <w:rsid w:val="043A72F4"/>
    <w:rsid w:val="043E7C97"/>
    <w:rsid w:val="044B2962"/>
    <w:rsid w:val="04504BAA"/>
    <w:rsid w:val="045126D0"/>
    <w:rsid w:val="04567CE7"/>
    <w:rsid w:val="04676B4B"/>
    <w:rsid w:val="04706FFA"/>
    <w:rsid w:val="04714B20"/>
    <w:rsid w:val="047D1717"/>
    <w:rsid w:val="04A3117E"/>
    <w:rsid w:val="04AB3B8E"/>
    <w:rsid w:val="04B10051"/>
    <w:rsid w:val="04B137A1"/>
    <w:rsid w:val="04C428F3"/>
    <w:rsid w:val="04D22B28"/>
    <w:rsid w:val="04DC01EC"/>
    <w:rsid w:val="04EB48D3"/>
    <w:rsid w:val="04ED187B"/>
    <w:rsid w:val="04F548E2"/>
    <w:rsid w:val="04F551A4"/>
    <w:rsid w:val="04FF3B67"/>
    <w:rsid w:val="050D65F7"/>
    <w:rsid w:val="051756C8"/>
    <w:rsid w:val="051E6A56"/>
    <w:rsid w:val="05235E1B"/>
    <w:rsid w:val="053A3164"/>
    <w:rsid w:val="053B7608"/>
    <w:rsid w:val="053C512E"/>
    <w:rsid w:val="0547596F"/>
    <w:rsid w:val="0549003C"/>
    <w:rsid w:val="05537C3D"/>
    <w:rsid w:val="0559183C"/>
    <w:rsid w:val="055C757F"/>
    <w:rsid w:val="05625778"/>
    <w:rsid w:val="056B1570"/>
    <w:rsid w:val="056B6747"/>
    <w:rsid w:val="056F60B6"/>
    <w:rsid w:val="058F1702"/>
    <w:rsid w:val="059A7BFE"/>
    <w:rsid w:val="059C797B"/>
    <w:rsid w:val="05A36CA6"/>
    <w:rsid w:val="05A50F26"/>
    <w:rsid w:val="05B42F17"/>
    <w:rsid w:val="05C26EB5"/>
    <w:rsid w:val="05C8568A"/>
    <w:rsid w:val="05CD222A"/>
    <w:rsid w:val="05DC112D"/>
    <w:rsid w:val="05F26F6E"/>
    <w:rsid w:val="05F35E11"/>
    <w:rsid w:val="05FB28F4"/>
    <w:rsid w:val="05FC0525"/>
    <w:rsid w:val="06046BA4"/>
    <w:rsid w:val="061B3570"/>
    <w:rsid w:val="061D1F57"/>
    <w:rsid w:val="061E4834"/>
    <w:rsid w:val="06231908"/>
    <w:rsid w:val="062B2BBF"/>
    <w:rsid w:val="06305096"/>
    <w:rsid w:val="063858F6"/>
    <w:rsid w:val="06472967"/>
    <w:rsid w:val="06481187"/>
    <w:rsid w:val="064859FB"/>
    <w:rsid w:val="06565D7C"/>
    <w:rsid w:val="065F0A12"/>
    <w:rsid w:val="067D2B3B"/>
    <w:rsid w:val="0681314D"/>
    <w:rsid w:val="068648B3"/>
    <w:rsid w:val="068C07CD"/>
    <w:rsid w:val="068C3AD4"/>
    <w:rsid w:val="068C566F"/>
    <w:rsid w:val="069C1ED5"/>
    <w:rsid w:val="069D39AB"/>
    <w:rsid w:val="06A92350"/>
    <w:rsid w:val="06AB60C8"/>
    <w:rsid w:val="06C32529"/>
    <w:rsid w:val="06CD24E2"/>
    <w:rsid w:val="06D575E9"/>
    <w:rsid w:val="06DA5ADA"/>
    <w:rsid w:val="06DF0467"/>
    <w:rsid w:val="07043081"/>
    <w:rsid w:val="071E2D3E"/>
    <w:rsid w:val="073065CD"/>
    <w:rsid w:val="07334D82"/>
    <w:rsid w:val="074D3623"/>
    <w:rsid w:val="0757624F"/>
    <w:rsid w:val="07612C2A"/>
    <w:rsid w:val="07886409"/>
    <w:rsid w:val="079274C1"/>
    <w:rsid w:val="07A64AE1"/>
    <w:rsid w:val="07BC60B3"/>
    <w:rsid w:val="07E33FEF"/>
    <w:rsid w:val="07E55609"/>
    <w:rsid w:val="07E850FA"/>
    <w:rsid w:val="07EC4BEA"/>
    <w:rsid w:val="07F7358F"/>
    <w:rsid w:val="07F92E63"/>
    <w:rsid w:val="07FB4E2D"/>
    <w:rsid w:val="08102208"/>
    <w:rsid w:val="08167EB9"/>
    <w:rsid w:val="08183C31"/>
    <w:rsid w:val="082F6A38"/>
    <w:rsid w:val="08397436"/>
    <w:rsid w:val="083B5718"/>
    <w:rsid w:val="083D71F3"/>
    <w:rsid w:val="08534C69"/>
    <w:rsid w:val="08634780"/>
    <w:rsid w:val="0869448C"/>
    <w:rsid w:val="086E3851"/>
    <w:rsid w:val="08797B44"/>
    <w:rsid w:val="087D1CE6"/>
    <w:rsid w:val="088E7A4F"/>
    <w:rsid w:val="08A13C26"/>
    <w:rsid w:val="08A47272"/>
    <w:rsid w:val="08AC25CB"/>
    <w:rsid w:val="08C72F61"/>
    <w:rsid w:val="08C92D5A"/>
    <w:rsid w:val="08D43AEC"/>
    <w:rsid w:val="08D538D0"/>
    <w:rsid w:val="08D757B9"/>
    <w:rsid w:val="08DD7629"/>
    <w:rsid w:val="08E41D65"/>
    <w:rsid w:val="08E7715F"/>
    <w:rsid w:val="09016473"/>
    <w:rsid w:val="090C3286"/>
    <w:rsid w:val="091D420B"/>
    <w:rsid w:val="09491BC8"/>
    <w:rsid w:val="094B3B92"/>
    <w:rsid w:val="0952267F"/>
    <w:rsid w:val="09646EE5"/>
    <w:rsid w:val="096E7880"/>
    <w:rsid w:val="09750C0F"/>
    <w:rsid w:val="097F4126"/>
    <w:rsid w:val="0983332C"/>
    <w:rsid w:val="0983497E"/>
    <w:rsid w:val="098F685E"/>
    <w:rsid w:val="09934604"/>
    <w:rsid w:val="099F5C8C"/>
    <w:rsid w:val="09AF5ECF"/>
    <w:rsid w:val="09B2776D"/>
    <w:rsid w:val="09B41737"/>
    <w:rsid w:val="09B434E5"/>
    <w:rsid w:val="09CA2D09"/>
    <w:rsid w:val="09CB4CD3"/>
    <w:rsid w:val="09CD45A7"/>
    <w:rsid w:val="09D771D4"/>
    <w:rsid w:val="09DB3168"/>
    <w:rsid w:val="09DB4F16"/>
    <w:rsid w:val="09ED5EFC"/>
    <w:rsid w:val="09F26440"/>
    <w:rsid w:val="09F31EAA"/>
    <w:rsid w:val="0A1246B0"/>
    <w:rsid w:val="0A1977EC"/>
    <w:rsid w:val="0A3D172D"/>
    <w:rsid w:val="0A4D56E8"/>
    <w:rsid w:val="0A4E393A"/>
    <w:rsid w:val="0A5371A2"/>
    <w:rsid w:val="0A560A40"/>
    <w:rsid w:val="0A59408D"/>
    <w:rsid w:val="0A602FEF"/>
    <w:rsid w:val="0A60366D"/>
    <w:rsid w:val="0A6842D0"/>
    <w:rsid w:val="0A6E11C5"/>
    <w:rsid w:val="0A870BFA"/>
    <w:rsid w:val="0A8F3F52"/>
    <w:rsid w:val="0A920F88"/>
    <w:rsid w:val="0A9357F1"/>
    <w:rsid w:val="0AA96DC2"/>
    <w:rsid w:val="0AAB0D8C"/>
    <w:rsid w:val="0ACA6D38"/>
    <w:rsid w:val="0AD21BD7"/>
    <w:rsid w:val="0AE75B3C"/>
    <w:rsid w:val="0AEC6CAF"/>
    <w:rsid w:val="0AF374FA"/>
    <w:rsid w:val="0B167E75"/>
    <w:rsid w:val="0B1D50BA"/>
    <w:rsid w:val="0B1F33EE"/>
    <w:rsid w:val="0B2C17A1"/>
    <w:rsid w:val="0B301291"/>
    <w:rsid w:val="0B3A3EBE"/>
    <w:rsid w:val="0B424B21"/>
    <w:rsid w:val="0B50723E"/>
    <w:rsid w:val="0B642CE9"/>
    <w:rsid w:val="0B6B22C9"/>
    <w:rsid w:val="0B732F2C"/>
    <w:rsid w:val="0B7E6AB6"/>
    <w:rsid w:val="0B811AED"/>
    <w:rsid w:val="0BC14CD6"/>
    <w:rsid w:val="0BDA11FD"/>
    <w:rsid w:val="0BDA2FAB"/>
    <w:rsid w:val="0BEB6F66"/>
    <w:rsid w:val="0BFE6C9A"/>
    <w:rsid w:val="0C012C2E"/>
    <w:rsid w:val="0C040028"/>
    <w:rsid w:val="0C0452F3"/>
    <w:rsid w:val="0C063DA0"/>
    <w:rsid w:val="0C0D15D3"/>
    <w:rsid w:val="0C0F0EA7"/>
    <w:rsid w:val="0C1348A8"/>
    <w:rsid w:val="0C180F68"/>
    <w:rsid w:val="0C605BA6"/>
    <w:rsid w:val="0C6306C8"/>
    <w:rsid w:val="0C6805B7"/>
    <w:rsid w:val="0C6C62F9"/>
    <w:rsid w:val="0C7927C4"/>
    <w:rsid w:val="0C796C68"/>
    <w:rsid w:val="0C806EDF"/>
    <w:rsid w:val="0C807FF6"/>
    <w:rsid w:val="0C85560D"/>
    <w:rsid w:val="0C891492"/>
    <w:rsid w:val="0C8E44C1"/>
    <w:rsid w:val="0C9B6F3C"/>
    <w:rsid w:val="0C9E222B"/>
    <w:rsid w:val="0C9E3220"/>
    <w:rsid w:val="0CA85443"/>
    <w:rsid w:val="0CC72B6F"/>
    <w:rsid w:val="0CC945AE"/>
    <w:rsid w:val="0CD362C5"/>
    <w:rsid w:val="0CD52DF4"/>
    <w:rsid w:val="0CD563F7"/>
    <w:rsid w:val="0CD83E94"/>
    <w:rsid w:val="0CDE3BA0"/>
    <w:rsid w:val="0CE045F1"/>
    <w:rsid w:val="0CE71E24"/>
    <w:rsid w:val="0CFF5294"/>
    <w:rsid w:val="0D0A78C0"/>
    <w:rsid w:val="0D3A05F9"/>
    <w:rsid w:val="0D3D5B1A"/>
    <w:rsid w:val="0D486352"/>
    <w:rsid w:val="0D5D3E94"/>
    <w:rsid w:val="0D5D44E5"/>
    <w:rsid w:val="0D5F5E5E"/>
    <w:rsid w:val="0D660F9A"/>
    <w:rsid w:val="0D70555E"/>
    <w:rsid w:val="0D8B60D7"/>
    <w:rsid w:val="0D913B3D"/>
    <w:rsid w:val="0D9513B2"/>
    <w:rsid w:val="0D9C50C5"/>
    <w:rsid w:val="0D9D0734"/>
    <w:rsid w:val="0D9D7710"/>
    <w:rsid w:val="0D9E6986"/>
    <w:rsid w:val="0D9F26FE"/>
    <w:rsid w:val="0DB02216"/>
    <w:rsid w:val="0DBB0207"/>
    <w:rsid w:val="0DBC0BBA"/>
    <w:rsid w:val="0DC43F13"/>
    <w:rsid w:val="0DC65EDD"/>
    <w:rsid w:val="0DC7755F"/>
    <w:rsid w:val="0DE46363"/>
    <w:rsid w:val="0DEA1BCB"/>
    <w:rsid w:val="0DFB4F97"/>
    <w:rsid w:val="0E082052"/>
    <w:rsid w:val="0E107158"/>
    <w:rsid w:val="0E236477"/>
    <w:rsid w:val="0E43308A"/>
    <w:rsid w:val="0E5D6419"/>
    <w:rsid w:val="0E63197E"/>
    <w:rsid w:val="0E664511"/>
    <w:rsid w:val="0E76520D"/>
    <w:rsid w:val="0E772D33"/>
    <w:rsid w:val="0E7C659C"/>
    <w:rsid w:val="0E9E6512"/>
    <w:rsid w:val="0EA93835"/>
    <w:rsid w:val="0EAE4866"/>
    <w:rsid w:val="0EC55484"/>
    <w:rsid w:val="0EDB32C2"/>
    <w:rsid w:val="0EF16F8A"/>
    <w:rsid w:val="0F0E18E7"/>
    <w:rsid w:val="0F1342A8"/>
    <w:rsid w:val="0F140720"/>
    <w:rsid w:val="0F1F58A5"/>
    <w:rsid w:val="0F264E85"/>
    <w:rsid w:val="0F380715"/>
    <w:rsid w:val="0F524B7B"/>
    <w:rsid w:val="0F531364"/>
    <w:rsid w:val="0F6239E3"/>
    <w:rsid w:val="0F67724C"/>
    <w:rsid w:val="0F7A2ADB"/>
    <w:rsid w:val="0F8751F8"/>
    <w:rsid w:val="0F8971C2"/>
    <w:rsid w:val="0F955B67"/>
    <w:rsid w:val="0F9A4F2B"/>
    <w:rsid w:val="0FA1275E"/>
    <w:rsid w:val="0FA5470B"/>
    <w:rsid w:val="0FAE09D7"/>
    <w:rsid w:val="0FB104C7"/>
    <w:rsid w:val="0FC1695C"/>
    <w:rsid w:val="0FD0094D"/>
    <w:rsid w:val="0FD04DF1"/>
    <w:rsid w:val="0FD50659"/>
    <w:rsid w:val="0FDA4B92"/>
    <w:rsid w:val="0FDA5C70"/>
    <w:rsid w:val="0FDE4854"/>
    <w:rsid w:val="0FF327C5"/>
    <w:rsid w:val="0FF524FA"/>
    <w:rsid w:val="100769A7"/>
    <w:rsid w:val="100833DB"/>
    <w:rsid w:val="100C1B36"/>
    <w:rsid w:val="1017657C"/>
    <w:rsid w:val="101C1DE4"/>
    <w:rsid w:val="10295F68"/>
    <w:rsid w:val="102B5195"/>
    <w:rsid w:val="106043C7"/>
    <w:rsid w:val="10613C9B"/>
    <w:rsid w:val="10613EAA"/>
    <w:rsid w:val="10703EDE"/>
    <w:rsid w:val="107144FC"/>
    <w:rsid w:val="107231CB"/>
    <w:rsid w:val="107240FA"/>
    <w:rsid w:val="10765998"/>
    <w:rsid w:val="10890B53"/>
    <w:rsid w:val="10A5002C"/>
    <w:rsid w:val="10B325AF"/>
    <w:rsid w:val="10B71B0D"/>
    <w:rsid w:val="10CF6E57"/>
    <w:rsid w:val="10DD5A17"/>
    <w:rsid w:val="10DE5653"/>
    <w:rsid w:val="10E41FA9"/>
    <w:rsid w:val="10EE19D3"/>
    <w:rsid w:val="10F24FE2"/>
    <w:rsid w:val="10F2653F"/>
    <w:rsid w:val="10F71D18"/>
    <w:rsid w:val="10FA2C3E"/>
    <w:rsid w:val="110277B3"/>
    <w:rsid w:val="110D6ED0"/>
    <w:rsid w:val="110F0D5C"/>
    <w:rsid w:val="11160F29"/>
    <w:rsid w:val="11194576"/>
    <w:rsid w:val="11230F50"/>
    <w:rsid w:val="112837AC"/>
    <w:rsid w:val="11392918"/>
    <w:rsid w:val="115529EF"/>
    <w:rsid w:val="116B48D8"/>
    <w:rsid w:val="11716160"/>
    <w:rsid w:val="11783060"/>
    <w:rsid w:val="11790735"/>
    <w:rsid w:val="117B6B08"/>
    <w:rsid w:val="118E286E"/>
    <w:rsid w:val="11955B27"/>
    <w:rsid w:val="11A023A5"/>
    <w:rsid w:val="11A16A45"/>
    <w:rsid w:val="11BB562D"/>
    <w:rsid w:val="11BB73DB"/>
    <w:rsid w:val="11E3709B"/>
    <w:rsid w:val="11ED1C8A"/>
    <w:rsid w:val="11F272A1"/>
    <w:rsid w:val="11F56E15"/>
    <w:rsid w:val="11F76665"/>
    <w:rsid w:val="11FD79F3"/>
    <w:rsid w:val="12062D4C"/>
    <w:rsid w:val="12096398"/>
    <w:rsid w:val="122D668E"/>
    <w:rsid w:val="12432852"/>
    <w:rsid w:val="124B075F"/>
    <w:rsid w:val="12513CF8"/>
    <w:rsid w:val="125150F0"/>
    <w:rsid w:val="126C4404"/>
    <w:rsid w:val="127759F8"/>
    <w:rsid w:val="127B54E8"/>
    <w:rsid w:val="12825398"/>
    <w:rsid w:val="12927480"/>
    <w:rsid w:val="12A01B42"/>
    <w:rsid w:val="12A6008B"/>
    <w:rsid w:val="12AD31C8"/>
    <w:rsid w:val="12B24C82"/>
    <w:rsid w:val="12D70244"/>
    <w:rsid w:val="12DC7000"/>
    <w:rsid w:val="12E7492B"/>
    <w:rsid w:val="12EF37E0"/>
    <w:rsid w:val="12F86B39"/>
    <w:rsid w:val="13034431"/>
    <w:rsid w:val="13076D7C"/>
    <w:rsid w:val="130B063D"/>
    <w:rsid w:val="131103EA"/>
    <w:rsid w:val="13286CF2"/>
    <w:rsid w:val="132C5993"/>
    <w:rsid w:val="132E137E"/>
    <w:rsid w:val="1331204B"/>
    <w:rsid w:val="1340403C"/>
    <w:rsid w:val="135A1F83"/>
    <w:rsid w:val="137361BF"/>
    <w:rsid w:val="138A3509"/>
    <w:rsid w:val="13966C30"/>
    <w:rsid w:val="139E0D62"/>
    <w:rsid w:val="13A21AF8"/>
    <w:rsid w:val="13A37AA1"/>
    <w:rsid w:val="13AF4D1D"/>
    <w:rsid w:val="13CE5AEB"/>
    <w:rsid w:val="13E9022F"/>
    <w:rsid w:val="13EE54F1"/>
    <w:rsid w:val="140D6614"/>
    <w:rsid w:val="14171240"/>
    <w:rsid w:val="142806DC"/>
    <w:rsid w:val="14294AD0"/>
    <w:rsid w:val="143F2545"/>
    <w:rsid w:val="14496F20"/>
    <w:rsid w:val="144D1713"/>
    <w:rsid w:val="14522278"/>
    <w:rsid w:val="146B6E96"/>
    <w:rsid w:val="14820767"/>
    <w:rsid w:val="14847F58"/>
    <w:rsid w:val="14AE262C"/>
    <w:rsid w:val="14C12F5A"/>
    <w:rsid w:val="14D26F15"/>
    <w:rsid w:val="14DD31E7"/>
    <w:rsid w:val="14E07627"/>
    <w:rsid w:val="14EB6229"/>
    <w:rsid w:val="14F52C04"/>
    <w:rsid w:val="14F90946"/>
    <w:rsid w:val="150B65A8"/>
    <w:rsid w:val="15112048"/>
    <w:rsid w:val="15135779"/>
    <w:rsid w:val="1514752E"/>
    <w:rsid w:val="15225EAA"/>
    <w:rsid w:val="15267261"/>
    <w:rsid w:val="15373021"/>
    <w:rsid w:val="1537678F"/>
    <w:rsid w:val="15431BC1"/>
    <w:rsid w:val="154871D8"/>
    <w:rsid w:val="154F185E"/>
    <w:rsid w:val="15581B10"/>
    <w:rsid w:val="155E2E9F"/>
    <w:rsid w:val="157D3325"/>
    <w:rsid w:val="1582093B"/>
    <w:rsid w:val="158D1021"/>
    <w:rsid w:val="159E5049"/>
    <w:rsid w:val="15A20FDE"/>
    <w:rsid w:val="15B91E83"/>
    <w:rsid w:val="15C26F8A"/>
    <w:rsid w:val="15CF21CB"/>
    <w:rsid w:val="15D55DE5"/>
    <w:rsid w:val="15D8422F"/>
    <w:rsid w:val="15DB14DB"/>
    <w:rsid w:val="15DE18EA"/>
    <w:rsid w:val="15FA2BC8"/>
    <w:rsid w:val="15FD7FC2"/>
    <w:rsid w:val="160C6494"/>
    <w:rsid w:val="160F59D5"/>
    <w:rsid w:val="16161084"/>
    <w:rsid w:val="161F618A"/>
    <w:rsid w:val="162714E3"/>
    <w:rsid w:val="163C04FA"/>
    <w:rsid w:val="16442C6D"/>
    <w:rsid w:val="164B44B0"/>
    <w:rsid w:val="165276AC"/>
    <w:rsid w:val="16565924"/>
    <w:rsid w:val="165B2F3A"/>
    <w:rsid w:val="1660347D"/>
    <w:rsid w:val="166242C9"/>
    <w:rsid w:val="167556F0"/>
    <w:rsid w:val="167652E8"/>
    <w:rsid w:val="16775FC6"/>
    <w:rsid w:val="16777D74"/>
    <w:rsid w:val="167A7865"/>
    <w:rsid w:val="169133EE"/>
    <w:rsid w:val="169828B9"/>
    <w:rsid w:val="169C0461"/>
    <w:rsid w:val="169C5A2D"/>
    <w:rsid w:val="16A42B33"/>
    <w:rsid w:val="16AB5C70"/>
    <w:rsid w:val="16BA4105"/>
    <w:rsid w:val="16BC1C2B"/>
    <w:rsid w:val="16DC22CD"/>
    <w:rsid w:val="16DC2528"/>
    <w:rsid w:val="16DE150C"/>
    <w:rsid w:val="16DF5FF9"/>
    <w:rsid w:val="16E32CDB"/>
    <w:rsid w:val="1700420E"/>
    <w:rsid w:val="17077858"/>
    <w:rsid w:val="170D17F7"/>
    <w:rsid w:val="170D692B"/>
    <w:rsid w:val="171B1048"/>
    <w:rsid w:val="172061BC"/>
    <w:rsid w:val="17215F32"/>
    <w:rsid w:val="17231CAA"/>
    <w:rsid w:val="172A128B"/>
    <w:rsid w:val="173D7210"/>
    <w:rsid w:val="1740285C"/>
    <w:rsid w:val="17466FCB"/>
    <w:rsid w:val="174D6D27"/>
    <w:rsid w:val="174D72CB"/>
    <w:rsid w:val="174F0CF1"/>
    <w:rsid w:val="17620A24"/>
    <w:rsid w:val="17620DC5"/>
    <w:rsid w:val="176C53FF"/>
    <w:rsid w:val="17710C68"/>
    <w:rsid w:val="178070FD"/>
    <w:rsid w:val="178C3CF3"/>
    <w:rsid w:val="17914E66"/>
    <w:rsid w:val="17924D93"/>
    <w:rsid w:val="179928C2"/>
    <w:rsid w:val="179C380B"/>
    <w:rsid w:val="17C055C6"/>
    <w:rsid w:val="17C37F89"/>
    <w:rsid w:val="17C76AD9"/>
    <w:rsid w:val="17DB4333"/>
    <w:rsid w:val="17E31439"/>
    <w:rsid w:val="17E81194"/>
    <w:rsid w:val="17EC02EE"/>
    <w:rsid w:val="17EC7D4E"/>
    <w:rsid w:val="17FF6273"/>
    <w:rsid w:val="181226FE"/>
    <w:rsid w:val="181A12FF"/>
    <w:rsid w:val="18251A52"/>
    <w:rsid w:val="18275FAD"/>
    <w:rsid w:val="18463EA2"/>
    <w:rsid w:val="18512FA4"/>
    <w:rsid w:val="185A16FC"/>
    <w:rsid w:val="185F4F64"/>
    <w:rsid w:val="186C7681"/>
    <w:rsid w:val="18702CCD"/>
    <w:rsid w:val="18716A45"/>
    <w:rsid w:val="18816FFA"/>
    <w:rsid w:val="189A5F9C"/>
    <w:rsid w:val="189D5A8C"/>
    <w:rsid w:val="18A70C53"/>
    <w:rsid w:val="18B52DD6"/>
    <w:rsid w:val="18CB25F9"/>
    <w:rsid w:val="18D3325C"/>
    <w:rsid w:val="18D86AC4"/>
    <w:rsid w:val="18DA45EA"/>
    <w:rsid w:val="18DF60A5"/>
    <w:rsid w:val="18E01A75"/>
    <w:rsid w:val="18ED6A14"/>
    <w:rsid w:val="18EF5A71"/>
    <w:rsid w:val="190478B9"/>
    <w:rsid w:val="19121FD6"/>
    <w:rsid w:val="19157D18"/>
    <w:rsid w:val="19185734"/>
    <w:rsid w:val="19205339"/>
    <w:rsid w:val="19232435"/>
    <w:rsid w:val="19235F91"/>
    <w:rsid w:val="19241F81"/>
    <w:rsid w:val="19265A82"/>
    <w:rsid w:val="19293F67"/>
    <w:rsid w:val="192C5D83"/>
    <w:rsid w:val="192C7C91"/>
    <w:rsid w:val="192F0DDA"/>
    <w:rsid w:val="19305E07"/>
    <w:rsid w:val="193F08F1"/>
    <w:rsid w:val="194A79C2"/>
    <w:rsid w:val="195E16BF"/>
    <w:rsid w:val="1968684A"/>
    <w:rsid w:val="19695FA6"/>
    <w:rsid w:val="196B7938"/>
    <w:rsid w:val="19707ECA"/>
    <w:rsid w:val="19864B80"/>
    <w:rsid w:val="19B72B7E"/>
    <w:rsid w:val="19D454DE"/>
    <w:rsid w:val="19DF5FB1"/>
    <w:rsid w:val="19E7666B"/>
    <w:rsid w:val="19F618F8"/>
    <w:rsid w:val="19F93196"/>
    <w:rsid w:val="1A0517B3"/>
    <w:rsid w:val="1A116732"/>
    <w:rsid w:val="1A231FC1"/>
    <w:rsid w:val="1A2521DD"/>
    <w:rsid w:val="1A2E0437"/>
    <w:rsid w:val="1A2E1092"/>
    <w:rsid w:val="1A3B100D"/>
    <w:rsid w:val="1A3F6DFB"/>
    <w:rsid w:val="1A4413C5"/>
    <w:rsid w:val="1A453701"/>
    <w:rsid w:val="1A4E703E"/>
    <w:rsid w:val="1A58610F"/>
    <w:rsid w:val="1A5F749D"/>
    <w:rsid w:val="1A6A3B28"/>
    <w:rsid w:val="1A6B15D1"/>
    <w:rsid w:val="1A6B1C29"/>
    <w:rsid w:val="1A756CC1"/>
    <w:rsid w:val="1A7670A0"/>
    <w:rsid w:val="1A772A39"/>
    <w:rsid w:val="1A7A7E33"/>
    <w:rsid w:val="1A9F3D3E"/>
    <w:rsid w:val="1AA84695"/>
    <w:rsid w:val="1AD02149"/>
    <w:rsid w:val="1AD5775F"/>
    <w:rsid w:val="1AD734D7"/>
    <w:rsid w:val="1ADD03C2"/>
    <w:rsid w:val="1ADF05DE"/>
    <w:rsid w:val="1AE16104"/>
    <w:rsid w:val="1AE479A2"/>
    <w:rsid w:val="1AFF296D"/>
    <w:rsid w:val="1B0D514B"/>
    <w:rsid w:val="1B107B2E"/>
    <w:rsid w:val="1B2D7593"/>
    <w:rsid w:val="1B32070E"/>
    <w:rsid w:val="1B3A5814"/>
    <w:rsid w:val="1B414DF5"/>
    <w:rsid w:val="1B423649"/>
    <w:rsid w:val="1B5E5CBE"/>
    <w:rsid w:val="1B697EA8"/>
    <w:rsid w:val="1B913106"/>
    <w:rsid w:val="1B9211AC"/>
    <w:rsid w:val="1B927C49"/>
    <w:rsid w:val="1B9405AB"/>
    <w:rsid w:val="1B9969DF"/>
    <w:rsid w:val="1BA01B1B"/>
    <w:rsid w:val="1BA50EE0"/>
    <w:rsid w:val="1BB2184F"/>
    <w:rsid w:val="1BB93B82"/>
    <w:rsid w:val="1BE063BC"/>
    <w:rsid w:val="1BE35EAC"/>
    <w:rsid w:val="1BE37C5A"/>
    <w:rsid w:val="1BE834C2"/>
    <w:rsid w:val="1C0E2F29"/>
    <w:rsid w:val="1C2264FA"/>
    <w:rsid w:val="1C4F52EF"/>
    <w:rsid w:val="1C533032"/>
    <w:rsid w:val="1C6A5624"/>
    <w:rsid w:val="1C714522"/>
    <w:rsid w:val="1C8E406A"/>
    <w:rsid w:val="1C93342E"/>
    <w:rsid w:val="1C9F6277"/>
    <w:rsid w:val="1CAC629E"/>
    <w:rsid w:val="1CB11B06"/>
    <w:rsid w:val="1CB27013"/>
    <w:rsid w:val="1CC61A56"/>
    <w:rsid w:val="1CCC4B92"/>
    <w:rsid w:val="1CD80D2E"/>
    <w:rsid w:val="1CDA105D"/>
    <w:rsid w:val="1CFD2045"/>
    <w:rsid w:val="1D005EEF"/>
    <w:rsid w:val="1D047E88"/>
    <w:rsid w:val="1D0E284F"/>
    <w:rsid w:val="1D0F08AC"/>
    <w:rsid w:val="1D104A7F"/>
    <w:rsid w:val="1D13456F"/>
    <w:rsid w:val="1D2C7601"/>
    <w:rsid w:val="1D39424F"/>
    <w:rsid w:val="1D526E45"/>
    <w:rsid w:val="1D5726AE"/>
    <w:rsid w:val="1D864D41"/>
    <w:rsid w:val="1D927D1E"/>
    <w:rsid w:val="1DA50210"/>
    <w:rsid w:val="1DAD49C3"/>
    <w:rsid w:val="1DAF6046"/>
    <w:rsid w:val="1DC248DC"/>
    <w:rsid w:val="1DC65F93"/>
    <w:rsid w:val="1DCF66E8"/>
    <w:rsid w:val="1DD957B9"/>
    <w:rsid w:val="1DE73159"/>
    <w:rsid w:val="1DFA6641"/>
    <w:rsid w:val="1E011134"/>
    <w:rsid w:val="1E05035C"/>
    <w:rsid w:val="1E081BFA"/>
    <w:rsid w:val="1E312EFF"/>
    <w:rsid w:val="1E326C77"/>
    <w:rsid w:val="1E401394"/>
    <w:rsid w:val="1E587535"/>
    <w:rsid w:val="1E805C34"/>
    <w:rsid w:val="1E9E60BA"/>
    <w:rsid w:val="1EAF02C7"/>
    <w:rsid w:val="1EC64A9D"/>
    <w:rsid w:val="1ED16490"/>
    <w:rsid w:val="1EF36406"/>
    <w:rsid w:val="1F130856"/>
    <w:rsid w:val="1F134806"/>
    <w:rsid w:val="1F3D58D3"/>
    <w:rsid w:val="1F4D3D68"/>
    <w:rsid w:val="1F6A31B9"/>
    <w:rsid w:val="1F841754"/>
    <w:rsid w:val="1F890B18"/>
    <w:rsid w:val="1F8C3803"/>
    <w:rsid w:val="1F953961"/>
    <w:rsid w:val="1F987D28"/>
    <w:rsid w:val="1FA47700"/>
    <w:rsid w:val="1FBE1084"/>
    <w:rsid w:val="1FBF69A5"/>
    <w:rsid w:val="1FCC169C"/>
    <w:rsid w:val="1FCF29CF"/>
    <w:rsid w:val="1FE83A91"/>
    <w:rsid w:val="1FF93EF0"/>
    <w:rsid w:val="2000702C"/>
    <w:rsid w:val="200F1D7A"/>
    <w:rsid w:val="20140D2A"/>
    <w:rsid w:val="20191E9C"/>
    <w:rsid w:val="20236FAC"/>
    <w:rsid w:val="202D76F6"/>
    <w:rsid w:val="203942EC"/>
    <w:rsid w:val="2053115F"/>
    <w:rsid w:val="206375BB"/>
    <w:rsid w:val="2077343C"/>
    <w:rsid w:val="208539D6"/>
    <w:rsid w:val="208732AA"/>
    <w:rsid w:val="208C0195"/>
    <w:rsid w:val="209D5157"/>
    <w:rsid w:val="20A51982"/>
    <w:rsid w:val="20AF45AF"/>
    <w:rsid w:val="20B816B5"/>
    <w:rsid w:val="20B9542D"/>
    <w:rsid w:val="20BB73F7"/>
    <w:rsid w:val="20BD6CCC"/>
    <w:rsid w:val="20D05F7A"/>
    <w:rsid w:val="20DD2ECA"/>
    <w:rsid w:val="20DF4E94"/>
    <w:rsid w:val="20E4583C"/>
    <w:rsid w:val="20EA3839"/>
    <w:rsid w:val="20F841A8"/>
    <w:rsid w:val="210C7C53"/>
    <w:rsid w:val="210E5779"/>
    <w:rsid w:val="21115269"/>
    <w:rsid w:val="21260D15"/>
    <w:rsid w:val="21472A39"/>
    <w:rsid w:val="215238B8"/>
    <w:rsid w:val="21615480"/>
    <w:rsid w:val="21627873"/>
    <w:rsid w:val="21696E53"/>
    <w:rsid w:val="216E6218"/>
    <w:rsid w:val="217A23F1"/>
    <w:rsid w:val="21902632"/>
    <w:rsid w:val="21A25EC1"/>
    <w:rsid w:val="21AD6D40"/>
    <w:rsid w:val="21B761EC"/>
    <w:rsid w:val="21C06F7F"/>
    <w:rsid w:val="21C61BB0"/>
    <w:rsid w:val="21C83B7A"/>
    <w:rsid w:val="21CD1190"/>
    <w:rsid w:val="21D81917"/>
    <w:rsid w:val="21DC7E95"/>
    <w:rsid w:val="21DD6EFA"/>
    <w:rsid w:val="21E11EC2"/>
    <w:rsid w:val="21E5052C"/>
    <w:rsid w:val="21EE1107"/>
    <w:rsid w:val="21EF55AB"/>
    <w:rsid w:val="21F030D1"/>
    <w:rsid w:val="21F50F3D"/>
    <w:rsid w:val="22105521"/>
    <w:rsid w:val="222A65E3"/>
    <w:rsid w:val="222C28DC"/>
    <w:rsid w:val="2241392C"/>
    <w:rsid w:val="224B0307"/>
    <w:rsid w:val="224B55F8"/>
    <w:rsid w:val="226650A3"/>
    <w:rsid w:val="22682C67"/>
    <w:rsid w:val="226B2757"/>
    <w:rsid w:val="22737F8A"/>
    <w:rsid w:val="22743D02"/>
    <w:rsid w:val="227635D6"/>
    <w:rsid w:val="22806203"/>
    <w:rsid w:val="22A068A5"/>
    <w:rsid w:val="22B8599C"/>
    <w:rsid w:val="22B97967"/>
    <w:rsid w:val="22C205C9"/>
    <w:rsid w:val="22C500B9"/>
    <w:rsid w:val="22CA56D0"/>
    <w:rsid w:val="22D07082"/>
    <w:rsid w:val="22D56B65"/>
    <w:rsid w:val="22DF73CD"/>
    <w:rsid w:val="22E418F0"/>
    <w:rsid w:val="22F0425E"/>
    <w:rsid w:val="22F97D63"/>
    <w:rsid w:val="230C7A96"/>
    <w:rsid w:val="231132FF"/>
    <w:rsid w:val="23160915"/>
    <w:rsid w:val="231B5003"/>
    <w:rsid w:val="231D31B4"/>
    <w:rsid w:val="23316EE6"/>
    <w:rsid w:val="233D5EA2"/>
    <w:rsid w:val="234353D1"/>
    <w:rsid w:val="234731C4"/>
    <w:rsid w:val="235F050E"/>
    <w:rsid w:val="23616034"/>
    <w:rsid w:val="236175E4"/>
    <w:rsid w:val="2362709F"/>
    <w:rsid w:val="23767606"/>
    <w:rsid w:val="23887A65"/>
    <w:rsid w:val="23A6613D"/>
    <w:rsid w:val="23AC3027"/>
    <w:rsid w:val="23AD74CB"/>
    <w:rsid w:val="23BA1BE8"/>
    <w:rsid w:val="23D06D16"/>
    <w:rsid w:val="23D1073B"/>
    <w:rsid w:val="23DD2B08"/>
    <w:rsid w:val="23FC3FAF"/>
    <w:rsid w:val="240502B9"/>
    <w:rsid w:val="241A61E3"/>
    <w:rsid w:val="242A28CA"/>
    <w:rsid w:val="242F7EE0"/>
    <w:rsid w:val="24415E66"/>
    <w:rsid w:val="24661428"/>
    <w:rsid w:val="24674AC7"/>
    <w:rsid w:val="2479115B"/>
    <w:rsid w:val="248C5333"/>
    <w:rsid w:val="249661B1"/>
    <w:rsid w:val="24970412"/>
    <w:rsid w:val="24B30B11"/>
    <w:rsid w:val="24B5685E"/>
    <w:rsid w:val="24E231A5"/>
    <w:rsid w:val="24F42ED8"/>
    <w:rsid w:val="2500362B"/>
    <w:rsid w:val="25034EC9"/>
    <w:rsid w:val="25290DD3"/>
    <w:rsid w:val="252C08C4"/>
    <w:rsid w:val="25336CD6"/>
    <w:rsid w:val="25880798"/>
    <w:rsid w:val="25893E7E"/>
    <w:rsid w:val="259A75DB"/>
    <w:rsid w:val="25A057D3"/>
    <w:rsid w:val="25B20DC9"/>
    <w:rsid w:val="25C81CB5"/>
    <w:rsid w:val="25DD396C"/>
    <w:rsid w:val="25E46AA9"/>
    <w:rsid w:val="25E82A3D"/>
    <w:rsid w:val="25E940BF"/>
    <w:rsid w:val="25ED4601"/>
    <w:rsid w:val="25F807A6"/>
    <w:rsid w:val="26013AFE"/>
    <w:rsid w:val="261F3F85"/>
    <w:rsid w:val="26265D59"/>
    <w:rsid w:val="263C4B36"/>
    <w:rsid w:val="263F7BBA"/>
    <w:rsid w:val="264C3C60"/>
    <w:rsid w:val="26645C78"/>
    <w:rsid w:val="267B2530"/>
    <w:rsid w:val="26865DB2"/>
    <w:rsid w:val="268B33C8"/>
    <w:rsid w:val="269A550E"/>
    <w:rsid w:val="26A55C9F"/>
    <w:rsid w:val="26CD6371"/>
    <w:rsid w:val="26D134D1"/>
    <w:rsid w:val="26D905D7"/>
    <w:rsid w:val="26E119EC"/>
    <w:rsid w:val="26E643AD"/>
    <w:rsid w:val="26F947D6"/>
    <w:rsid w:val="27221F7E"/>
    <w:rsid w:val="27312075"/>
    <w:rsid w:val="273121C1"/>
    <w:rsid w:val="27316602"/>
    <w:rsid w:val="27363334"/>
    <w:rsid w:val="27400656"/>
    <w:rsid w:val="274C2B57"/>
    <w:rsid w:val="2753038A"/>
    <w:rsid w:val="27664B16"/>
    <w:rsid w:val="276C37BE"/>
    <w:rsid w:val="279544FE"/>
    <w:rsid w:val="279B3ADF"/>
    <w:rsid w:val="279D7857"/>
    <w:rsid w:val="27A300CB"/>
    <w:rsid w:val="27B5694E"/>
    <w:rsid w:val="27BB1A8B"/>
    <w:rsid w:val="27C759C6"/>
    <w:rsid w:val="27C941A8"/>
    <w:rsid w:val="27D86AE1"/>
    <w:rsid w:val="27E72880"/>
    <w:rsid w:val="27E95C8D"/>
    <w:rsid w:val="28034162"/>
    <w:rsid w:val="28043432"/>
    <w:rsid w:val="28106212"/>
    <w:rsid w:val="2811047F"/>
    <w:rsid w:val="28245882"/>
    <w:rsid w:val="282D0BDB"/>
    <w:rsid w:val="28533DB0"/>
    <w:rsid w:val="28577A06"/>
    <w:rsid w:val="28610884"/>
    <w:rsid w:val="28681C13"/>
    <w:rsid w:val="28706D19"/>
    <w:rsid w:val="287738A9"/>
    <w:rsid w:val="288E70B4"/>
    <w:rsid w:val="289B6C43"/>
    <w:rsid w:val="28A6273B"/>
    <w:rsid w:val="28B51443"/>
    <w:rsid w:val="28B704A4"/>
    <w:rsid w:val="28CD1444"/>
    <w:rsid w:val="28E079FB"/>
    <w:rsid w:val="28E9662B"/>
    <w:rsid w:val="28EA2628"/>
    <w:rsid w:val="28FB17EE"/>
    <w:rsid w:val="28FC5518"/>
    <w:rsid w:val="290A19EB"/>
    <w:rsid w:val="290D27BA"/>
    <w:rsid w:val="29235B3A"/>
    <w:rsid w:val="29283150"/>
    <w:rsid w:val="292875F4"/>
    <w:rsid w:val="292F2731"/>
    <w:rsid w:val="293164A9"/>
    <w:rsid w:val="29373393"/>
    <w:rsid w:val="294D2BB7"/>
    <w:rsid w:val="29565F0F"/>
    <w:rsid w:val="295959FF"/>
    <w:rsid w:val="2961415C"/>
    <w:rsid w:val="29746395"/>
    <w:rsid w:val="2979095A"/>
    <w:rsid w:val="29850AC8"/>
    <w:rsid w:val="29946A38"/>
    <w:rsid w:val="29995DFC"/>
    <w:rsid w:val="299A404E"/>
    <w:rsid w:val="29A40D78"/>
    <w:rsid w:val="29AE5D4B"/>
    <w:rsid w:val="29B5042A"/>
    <w:rsid w:val="29B55BD2"/>
    <w:rsid w:val="29C15A7E"/>
    <w:rsid w:val="29C56BF1"/>
    <w:rsid w:val="29C94933"/>
    <w:rsid w:val="29D837E4"/>
    <w:rsid w:val="29DA38D2"/>
    <w:rsid w:val="29DD03DE"/>
    <w:rsid w:val="29E928DF"/>
    <w:rsid w:val="29F309D8"/>
    <w:rsid w:val="29FB12FC"/>
    <w:rsid w:val="2A2E0C3A"/>
    <w:rsid w:val="2A381377"/>
    <w:rsid w:val="2A420242"/>
    <w:rsid w:val="2A557F75"/>
    <w:rsid w:val="2A585CB7"/>
    <w:rsid w:val="2A5A1A2F"/>
    <w:rsid w:val="2A6353BA"/>
    <w:rsid w:val="2A693A20"/>
    <w:rsid w:val="2A701253"/>
    <w:rsid w:val="2A704A83"/>
    <w:rsid w:val="2A756869"/>
    <w:rsid w:val="2A7C0912"/>
    <w:rsid w:val="2A7C3754"/>
    <w:rsid w:val="2A842608"/>
    <w:rsid w:val="2A9C5BA4"/>
    <w:rsid w:val="2AB96F29"/>
    <w:rsid w:val="2AC34A37"/>
    <w:rsid w:val="2ACF5F79"/>
    <w:rsid w:val="2ADC2444"/>
    <w:rsid w:val="2AF36BB8"/>
    <w:rsid w:val="2AF51E59"/>
    <w:rsid w:val="2AF93B6E"/>
    <w:rsid w:val="2AFB5C85"/>
    <w:rsid w:val="2B05199B"/>
    <w:rsid w:val="2B126E05"/>
    <w:rsid w:val="2B163BA8"/>
    <w:rsid w:val="2B195446"/>
    <w:rsid w:val="2B2804EC"/>
    <w:rsid w:val="2B612949"/>
    <w:rsid w:val="2B620F43"/>
    <w:rsid w:val="2B632B65"/>
    <w:rsid w:val="2B6568DD"/>
    <w:rsid w:val="2B6A5CA2"/>
    <w:rsid w:val="2B765F15"/>
    <w:rsid w:val="2B7E52A9"/>
    <w:rsid w:val="2B8E1990"/>
    <w:rsid w:val="2B9E213E"/>
    <w:rsid w:val="2BB221A4"/>
    <w:rsid w:val="2BB67139"/>
    <w:rsid w:val="2BB92785"/>
    <w:rsid w:val="2BBB02AC"/>
    <w:rsid w:val="2BC43604"/>
    <w:rsid w:val="2BCB541E"/>
    <w:rsid w:val="2BCE7FDF"/>
    <w:rsid w:val="2BE5357A"/>
    <w:rsid w:val="2BF3462D"/>
    <w:rsid w:val="2BF533E7"/>
    <w:rsid w:val="2C000590"/>
    <w:rsid w:val="2C396270"/>
    <w:rsid w:val="2C443561"/>
    <w:rsid w:val="2C484235"/>
    <w:rsid w:val="2C5030EA"/>
    <w:rsid w:val="2C5129BE"/>
    <w:rsid w:val="2C5A348C"/>
    <w:rsid w:val="2C666469"/>
    <w:rsid w:val="2C844B41"/>
    <w:rsid w:val="2C866B0B"/>
    <w:rsid w:val="2C9355D3"/>
    <w:rsid w:val="2C9A0BE2"/>
    <w:rsid w:val="2C9E7CE8"/>
    <w:rsid w:val="2C9F3729"/>
    <w:rsid w:val="2C9F5E1F"/>
    <w:rsid w:val="2C9F70F2"/>
    <w:rsid w:val="2CBA6C7A"/>
    <w:rsid w:val="2CBC6B9C"/>
    <w:rsid w:val="2CD45928"/>
    <w:rsid w:val="2CDA6061"/>
    <w:rsid w:val="2CE675AA"/>
    <w:rsid w:val="2CED6B8B"/>
    <w:rsid w:val="2D0A14EA"/>
    <w:rsid w:val="2D1519FD"/>
    <w:rsid w:val="2D214A9F"/>
    <w:rsid w:val="2D2C76B3"/>
    <w:rsid w:val="2D3E2F42"/>
    <w:rsid w:val="2D450775"/>
    <w:rsid w:val="2D4744ED"/>
    <w:rsid w:val="2D5E1836"/>
    <w:rsid w:val="2D636E4D"/>
    <w:rsid w:val="2D662499"/>
    <w:rsid w:val="2D6D3827"/>
    <w:rsid w:val="2D725670"/>
    <w:rsid w:val="2D98715B"/>
    <w:rsid w:val="2DA90D03"/>
    <w:rsid w:val="2DB66F7C"/>
    <w:rsid w:val="2DB76019"/>
    <w:rsid w:val="2DBD030B"/>
    <w:rsid w:val="2DC773DC"/>
    <w:rsid w:val="2DD955C1"/>
    <w:rsid w:val="2DEE132C"/>
    <w:rsid w:val="2DEF06E0"/>
    <w:rsid w:val="2DF97F5C"/>
    <w:rsid w:val="2E073C7C"/>
    <w:rsid w:val="2E0E500A"/>
    <w:rsid w:val="2E104609"/>
    <w:rsid w:val="2E107BE2"/>
    <w:rsid w:val="2E1D6FFC"/>
    <w:rsid w:val="2E24482E"/>
    <w:rsid w:val="2E271C28"/>
    <w:rsid w:val="2E3E1E97"/>
    <w:rsid w:val="2E3F51C4"/>
    <w:rsid w:val="2E4F43FF"/>
    <w:rsid w:val="2E5774DB"/>
    <w:rsid w:val="2E5C048D"/>
    <w:rsid w:val="2E701DAA"/>
    <w:rsid w:val="2E7C01C6"/>
    <w:rsid w:val="2E823302"/>
    <w:rsid w:val="2E887C64"/>
    <w:rsid w:val="2E8E7147"/>
    <w:rsid w:val="2E9D6DCF"/>
    <w:rsid w:val="2EA814D2"/>
    <w:rsid w:val="2EBA0CEE"/>
    <w:rsid w:val="2EC41B6D"/>
    <w:rsid w:val="2EC456C9"/>
    <w:rsid w:val="2EC6434A"/>
    <w:rsid w:val="2F1A353B"/>
    <w:rsid w:val="2F1F6523"/>
    <w:rsid w:val="2F204FF5"/>
    <w:rsid w:val="2F21455C"/>
    <w:rsid w:val="2F3A3EF1"/>
    <w:rsid w:val="2F3C7955"/>
    <w:rsid w:val="2F416D1A"/>
    <w:rsid w:val="2F5527C5"/>
    <w:rsid w:val="2F606532"/>
    <w:rsid w:val="2F656EAC"/>
    <w:rsid w:val="2F6A001E"/>
    <w:rsid w:val="2F7F11FF"/>
    <w:rsid w:val="2F7F5B97"/>
    <w:rsid w:val="2F82046F"/>
    <w:rsid w:val="2F9C03F4"/>
    <w:rsid w:val="2FA04F81"/>
    <w:rsid w:val="2FA16F22"/>
    <w:rsid w:val="2FB94A5B"/>
    <w:rsid w:val="2FC17E5A"/>
    <w:rsid w:val="2FC4487C"/>
    <w:rsid w:val="2FD656B4"/>
    <w:rsid w:val="2FD81674"/>
    <w:rsid w:val="2FDB2CCA"/>
    <w:rsid w:val="2FDD2EE6"/>
    <w:rsid w:val="2FDE281A"/>
    <w:rsid w:val="2FFA4131"/>
    <w:rsid w:val="30055F99"/>
    <w:rsid w:val="30093CDB"/>
    <w:rsid w:val="301663F8"/>
    <w:rsid w:val="301A5EE8"/>
    <w:rsid w:val="301F1693"/>
    <w:rsid w:val="302C5C1C"/>
    <w:rsid w:val="302F1268"/>
    <w:rsid w:val="30395C43"/>
    <w:rsid w:val="303D3985"/>
    <w:rsid w:val="306929CC"/>
    <w:rsid w:val="3069477A"/>
    <w:rsid w:val="307373A7"/>
    <w:rsid w:val="307849BD"/>
    <w:rsid w:val="307C565C"/>
    <w:rsid w:val="30874C00"/>
    <w:rsid w:val="30896EF9"/>
    <w:rsid w:val="309531D7"/>
    <w:rsid w:val="309F019C"/>
    <w:rsid w:val="30A87A77"/>
    <w:rsid w:val="30AC447F"/>
    <w:rsid w:val="30B05F05"/>
    <w:rsid w:val="30BF083E"/>
    <w:rsid w:val="30BF76D4"/>
    <w:rsid w:val="30C16364"/>
    <w:rsid w:val="30DB6CFA"/>
    <w:rsid w:val="30DC13F0"/>
    <w:rsid w:val="30E97669"/>
    <w:rsid w:val="30F46739"/>
    <w:rsid w:val="310426F5"/>
    <w:rsid w:val="31046538"/>
    <w:rsid w:val="312A215B"/>
    <w:rsid w:val="314031B4"/>
    <w:rsid w:val="3172499E"/>
    <w:rsid w:val="31807FCD"/>
    <w:rsid w:val="3188248E"/>
    <w:rsid w:val="319054C4"/>
    <w:rsid w:val="319770C5"/>
    <w:rsid w:val="31A737AC"/>
    <w:rsid w:val="31B07A2F"/>
    <w:rsid w:val="31D245A1"/>
    <w:rsid w:val="31EA5447"/>
    <w:rsid w:val="31F167D5"/>
    <w:rsid w:val="31FD2C13"/>
    <w:rsid w:val="3212499D"/>
    <w:rsid w:val="321625C9"/>
    <w:rsid w:val="32171FB4"/>
    <w:rsid w:val="321E77E6"/>
    <w:rsid w:val="322841C1"/>
    <w:rsid w:val="323B5CA2"/>
    <w:rsid w:val="3240150B"/>
    <w:rsid w:val="324F12AF"/>
    <w:rsid w:val="325925CC"/>
    <w:rsid w:val="32616EAD"/>
    <w:rsid w:val="3268280F"/>
    <w:rsid w:val="32715B68"/>
    <w:rsid w:val="327D62BB"/>
    <w:rsid w:val="3281224F"/>
    <w:rsid w:val="3286265A"/>
    <w:rsid w:val="32A75EAC"/>
    <w:rsid w:val="32AC094E"/>
    <w:rsid w:val="32AE46C6"/>
    <w:rsid w:val="32B75C71"/>
    <w:rsid w:val="32D0298D"/>
    <w:rsid w:val="32D54E77"/>
    <w:rsid w:val="32ED45E0"/>
    <w:rsid w:val="32FA5B5D"/>
    <w:rsid w:val="331A3570"/>
    <w:rsid w:val="33435756"/>
    <w:rsid w:val="33460DA3"/>
    <w:rsid w:val="33641229"/>
    <w:rsid w:val="336D5070"/>
    <w:rsid w:val="337552D5"/>
    <w:rsid w:val="337F000C"/>
    <w:rsid w:val="33A12CAA"/>
    <w:rsid w:val="33A31BFE"/>
    <w:rsid w:val="33AB50A9"/>
    <w:rsid w:val="33C00B55"/>
    <w:rsid w:val="33CF2B46"/>
    <w:rsid w:val="33D37246"/>
    <w:rsid w:val="33D52499"/>
    <w:rsid w:val="33DE722D"/>
    <w:rsid w:val="33E83EE4"/>
    <w:rsid w:val="33F407FF"/>
    <w:rsid w:val="34050C5E"/>
    <w:rsid w:val="342563FC"/>
    <w:rsid w:val="34313E97"/>
    <w:rsid w:val="3435004D"/>
    <w:rsid w:val="343C3F54"/>
    <w:rsid w:val="3446098F"/>
    <w:rsid w:val="344C742B"/>
    <w:rsid w:val="345B6AD0"/>
    <w:rsid w:val="34767465"/>
    <w:rsid w:val="34796F56"/>
    <w:rsid w:val="3491429F"/>
    <w:rsid w:val="349646B2"/>
    <w:rsid w:val="349B511E"/>
    <w:rsid w:val="34A00133"/>
    <w:rsid w:val="34AC7670"/>
    <w:rsid w:val="34D66156"/>
    <w:rsid w:val="34F308B0"/>
    <w:rsid w:val="351F18AB"/>
    <w:rsid w:val="3529272A"/>
    <w:rsid w:val="35322D2E"/>
    <w:rsid w:val="35325A82"/>
    <w:rsid w:val="35366E63"/>
    <w:rsid w:val="353F1CAE"/>
    <w:rsid w:val="3546508A"/>
    <w:rsid w:val="354D536F"/>
    <w:rsid w:val="354D6418"/>
    <w:rsid w:val="354E03E2"/>
    <w:rsid w:val="35645510"/>
    <w:rsid w:val="3569521C"/>
    <w:rsid w:val="356B0A71"/>
    <w:rsid w:val="35706D35"/>
    <w:rsid w:val="35713351"/>
    <w:rsid w:val="3578720D"/>
    <w:rsid w:val="357C038A"/>
    <w:rsid w:val="357E3BC5"/>
    <w:rsid w:val="3587034C"/>
    <w:rsid w:val="359C73A0"/>
    <w:rsid w:val="35A35B01"/>
    <w:rsid w:val="35C10BB4"/>
    <w:rsid w:val="35CD3626"/>
    <w:rsid w:val="35D72186"/>
    <w:rsid w:val="35D73F34"/>
    <w:rsid w:val="35E34252"/>
    <w:rsid w:val="35E6686D"/>
    <w:rsid w:val="35EA2894"/>
    <w:rsid w:val="35FE6BA4"/>
    <w:rsid w:val="3608571A"/>
    <w:rsid w:val="36140CE4"/>
    <w:rsid w:val="361B33A6"/>
    <w:rsid w:val="36351B2C"/>
    <w:rsid w:val="363F42D5"/>
    <w:rsid w:val="364A0BAA"/>
    <w:rsid w:val="366854D4"/>
    <w:rsid w:val="36723C5D"/>
    <w:rsid w:val="36AC0582"/>
    <w:rsid w:val="36B07F6D"/>
    <w:rsid w:val="36C26992"/>
    <w:rsid w:val="36E7464B"/>
    <w:rsid w:val="36FA437E"/>
    <w:rsid w:val="371A1D58"/>
    <w:rsid w:val="37260804"/>
    <w:rsid w:val="372B2789"/>
    <w:rsid w:val="373A6E70"/>
    <w:rsid w:val="374C0952"/>
    <w:rsid w:val="374D6BA3"/>
    <w:rsid w:val="37533A8E"/>
    <w:rsid w:val="37562722"/>
    <w:rsid w:val="375D490D"/>
    <w:rsid w:val="37691503"/>
    <w:rsid w:val="378D51F2"/>
    <w:rsid w:val="378E0F6A"/>
    <w:rsid w:val="37977BBC"/>
    <w:rsid w:val="37CA01F4"/>
    <w:rsid w:val="37FE1C4C"/>
    <w:rsid w:val="380A6843"/>
    <w:rsid w:val="381B27FE"/>
    <w:rsid w:val="3824052A"/>
    <w:rsid w:val="38242BA0"/>
    <w:rsid w:val="3833774F"/>
    <w:rsid w:val="3837515E"/>
    <w:rsid w:val="383C2D6D"/>
    <w:rsid w:val="38422875"/>
    <w:rsid w:val="384A2C9C"/>
    <w:rsid w:val="384A6C3F"/>
    <w:rsid w:val="38575800"/>
    <w:rsid w:val="387737AC"/>
    <w:rsid w:val="387D5266"/>
    <w:rsid w:val="388A168B"/>
    <w:rsid w:val="388C4B29"/>
    <w:rsid w:val="389B56ED"/>
    <w:rsid w:val="389B749B"/>
    <w:rsid w:val="38AC5B4C"/>
    <w:rsid w:val="38D64977"/>
    <w:rsid w:val="38E8140D"/>
    <w:rsid w:val="38EE1CC0"/>
    <w:rsid w:val="39114E7D"/>
    <w:rsid w:val="39290F4A"/>
    <w:rsid w:val="3935413A"/>
    <w:rsid w:val="393C6ED0"/>
    <w:rsid w:val="394538AA"/>
    <w:rsid w:val="394C2E8B"/>
    <w:rsid w:val="39535398"/>
    <w:rsid w:val="3958538C"/>
    <w:rsid w:val="396471C4"/>
    <w:rsid w:val="396E2E01"/>
    <w:rsid w:val="39752B6A"/>
    <w:rsid w:val="39777F08"/>
    <w:rsid w:val="397C3770"/>
    <w:rsid w:val="39921B3C"/>
    <w:rsid w:val="39934616"/>
    <w:rsid w:val="3995038E"/>
    <w:rsid w:val="399D5D37"/>
    <w:rsid w:val="399D7487"/>
    <w:rsid w:val="39A41A86"/>
    <w:rsid w:val="39B747A8"/>
    <w:rsid w:val="39BF540B"/>
    <w:rsid w:val="39C80763"/>
    <w:rsid w:val="39DC5FBD"/>
    <w:rsid w:val="39E6600D"/>
    <w:rsid w:val="39ED01CA"/>
    <w:rsid w:val="39F71049"/>
    <w:rsid w:val="39FC040D"/>
    <w:rsid w:val="3A0379ED"/>
    <w:rsid w:val="3A117C25"/>
    <w:rsid w:val="3A160918"/>
    <w:rsid w:val="3A1C3049"/>
    <w:rsid w:val="3A276A09"/>
    <w:rsid w:val="3A3F1347"/>
    <w:rsid w:val="3A4E4336"/>
    <w:rsid w:val="3A500759"/>
    <w:rsid w:val="3A540F2B"/>
    <w:rsid w:val="3A5E7E31"/>
    <w:rsid w:val="3A7E04AD"/>
    <w:rsid w:val="3A7E52C6"/>
    <w:rsid w:val="3A8C79E3"/>
    <w:rsid w:val="3A995C5C"/>
    <w:rsid w:val="3A9E7716"/>
    <w:rsid w:val="3AA20FB4"/>
    <w:rsid w:val="3AB17449"/>
    <w:rsid w:val="3ACA22B9"/>
    <w:rsid w:val="3AD31DCF"/>
    <w:rsid w:val="3AD82C28"/>
    <w:rsid w:val="3AE55345"/>
    <w:rsid w:val="3AEE568A"/>
    <w:rsid w:val="3B0B6E7C"/>
    <w:rsid w:val="3B1E3EC9"/>
    <w:rsid w:val="3B2319C9"/>
    <w:rsid w:val="3B2C0DDB"/>
    <w:rsid w:val="3B5E2A01"/>
    <w:rsid w:val="3B5F50F7"/>
    <w:rsid w:val="3B7A0B95"/>
    <w:rsid w:val="3B81580C"/>
    <w:rsid w:val="3B8F6E11"/>
    <w:rsid w:val="3B950B19"/>
    <w:rsid w:val="3BA0301A"/>
    <w:rsid w:val="3BA96372"/>
    <w:rsid w:val="3BBB7E54"/>
    <w:rsid w:val="3BCB453B"/>
    <w:rsid w:val="3BCC2061"/>
    <w:rsid w:val="3BCE402B"/>
    <w:rsid w:val="3BD038FF"/>
    <w:rsid w:val="3BD57167"/>
    <w:rsid w:val="3BD80A06"/>
    <w:rsid w:val="3BDB47EE"/>
    <w:rsid w:val="3BE70C49"/>
    <w:rsid w:val="3BE800D3"/>
    <w:rsid w:val="3BFF1FE6"/>
    <w:rsid w:val="3BFF33E6"/>
    <w:rsid w:val="3C027F6F"/>
    <w:rsid w:val="3C033CD5"/>
    <w:rsid w:val="3C08753D"/>
    <w:rsid w:val="3C237ED3"/>
    <w:rsid w:val="3C243C71"/>
    <w:rsid w:val="3C2D0D52"/>
    <w:rsid w:val="3C336DD6"/>
    <w:rsid w:val="3C38554A"/>
    <w:rsid w:val="3C5A58BF"/>
    <w:rsid w:val="3C681D8A"/>
    <w:rsid w:val="3C6A5B02"/>
    <w:rsid w:val="3C700C3E"/>
    <w:rsid w:val="3C81109D"/>
    <w:rsid w:val="3C964B49"/>
    <w:rsid w:val="3CA32DC2"/>
    <w:rsid w:val="3CA52FDE"/>
    <w:rsid w:val="3CA56B3A"/>
    <w:rsid w:val="3CAD59EE"/>
    <w:rsid w:val="3CAF1767"/>
    <w:rsid w:val="3CBB635D"/>
    <w:rsid w:val="3CCA2A44"/>
    <w:rsid w:val="3CCB73C0"/>
    <w:rsid w:val="3CD411CD"/>
    <w:rsid w:val="3CDC4526"/>
    <w:rsid w:val="3CDC62D4"/>
    <w:rsid w:val="3CE23C30"/>
    <w:rsid w:val="3CE3066D"/>
    <w:rsid w:val="3CE8111C"/>
    <w:rsid w:val="3CF42D4A"/>
    <w:rsid w:val="3CF95789"/>
    <w:rsid w:val="3CFD00CF"/>
    <w:rsid w:val="3D0B1265"/>
    <w:rsid w:val="3D136199"/>
    <w:rsid w:val="3D2757A1"/>
    <w:rsid w:val="3D477BF1"/>
    <w:rsid w:val="3D595B76"/>
    <w:rsid w:val="3D5C4FEC"/>
    <w:rsid w:val="3D600CB3"/>
    <w:rsid w:val="3D627E02"/>
    <w:rsid w:val="3D65276D"/>
    <w:rsid w:val="3D6764E5"/>
    <w:rsid w:val="3D766728"/>
    <w:rsid w:val="3D915310"/>
    <w:rsid w:val="3DA36453"/>
    <w:rsid w:val="3DAB4624"/>
    <w:rsid w:val="3DB86D41"/>
    <w:rsid w:val="3DC37B42"/>
    <w:rsid w:val="3DC477DE"/>
    <w:rsid w:val="3DD05E38"/>
    <w:rsid w:val="3DD11BB1"/>
    <w:rsid w:val="3DD513A3"/>
    <w:rsid w:val="3DE32D35"/>
    <w:rsid w:val="3DFA1107"/>
    <w:rsid w:val="3E0755D2"/>
    <w:rsid w:val="3E151A9D"/>
    <w:rsid w:val="3E1B6952"/>
    <w:rsid w:val="3E23065E"/>
    <w:rsid w:val="3E345D1D"/>
    <w:rsid w:val="3E4A49E8"/>
    <w:rsid w:val="3E514029"/>
    <w:rsid w:val="3E574B9A"/>
    <w:rsid w:val="3E5C0AF7"/>
    <w:rsid w:val="3E623F01"/>
    <w:rsid w:val="3E6B790F"/>
    <w:rsid w:val="3E6C634A"/>
    <w:rsid w:val="3EB069C3"/>
    <w:rsid w:val="3EB65311"/>
    <w:rsid w:val="3EC27265"/>
    <w:rsid w:val="3EC62D97"/>
    <w:rsid w:val="3ED43706"/>
    <w:rsid w:val="3EE020AB"/>
    <w:rsid w:val="3EEA117C"/>
    <w:rsid w:val="3EEF0540"/>
    <w:rsid w:val="3EF1346A"/>
    <w:rsid w:val="3EF21DDE"/>
    <w:rsid w:val="3F042D6B"/>
    <w:rsid w:val="3F0B352A"/>
    <w:rsid w:val="3F1C6E5B"/>
    <w:rsid w:val="3F3B5533"/>
    <w:rsid w:val="3F3D5750"/>
    <w:rsid w:val="3F4168C2"/>
    <w:rsid w:val="3F43088C"/>
    <w:rsid w:val="3F4343E8"/>
    <w:rsid w:val="3F6B3D19"/>
    <w:rsid w:val="3F8F762D"/>
    <w:rsid w:val="3F91126E"/>
    <w:rsid w:val="3F952E18"/>
    <w:rsid w:val="3F9F2443"/>
    <w:rsid w:val="3FAA4467"/>
    <w:rsid w:val="3FC22084"/>
    <w:rsid w:val="3FD6525C"/>
    <w:rsid w:val="3FDA7AD5"/>
    <w:rsid w:val="3FDB620C"/>
    <w:rsid w:val="3FE36170"/>
    <w:rsid w:val="3FEA3806"/>
    <w:rsid w:val="3FF94BFC"/>
    <w:rsid w:val="40000EB7"/>
    <w:rsid w:val="400125CD"/>
    <w:rsid w:val="40093884"/>
    <w:rsid w:val="40094992"/>
    <w:rsid w:val="40153856"/>
    <w:rsid w:val="401A783F"/>
    <w:rsid w:val="40217FC5"/>
    <w:rsid w:val="40224945"/>
    <w:rsid w:val="40297A82"/>
    <w:rsid w:val="40442B0E"/>
    <w:rsid w:val="405F16F6"/>
    <w:rsid w:val="406C796F"/>
    <w:rsid w:val="406E36E7"/>
    <w:rsid w:val="40703903"/>
    <w:rsid w:val="408E3D89"/>
    <w:rsid w:val="40A4667F"/>
    <w:rsid w:val="40AB0497"/>
    <w:rsid w:val="40AB493B"/>
    <w:rsid w:val="40CF0629"/>
    <w:rsid w:val="40D07EFD"/>
    <w:rsid w:val="40D22921"/>
    <w:rsid w:val="40E679D2"/>
    <w:rsid w:val="40F3190F"/>
    <w:rsid w:val="40F95D14"/>
    <w:rsid w:val="40FE34AB"/>
    <w:rsid w:val="41153C2F"/>
    <w:rsid w:val="411A4C6D"/>
    <w:rsid w:val="4123610F"/>
    <w:rsid w:val="41251484"/>
    <w:rsid w:val="413019F7"/>
    <w:rsid w:val="41326E0A"/>
    <w:rsid w:val="41371888"/>
    <w:rsid w:val="41597EF3"/>
    <w:rsid w:val="416D1BF0"/>
    <w:rsid w:val="41782A6F"/>
    <w:rsid w:val="41B16F4C"/>
    <w:rsid w:val="41B45A71"/>
    <w:rsid w:val="41B8730F"/>
    <w:rsid w:val="41B976E4"/>
    <w:rsid w:val="41C061C4"/>
    <w:rsid w:val="41C23CEA"/>
    <w:rsid w:val="41D30636"/>
    <w:rsid w:val="41E2613A"/>
    <w:rsid w:val="42174BFC"/>
    <w:rsid w:val="42197963"/>
    <w:rsid w:val="422A4209"/>
    <w:rsid w:val="422E137F"/>
    <w:rsid w:val="42310E70"/>
    <w:rsid w:val="424566C9"/>
    <w:rsid w:val="42462B6D"/>
    <w:rsid w:val="425132C0"/>
    <w:rsid w:val="42537038"/>
    <w:rsid w:val="42545136"/>
    <w:rsid w:val="425D3A13"/>
    <w:rsid w:val="42725710"/>
    <w:rsid w:val="428C0B42"/>
    <w:rsid w:val="429107C7"/>
    <w:rsid w:val="4294732D"/>
    <w:rsid w:val="429F227D"/>
    <w:rsid w:val="42CE4578"/>
    <w:rsid w:val="42DA3976"/>
    <w:rsid w:val="42EB0F8C"/>
    <w:rsid w:val="42F36125"/>
    <w:rsid w:val="42F500EF"/>
    <w:rsid w:val="42F9198D"/>
    <w:rsid w:val="43014CE6"/>
    <w:rsid w:val="4303280C"/>
    <w:rsid w:val="43044884"/>
    <w:rsid w:val="430622FC"/>
    <w:rsid w:val="43077F4B"/>
    <w:rsid w:val="430D368B"/>
    <w:rsid w:val="43370708"/>
    <w:rsid w:val="433E3844"/>
    <w:rsid w:val="436112E1"/>
    <w:rsid w:val="4361678F"/>
    <w:rsid w:val="436C5358"/>
    <w:rsid w:val="43707776"/>
    <w:rsid w:val="43713C1A"/>
    <w:rsid w:val="43721A65"/>
    <w:rsid w:val="4373683C"/>
    <w:rsid w:val="4383394D"/>
    <w:rsid w:val="438356FB"/>
    <w:rsid w:val="438A4CDB"/>
    <w:rsid w:val="438C5C19"/>
    <w:rsid w:val="438F22F2"/>
    <w:rsid w:val="43A22025"/>
    <w:rsid w:val="43A51B15"/>
    <w:rsid w:val="43A53730"/>
    <w:rsid w:val="43AC2EA4"/>
    <w:rsid w:val="43AD539D"/>
    <w:rsid w:val="43B70C1D"/>
    <w:rsid w:val="43BD6E5F"/>
    <w:rsid w:val="43C53F65"/>
    <w:rsid w:val="43C62D7F"/>
    <w:rsid w:val="43C875B2"/>
    <w:rsid w:val="43CC52F4"/>
    <w:rsid w:val="43D83C99"/>
    <w:rsid w:val="43DB47A0"/>
    <w:rsid w:val="43E3619A"/>
    <w:rsid w:val="441822E7"/>
    <w:rsid w:val="442C4F36"/>
    <w:rsid w:val="44432009"/>
    <w:rsid w:val="444F63D4"/>
    <w:rsid w:val="44615A3C"/>
    <w:rsid w:val="447A08AC"/>
    <w:rsid w:val="447D039C"/>
    <w:rsid w:val="447F2366"/>
    <w:rsid w:val="4493196E"/>
    <w:rsid w:val="44935E12"/>
    <w:rsid w:val="44A6598D"/>
    <w:rsid w:val="44A91191"/>
    <w:rsid w:val="44AB4F09"/>
    <w:rsid w:val="44AC0150"/>
    <w:rsid w:val="44AC2D8E"/>
    <w:rsid w:val="44B32C61"/>
    <w:rsid w:val="44BD7F5B"/>
    <w:rsid w:val="44D34876"/>
    <w:rsid w:val="44DE52DF"/>
    <w:rsid w:val="44E87F0C"/>
    <w:rsid w:val="44ED72D0"/>
    <w:rsid w:val="45010FCD"/>
    <w:rsid w:val="450E6E58"/>
    <w:rsid w:val="45182E8B"/>
    <w:rsid w:val="453018B3"/>
    <w:rsid w:val="45390406"/>
    <w:rsid w:val="45392515"/>
    <w:rsid w:val="454315E6"/>
    <w:rsid w:val="454A4722"/>
    <w:rsid w:val="4550160D"/>
    <w:rsid w:val="455038FC"/>
    <w:rsid w:val="45617CBE"/>
    <w:rsid w:val="456B6447"/>
    <w:rsid w:val="45765517"/>
    <w:rsid w:val="458446C0"/>
    <w:rsid w:val="45A2455E"/>
    <w:rsid w:val="45AD4CB1"/>
    <w:rsid w:val="45C02C36"/>
    <w:rsid w:val="45C46C54"/>
    <w:rsid w:val="45CD1B48"/>
    <w:rsid w:val="45DE6011"/>
    <w:rsid w:val="45E85CE9"/>
    <w:rsid w:val="45ED50AE"/>
    <w:rsid w:val="45EE1F1D"/>
    <w:rsid w:val="45F34DBA"/>
    <w:rsid w:val="46040D37"/>
    <w:rsid w:val="460743C1"/>
    <w:rsid w:val="461D4BCB"/>
    <w:rsid w:val="462E6942"/>
    <w:rsid w:val="4642189D"/>
    <w:rsid w:val="464D4CE7"/>
    <w:rsid w:val="46595CDC"/>
    <w:rsid w:val="465A0995"/>
    <w:rsid w:val="465F41FD"/>
    <w:rsid w:val="466510E8"/>
    <w:rsid w:val="46674E60"/>
    <w:rsid w:val="466960D4"/>
    <w:rsid w:val="466F1F67"/>
    <w:rsid w:val="467375E0"/>
    <w:rsid w:val="467D4684"/>
    <w:rsid w:val="467F21AA"/>
    <w:rsid w:val="46804174"/>
    <w:rsid w:val="468248A6"/>
    <w:rsid w:val="46A211E8"/>
    <w:rsid w:val="46A41C10"/>
    <w:rsid w:val="46AC6D17"/>
    <w:rsid w:val="46B207D1"/>
    <w:rsid w:val="46B27509"/>
    <w:rsid w:val="46B67B95"/>
    <w:rsid w:val="46BD2CD2"/>
    <w:rsid w:val="46D417B0"/>
    <w:rsid w:val="46D87B0C"/>
    <w:rsid w:val="46DA7D28"/>
    <w:rsid w:val="46DC584E"/>
    <w:rsid w:val="46DE3369"/>
    <w:rsid w:val="46F030A7"/>
    <w:rsid w:val="46F801AE"/>
    <w:rsid w:val="46FA5CD4"/>
    <w:rsid w:val="46FA73EB"/>
    <w:rsid w:val="470B1C8F"/>
    <w:rsid w:val="470D5A07"/>
    <w:rsid w:val="471054F8"/>
    <w:rsid w:val="472650D5"/>
    <w:rsid w:val="47354F5E"/>
    <w:rsid w:val="47555600"/>
    <w:rsid w:val="475E7875"/>
    <w:rsid w:val="47615D53"/>
    <w:rsid w:val="476870E2"/>
    <w:rsid w:val="47692345"/>
    <w:rsid w:val="476B0980"/>
    <w:rsid w:val="476B7AA9"/>
    <w:rsid w:val="476F4F18"/>
    <w:rsid w:val="4787079B"/>
    <w:rsid w:val="47A3011A"/>
    <w:rsid w:val="47A34ACE"/>
    <w:rsid w:val="47BB36B5"/>
    <w:rsid w:val="47CA56A6"/>
    <w:rsid w:val="47DD7AD0"/>
    <w:rsid w:val="47E932BB"/>
    <w:rsid w:val="47EE45F5"/>
    <w:rsid w:val="47F84572"/>
    <w:rsid w:val="47F95F8C"/>
    <w:rsid w:val="480212E4"/>
    <w:rsid w:val="48036E0A"/>
    <w:rsid w:val="480908C5"/>
    <w:rsid w:val="480F3A01"/>
    <w:rsid w:val="48362D3C"/>
    <w:rsid w:val="48384D06"/>
    <w:rsid w:val="484B195E"/>
    <w:rsid w:val="484B6BDE"/>
    <w:rsid w:val="4853189A"/>
    <w:rsid w:val="486024AF"/>
    <w:rsid w:val="48643D4D"/>
    <w:rsid w:val="487054F1"/>
    <w:rsid w:val="48717D9E"/>
    <w:rsid w:val="48735D3E"/>
    <w:rsid w:val="487970CD"/>
    <w:rsid w:val="48822425"/>
    <w:rsid w:val="488C32A4"/>
    <w:rsid w:val="489E39BE"/>
    <w:rsid w:val="48A24875"/>
    <w:rsid w:val="48A3448F"/>
    <w:rsid w:val="48A51C70"/>
    <w:rsid w:val="48AF2AEE"/>
    <w:rsid w:val="48C22822"/>
    <w:rsid w:val="48C26CC5"/>
    <w:rsid w:val="48C742DC"/>
    <w:rsid w:val="48D34A2F"/>
    <w:rsid w:val="48EE1869"/>
    <w:rsid w:val="48FC3F85"/>
    <w:rsid w:val="49096952"/>
    <w:rsid w:val="490E1F0B"/>
    <w:rsid w:val="49153299"/>
    <w:rsid w:val="4933371F"/>
    <w:rsid w:val="49396F88"/>
    <w:rsid w:val="49456FE6"/>
    <w:rsid w:val="4949644B"/>
    <w:rsid w:val="494C550B"/>
    <w:rsid w:val="49537D5A"/>
    <w:rsid w:val="49596BEB"/>
    <w:rsid w:val="495A0CAC"/>
    <w:rsid w:val="496164DE"/>
    <w:rsid w:val="49675177"/>
    <w:rsid w:val="49787384"/>
    <w:rsid w:val="49962188"/>
    <w:rsid w:val="49AF724A"/>
    <w:rsid w:val="49B06B1E"/>
    <w:rsid w:val="49DA50C7"/>
    <w:rsid w:val="49E07403"/>
    <w:rsid w:val="49E1318C"/>
    <w:rsid w:val="49E57569"/>
    <w:rsid w:val="49FA46A4"/>
    <w:rsid w:val="4A01321D"/>
    <w:rsid w:val="4A227A1C"/>
    <w:rsid w:val="4A25750C"/>
    <w:rsid w:val="4A2D75FD"/>
    <w:rsid w:val="4A314F18"/>
    <w:rsid w:val="4A35074C"/>
    <w:rsid w:val="4A365275"/>
    <w:rsid w:val="4A3B288C"/>
    <w:rsid w:val="4A506A7B"/>
    <w:rsid w:val="4A5751EC"/>
    <w:rsid w:val="4A5C4BFA"/>
    <w:rsid w:val="4A62250E"/>
    <w:rsid w:val="4A783AE0"/>
    <w:rsid w:val="4A895CED"/>
    <w:rsid w:val="4AAE7501"/>
    <w:rsid w:val="4AB64608"/>
    <w:rsid w:val="4ABB1C1E"/>
    <w:rsid w:val="4AC5484B"/>
    <w:rsid w:val="4AC977B2"/>
    <w:rsid w:val="4AD54A8E"/>
    <w:rsid w:val="4AD8632C"/>
    <w:rsid w:val="4AE0679B"/>
    <w:rsid w:val="4AED7288"/>
    <w:rsid w:val="4AF14026"/>
    <w:rsid w:val="4AF40C8C"/>
    <w:rsid w:val="4AF965F4"/>
    <w:rsid w:val="4B0640B6"/>
    <w:rsid w:val="4B1A06F3"/>
    <w:rsid w:val="4B2257F9"/>
    <w:rsid w:val="4B296B88"/>
    <w:rsid w:val="4B306168"/>
    <w:rsid w:val="4B3453BF"/>
    <w:rsid w:val="4B3B0B60"/>
    <w:rsid w:val="4B576CEC"/>
    <w:rsid w:val="4B642D5E"/>
    <w:rsid w:val="4B694C3F"/>
    <w:rsid w:val="4B773D97"/>
    <w:rsid w:val="4B7823E4"/>
    <w:rsid w:val="4B797B0F"/>
    <w:rsid w:val="4B7E5126"/>
    <w:rsid w:val="4B895879"/>
    <w:rsid w:val="4B9366F7"/>
    <w:rsid w:val="4B991F60"/>
    <w:rsid w:val="4BA803F5"/>
    <w:rsid w:val="4BAB3F4F"/>
    <w:rsid w:val="4BAC1502"/>
    <w:rsid w:val="4BAF1783"/>
    <w:rsid w:val="4BB11B3A"/>
    <w:rsid w:val="4BB26B7D"/>
    <w:rsid w:val="4BBA5AD8"/>
    <w:rsid w:val="4BCE3924"/>
    <w:rsid w:val="4BD60F44"/>
    <w:rsid w:val="4BED4059"/>
    <w:rsid w:val="4BF4363A"/>
    <w:rsid w:val="4BFF30BE"/>
    <w:rsid w:val="4C0373D9"/>
    <w:rsid w:val="4C037E0C"/>
    <w:rsid w:val="4C070DF6"/>
    <w:rsid w:val="4C082C41"/>
    <w:rsid w:val="4C093134"/>
    <w:rsid w:val="4C1121C4"/>
    <w:rsid w:val="4C213D03"/>
    <w:rsid w:val="4C261319"/>
    <w:rsid w:val="4C2757BD"/>
    <w:rsid w:val="4C2C4B82"/>
    <w:rsid w:val="4C3752D5"/>
    <w:rsid w:val="4C4A14AC"/>
    <w:rsid w:val="4C5639AD"/>
    <w:rsid w:val="4C5D1748"/>
    <w:rsid w:val="4C6B3C12"/>
    <w:rsid w:val="4C753097"/>
    <w:rsid w:val="4C8D3147"/>
    <w:rsid w:val="4C9444D5"/>
    <w:rsid w:val="4C96649F"/>
    <w:rsid w:val="4C9D15DC"/>
    <w:rsid w:val="4CB66B41"/>
    <w:rsid w:val="4CBB7CB4"/>
    <w:rsid w:val="4CC0351C"/>
    <w:rsid w:val="4CC90623"/>
    <w:rsid w:val="4CCC3C6F"/>
    <w:rsid w:val="4CE146D1"/>
    <w:rsid w:val="4D0005C3"/>
    <w:rsid w:val="4D070E2A"/>
    <w:rsid w:val="4D1A2C2C"/>
    <w:rsid w:val="4D1B0A8D"/>
    <w:rsid w:val="4D20220D"/>
    <w:rsid w:val="4D534390"/>
    <w:rsid w:val="4D5719B3"/>
    <w:rsid w:val="4D572122"/>
    <w:rsid w:val="4D5E08FC"/>
    <w:rsid w:val="4D602609"/>
    <w:rsid w:val="4D6245D3"/>
    <w:rsid w:val="4D76301F"/>
    <w:rsid w:val="4D7F68B2"/>
    <w:rsid w:val="4D803A30"/>
    <w:rsid w:val="4D8A5DD3"/>
    <w:rsid w:val="4D9329DF"/>
    <w:rsid w:val="4DA44BEC"/>
    <w:rsid w:val="4DAA6110"/>
    <w:rsid w:val="4DAC584E"/>
    <w:rsid w:val="4DBD2832"/>
    <w:rsid w:val="4DC306E5"/>
    <w:rsid w:val="4DC60558"/>
    <w:rsid w:val="4DCB03CA"/>
    <w:rsid w:val="4DCD7C9F"/>
    <w:rsid w:val="4DD1256D"/>
    <w:rsid w:val="4DDE1EAC"/>
    <w:rsid w:val="4DE84AD8"/>
    <w:rsid w:val="4E143B1F"/>
    <w:rsid w:val="4E3008AC"/>
    <w:rsid w:val="4E323FA5"/>
    <w:rsid w:val="4E437F61"/>
    <w:rsid w:val="4E4E286F"/>
    <w:rsid w:val="4E5E123E"/>
    <w:rsid w:val="4E5E2FEC"/>
    <w:rsid w:val="4E712D20"/>
    <w:rsid w:val="4E740A62"/>
    <w:rsid w:val="4E7E046D"/>
    <w:rsid w:val="4E8E1784"/>
    <w:rsid w:val="4E9E5901"/>
    <w:rsid w:val="4EB26E94"/>
    <w:rsid w:val="4EB923B7"/>
    <w:rsid w:val="4EC06B6F"/>
    <w:rsid w:val="4EC106FD"/>
    <w:rsid w:val="4ED17C62"/>
    <w:rsid w:val="4ED65279"/>
    <w:rsid w:val="4EDD03B5"/>
    <w:rsid w:val="4EDE5EDB"/>
    <w:rsid w:val="4EE03A01"/>
    <w:rsid w:val="4EE07EA5"/>
    <w:rsid w:val="4EEA4880"/>
    <w:rsid w:val="4EF43951"/>
    <w:rsid w:val="4EF860EF"/>
    <w:rsid w:val="4F135B85"/>
    <w:rsid w:val="4F24484D"/>
    <w:rsid w:val="4F276AF0"/>
    <w:rsid w:val="4F29184C"/>
    <w:rsid w:val="4F2953A8"/>
    <w:rsid w:val="4F2D5851"/>
    <w:rsid w:val="4F4977F9"/>
    <w:rsid w:val="4F4A0D86"/>
    <w:rsid w:val="4F657B50"/>
    <w:rsid w:val="4F7F76BE"/>
    <w:rsid w:val="4F8100E7"/>
    <w:rsid w:val="4FB56C3C"/>
    <w:rsid w:val="4FBA4253"/>
    <w:rsid w:val="4FD27620"/>
    <w:rsid w:val="4FD95020"/>
    <w:rsid w:val="4FDE6809"/>
    <w:rsid w:val="50016554"/>
    <w:rsid w:val="50041972"/>
    <w:rsid w:val="50154B32"/>
    <w:rsid w:val="50267B3A"/>
    <w:rsid w:val="502F4878"/>
    <w:rsid w:val="50447FC0"/>
    <w:rsid w:val="504C33D6"/>
    <w:rsid w:val="504F6567"/>
    <w:rsid w:val="505E4B9C"/>
    <w:rsid w:val="5060304C"/>
    <w:rsid w:val="506348EA"/>
    <w:rsid w:val="5066262C"/>
    <w:rsid w:val="506F4906"/>
    <w:rsid w:val="50827466"/>
    <w:rsid w:val="50837A90"/>
    <w:rsid w:val="508605D9"/>
    <w:rsid w:val="50A54F03"/>
    <w:rsid w:val="50AC44E3"/>
    <w:rsid w:val="50B500CA"/>
    <w:rsid w:val="50C01D3C"/>
    <w:rsid w:val="50C8299F"/>
    <w:rsid w:val="50CC6933"/>
    <w:rsid w:val="50DF1314"/>
    <w:rsid w:val="50E0418D"/>
    <w:rsid w:val="50EC53CB"/>
    <w:rsid w:val="50ED0658"/>
    <w:rsid w:val="50ED7893"/>
    <w:rsid w:val="51051E45"/>
    <w:rsid w:val="51273B6A"/>
    <w:rsid w:val="5137165B"/>
    <w:rsid w:val="513F0ACD"/>
    <w:rsid w:val="5147420C"/>
    <w:rsid w:val="51491D32"/>
    <w:rsid w:val="51516E38"/>
    <w:rsid w:val="51586419"/>
    <w:rsid w:val="515D3A2F"/>
    <w:rsid w:val="51622DF4"/>
    <w:rsid w:val="51752B27"/>
    <w:rsid w:val="51805A47"/>
    <w:rsid w:val="51864D34"/>
    <w:rsid w:val="51976F41"/>
    <w:rsid w:val="5198244D"/>
    <w:rsid w:val="51A4340C"/>
    <w:rsid w:val="51AC406F"/>
    <w:rsid w:val="51C15D6C"/>
    <w:rsid w:val="51C36258"/>
    <w:rsid w:val="51D0506A"/>
    <w:rsid w:val="51D6733E"/>
    <w:rsid w:val="51DE2265"/>
    <w:rsid w:val="51E2758D"/>
    <w:rsid w:val="52151C14"/>
    <w:rsid w:val="522B06B1"/>
    <w:rsid w:val="522B768A"/>
    <w:rsid w:val="52320A18"/>
    <w:rsid w:val="52326C6A"/>
    <w:rsid w:val="52383B54"/>
    <w:rsid w:val="524E5B26"/>
    <w:rsid w:val="52524C16"/>
    <w:rsid w:val="526130AB"/>
    <w:rsid w:val="528806F1"/>
    <w:rsid w:val="528C1C29"/>
    <w:rsid w:val="52940359"/>
    <w:rsid w:val="52B14033"/>
    <w:rsid w:val="52C94B0D"/>
    <w:rsid w:val="52CF2E82"/>
    <w:rsid w:val="52D63A99"/>
    <w:rsid w:val="52D7336D"/>
    <w:rsid w:val="52D93B7C"/>
    <w:rsid w:val="52F04CE0"/>
    <w:rsid w:val="530103EA"/>
    <w:rsid w:val="53035F10"/>
    <w:rsid w:val="530D6D8F"/>
    <w:rsid w:val="531719BC"/>
    <w:rsid w:val="53195734"/>
    <w:rsid w:val="531D00F7"/>
    <w:rsid w:val="53364538"/>
    <w:rsid w:val="53487DC7"/>
    <w:rsid w:val="534B0154"/>
    <w:rsid w:val="534B4945"/>
    <w:rsid w:val="53592C74"/>
    <w:rsid w:val="536643CE"/>
    <w:rsid w:val="536A2433"/>
    <w:rsid w:val="537312E8"/>
    <w:rsid w:val="538A6632"/>
    <w:rsid w:val="53975234"/>
    <w:rsid w:val="53A21BCD"/>
    <w:rsid w:val="53B536AF"/>
    <w:rsid w:val="53B67427"/>
    <w:rsid w:val="53BD6A07"/>
    <w:rsid w:val="53BF0089"/>
    <w:rsid w:val="53C03E02"/>
    <w:rsid w:val="53C41B44"/>
    <w:rsid w:val="53C438F2"/>
    <w:rsid w:val="53C733E2"/>
    <w:rsid w:val="53CD7174"/>
    <w:rsid w:val="53D37FD9"/>
    <w:rsid w:val="53DA720B"/>
    <w:rsid w:val="53E915AA"/>
    <w:rsid w:val="53F1045F"/>
    <w:rsid w:val="53F73CC7"/>
    <w:rsid w:val="54181E8F"/>
    <w:rsid w:val="541C39D0"/>
    <w:rsid w:val="5429409D"/>
    <w:rsid w:val="54310657"/>
    <w:rsid w:val="543C16DA"/>
    <w:rsid w:val="544669FD"/>
    <w:rsid w:val="54510997"/>
    <w:rsid w:val="54580572"/>
    <w:rsid w:val="545C3B2A"/>
    <w:rsid w:val="54681D0A"/>
    <w:rsid w:val="546B242A"/>
    <w:rsid w:val="54890E82"/>
    <w:rsid w:val="549239F0"/>
    <w:rsid w:val="549561E9"/>
    <w:rsid w:val="54993E85"/>
    <w:rsid w:val="54AB5A3B"/>
    <w:rsid w:val="54B41BB8"/>
    <w:rsid w:val="54B75204"/>
    <w:rsid w:val="54B857F1"/>
    <w:rsid w:val="54C47531"/>
    <w:rsid w:val="54C6369A"/>
    <w:rsid w:val="54D51B2F"/>
    <w:rsid w:val="54D52855"/>
    <w:rsid w:val="54D90BC5"/>
    <w:rsid w:val="54E104D3"/>
    <w:rsid w:val="54E57FC4"/>
    <w:rsid w:val="54ED0C26"/>
    <w:rsid w:val="54EF499E"/>
    <w:rsid w:val="54F46459"/>
    <w:rsid w:val="54F93A6F"/>
    <w:rsid w:val="54FC70BB"/>
    <w:rsid w:val="550611E8"/>
    <w:rsid w:val="550B1DA6"/>
    <w:rsid w:val="550E7F74"/>
    <w:rsid w:val="55115E60"/>
    <w:rsid w:val="551A3E74"/>
    <w:rsid w:val="55264138"/>
    <w:rsid w:val="5529453F"/>
    <w:rsid w:val="55330203"/>
    <w:rsid w:val="554068C8"/>
    <w:rsid w:val="55482300"/>
    <w:rsid w:val="554A676E"/>
    <w:rsid w:val="55546EF7"/>
    <w:rsid w:val="55794BB0"/>
    <w:rsid w:val="557D01FC"/>
    <w:rsid w:val="558A5663"/>
    <w:rsid w:val="55D345A6"/>
    <w:rsid w:val="55D83684"/>
    <w:rsid w:val="55E010B8"/>
    <w:rsid w:val="55EC35D4"/>
    <w:rsid w:val="55ED4C35"/>
    <w:rsid w:val="55EF09CE"/>
    <w:rsid w:val="55F14746"/>
    <w:rsid w:val="5604091D"/>
    <w:rsid w:val="560B2FBF"/>
    <w:rsid w:val="562B5EAA"/>
    <w:rsid w:val="564313E8"/>
    <w:rsid w:val="56513437"/>
    <w:rsid w:val="56535401"/>
    <w:rsid w:val="566118CC"/>
    <w:rsid w:val="56725887"/>
    <w:rsid w:val="56AB0D99"/>
    <w:rsid w:val="56B57E6A"/>
    <w:rsid w:val="56BC392E"/>
    <w:rsid w:val="56BF65F2"/>
    <w:rsid w:val="56CF0F2B"/>
    <w:rsid w:val="56D55E16"/>
    <w:rsid w:val="56DF14D7"/>
    <w:rsid w:val="56F3629C"/>
    <w:rsid w:val="57007337"/>
    <w:rsid w:val="57044CE4"/>
    <w:rsid w:val="57122BC6"/>
    <w:rsid w:val="57193F55"/>
    <w:rsid w:val="572052E3"/>
    <w:rsid w:val="57460AC2"/>
    <w:rsid w:val="5748483A"/>
    <w:rsid w:val="57560D05"/>
    <w:rsid w:val="577613A7"/>
    <w:rsid w:val="57783371"/>
    <w:rsid w:val="57792C45"/>
    <w:rsid w:val="57931F59"/>
    <w:rsid w:val="579730CB"/>
    <w:rsid w:val="57A33264"/>
    <w:rsid w:val="57A37CC2"/>
    <w:rsid w:val="57C40364"/>
    <w:rsid w:val="57CF2865"/>
    <w:rsid w:val="57DB7132"/>
    <w:rsid w:val="57FB365A"/>
    <w:rsid w:val="57FF139C"/>
    <w:rsid w:val="58044C05"/>
    <w:rsid w:val="58150846"/>
    <w:rsid w:val="5816759C"/>
    <w:rsid w:val="58311772"/>
    <w:rsid w:val="58313520"/>
    <w:rsid w:val="58382B00"/>
    <w:rsid w:val="583D1EC5"/>
    <w:rsid w:val="58550FBC"/>
    <w:rsid w:val="585A65D3"/>
    <w:rsid w:val="586E7B85"/>
    <w:rsid w:val="58825B29"/>
    <w:rsid w:val="58922210"/>
    <w:rsid w:val="589A2E73"/>
    <w:rsid w:val="58A253FD"/>
    <w:rsid w:val="58A9755A"/>
    <w:rsid w:val="58B53AFC"/>
    <w:rsid w:val="58C023D5"/>
    <w:rsid w:val="58C675C0"/>
    <w:rsid w:val="58E6255C"/>
    <w:rsid w:val="592856EA"/>
    <w:rsid w:val="59374B66"/>
    <w:rsid w:val="594352B9"/>
    <w:rsid w:val="59445C53"/>
    <w:rsid w:val="594B184B"/>
    <w:rsid w:val="594D6137"/>
    <w:rsid w:val="5951306C"/>
    <w:rsid w:val="595B6AA6"/>
    <w:rsid w:val="595E7A20"/>
    <w:rsid w:val="596040BD"/>
    <w:rsid w:val="596A24EB"/>
    <w:rsid w:val="5971586D"/>
    <w:rsid w:val="59722042"/>
    <w:rsid w:val="59725B9E"/>
    <w:rsid w:val="597436C4"/>
    <w:rsid w:val="59796F2C"/>
    <w:rsid w:val="597D48DC"/>
    <w:rsid w:val="599975CF"/>
    <w:rsid w:val="59A71CEC"/>
    <w:rsid w:val="59BF8F1A"/>
    <w:rsid w:val="59C26B25"/>
    <w:rsid w:val="59C53F20"/>
    <w:rsid w:val="59C74B1F"/>
    <w:rsid w:val="59E940B2"/>
    <w:rsid w:val="59EA1BD8"/>
    <w:rsid w:val="5A02517B"/>
    <w:rsid w:val="5A0F49C5"/>
    <w:rsid w:val="5A0F7891"/>
    <w:rsid w:val="5A1720C1"/>
    <w:rsid w:val="5A2275C4"/>
    <w:rsid w:val="5A3D43FE"/>
    <w:rsid w:val="5A4237C2"/>
    <w:rsid w:val="5A4C63EF"/>
    <w:rsid w:val="5A4E2167"/>
    <w:rsid w:val="5A500226"/>
    <w:rsid w:val="5A544481"/>
    <w:rsid w:val="5A5B4884"/>
    <w:rsid w:val="5A690D4F"/>
    <w:rsid w:val="5A696FA1"/>
    <w:rsid w:val="5A7B17C7"/>
    <w:rsid w:val="5A7F6F9F"/>
    <w:rsid w:val="5A8E5594"/>
    <w:rsid w:val="5A963B0E"/>
    <w:rsid w:val="5ACF66A1"/>
    <w:rsid w:val="5AD703AE"/>
    <w:rsid w:val="5AE40D1D"/>
    <w:rsid w:val="5AF01470"/>
    <w:rsid w:val="5AF14420"/>
    <w:rsid w:val="5AF4295F"/>
    <w:rsid w:val="5AFA22EF"/>
    <w:rsid w:val="5AFE1C82"/>
    <w:rsid w:val="5B561E76"/>
    <w:rsid w:val="5B590DC3"/>
    <w:rsid w:val="5B5F03A4"/>
    <w:rsid w:val="5B61236E"/>
    <w:rsid w:val="5B7025B1"/>
    <w:rsid w:val="5B726329"/>
    <w:rsid w:val="5B745BFD"/>
    <w:rsid w:val="5B9938B6"/>
    <w:rsid w:val="5B9B13DC"/>
    <w:rsid w:val="5BA069F2"/>
    <w:rsid w:val="5BB26726"/>
    <w:rsid w:val="5BB31A7F"/>
    <w:rsid w:val="5BC54988"/>
    <w:rsid w:val="5BD40D92"/>
    <w:rsid w:val="5BDC05EC"/>
    <w:rsid w:val="5BE07737"/>
    <w:rsid w:val="5BE64AC5"/>
    <w:rsid w:val="5BFC7A7E"/>
    <w:rsid w:val="5C076A71"/>
    <w:rsid w:val="5C0A47B4"/>
    <w:rsid w:val="5C0F1DCA"/>
    <w:rsid w:val="5C27560A"/>
    <w:rsid w:val="5C2869E8"/>
    <w:rsid w:val="5C321636"/>
    <w:rsid w:val="5C3929A3"/>
    <w:rsid w:val="5C480E38"/>
    <w:rsid w:val="5C4A4BB0"/>
    <w:rsid w:val="5C567919"/>
    <w:rsid w:val="5C757E7F"/>
    <w:rsid w:val="5C7A0D57"/>
    <w:rsid w:val="5C9D6B61"/>
    <w:rsid w:val="5CAE15E3"/>
    <w:rsid w:val="5CBD0CC6"/>
    <w:rsid w:val="5CC22F6F"/>
    <w:rsid w:val="5CC61230"/>
    <w:rsid w:val="5CE2303B"/>
    <w:rsid w:val="5CE62B2B"/>
    <w:rsid w:val="5CE93A54"/>
    <w:rsid w:val="5D096819"/>
    <w:rsid w:val="5D1A0A26"/>
    <w:rsid w:val="5D20065F"/>
    <w:rsid w:val="5D270B8C"/>
    <w:rsid w:val="5D30024A"/>
    <w:rsid w:val="5D342320"/>
    <w:rsid w:val="5D3F223B"/>
    <w:rsid w:val="5D3F22FF"/>
    <w:rsid w:val="5D480399"/>
    <w:rsid w:val="5D4F0F9F"/>
    <w:rsid w:val="5D5D4AFA"/>
    <w:rsid w:val="5D6E42D7"/>
    <w:rsid w:val="5D9C7014"/>
    <w:rsid w:val="5DA05CCA"/>
    <w:rsid w:val="5DA121FD"/>
    <w:rsid w:val="5DAD3649"/>
    <w:rsid w:val="5DAD55EA"/>
    <w:rsid w:val="5DB03139"/>
    <w:rsid w:val="5DB1138B"/>
    <w:rsid w:val="5DB6074F"/>
    <w:rsid w:val="5DC32E6C"/>
    <w:rsid w:val="5DC80482"/>
    <w:rsid w:val="5DCB3ACF"/>
    <w:rsid w:val="5E0E0D51"/>
    <w:rsid w:val="5E104167"/>
    <w:rsid w:val="5E271A0D"/>
    <w:rsid w:val="5E345B18"/>
    <w:rsid w:val="5E3E6996"/>
    <w:rsid w:val="5E451AD3"/>
    <w:rsid w:val="5E483371"/>
    <w:rsid w:val="5E622685"/>
    <w:rsid w:val="5E6E1B79"/>
    <w:rsid w:val="5E761C8C"/>
    <w:rsid w:val="5E7D19B8"/>
    <w:rsid w:val="5E800D5D"/>
    <w:rsid w:val="5E81619A"/>
    <w:rsid w:val="5E82439A"/>
    <w:rsid w:val="5E8343A9"/>
    <w:rsid w:val="5E9B7945"/>
    <w:rsid w:val="5EA63018"/>
    <w:rsid w:val="5EA70098"/>
    <w:rsid w:val="5EAE7678"/>
    <w:rsid w:val="5EB5303E"/>
    <w:rsid w:val="5EE40F07"/>
    <w:rsid w:val="5F011E9E"/>
    <w:rsid w:val="5F16521D"/>
    <w:rsid w:val="5F1F6400"/>
    <w:rsid w:val="5F351B48"/>
    <w:rsid w:val="5F3B5A4A"/>
    <w:rsid w:val="5F4973A1"/>
    <w:rsid w:val="5F5244A8"/>
    <w:rsid w:val="5F5A15AE"/>
    <w:rsid w:val="5F6972FD"/>
    <w:rsid w:val="5F7540C4"/>
    <w:rsid w:val="5F7A0236"/>
    <w:rsid w:val="5F7A57AC"/>
    <w:rsid w:val="5F7E1979"/>
    <w:rsid w:val="5F8B3850"/>
    <w:rsid w:val="5F926F9A"/>
    <w:rsid w:val="5F944AC0"/>
    <w:rsid w:val="5F9F0846"/>
    <w:rsid w:val="5F9F5213"/>
    <w:rsid w:val="5FA97E40"/>
    <w:rsid w:val="5FB2769F"/>
    <w:rsid w:val="5FB7255D"/>
    <w:rsid w:val="5FC61956"/>
    <w:rsid w:val="5FC829BC"/>
    <w:rsid w:val="5FCA6734"/>
    <w:rsid w:val="5FE13A7D"/>
    <w:rsid w:val="5FEC3B08"/>
    <w:rsid w:val="5FFB4B3F"/>
    <w:rsid w:val="5FFC2665"/>
    <w:rsid w:val="600F4147"/>
    <w:rsid w:val="602443A4"/>
    <w:rsid w:val="60491203"/>
    <w:rsid w:val="604D0B16"/>
    <w:rsid w:val="60591866"/>
    <w:rsid w:val="605C0691"/>
    <w:rsid w:val="606326E4"/>
    <w:rsid w:val="606721D5"/>
    <w:rsid w:val="607A11CF"/>
    <w:rsid w:val="60A32AE1"/>
    <w:rsid w:val="60A65766"/>
    <w:rsid w:val="60CD6DE4"/>
    <w:rsid w:val="60FB46CB"/>
    <w:rsid w:val="60FD6695"/>
    <w:rsid w:val="60FF065F"/>
    <w:rsid w:val="61227EAA"/>
    <w:rsid w:val="61286E94"/>
    <w:rsid w:val="612B3202"/>
    <w:rsid w:val="613320B7"/>
    <w:rsid w:val="613528A4"/>
    <w:rsid w:val="614477C8"/>
    <w:rsid w:val="61477910"/>
    <w:rsid w:val="61515E1E"/>
    <w:rsid w:val="61713164"/>
    <w:rsid w:val="61834DEC"/>
    <w:rsid w:val="61897F29"/>
    <w:rsid w:val="619B2EC8"/>
    <w:rsid w:val="619D109C"/>
    <w:rsid w:val="619D759E"/>
    <w:rsid w:val="61AD00BB"/>
    <w:rsid w:val="61CD250B"/>
    <w:rsid w:val="61D45648"/>
    <w:rsid w:val="61DA2E9A"/>
    <w:rsid w:val="61E22AA6"/>
    <w:rsid w:val="61E82EA1"/>
    <w:rsid w:val="61F77588"/>
    <w:rsid w:val="61F95CB3"/>
    <w:rsid w:val="62092E18"/>
    <w:rsid w:val="621041A6"/>
    <w:rsid w:val="621B3277"/>
    <w:rsid w:val="621B4377"/>
    <w:rsid w:val="62243FD2"/>
    <w:rsid w:val="62261C1B"/>
    <w:rsid w:val="62265778"/>
    <w:rsid w:val="624438CC"/>
    <w:rsid w:val="62475593"/>
    <w:rsid w:val="625642AF"/>
    <w:rsid w:val="625D2CE6"/>
    <w:rsid w:val="626A5FAC"/>
    <w:rsid w:val="626B762E"/>
    <w:rsid w:val="626F35C2"/>
    <w:rsid w:val="62712E97"/>
    <w:rsid w:val="627556D3"/>
    <w:rsid w:val="627C183B"/>
    <w:rsid w:val="6286659E"/>
    <w:rsid w:val="62883C98"/>
    <w:rsid w:val="62917095"/>
    <w:rsid w:val="62AE5E99"/>
    <w:rsid w:val="62B50B3A"/>
    <w:rsid w:val="62B611F1"/>
    <w:rsid w:val="62BA138B"/>
    <w:rsid w:val="62BA1E88"/>
    <w:rsid w:val="62C0797A"/>
    <w:rsid w:val="62C27B96"/>
    <w:rsid w:val="62D022B3"/>
    <w:rsid w:val="62F95301"/>
    <w:rsid w:val="62FD472A"/>
    <w:rsid w:val="63192522"/>
    <w:rsid w:val="63272672"/>
    <w:rsid w:val="63275C4B"/>
    <w:rsid w:val="632B573B"/>
    <w:rsid w:val="63506F50"/>
    <w:rsid w:val="635C3B47"/>
    <w:rsid w:val="6372336A"/>
    <w:rsid w:val="6379740E"/>
    <w:rsid w:val="63984453"/>
    <w:rsid w:val="639A01CB"/>
    <w:rsid w:val="63A177AC"/>
    <w:rsid w:val="63B514A9"/>
    <w:rsid w:val="63BD18E0"/>
    <w:rsid w:val="63C82F8A"/>
    <w:rsid w:val="63D538F9"/>
    <w:rsid w:val="63F024E1"/>
    <w:rsid w:val="63F0428F"/>
    <w:rsid w:val="64063AB3"/>
    <w:rsid w:val="6417181C"/>
    <w:rsid w:val="64194198"/>
    <w:rsid w:val="642F125B"/>
    <w:rsid w:val="644F7208"/>
    <w:rsid w:val="645422AA"/>
    <w:rsid w:val="645A5BAC"/>
    <w:rsid w:val="64627B46"/>
    <w:rsid w:val="64744EC0"/>
    <w:rsid w:val="6482420D"/>
    <w:rsid w:val="64852C29"/>
    <w:rsid w:val="6486756C"/>
    <w:rsid w:val="649C627F"/>
    <w:rsid w:val="64A357A5"/>
    <w:rsid w:val="64A70DF2"/>
    <w:rsid w:val="64B61035"/>
    <w:rsid w:val="64C03E85"/>
    <w:rsid w:val="64DB3C10"/>
    <w:rsid w:val="64DD4813"/>
    <w:rsid w:val="64EC2CA8"/>
    <w:rsid w:val="64F47DAF"/>
    <w:rsid w:val="651421FF"/>
    <w:rsid w:val="65235556"/>
    <w:rsid w:val="65402FF4"/>
    <w:rsid w:val="65410C2D"/>
    <w:rsid w:val="65426D6C"/>
    <w:rsid w:val="65440D49"/>
    <w:rsid w:val="654C1999"/>
    <w:rsid w:val="654F3237"/>
    <w:rsid w:val="65556AA0"/>
    <w:rsid w:val="656211BC"/>
    <w:rsid w:val="656B62C3"/>
    <w:rsid w:val="658D448B"/>
    <w:rsid w:val="658F5ADC"/>
    <w:rsid w:val="659D3FA3"/>
    <w:rsid w:val="65A90B99"/>
    <w:rsid w:val="65AA1AAA"/>
    <w:rsid w:val="65B337C6"/>
    <w:rsid w:val="65C14135"/>
    <w:rsid w:val="65C21C5B"/>
    <w:rsid w:val="65C634F9"/>
    <w:rsid w:val="65C94D98"/>
    <w:rsid w:val="65CE4203"/>
    <w:rsid w:val="65D70CA1"/>
    <w:rsid w:val="65DA6FA5"/>
    <w:rsid w:val="65E240AB"/>
    <w:rsid w:val="65F53DDF"/>
    <w:rsid w:val="661029C7"/>
    <w:rsid w:val="661F0E5C"/>
    <w:rsid w:val="66216982"/>
    <w:rsid w:val="66432056"/>
    <w:rsid w:val="6647338D"/>
    <w:rsid w:val="665B6338"/>
    <w:rsid w:val="66650F64"/>
    <w:rsid w:val="666934EC"/>
    <w:rsid w:val="666F1DE3"/>
    <w:rsid w:val="667016B7"/>
    <w:rsid w:val="667C4500"/>
    <w:rsid w:val="66994B0C"/>
    <w:rsid w:val="66B43C9A"/>
    <w:rsid w:val="66B477F6"/>
    <w:rsid w:val="66CA0DC7"/>
    <w:rsid w:val="66CC69F2"/>
    <w:rsid w:val="66D47E98"/>
    <w:rsid w:val="66E30574"/>
    <w:rsid w:val="66E63727"/>
    <w:rsid w:val="66F26570"/>
    <w:rsid w:val="66F44096"/>
    <w:rsid w:val="67087B42"/>
    <w:rsid w:val="672030DD"/>
    <w:rsid w:val="6723497B"/>
    <w:rsid w:val="672C60C2"/>
    <w:rsid w:val="6740552D"/>
    <w:rsid w:val="67420B35"/>
    <w:rsid w:val="674D19FB"/>
    <w:rsid w:val="675B4115"/>
    <w:rsid w:val="675E2E21"/>
    <w:rsid w:val="67730F5E"/>
    <w:rsid w:val="678216A2"/>
    <w:rsid w:val="678B7CC5"/>
    <w:rsid w:val="678C42CF"/>
    <w:rsid w:val="678E0047"/>
    <w:rsid w:val="678E1835"/>
    <w:rsid w:val="67924D39"/>
    <w:rsid w:val="679D028A"/>
    <w:rsid w:val="67A53A1B"/>
    <w:rsid w:val="67C831F8"/>
    <w:rsid w:val="67E1461B"/>
    <w:rsid w:val="67E625AF"/>
    <w:rsid w:val="67F00D02"/>
    <w:rsid w:val="67F87BB6"/>
    <w:rsid w:val="67FB06AE"/>
    <w:rsid w:val="67FF0F45"/>
    <w:rsid w:val="68054E97"/>
    <w:rsid w:val="680B1697"/>
    <w:rsid w:val="68104F00"/>
    <w:rsid w:val="68115A04"/>
    <w:rsid w:val="681317B4"/>
    <w:rsid w:val="68185632"/>
    <w:rsid w:val="681A77FC"/>
    <w:rsid w:val="681D761D"/>
    <w:rsid w:val="68295FC1"/>
    <w:rsid w:val="682E35D8"/>
    <w:rsid w:val="68307350"/>
    <w:rsid w:val="684A1564"/>
    <w:rsid w:val="686D44C4"/>
    <w:rsid w:val="687E5DDE"/>
    <w:rsid w:val="6886652E"/>
    <w:rsid w:val="68914293"/>
    <w:rsid w:val="689941D9"/>
    <w:rsid w:val="689B63E2"/>
    <w:rsid w:val="689E7D1C"/>
    <w:rsid w:val="68A824EB"/>
    <w:rsid w:val="68AA5354"/>
    <w:rsid w:val="68C415F9"/>
    <w:rsid w:val="68C6779B"/>
    <w:rsid w:val="68E72104"/>
    <w:rsid w:val="68EC0EFF"/>
    <w:rsid w:val="69006D22"/>
    <w:rsid w:val="6908207B"/>
    <w:rsid w:val="690F3409"/>
    <w:rsid w:val="69127F3A"/>
    <w:rsid w:val="6915767D"/>
    <w:rsid w:val="69194288"/>
    <w:rsid w:val="69197DE4"/>
    <w:rsid w:val="692844CB"/>
    <w:rsid w:val="6931512E"/>
    <w:rsid w:val="693B6DBC"/>
    <w:rsid w:val="69405E80"/>
    <w:rsid w:val="6942733B"/>
    <w:rsid w:val="69735746"/>
    <w:rsid w:val="69751C91"/>
    <w:rsid w:val="697E40EB"/>
    <w:rsid w:val="6981433F"/>
    <w:rsid w:val="6987405A"/>
    <w:rsid w:val="699F478D"/>
    <w:rsid w:val="69A066CF"/>
    <w:rsid w:val="69B44F51"/>
    <w:rsid w:val="69B95123"/>
    <w:rsid w:val="69BB533F"/>
    <w:rsid w:val="69CC245F"/>
    <w:rsid w:val="69EE07EF"/>
    <w:rsid w:val="69F04FE9"/>
    <w:rsid w:val="69FA19C4"/>
    <w:rsid w:val="6A0171F6"/>
    <w:rsid w:val="6A042842"/>
    <w:rsid w:val="6A0858ED"/>
    <w:rsid w:val="6A116D0D"/>
    <w:rsid w:val="6A161929"/>
    <w:rsid w:val="6A303637"/>
    <w:rsid w:val="6A333127"/>
    <w:rsid w:val="6A356EA0"/>
    <w:rsid w:val="6A4C58AB"/>
    <w:rsid w:val="6A537326"/>
    <w:rsid w:val="6A5437CA"/>
    <w:rsid w:val="6A682DD1"/>
    <w:rsid w:val="6A721EA2"/>
    <w:rsid w:val="6A8B4D12"/>
    <w:rsid w:val="6A9E0AB3"/>
    <w:rsid w:val="6A9E36A9"/>
    <w:rsid w:val="6A9F07BD"/>
    <w:rsid w:val="6AB06526"/>
    <w:rsid w:val="6AB21A88"/>
    <w:rsid w:val="6ABA1153"/>
    <w:rsid w:val="6ABC311D"/>
    <w:rsid w:val="6AC967BD"/>
    <w:rsid w:val="6ACB15B2"/>
    <w:rsid w:val="6AD922AE"/>
    <w:rsid w:val="6ADA2EE2"/>
    <w:rsid w:val="6AE14931"/>
    <w:rsid w:val="6AE461D0"/>
    <w:rsid w:val="6AED1528"/>
    <w:rsid w:val="6B1116BB"/>
    <w:rsid w:val="6B144D07"/>
    <w:rsid w:val="6B1940CB"/>
    <w:rsid w:val="6B1B42E7"/>
    <w:rsid w:val="6B2D5DC9"/>
    <w:rsid w:val="6B340F05"/>
    <w:rsid w:val="6B376C47"/>
    <w:rsid w:val="6B416020"/>
    <w:rsid w:val="6B421874"/>
    <w:rsid w:val="6B45401D"/>
    <w:rsid w:val="6B674B73"/>
    <w:rsid w:val="6B67752D"/>
    <w:rsid w:val="6B686E01"/>
    <w:rsid w:val="6B7C3FE0"/>
    <w:rsid w:val="6B7E3E65"/>
    <w:rsid w:val="6B916358"/>
    <w:rsid w:val="6B981494"/>
    <w:rsid w:val="6BAA605B"/>
    <w:rsid w:val="6BAF1987"/>
    <w:rsid w:val="6BC24677"/>
    <w:rsid w:val="6BE13540"/>
    <w:rsid w:val="6C0F0094"/>
    <w:rsid w:val="6C3358AD"/>
    <w:rsid w:val="6C3D4CEC"/>
    <w:rsid w:val="6C517895"/>
    <w:rsid w:val="6C53185F"/>
    <w:rsid w:val="6C5555D7"/>
    <w:rsid w:val="6C5C6966"/>
    <w:rsid w:val="6C6168D2"/>
    <w:rsid w:val="6C6B3F54"/>
    <w:rsid w:val="6C7A6DEC"/>
    <w:rsid w:val="6C8B724B"/>
    <w:rsid w:val="6CAC7F56"/>
    <w:rsid w:val="6CAD5413"/>
    <w:rsid w:val="6CB247D7"/>
    <w:rsid w:val="6CBE76B7"/>
    <w:rsid w:val="6CC93D8C"/>
    <w:rsid w:val="6CD010B4"/>
    <w:rsid w:val="6CD94D35"/>
    <w:rsid w:val="6CDC2D02"/>
    <w:rsid w:val="6CE03ADF"/>
    <w:rsid w:val="6CEA21C3"/>
    <w:rsid w:val="6CEC16AE"/>
    <w:rsid w:val="6D150C3F"/>
    <w:rsid w:val="6D201D79"/>
    <w:rsid w:val="6D317DF2"/>
    <w:rsid w:val="6D321474"/>
    <w:rsid w:val="6D3A657B"/>
    <w:rsid w:val="6D401DE3"/>
    <w:rsid w:val="6D4C69DA"/>
    <w:rsid w:val="6D54763D"/>
    <w:rsid w:val="6D617FAC"/>
    <w:rsid w:val="6D6A502A"/>
    <w:rsid w:val="6D6C2BD8"/>
    <w:rsid w:val="6D716441"/>
    <w:rsid w:val="6D74405A"/>
    <w:rsid w:val="6D7E290C"/>
    <w:rsid w:val="6D8D0DA1"/>
    <w:rsid w:val="6D910891"/>
    <w:rsid w:val="6D934609"/>
    <w:rsid w:val="6D9B34BE"/>
    <w:rsid w:val="6DA93E2C"/>
    <w:rsid w:val="6DAE137C"/>
    <w:rsid w:val="6DB12CE1"/>
    <w:rsid w:val="6DB66549"/>
    <w:rsid w:val="6DC17626"/>
    <w:rsid w:val="6DDD7632"/>
    <w:rsid w:val="6DE94229"/>
    <w:rsid w:val="6DEE13D3"/>
    <w:rsid w:val="6DF204F3"/>
    <w:rsid w:val="6DF80910"/>
    <w:rsid w:val="6DFB25A7"/>
    <w:rsid w:val="6DFB74A1"/>
    <w:rsid w:val="6DFF4B3E"/>
    <w:rsid w:val="6E032E11"/>
    <w:rsid w:val="6E0C7F17"/>
    <w:rsid w:val="6E107D27"/>
    <w:rsid w:val="6E11552E"/>
    <w:rsid w:val="6E153AA7"/>
    <w:rsid w:val="6E192634"/>
    <w:rsid w:val="6E29543F"/>
    <w:rsid w:val="6E453429"/>
    <w:rsid w:val="6E495542"/>
    <w:rsid w:val="6E530B8F"/>
    <w:rsid w:val="6E5518BE"/>
    <w:rsid w:val="6E5F3098"/>
    <w:rsid w:val="6E645FA5"/>
    <w:rsid w:val="6E7066F8"/>
    <w:rsid w:val="6E767AEE"/>
    <w:rsid w:val="6E7E5A82"/>
    <w:rsid w:val="6E9D3265"/>
    <w:rsid w:val="6EA75E92"/>
    <w:rsid w:val="6EAC5256"/>
    <w:rsid w:val="6EAF4D07"/>
    <w:rsid w:val="6EB760D5"/>
    <w:rsid w:val="6EDC1FE0"/>
    <w:rsid w:val="6EE67B3C"/>
    <w:rsid w:val="6EE92007"/>
    <w:rsid w:val="6EF015E7"/>
    <w:rsid w:val="6EF03395"/>
    <w:rsid w:val="6F01711A"/>
    <w:rsid w:val="6F060E0B"/>
    <w:rsid w:val="6F074A6D"/>
    <w:rsid w:val="6F1352D6"/>
    <w:rsid w:val="6F1E6154"/>
    <w:rsid w:val="6F2B4B68"/>
    <w:rsid w:val="6F2D283B"/>
    <w:rsid w:val="6F306851"/>
    <w:rsid w:val="6F507677"/>
    <w:rsid w:val="6F55769C"/>
    <w:rsid w:val="6F59718C"/>
    <w:rsid w:val="6F6049BF"/>
    <w:rsid w:val="6F60676D"/>
    <w:rsid w:val="6F631DB9"/>
    <w:rsid w:val="6F8C0D3E"/>
    <w:rsid w:val="6F8F524D"/>
    <w:rsid w:val="6F91730F"/>
    <w:rsid w:val="6F937C1E"/>
    <w:rsid w:val="6FA26D85"/>
    <w:rsid w:val="6FAD74D8"/>
    <w:rsid w:val="6FAE76D6"/>
    <w:rsid w:val="6FAF6057"/>
    <w:rsid w:val="6FBB1BF5"/>
    <w:rsid w:val="6FBD596D"/>
    <w:rsid w:val="6FCF744E"/>
    <w:rsid w:val="6FDC1B6B"/>
    <w:rsid w:val="6FE253D4"/>
    <w:rsid w:val="6FE32EFA"/>
    <w:rsid w:val="6FE64AB9"/>
    <w:rsid w:val="6FF46EB5"/>
    <w:rsid w:val="7006260B"/>
    <w:rsid w:val="701B2694"/>
    <w:rsid w:val="701D493C"/>
    <w:rsid w:val="702A6D7B"/>
    <w:rsid w:val="702F4391"/>
    <w:rsid w:val="70415460"/>
    <w:rsid w:val="70455963"/>
    <w:rsid w:val="70524F5E"/>
    <w:rsid w:val="705931BC"/>
    <w:rsid w:val="705A140E"/>
    <w:rsid w:val="705B2B64"/>
    <w:rsid w:val="705E333F"/>
    <w:rsid w:val="70602531"/>
    <w:rsid w:val="706A53C9"/>
    <w:rsid w:val="706C1436"/>
    <w:rsid w:val="70714D70"/>
    <w:rsid w:val="707B3423"/>
    <w:rsid w:val="707F7495"/>
    <w:rsid w:val="708244C1"/>
    <w:rsid w:val="708C17E3"/>
    <w:rsid w:val="708E10B8"/>
    <w:rsid w:val="70A200D8"/>
    <w:rsid w:val="70B76860"/>
    <w:rsid w:val="70CD60A2"/>
    <w:rsid w:val="70D6480D"/>
    <w:rsid w:val="70E60EF4"/>
    <w:rsid w:val="70E76A1A"/>
    <w:rsid w:val="70F058CE"/>
    <w:rsid w:val="70F25AEA"/>
    <w:rsid w:val="71155CE6"/>
    <w:rsid w:val="711E068D"/>
    <w:rsid w:val="71324139"/>
    <w:rsid w:val="713D2C78"/>
    <w:rsid w:val="714D4ACF"/>
    <w:rsid w:val="71527D49"/>
    <w:rsid w:val="71542301"/>
    <w:rsid w:val="7159429E"/>
    <w:rsid w:val="716128A3"/>
    <w:rsid w:val="716B764B"/>
    <w:rsid w:val="717C4ED8"/>
    <w:rsid w:val="71864485"/>
    <w:rsid w:val="718C256D"/>
    <w:rsid w:val="71925BAB"/>
    <w:rsid w:val="71950224"/>
    <w:rsid w:val="719B1CDE"/>
    <w:rsid w:val="71A861A9"/>
    <w:rsid w:val="71BA7C8A"/>
    <w:rsid w:val="71CB5D34"/>
    <w:rsid w:val="71CD5C10"/>
    <w:rsid w:val="71EA4A14"/>
    <w:rsid w:val="71F87130"/>
    <w:rsid w:val="72023B0B"/>
    <w:rsid w:val="72071415"/>
    <w:rsid w:val="720C2BDC"/>
    <w:rsid w:val="721556B0"/>
    <w:rsid w:val="721B697B"/>
    <w:rsid w:val="721E5934"/>
    <w:rsid w:val="72225ADC"/>
    <w:rsid w:val="72275320"/>
    <w:rsid w:val="72352B33"/>
    <w:rsid w:val="72536115"/>
    <w:rsid w:val="72693B8A"/>
    <w:rsid w:val="727B566C"/>
    <w:rsid w:val="729A1F96"/>
    <w:rsid w:val="72A03324"/>
    <w:rsid w:val="72AB41A3"/>
    <w:rsid w:val="72B3231C"/>
    <w:rsid w:val="72B33515"/>
    <w:rsid w:val="72BA2638"/>
    <w:rsid w:val="72DF5BFA"/>
    <w:rsid w:val="72E17BC5"/>
    <w:rsid w:val="72EB0A43"/>
    <w:rsid w:val="72EB27F1"/>
    <w:rsid w:val="72F34E28"/>
    <w:rsid w:val="73016EA5"/>
    <w:rsid w:val="7314132C"/>
    <w:rsid w:val="73221F8B"/>
    <w:rsid w:val="732930C1"/>
    <w:rsid w:val="732F740C"/>
    <w:rsid w:val="7343262D"/>
    <w:rsid w:val="73661E78"/>
    <w:rsid w:val="736B1B84"/>
    <w:rsid w:val="73700F48"/>
    <w:rsid w:val="737E5413"/>
    <w:rsid w:val="737F118B"/>
    <w:rsid w:val="738549F4"/>
    <w:rsid w:val="738B7B30"/>
    <w:rsid w:val="739E7864"/>
    <w:rsid w:val="73BA21C4"/>
    <w:rsid w:val="73DB2866"/>
    <w:rsid w:val="73DD4830"/>
    <w:rsid w:val="73EC4A73"/>
    <w:rsid w:val="73ED4347"/>
    <w:rsid w:val="73F24B82"/>
    <w:rsid w:val="73F90F3E"/>
    <w:rsid w:val="74056669"/>
    <w:rsid w:val="740578E3"/>
    <w:rsid w:val="740D179A"/>
    <w:rsid w:val="741D2E7E"/>
    <w:rsid w:val="74281823"/>
    <w:rsid w:val="742A2BCD"/>
    <w:rsid w:val="74373814"/>
    <w:rsid w:val="743C0E2B"/>
    <w:rsid w:val="74424693"/>
    <w:rsid w:val="7443040B"/>
    <w:rsid w:val="74562359"/>
    <w:rsid w:val="745A5E80"/>
    <w:rsid w:val="745D327B"/>
    <w:rsid w:val="746A3BEA"/>
    <w:rsid w:val="746E36DA"/>
    <w:rsid w:val="74827185"/>
    <w:rsid w:val="748B4C79"/>
    <w:rsid w:val="748C31A5"/>
    <w:rsid w:val="749D3FBF"/>
    <w:rsid w:val="74A726EC"/>
    <w:rsid w:val="74B11819"/>
    <w:rsid w:val="74BB61F3"/>
    <w:rsid w:val="74C4154C"/>
    <w:rsid w:val="74D12BD5"/>
    <w:rsid w:val="74DF5381"/>
    <w:rsid w:val="74E219D2"/>
    <w:rsid w:val="74E43CA8"/>
    <w:rsid w:val="74E474F8"/>
    <w:rsid w:val="74E70690"/>
    <w:rsid w:val="74E7348C"/>
    <w:rsid w:val="74EC6A3D"/>
    <w:rsid w:val="74F33BDF"/>
    <w:rsid w:val="74FD4A5E"/>
    <w:rsid w:val="75081776"/>
    <w:rsid w:val="750C7072"/>
    <w:rsid w:val="750E0A19"/>
    <w:rsid w:val="750E6C49"/>
    <w:rsid w:val="752446F1"/>
    <w:rsid w:val="75475CD9"/>
    <w:rsid w:val="754A4EFB"/>
    <w:rsid w:val="75510906"/>
    <w:rsid w:val="75692310"/>
    <w:rsid w:val="756A4408"/>
    <w:rsid w:val="756D1BE3"/>
    <w:rsid w:val="758E56B6"/>
    <w:rsid w:val="75B02344"/>
    <w:rsid w:val="75B94E29"/>
    <w:rsid w:val="75D42221"/>
    <w:rsid w:val="75E672A0"/>
    <w:rsid w:val="75EC75D1"/>
    <w:rsid w:val="75EF43A6"/>
    <w:rsid w:val="760B6D06"/>
    <w:rsid w:val="760E40D4"/>
    <w:rsid w:val="7641097A"/>
    <w:rsid w:val="76566171"/>
    <w:rsid w:val="76654669"/>
    <w:rsid w:val="76673004"/>
    <w:rsid w:val="76874753"/>
    <w:rsid w:val="76902210"/>
    <w:rsid w:val="769431A0"/>
    <w:rsid w:val="7695363D"/>
    <w:rsid w:val="769E5DCD"/>
    <w:rsid w:val="76A2766B"/>
    <w:rsid w:val="76A41635"/>
    <w:rsid w:val="76B37ACA"/>
    <w:rsid w:val="76BC10D8"/>
    <w:rsid w:val="76C13CAE"/>
    <w:rsid w:val="76CF5F86"/>
    <w:rsid w:val="76D8308D"/>
    <w:rsid w:val="76DA4B51"/>
    <w:rsid w:val="76DD4BEE"/>
    <w:rsid w:val="76E732D0"/>
    <w:rsid w:val="76F12774"/>
    <w:rsid w:val="770420D4"/>
    <w:rsid w:val="770622CE"/>
    <w:rsid w:val="770F2826"/>
    <w:rsid w:val="77143484"/>
    <w:rsid w:val="77336515"/>
    <w:rsid w:val="773B361B"/>
    <w:rsid w:val="77422BFC"/>
    <w:rsid w:val="774E334F"/>
    <w:rsid w:val="7760254B"/>
    <w:rsid w:val="776E6E8E"/>
    <w:rsid w:val="77707769"/>
    <w:rsid w:val="77815801"/>
    <w:rsid w:val="778B6351"/>
    <w:rsid w:val="779E42D6"/>
    <w:rsid w:val="77A4451C"/>
    <w:rsid w:val="77AE203F"/>
    <w:rsid w:val="77C20B3C"/>
    <w:rsid w:val="77C66E70"/>
    <w:rsid w:val="77E55381"/>
    <w:rsid w:val="77E912C9"/>
    <w:rsid w:val="77F9150C"/>
    <w:rsid w:val="78034139"/>
    <w:rsid w:val="780D320A"/>
    <w:rsid w:val="781520BE"/>
    <w:rsid w:val="781971C9"/>
    <w:rsid w:val="784C3D32"/>
    <w:rsid w:val="785664B0"/>
    <w:rsid w:val="785B1A8E"/>
    <w:rsid w:val="785B5D23"/>
    <w:rsid w:val="788A1A2D"/>
    <w:rsid w:val="788B412F"/>
    <w:rsid w:val="788B4F16"/>
    <w:rsid w:val="78997C2F"/>
    <w:rsid w:val="78AA0A59"/>
    <w:rsid w:val="78BC5769"/>
    <w:rsid w:val="78CA2EA9"/>
    <w:rsid w:val="78CB0D0E"/>
    <w:rsid w:val="78D94310"/>
    <w:rsid w:val="78DD304B"/>
    <w:rsid w:val="78E21FA1"/>
    <w:rsid w:val="78E439B9"/>
    <w:rsid w:val="79031FF4"/>
    <w:rsid w:val="79085F4E"/>
    <w:rsid w:val="79132AA2"/>
    <w:rsid w:val="791365FE"/>
    <w:rsid w:val="791505C8"/>
    <w:rsid w:val="791A3E30"/>
    <w:rsid w:val="79366790"/>
    <w:rsid w:val="79442C5B"/>
    <w:rsid w:val="794964C4"/>
    <w:rsid w:val="794C7D62"/>
    <w:rsid w:val="795F1BBD"/>
    <w:rsid w:val="796230E1"/>
    <w:rsid w:val="797057FE"/>
    <w:rsid w:val="7973709D"/>
    <w:rsid w:val="797F77A0"/>
    <w:rsid w:val="798625F1"/>
    <w:rsid w:val="79876FEC"/>
    <w:rsid w:val="7993773F"/>
    <w:rsid w:val="79B31B8F"/>
    <w:rsid w:val="79C618C2"/>
    <w:rsid w:val="79C8388C"/>
    <w:rsid w:val="79D12015"/>
    <w:rsid w:val="79D42231"/>
    <w:rsid w:val="79D42567"/>
    <w:rsid w:val="79DC10E6"/>
    <w:rsid w:val="79DC7338"/>
    <w:rsid w:val="79F36991"/>
    <w:rsid w:val="79FE339E"/>
    <w:rsid w:val="7A036D91"/>
    <w:rsid w:val="7A3820B2"/>
    <w:rsid w:val="7A4874F5"/>
    <w:rsid w:val="7A4A0831"/>
    <w:rsid w:val="7A4D5B40"/>
    <w:rsid w:val="7A5C3FD5"/>
    <w:rsid w:val="7A660CFF"/>
    <w:rsid w:val="7A6B246A"/>
    <w:rsid w:val="7A7255A6"/>
    <w:rsid w:val="7A7305CA"/>
    <w:rsid w:val="7A884DCA"/>
    <w:rsid w:val="7A8F6158"/>
    <w:rsid w:val="7A8F7F06"/>
    <w:rsid w:val="7AA76C4E"/>
    <w:rsid w:val="7AAF05A8"/>
    <w:rsid w:val="7AC514BE"/>
    <w:rsid w:val="7ACC2F08"/>
    <w:rsid w:val="7AD24A31"/>
    <w:rsid w:val="7AD47A61"/>
    <w:rsid w:val="7AD61FD9"/>
    <w:rsid w:val="7AEA15E0"/>
    <w:rsid w:val="7AEC601D"/>
    <w:rsid w:val="7AF10BC1"/>
    <w:rsid w:val="7AFD57B8"/>
    <w:rsid w:val="7B160627"/>
    <w:rsid w:val="7B276391"/>
    <w:rsid w:val="7B2E5971"/>
    <w:rsid w:val="7B404EDF"/>
    <w:rsid w:val="7B4056A4"/>
    <w:rsid w:val="7B4231CA"/>
    <w:rsid w:val="7B4A02D1"/>
    <w:rsid w:val="7B58479C"/>
    <w:rsid w:val="7B64059F"/>
    <w:rsid w:val="7B6E188D"/>
    <w:rsid w:val="7B7A6E08"/>
    <w:rsid w:val="7B890DF9"/>
    <w:rsid w:val="7BAB4B09"/>
    <w:rsid w:val="7BB368A0"/>
    <w:rsid w:val="7BBA0FB3"/>
    <w:rsid w:val="7BBF60B6"/>
    <w:rsid w:val="7BC04649"/>
    <w:rsid w:val="7BC57958"/>
    <w:rsid w:val="7BDC717B"/>
    <w:rsid w:val="7BDF0A19"/>
    <w:rsid w:val="7C262AEC"/>
    <w:rsid w:val="7C2706DE"/>
    <w:rsid w:val="7C41494B"/>
    <w:rsid w:val="7C5533D1"/>
    <w:rsid w:val="7C647170"/>
    <w:rsid w:val="7C683068"/>
    <w:rsid w:val="7C6B04FF"/>
    <w:rsid w:val="7C716B68"/>
    <w:rsid w:val="7C735C72"/>
    <w:rsid w:val="7C7E0232"/>
    <w:rsid w:val="7C7F3CFF"/>
    <w:rsid w:val="7C8B6DF3"/>
    <w:rsid w:val="7CA0464C"/>
    <w:rsid w:val="7CAB14DB"/>
    <w:rsid w:val="7CB2612E"/>
    <w:rsid w:val="7CC11DDE"/>
    <w:rsid w:val="7CC52305"/>
    <w:rsid w:val="7CD04806"/>
    <w:rsid w:val="7D00333D"/>
    <w:rsid w:val="7D0D7808"/>
    <w:rsid w:val="7D140B97"/>
    <w:rsid w:val="7D172435"/>
    <w:rsid w:val="7D1D3EEF"/>
    <w:rsid w:val="7D2012E9"/>
    <w:rsid w:val="7D273DCF"/>
    <w:rsid w:val="7D2F3C22"/>
    <w:rsid w:val="7D2F777E"/>
    <w:rsid w:val="7D3134F6"/>
    <w:rsid w:val="7D3C1EF9"/>
    <w:rsid w:val="7D545437"/>
    <w:rsid w:val="7D5763B6"/>
    <w:rsid w:val="7D627B54"/>
    <w:rsid w:val="7D631F0C"/>
    <w:rsid w:val="7D666B07"/>
    <w:rsid w:val="7D687CF0"/>
    <w:rsid w:val="7D8118ED"/>
    <w:rsid w:val="7D861105"/>
    <w:rsid w:val="7D882AC8"/>
    <w:rsid w:val="7D8B28E9"/>
    <w:rsid w:val="7D8E26F7"/>
    <w:rsid w:val="7D983576"/>
    <w:rsid w:val="7DA54967"/>
    <w:rsid w:val="7DA95783"/>
    <w:rsid w:val="7DBD73C6"/>
    <w:rsid w:val="7DBF53B6"/>
    <w:rsid w:val="7DC205F3"/>
    <w:rsid w:val="7DC65B73"/>
    <w:rsid w:val="7DCE51E9"/>
    <w:rsid w:val="7DE22A43"/>
    <w:rsid w:val="7DF509C8"/>
    <w:rsid w:val="7E062BD5"/>
    <w:rsid w:val="7E176B90"/>
    <w:rsid w:val="7E1D1CCD"/>
    <w:rsid w:val="7E33329E"/>
    <w:rsid w:val="7E4436FD"/>
    <w:rsid w:val="7E447259"/>
    <w:rsid w:val="7E4B05E8"/>
    <w:rsid w:val="7E4B5FB3"/>
    <w:rsid w:val="7E527BC8"/>
    <w:rsid w:val="7E5C23AB"/>
    <w:rsid w:val="7E5C27F5"/>
    <w:rsid w:val="7E5D6916"/>
    <w:rsid w:val="7E635932"/>
    <w:rsid w:val="7E6B6EDC"/>
    <w:rsid w:val="7E7A2C7B"/>
    <w:rsid w:val="7E7E276B"/>
    <w:rsid w:val="7E7F4735"/>
    <w:rsid w:val="7E7FDDD9"/>
    <w:rsid w:val="7E800C18"/>
    <w:rsid w:val="7E803351"/>
    <w:rsid w:val="7E9216F6"/>
    <w:rsid w:val="7EB0669D"/>
    <w:rsid w:val="7ECB14F1"/>
    <w:rsid w:val="7EEF71C5"/>
    <w:rsid w:val="7F10538E"/>
    <w:rsid w:val="7F1B7FBA"/>
    <w:rsid w:val="7F2C4B8A"/>
    <w:rsid w:val="7F343772"/>
    <w:rsid w:val="7F3E014D"/>
    <w:rsid w:val="7F59434F"/>
    <w:rsid w:val="7F7202C9"/>
    <w:rsid w:val="7F736048"/>
    <w:rsid w:val="7F7D6EC7"/>
    <w:rsid w:val="7F7E5BA0"/>
    <w:rsid w:val="7F8C710A"/>
    <w:rsid w:val="7F902884"/>
    <w:rsid w:val="7F963AE5"/>
    <w:rsid w:val="7F9D45ED"/>
    <w:rsid w:val="7FAF2DF8"/>
    <w:rsid w:val="7FB0104A"/>
    <w:rsid w:val="7FD229D7"/>
    <w:rsid w:val="7FF01447"/>
    <w:rsid w:val="7FFB7DEC"/>
    <w:rsid w:val="BBC519D7"/>
    <w:rsid w:val="C7FC03A3"/>
    <w:rsid w:val="D3EA79D9"/>
    <w:rsid w:val="DBF56C89"/>
    <w:rsid w:val="DFBF531A"/>
    <w:rsid w:val="F7DEE8B1"/>
    <w:rsid w:val="FDFB283D"/>
    <w:rsid w:val="FF7A8FE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iPriority="99"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Ascii" w:hAnsiTheme="minorAsci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3"/>
    <w:basedOn w:val="1"/>
    <w:next w:val="1"/>
    <w:unhideWhenUsed/>
    <w:qFormat/>
    <w:uiPriority w:val="0"/>
    <w:pPr>
      <w:adjustRightInd w:val="0"/>
      <w:spacing w:beforeAutospacing="0" w:afterAutospacing="0"/>
      <w:ind w:firstLine="632" w:firstLineChars="200"/>
      <w:jc w:val="left"/>
      <w:outlineLvl w:val="2"/>
    </w:pPr>
    <w:rPr>
      <w:rFonts w:ascii="Times New Roman" w:hAnsi="Times New Roman" w:eastAsia="方正楷体_GBK"/>
      <w:kern w:val="0"/>
      <w:sz w:val="32"/>
      <w:szCs w:val="3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4">
    <w:name w:val="table of authorities"/>
    <w:basedOn w:val="1"/>
    <w:next w:val="1"/>
    <w:qFormat/>
    <w:uiPriority w:val="0"/>
    <w:pPr>
      <w:ind w:left="420" w:leftChars="200"/>
    </w:pPr>
  </w:style>
  <w:style w:type="paragraph" w:styleId="5">
    <w:name w:val="Normal Indent"/>
    <w:basedOn w:val="1"/>
    <w:next w:val="1"/>
    <w:qFormat/>
    <w:uiPriority w:val="0"/>
    <w:pPr>
      <w:spacing w:after="160" w:line="540" w:lineRule="exact"/>
      <w:ind w:firstLine="200" w:firstLineChars="200"/>
    </w:pPr>
    <w:rPr>
      <w:rFonts w:ascii="Calibri" w:hAnsi="Calibri" w:eastAsia="仿宋_GB2312"/>
    </w:rPr>
  </w:style>
  <w:style w:type="paragraph" w:styleId="6">
    <w:name w:val="annotation text"/>
    <w:basedOn w:val="1"/>
    <w:qFormat/>
    <w:uiPriority w:val="0"/>
    <w:pPr>
      <w:jc w:val="left"/>
    </w:pPr>
  </w:style>
  <w:style w:type="paragraph" w:styleId="7">
    <w:name w:val="Body Text"/>
    <w:basedOn w:val="1"/>
    <w:next w:val="8"/>
    <w:unhideWhenUsed/>
    <w:qFormat/>
    <w:uiPriority w:val="99"/>
    <w:pPr>
      <w:spacing w:after="120"/>
    </w:pPr>
  </w:style>
  <w:style w:type="paragraph" w:styleId="8">
    <w:name w:val="Body Text Indent"/>
    <w:basedOn w:val="1"/>
    <w:next w:val="7"/>
    <w:unhideWhenUsed/>
    <w:qFormat/>
    <w:uiPriority w:val="99"/>
    <w:pPr>
      <w:spacing w:line="600" w:lineRule="exact"/>
      <w:ind w:firstLine="200" w:firstLineChars="200"/>
    </w:pPr>
  </w:style>
  <w:style w:type="paragraph" w:styleId="9">
    <w:name w:val="Block Text"/>
    <w:basedOn w:val="1"/>
    <w:unhideWhenUsed/>
    <w:qFormat/>
    <w:uiPriority w:val="0"/>
    <w:pPr>
      <w:spacing w:after="120"/>
      <w:ind w:left="1440" w:leftChars="700" w:right="1440" w:rightChars="700"/>
    </w:pPr>
    <w:rPr>
      <w:szCs w:val="24"/>
    </w:rPr>
  </w:style>
  <w:style w:type="paragraph" w:styleId="10">
    <w:name w:val="toc 3"/>
    <w:basedOn w:val="1"/>
    <w:next w:val="1"/>
    <w:qFormat/>
    <w:uiPriority w:val="0"/>
    <w:pPr>
      <w:ind w:left="840" w:leftChars="400"/>
    </w:pPr>
  </w:style>
  <w:style w:type="paragraph" w:styleId="11">
    <w:name w:val="Plain Text"/>
    <w:basedOn w:val="1"/>
    <w:next w:val="12"/>
    <w:unhideWhenUsed/>
    <w:qFormat/>
    <w:uiPriority w:val="0"/>
    <w:pPr>
      <w:suppressAutoHyphens/>
      <w:spacing w:line="560" w:lineRule="exact"/>
      <w:ind w:firstLine="200"/>
    </w:pPr>
    <w:rPr>
      <w:rFonts w:ascii="宋体" w:hAnsi="Courier New" w:eastAsia="仿宋_GB2312" w:cs="Courier New"/>
      <w:sz w:val="28"/>
    </w:rPr>
  </w:style>
  <w:style w:type="paragraph" w:styleId="12">
    <w:name w:val="Date"/>
    <w:basedOn w:val="1"/>
    <w:next w:val="1"/>
    <w:qFormat/>
    <w:uiPriority w:val="0"/>
    <w:pPr>
      <w:ind w:left="100" w:leftChars="2500"/>
    </w:pPr>
    <w:rPr>
      <w:rFonts w:ascii="Times New Roman" w:hAnsi="Times New Roman" w:eastAsia="宋体" w:cs="Times New Roman"/>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toc 1"/>
    <w:basedOn w:val="1"/>
    <w:next w:val="1"/>
    <w:qFormat/>
    <w:uiPriority w:val="0"/>
  </w:style>
  <w:style w:type="paragraph" w:styleId="16">
    <w:name w:val="footnote text"/>
    <w:basedOn w:val="1"/>
    <w:qFormat/>
    <w:uiPriority w:val="0"/>
    <w:pPr>
      <w:snapToGrid w:val="0"/>
      <w:jc w:val="left"/>
    </w:pPr>
    <w:rPr>
      <w:sz w:val="18"/>
    </w:rPr>
  </w:style>
  <w:style w:type="paragraph" w:styleId="17">
    <w:name w:val="index 7"/>
    <w:basedOn w:val="1"/>
    <w:next w:val="1"/>
    <w:unhideWhenUsed/>
    <w:qFormat/>
    <w:uiPriority w:val="99"/>
    <w:pPr>
      <w:ind w:left="1200" w:leftChars="1200"/>
    </w:pPr>
  </w:style>
  <w:style w:type="paragraph" w:styleId="18">
    <w:name w:val="toc 2"/>
    <w:basedOn w:val="1"/>
    <w:next w:val="1"/>
    <w:qFormat/>
    <w:uiPriority w:val="0"/>
    <w:pPr>
      <w:ind w:left="420" w:leftChars="200"/>
    </w:pPr>
  </w:style>
  <w:style w:type="paragraph" w:styleId="19">
    <w:name w:val="Normal (Web)"/>
    <w:basedOn w:val="1"/>
    <w:qFormat/>
    <w:uiPriority w:val="0"/>
    <w:pPr>
      <w:spacing w:beforeAutospacing="1" w:afterAutospacing="1"/>
      <w:jc w:val="left"/>
    </w:pPr>
    <w:rPr>
      <w:rFonts w:cs="Times New Roman"/>
      <w:kern w:val="0"/>
      <w:sz w:val="24"/>
    </w:rPr>
  </w:style>
  <w:style w:type="paragraph" w:styleId="20">
    <w:name w:val="Body Text First Indent"/>
    <w:basedOn w:val="7"/>
    <w:unhideWhenUsed/>
    <w:qFormat/>
    <w:uiPriority w:val="99"/>
    <w:pPr>
      <w:ind w:firstLine="420" w:firstLineChars="100"/>
    </w:p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character" w:styleId="25">
    <w:name w:val="Emphasis"/>
    <w:basedOn w:val="23"/>
    <w:qFormat/>
    <w:uiPriority w:val="0"/>
    <w:rPr>
      <w:i/>
    </w:rPr>
  </w:style>
  <w:style w:type="character" w:styleId="26">
    <w:name w:val="annotation reference"/>
    <w:basedOn w:val="23"/>
    <w:qFormat/>
    <w:uiPriority w:val="0"/>
    <w:rPr>
      <w:sz w:val="21"/>
      <w:szCs w:val="21"/>
    </w:rPr>
  </w:style>
  <w:style w:type="character" w:styleId="27">
    <w:name w:val="footnote reference"/>
    <w:basedOn w:val="23"/>
    <w:qFormat/>
    <w:uiPriority w:val="0"/>
    <w:rPr>
      <w:vertAlign w:val="superscript"/>
    </w:rPr>
  </w:style>
  <w:style w:type="paragraph" w:customStyle="1" w:styleId="28">
    <w:name w:val="报告正文"/>
    <w:basedOn w:val="5"/>
    <w:qFormat/>
    <w:uiPriority w:val="0"/>
    <w:pPr>
      <w:adjustRightInd w:val="0"/>
      <w:snapToGrid w:val="0"/>
      <w:spacing w:line="360" w:lineRule="auto"/>
    </w:pPr>
    <w:rPr>
      <w:rFonts w:ascii="仿宋_GB2312" w:hAnsi="宋体"/>
      <w:spacing w:val="8"/>
      <w:sz w:val="24"/>
      <w:szCs w:val="28"/>
    </w:rPr>
  </w:style>
  <w:style w:type="paragraph" w:customStyle="1" w:styleId="29">
    <w:name w:val="松哥样式"/>
    <w:basedOn w:val="1"/>
    <w:qFormat/>
    <w:uiPriority w:val="0"/>
    <w:pPr>
      <w:adjustRightInd w:val="0"/>
      <w:snapToGrid w:val="0"/>
      <w:spacing w:line="579" w:lineRule="exact"/>
    </w:pPr>
    <w:rPr>
      <w:szCs w:val="28"/>
    </w:rPr>
  </w:style>
  <w:style w:type="character" w:customStyle="1" w:styleId="30">
    <w:name w:val="font31"/>
    <w:basedOn w:val="23"/>
    <w:qFormat/>
    <w:uiPriority w:val="0"/>
    <w:rPr>
      <w:rFonts w:hint="eastAsia" w:ascii="方正仿宋_GBK" w:hAnsi="方正仿宋_GBK" w:eastAsia="方正仿宋_GBK" w:cs="方正仿宋_GBK"/>
      <w:color w:val="000000"/>
      <w:sz w:val="24"/>
      <w:szCs w:val="24"/>
      <w:u w:val="none"/>
    </w:rPr>
  </w:style>
  <w:style w:type="paragraph" w:customStyle="1" w:styleId="31">
    <w:name w:val="WPSOffice手动目录 1"/>
    <w:qFormat/>
    <w:uiPriority w:val="0"/>
    <w:rPr>
      <w:rFonts w:ascii="Times New Roman" w:hAnsi="Times New Roman" w:eastAsia="宋体" w:cs="Times New Roman"/>
      <w:lang w:val="en-US" w:eastAsia="zh-CN" w:bidi="ar-SA"/>
    </w:rPr>
  </w:style>
  <w:style w:type="paragraph" w:customStyle="1" w:styleId="3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3">
    <w:name w:val="Default"/>
    <w:basedOn w:val="11"/>
    <w:next w:val="1"/>
    <w:qFormat/>
    <w:uiPriority w:val="0"/>
    <w:pPr>
      <w:autoSpaceDE w:val="0"/>
      <w:autoSpaceDN w:val="0"/>
      <w:adjustRightInd w:val="0"/>
    </w:pPr>
    <w:rPr>
      <w:rFonts w:hint="eastAsia" w:hAnsi="宋体" w:eastAsia="宋体" w:cs="Times New Roman"/>
      <w:color w:val="000000"/>
      <w:sz w:val="24"/>
      <w:szCs w:val="22"/>
    </w:rPr>
  </w:style>
  <w:style w:type="paragraph" w:customStyle="1" w:styleId="34">
    <w:name w:val="文本正文"/>
    <w:basedOn w:val="1"/>
    <w:qFormat/>
    <w:uiPriority w:val="0"/>
    <w:pPr>
      <w:overflowPunct w:val="0"/>
      <w:adjustRightInd w:val="0"/>
      <w:snapToGrid w:val="0"/>
      <w:spacing w:line="600" w:lineRule="exact"/>
      <w:ind w:firstLine="640" w:firstLineChars="200"/>
    </w:pPr>
    <w:rPr>
      <w:rFonts w:ascii="Times New Roman" w:hAnsi="Times New Roman" w:eastAsia="方正仿宋_GBK" w:cs="Times New Roman"/>
      <w:sz w:val="32"/>
      <w:szCs w:val="32"/>
    </w:rPr>
  </w:style>
  <w:style w:type="paragraph" w:customStyle="1" w:styleId="35">
    <w:name w:val="Table Text"/>
    <w:basedOn w:val="1"/>
    <w:semiHidden/>
    <w:qFormat/>
    <w:uiPriority w:val="0"/>
    <w:rPr>
      <w:rFonts w:ascii="宋体" w:hAnsi="宋体" w:eastAsia="宋体" w:cs="宋体"/>
      <w:sz w:val="30"/>
      <w:szCs w:val="30"/>
      <w:lang w:eastAsia="en-US"/>
    </w:rPr>
  </w:style>
  <w:style w:type="table" w:customStyle="1" w:styleId="36">
    <w:name w:val="Table Normal"/>
    <w:semiHidden/>
    <w:unhideWhenUsed/>
    <w:qFormat/>
    <w:uiPriority w:val="0"/>
    <w:tblPr>
      <w:tblCellMar>
        <w:top w:w="0" w:type="dxa"/>
        <w:left w:w="0" w:type="dxa"/>
        <w:bottom w:w="0" w:type="dxa"/>
        <w:right w:w="0" w:type="dxa"/>
      </w:tblCellMar>
    </w:tblPr>
  </w:style>
  <w:style w:type="paragraph" w:customStyle="1" w:styleId="37">
    <w:name w:val="修订1"/>
    <w:hidden/>
    <w:unhideWhenUsed/>
    <w:qFormat/>
    <w:uiPriority w:val="99"/>
    <w:rPr>
      <w:rFonts w:asciiTheme="minorHAnsi" w:hAnsiTheme="minorHAnsi" w:eastAsiaTheme="minorEastAsia" w:cstheme="minorBidi"/>
      <w:kern w:val="2"/>
      <w:sz w:val="21"/>
      <w:szCs w:val="24"/>
      <w:lang w:val="en-US" w:eastAsia="zh-CN" w:bidi="ar-SA"/>
    </w:rPr>
  </w:style>
  <w:style w:type="paragraph" w:styleId="38">
    <w:name w:val="List Paragraph"/>
    <w:basedOn w:val="1"/>
    <w:qFormat/>
    <w:uiPriority w:val="0"/>
    <w:pPr>
      <w:ind w:firstLine="420" w:firstLineChars="200"/>
    </w:pPr>
    <w:rPr>
      <w:rFonts w:ascii="Times New Roman" w:hAnsi="Times New Roman" w:eastAsia="宋体"/>
    </w:rPr>
  </w:style>
  <w:style w:type="paragraph" w:customStyle="1" w:styleId="39">
    <w:name w:val="Revision"/>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40">
    <w:name w:val="索引 51"/>
    <w:basedOn w:val="1"/>
    <w:next w:val="1"/>
    <w:qFormat/>
    <w:uiPriority w:val="0"/>
    <w:pPr>
      <w:ind w:left="168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13dd2032-4789-4b5c-bec0-23409b7b344e</errorID>
      <errorWord>《关于</errorWord>
      <group>L1_Grammar</group>
      <groupName>语法问题</groupName>
      <ability>L2_Grammar</ability>
      <abilityName>语法错误</abilityName>
      <candidateList>
        <item>《</item>
      </candidateList>
      <explain/>
      <paraID>51BF054C</paraID>
      <start>0</start>
      <end>3</end>
      <status>unmodified</status>
      <modifiedWord/>
      <trackRevisions>false</trackRevisions>
    </reviewItem>
    <reviewItem>
      <errorID>20b65df0-cf7b-4032-aaef-02c431efa460</errorID>
      <errorWord>除开</errorWord>
      <group>L1_Word</group>
      <groupName>字词问题</groupName>
      <ability>L2_Typo</ability>
      <abilityName>字词错误</abilityName>
      <candidateList>
        <item>除去</item>
      </candidateList>
      <explain/>
      <paraID>503FCCF8</paraID>
      <start>23</start>
      <end>25</end>
      <status>unmodified</status>
      <modifiedWord/>
      <trackRevisions>false</trackRevisions>
    </reviewItem>
    <reviewItem>
      <errorID>fc4e4a18-86e6-4827-8dc7-5b0a4dedcc03</errorID>
      <errorWord>统筹发展与安全</errorWord>
      <group>L1_Political</group>
      <groupName>政治性问题</groupName>
      <ability>L2_Unpolitical</ability>
      <abilityName>政治敏感错误</abilityName>
      <candidateList>
        <item>统筹发展和安全</item>
      </candidateList>
      <explain/>
      <paraID>6C32B62E</paraID>
      <start>59</start>
      <end>66</end>
      <status>unmodified</status>
      <modifiedWord/>
      <trackRevisions>false</trackRevisions>
    </reviewItem>
    <reviewItem>
      <errorID>e391ec93-65b4-4ce6-bf14-8cff824c0f3c</errorID>
      <errorWord>纳入到</errorWord>
      <group>L1_Word</group>
      <groupName>字词问题</groupName>
      <ability>L2_Typo</ability>
      <abilityName>字词错误</abilityName>
      <candidateList>
        <item>纳入</item>
      </candidateList>
      <explain>〈动〉放进；归入（多用于抽象事物）：～正轨｜～计划。</explain>
      <paraID>776DA631</paraID>
      <start>179</start>
      <end>182</end>
      <status>unmodified</status>
      <modifiedWord/>
      <trackRevisions>false</trackRevisions>
    </reviewItem>
    <reviewItem>
      <errorID>617e87d7-8d0e-47d2-bbe8-a63f33b95565</errorID>
      <errorWord>奋斗</errorWord>
      <group>L1_Word</group>
      <groupName>字词问题</groupName>
      <ability>L2_Typo</ability>
      <abilityName>字词错误</abilityName>
      <candidateList>
        <item>奋进</item>
      </candidateList>
      <explain/>
      <paraID> 664041B</paraID>
      <start>90</start>
      <end>92</end>
      <status>unmodified</status>
      <modifiedWord/>
      <trackRevisions>false</trackRevisions>
    </reviewItem>
    <reviewItem>
      <errorID>6caff51e-9dc3-4b0a-9b20-685b5e60a755</errorID>
      <errorWord>投入强度</errorWord>
      <group>L1_Grammar</group>
      <groupName>语法问题</groupName>
      <ability>L2_Grammar</ability>
      <abilityName>语法错误</abilityName>
      <candidateList>
        <item>投入</item>
      </candidateList>
      <explain/>
      <paraID>61A4E9F3</paraID>
      <start>77</start>
      <end>81</end>
      <status>unmodified</status>
      <modifiedWord/>
      <trackRevisions>false</trackRevisions>
    </reviewItem>
    <reviewItem>
      <errorID>a98249b1-95dd-4cc9-9800-1ea0147b23ed</errorID>
      <errorWord>名</errorWord>
      <group>L1_Word</group>
      <groupName>字词问题</groupName>
      <ability>L2_Typo</ability>
      <abilityName>字词错误</abilityName>
      <candidateList>
        <item>名第</item>
      </candidateList>
      <explain/>
      <paraID>53726F49</paraID>
      <start>84</start>
      <end>85</end>
      <status>unmodified</status>
      <modifiedWord/>
      <trackRevisions>false</trackRevisions>
    </reviewItem>
    <reviewItem>
      <errorID>d5590540-8f57-4820-8790-0bc13e96904f</errorID>
      <errorWord>10大</errorWord>
      <group>L1_Word</group>
      <groupName>字词问题</groupName>
      <ability>L2_Typo</ability>
      <abilityName>字词错误</abilityName>
      <candidateList>
        <item>十大</item>
      </candidateList>
      <explain/>
      <paraID>27F42BC6</paraID>
      <start>185</start>
      <end>188</end>
      <status>unmodified</status>
      <modifiedWord/>
      <trackRevisions>false</trackRevisions>
    </reviewItem>
    <reviewItem>
      <errorID>9586b26d-bd33-4d99-9f48-cb27d9f860f0</errorID>
      <errorWord>按照</errorWord>
      <group>L1_Word</group>
      <groupName>字词问题</groupName>
      <ability>L2_Typo</ability>
      <abilityName>字词错误</abilityName>
      <candidateList>
        <item>以</item>
      </candidateList>
      <explain/>
      <paraID>180F7001</paraID>
      <start>11</start>
      <end>13</end>
      <status>unmodified</status>
      <modifiedWord/>
      <trackRevisions>false</trackRevisions>
    </reviewItem>
    <reviewItem>
      <errorID>e954bbc9-8713-4430-897e-3d2c818c0a2c</errorID>
      <errorWord>（五）</errorWord>
      <group>L1_Format</group>
      <groupName>格式问题</groupName>
      <ability>L2_Ordinal</ability>
      <abilityName>序号格式</abilityName>
      <candidateList>
        <item>（七）</item>
      </candidateList>
      <explain>标题顺序错误，请检查标题顺序是否合理。</explain>
      <paraID>1E0B93D6</paraID>
      <start>0</start>
      <end>3</end>
      <status>unmodified</status>
      <modifiedWord/>
      <trackRevisions>false</trackRevisions>
    </reviewItem>
    <reviewItem>
      <errorID>e1ec4926-1f10-42f2-b6ed-b7b4f140d94b</errorID>
      <errorWord>现代化</errorWord>
      <group>L1_Political</group>
      <groupName>政治性问题</groupName>
      <ability>L2_Keyword</ability>
      <abilityName>固定表述</abilityName>
      <candidateList>
        <item>作为现代化</item>
      </candidateList>
      <explain>此处内容疑似含有固定表述相关错误，建议核查。</explain>
      <paraID>2F910C84</paraID>
      <start>84</start>
      <end>87</end>
      <status>unmodified</status>
      <modifiedWord/>
      <trackRevisions>false</trackRevisions>
    </reviewItem>
    <reviewItem>
      <errorID>e80f95a1-d9ca-4ede-9495-73c6accb0386</errorID>
      <errorWord>重要指示精神</errorWord>
      <group>L1_Political</group>
      <groupName>政治性问题</groupName>
      <ability>L2_Keyword</ability>
      <abilityName>固定表述</abilityName>
      <candidateList>
        <item>、重要指示精神</item>
      </candidateList>
      <explain>此处内容疑似含有固定表述相关错误，建议核查。</explain>
      <paraID>513AC753</paraID>
      <start>50</start>
      <end>56</end>
      <status>unmodified</status>
      <modifiedWord/>
      <trackRevisions>false</trackRevisions>
    </reviewItem>
    <reviewItem>
      <errorID>860cd808-625e-4ded-8c28-95cd56743783</errorID>
      <errorWord>、</errorWord>
      <group>L1_Punc</group>
      <groupName>标点问题</groupName>
      <ability>L2_Punc</ability>
      <abilityName>标点符号检查</abilityName>
      <candidateList>
        <item>，</item>
      </candidateList>
      <explain/>
      <paraID>7C6D554C</paraID>
      <start>99</start>
      <end>100</end>
      <status>unmodified</status>
      <modifiedWord/>
      <trackRevisions>false</trackRevisions>
    </reviewItem>
    <reviewItem>
      <errorID>9316bdbe-512c-4b66-addb-9d94099cb591</errorID>
      <errorWord>中心</errorWord>
      <group>L1_Word</group>
      <groupName>字词问题</groupName>
      <ability>L2_Typo</ability>
      <abilityName>字词错误</abilityName>
      <candidateList>
        <item>居中心</item>
      </candidateList>
      <explain/>
      <paraID>7C6D554C</paraID>
      <start>102</start>
      <end>104</end>
      <status>unmodified</status>
      <modifiedWord/>
      <trackRevisions>false</trackRevisions>
    </reviewItem>
    <reviewItem>
      <errorID>51fcaea7-1755-42bb-8761-1f4e2073eafb</errorID>
      <errorWord>、</errorWord>
      <group>L1_Punc</group>
      <groupName>标点问题</groupName>
      <ability>L2_Punc</ability>
      <abilityName>标点符号检查</abilityName>
      <candidateList>
        <item>，</item>
      </candidateList>
      <explain/>
      <paraID> 3F9E8AD</paraID>
      <start>98</start>
      <end>99</end>
      <status>unmodified</status>
      <modifiedWord/>
      <trackRevisions>false</trackRevisions>
    </reviewItem>
    <reviewItem>
      <errorID>f763d3f7-b772-4a0a-a5ef-ad25daf20f04</errorID>
      <errorWord>高新区功能区</errorWord>
      <group>L1_Grammar</group>
      <groupName>语法问题</groupName>
      <ability>L2_Grammar</ability>
      <abilityName>语法错误</abilityName>
      <candidateList>
        <item>、高新区</item>
      </candidateList>
      <explain/>
      <paraID> 3F9E8AD</paraID>
      <start>129</start>
      <end>135</end>
      <status>unmodified</status>
      <modifiedWord/>
      <trackRevisions>false</trackRevisions>
    </reviewItem>
    <reviewItem>
      <errorID>7f55e354-463e-446b-9408-219459824dbd</errorID>
      <errorWord>机制</errorWord>
      <group>L1_Word</group>
      <groupName>字词问题</groupName>
      <ability>L2_Typo</ability>
      <abilityName>字词错误</abilityName>
      <candidateList>
        <item>制度</item>
      </candidateList>
      <explain/>
      <paraID> 3F9E8AD</paraID>
      <start>225</start>
      <end>227</end>
      <status>unmodified</status>
      <modifiedWord/>
      <trackRevisions>false</trackRevisions>
    </reviewItem>
    <reviewItem>
      <errorID>56c7bc87-964a-4677-b26c-9a63ad4ae079</errorID>
      <errorWord>重要战略窗口期</errorWord>
      <group>L1_Political</group>
      <groupName>政治性问题</groupName>
      <ability>L2_Keyword</ability>
      <abilityName>固定表述</abilityName>
      <candidateList>
        <item>重要战略机遇期</item>
      </candidateList>
      <explain>词汇“重要战略机遇期”在特定场景下为固定表述形式，请确认此处的“重要战略窗口期”是否存在不当。</explain>
      <paraID>12041E50</paraID>
      <start>259</start>
      <end>266</end>
      <status>unmodified</status>
      <modifiedWord/>
      <trackRevisions>false</trackRevisions>
    </reviewItem>
    <reviewItem>
      <errorID>283f2360-4b4c-4540-bf41-cec7616af1c9</errorID>
      <errorWord>中</errorWord>
      <group>L1_Grammar</group>
      <groupName>语法问题</groupName>
      <ability>L2_Grammar</ability>
      <abilityName>语法错误</abilityName>
      <candidateList>
        <item>进程中</item>
      </candidateList>
      <explain/>
      <paraID>59573D99</paraID>
      <start>53</start>
      <end>54</end>
      <status>unmodified</status>
      <modifiedWord/>
      <trackRevisions>false</trackRevisions>
    </reviewItem>
    <reviewItem>
      <errorID>c0cfa8c7-f24e-4bde-bbd5-ec3235c21e7f</errorID>
      <errorWord>完整准确全面贯彻新发展理念</errorWord>
      <group>L1_Political</group>
      <groupName>政治性问题</groupName>
      <ability>L2_Keyword</ability>
      <abilityName>固定表述</abilityName>
      <candidateList>
        <item>完整、准确、全面贯彻新发展理念</item>
      </candidateList>
      <explain>此处内容疑似含有固定表述相关错误，建议核查。</explain>
      <paraID>46C71D83</paraID>
      <start>248</start>
      <end>261</end>
      <status>unmodified</status>
      <modifiedWord/>
      <trackRevisions>false</trackRevisions>
    </reviewItem>
    <reviewItem>
      <errorID>72c45723-69c4-4666-a6cd-5fef41ae3695</errorID>
      <errorWord>抓</errorWord>
      <group>L1_Punc</group>
      <groupName>标点问题</groupName>
      <ability>L2_Punc</ability>
      <abilityName>标点符号检查</abilityName>
      <candidateList>
        <item>，抓</item>
      </candidateList>
      <explain/>
      <paraID>46C71D83</paraID>
      <start>384</start>
      <end>385</end>
      <status>unmodified</status>
      <modifiedWord/>
      <trackRevisions>false</trackRevisions>
    </reviewItem>
    <reviewItem>
      <errorID>3355d0dd-f6da-4662-9e20-307315fa0b60</errorID>
      <errorWord>支撑</errorWord>
      <group>L1_Punc</group>
      <groupName>标点问题</groupName>
      <ability>L2_Punc</ability>
      <abilityName>标点符号检查</abilityName>
      <candidateList>
        <item>、支撑</item>
      </candidateList>
      <explain/>
      <paraID>46C71D83</paraID>
      <start>519</start>
      <end>521</end>
      <status>unmodified</status>
      <modifiedWord/>
      <trackRevisions>false</trackRevisions>
    </reviewItem>
    <reviewItem>
      <errorID>306f7816-7835-44f4-b722-0318896c730c</errorID>
      <errorWord>、</errorWord>
      <group>L1_Grammar</group>
      <groupName>语法问题</groupName>
      <ability>L2_Grammar</ability>
      <abilityName>语法错误</abilityName>
      <candidateList>
        <item>，打造</item>
      </candidateList>
      <explain/>
      <paraID>46C71D83</paraID>
      <start>531</start>
      <end>532</end>
      <status>unmodified</status>
      <modifiedWord/>
      <trackRevisions>false</trackRevisions>
    </reviewItem>
    <reviewItem>
      <errorID>c9adc1b4-450d-49cc-940b-740ad65cc181</errorID>
      <errorWord>西部</errorWord>
      <group>L1_Punc</group>
      <groupName>标点问题</groupName>
      <ability>L2_Punc</ability>
      <abilityName>标点符号检查</abilityName>
      <candidateList>
        <item>、西部</item>
      </candidateList>
      <explain/>
      <paraID>46C71D83</paraID>
      <start>536</start>
      <end>538</end>
      <status>unmodified</status>
      <modifiedWord/>
      <trackRevisions>false</trackRevisions>
    </reviewItem>
    <reviewItem>
      <errorID>d939ae36-cfa6-498c-8c3e-fae0c5c01506</errorID>
      <errorWord>、</errorWord>
      <group>L1_Grammar</group>
      <groupName>语法问题</groupName>
      <ability>L2_Grammar</ability>
      <abilityName>语法错误</abilityName>
      <candidateList>
        <item>，成为</item>
      </candidateList>
      <explain/>
      <paraID>46C71D83</paraID>
      <start>549</start>
      <end>550</end>
      <status>unmodified</status>
      <modifiedWord/>
      <trackRevisions>false</trackRevisions>
    </reviewItem>
    <reviewItem>
      <errorID>5e46f1d1-62fe-4ca5-8279-4fa8fa29c5be</errorID>
      <errorWord>、</errorWord>
      <group>L1_Grammar</group>
      <groupName>语法问题</groupName>
      <ability>L2_Grammar</ability>
      <abilityName>语法错误</abilityName>
      <candidateList>
        <item>，成为</item>
      </candidateList>
      <explain/>
      <paraID>46C71D83</paraID>
      <start>566</start>
      <end>567</end>
      <status>unmodified</status>
      <modifiedWord/>
      <trackRevisions>false</trackRevisions>
    </reviewItem>
    <reviewItem>
      <errorID>dca46400-1646-4fa5-a242-83d0756a53aa</errorID>
      <errorWord>民生</errorWord>
      <group>L1_Word</group>
      <groupName>字词问题</groupName>
      <ability>L2_Typo</ability>
      <abilityName>字词错误</abilityName>
      <candidateList>
        <item>的民生</item>
      </candidateList>
      <explain/>
      <paraID>2E538C63</paraID>
      <start>66</start>
      <end>68</end>
      <status>unmodified</status>
      <modifiedWord/>
      <trackRevisions>false</trackRevisions>
    </reviewItem>
    <reviewItem>
      <errorID>901edc38-bd2e-48b9-b184-a9b6262da246</errorID>
      <errorWord>更好服务</errorWord>
      <group>L1_Word</group>
      <groupName>字词问题</groupName>
      <ability>L2_Typo</ability>
      <abilityName>字词错误</abilityName>
      <candidateList>
        <item>更好地服务</item>
      </candidateList>
      <explain/>
      <paraID>4646CB10</paraID>
      <start>115</start>
      <end>119</end>
      <status>unmodified</status>
      <modifiedWord/>
      <trackRevisions>false</trackRevisions>
    </reviewItem>
    <reviewItem>
      <errorID>4eb28d00-2c41-4f33-ae2d-0a88f0dfaaa9</errorID>
      <errorWord>长江经济带发展。</errorWord>
      <group>L1_Political</group>
      <groupName>政治性问题</groupName>
      <ability>L2_Keyword</ability>
      <abilityName>固定表述</abilityName>
      <candidateList>
        <item>长江经济带发展战略。</item>
      </candidateList>
      <explain>此处内容疑似含有固定表述相关错误，建议核查。</explain>
      <paraID>4646CB10</paraID>
      <start>139</start>
      <end>147</end>
      <status>unmodified</status>
      <modifiedWord/>
      <trackRevisions>false</trackRevisions>
    </reviewItem>
    <reviewItem>
      <errorID>56fd30a5-6561-4e63-89a9-7370f82ddd00</errorID>
      <errorWord>载</errorWord>
      <group>L1_Word</group>
      <groupName>字词问题</groupName>
      <ability>L2_Typo</ability>
      <abilityName>字词错误</abilityName>
      <candidateList>
        <item>载能</item>
      </candidateList>
      <explain/>
      <paraID>1182BEEF</paraID>
      <start>48</start>
      <end>49</end>
      <status>unmodified</status>
      <modifiedWord/>
      <trackRevisions>false</trackRevisions>
    </reviewItem>
    <reviewItem>
      <errorID>a2c9fcfb-142b-43ed-a341-c8cd6824a9e5</errorID>
      <errorWord>。</errorWord>
      <group>L1_Punc</group>
      <groupName>标点问题</groupName>
      <ability>L2_Punc</ability>
      <abilityName>标点符号检查</abilityName>
      <candidateList>
        <item>；</item>
      </candidateList>
      <explain/>
      <paraID> 3C79151</paraID>
      <start>148</start>
      <end>149</end>
      <status>unmodified</status>
      <modifiedWord/>
      <trackRevisions>false</trackRevisions>
    </reviewItem>
    <reviewItem>
      <errorID>7ddab082-e65c-4a1a-84de-978d1d796761</errorID>
      <errorWord>重</errorWord>
      <group>L1_Word</group>
      <groupName>字词问题</groupName>
      <ability>L2_Typo</ability>
      <abilityName>字词错误</abilityName>
      <candidateList>
        <item>重达</item>
      </candidateList>
      <explain/>
      <paraID>766C23F8</paraID>
      <start>136</start>
      <end>137</end>
      <status>unmodified</status>
      <modifiedWord/>
      <trackRevisions>false</trackRevisions>
    </reviewItem>
    <reviewItem>
      <errorID>dfdd3f12-90a5-4202-a0fd-d742f75019cb</errorID>
      <errorWord>到</errorWord>
      <group>L1_Word</group>
      <groupName>字词问题</groupName>
      <ability>L2_Typo</ability>
      <abilityName>字词错误</abilityName>
      <candidateList>
        <item>达到</item>
      </candidateList>
      <explain/>
      <paraID>766C23F8</paraID>
      <start>137</start>
      <end>138</end>
      <status>unmodified</status>
      <modifiedWord/>
      <trackRevisions>false</trackRevisions>
    </reviewItem>
    <reviewItem>
      <errorID>3103e773-5e7a-41b8-a8af-3c712317b540</errorID>
      <errorWord>力争前15</errorWord>
      <group>L1_Other</group>
      <groupName>其他问题</groupName>
      <ability>L2_Consistency</ability>
      <abilityName>一致性检查</abilityName>
      <candidateList>
        <item>23</item>
      </candidateList>
      <explain>数字一致性：前文提到‘国家高新区全国排名2025年为25，2027年目标为23，2030年目标为20’，此处‘力争前15’与整体国家高新区排名体系不一致，应统一为23</explain>
      <paraID>1B7F7217</paraID>
      <start>0</start>
      <end>5</end>
      <status>unmodified</status>
      <modifiedWord/>
      <trackRevisions>false</trackRevisions>
    </reviewItem>
    <reviewItem>
      <errorID>09b70996-f5c0-4f2e-a2a2-495249af7853</errorID>
      <errorWord>成渝</errorWord>
      <group>L1_Word</group>
      <groupName>字词问题</groupName>
      <ability>L2_Typo</ability>
      <abilityName>字词错误</abilityName>
      <candidateList>
        <item>以成渝</item>
      </candidateList>
      <explain/>
      <paraID>71922EEF</paraID>
      <start>6</start>
      <end>8</end>
      <status>unmodified</status>
      <modifiedWord/>
      <trackRevisions>false</trackRevisions>
    </reviewItem>
    <reviewItem>
      <errorID>e72dabef-ec2d-484e-8f43-21cb24ad6572</errorID>
      <errorWord>综合性科学中心</errorWord>
      <group>L1_Political</group>
      <groupName>政治性问题</groupName>
      <ability>L2_Keyword</ability>
      <abilityName>固定表述</abilityName>
      <candidateList>
        <item>综合性国家科学中心</item>
      </candidateList>
      <explain>词汇“综合性国家科学中心”在特定场景下为固定表述形式，请确认此处的“综合性科学中心”是否存在不当。</explain>
      <paraID>71922EEF</paraID>
      <start>12</start>
      <end>19</end>
      <status>unmodified</status>
      <modifiedWord/>
      <trackRevisions>false</trackRevisions>
    </reviewItem>
    <reviewItem>
      <errorID>53660ac2-e6bd-409f-8097-57c7a5c94c9e</errorID>
      <errorWord>综合性科学中心</errorWord>
      <group>L1_Political</group>
      <groupName>政治性问题</groupName>
      <ability>L2_Keyword</ability>
      <abilityName>固定表述</abilityName>
      <candidateList>
        <item>综合性国家科学中心</item>
      </candidateList>
      <explain>词汇“综合性国家科学中心”在特定场景下为固定表述形式，请确认此处的“综合性科学中心”是否存在不当。</explain>
      <paraID>3A35BBCD</paraID>
      <start>20</start>
      <end>27</end>
      <status>unmodified</status>
      <modifiedWord/>
      <trackRevisions>false</trackRevisions>
    </reviewItem>
    <reviewItem>
      <errorID>bdec5366-8d52-40aa-bc0b-a65d1486a858</errorID>
      <errorWord>、</errorWord>
      <group>L1_Grammar</group>
      <groupName>语法问题</groupName>
      <ability>L2_Grammar</ability>
      <abilityName>语法错误</abilityName>
      <candidateList>
        <item>，进行</item>
      </candidateList>
      <explain/>
      <paraID>6AB4AE59</paraID>
      <start>118</start>
      <end>119</end>
      <status>unmodified</status>
      <modifiedWord/>
      <trackRevisions>false</trackRevisions>
    </reviewItem>
    <reviewItem>
      <errorID>e6bac341-4bba-4b3d-a79c-dba25d5ef290</errorID>
      <errorWord>及</errorWord>
      <group>L1_Grammar</group>
      <groupName>语法问题</groupName>
      <ability>L2_Grammar</ability>
      <abilityName>语法错误</abilityName>
      <candidateList>
        <item>，开展</item>
      </candidateList>
      <explain/>
      <paraID>6AB4AE59</paraID>
      <start>131</start>
      <end>132</end>
      <status>unmodified</status>
      <modifiedWord/>
      <trackRevisions>false</trackRevisions>
    </reviewItem>
    <reviewItem>
      <errorID>942ddb75-0d11-4d44-bb0c-a710a028aa71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30A5FF62</paraID>
      <start>0</start>
      <end>2</end>
      <status>unmodified</status>
      <modifiedWord/>
      <trackRevisions>false</trackRevisions>
    </reviewItem>
    <reviewItem>
      <errorID>765315b6-3c75-4861-8c87-b888ae372f49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1E1A6913</paraID>
      <start>0</start>
      <end>2</end>
      <status>unmodified</status>
      <modifiedWord/>
      <trackRevisions>false</trackRevisions>
    </reviewItem>
    <reviewItem>
      <errorID>2940e089-97c1-4fd0-9757-f5af5b247272</errorID>
      <errorWord>二</errorWord>
      <group>L1_Word</group>
      <groupName>字词问题</groupName>
      <ability>L2_Typo</ability>
      <abilityName>字词错误</abilityName>
      <candidateList>
        <item>两</item>
      </candidateList>
      <explain/>
      <paraID>7FFAC93D</paraID>
      <start>169</start>
      <end>170</end>
      <status>unmodified</status>
      <modifiedWord/>
      <trackRevisions>false</trackRevisions>
    </reviewItem>
    <reviewItem>
      <errorID>e55e5037-fd34-467d-a05c-c94c778fb08f</errorID>
      <errorWord>二</errorWord>
      <group>L1_Word</group>
      <groupName>字词问题</groupName>
      <ability>L2_Typo</ability>
      <abilityName>字词错误</abilityName>
      <candidateList>
        <item>两</item>
      </candidateList>
      <explain/>
      <paraID>7FFAC93D</paraID>
      <start>173</start>
      <end>174</end>
      <status>unmodified</status>
      <modifiedWord/>
      <trackRevisions>false</trackRevisions>
    </reviewItem>
    <reviewItem>
      <errorID>e8c98478-1c24-4f10-888a-586ebeba8114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1DCB1ACA</paraID>
      <start>0</start>
      <end>2</end>
      <status>unmodified</status>
      <modifiedWord/>
      <trackRevisions>false</trackRevisions>
    </reviewItem>
    <reviewItem>
      <errorID>6ee5ffcc-1338-45ee-8f87-f3f9857a6efc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12CB49DF</paraID>
      <start>0</start>
      <end>2</end>
      <status>unmodified</status>
      <modifiedWord/>
      <trackRevisions>false</trackRevisions>
    </reviewItem>
    <reviewItem>
      <errorID>aa8363f1-a8f7-4fc8-8dfa-b6f16505c5c7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DC35C9E</paraID>
      <start>0</start>
      <end>2</end>
      <status>unmodified</status>
      <modifiedWord/>
      <trackRevisions>false</trackRevisions>
    </reviewItem>
    <reviewItem>
      <errorID>d2f37fbc-c585-4337-8294-73de4bffbb75</errorID>
      <errorWord>国家级</errorWord>
      <group>L1_Word</group>
      <groupName>字词问题</groupName>
      <ability>L2_Typo</ability>
      <abilityName>字词错误</abilityName>
      <candidateList>
        <item>以国家级</item>
      </candidateList>
      <explain/>
      <paraID>2AACA8F8</paraID>
      <start>156</start>
      <end>159</end>
      <status>unmodified</status>
      <modifiedWord/>
      <trackRevisions>false</trackRevisions>
    </reviewItem>
    <reviewItem>
      <errorID>7209bf4a-3e30-4d36-839d-7d5ba531f612</errorID>
      <errorWord>市级</errorWord>
      <group>L1_Word</group>
      <groupName>字词问题</groupName>
      <ability>L2_Typo</ability>
      <abilityName>字词错误</abilityName>
      <candidateList>
        <item>以市级</item>
      </candidateList>
      <explain/>
      <paraID>2AACA8F8</paraID>
      <start>163</start>
      <end>165</end>
      <status>unmodified</status>
      <modifiedWord/>
      <trackRevisions>false</trackRevisions>
    </reviewItem>
    <reviewItem>
      <errorID>300b03f6-0936-45ec-a11b-6c83027c1da3</errorID>
      <errorWord>重点科技创新平台</errorWord>
      <group>L1_Political</group>
      <groupName>政治性问题</groupName>
      <ability>L2_Keyword</ability>
      <abilityName>固定表述</abilityName>
      <candidateList>
        <item>重大科技创新平台</item>
      </candidateList>
      <explain>词汇“重大科技创新平台”在特定场景下为固定表述形式，请确认此处的“重点科技创新平台”是否存在不当。</explain>
      <paraID>5B9E325D</paraID>
      <start>4</start>
      <end>12</end>
      <status>unmodified</status>
      <modifiedWord/>
      <trackRevisions>false</trackRevisions>
    </reviewItem>
    <reviewItem>
      <errorID>3ac3e15b-c799-444e-b2bb-eb8ae82c19b1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3456EB6F</paraID>
      <start>0</start>
      <end>2</end>
      <status>unmodified</status>
      <modifiedWord/>
      <trackRevisions>false</trackRevisions>
    </reviewItem>
    <reviewItem>
      <errorID>41513e0e-0cd2-4721-b471-48c429bf5da5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5BBE2BBE</paraID>
      <start>0</start>
      <end>2</end>
      <status>unmodified</status>
      <modifiedWord/>
      <trackRevisions>false</trackRevisions>
    </reviewItem>
    <reviewItem>
      <errorID>4951b70c-f364-4354-9d29-f853b4581098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1FF5C216</paraID>
      <start>0</start>
      <end>2</end>
      <status>unmodified</status>
      <modifiedWord/>
      <trackRevisions>false</trackRevisions>
    </reviewItem>
    <reviewItem>
      <errorID>7b3f65a1-9cb6-4f3f-bd9e-2b1420dd71df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10161DF2</paraID>
      <start>0</start>
      <end>2</end>
      <status>unmodified</status>
      <modifiedWord/>
      <trackRevisions>false</trackRevisions>
    </reviewItem>
    <reviewItem>
      <errorID>cf3fbc0e-6f55-411f-8071-6cadb9e1c6dd</errorID>
      <errorWord>优质</errorWord>
      <group>L1_Word</group>
      <groupName>字词问题</groupName>
      <ability>L2_Typo</ability>
      <abilityName>字词错误</abilityName>
      <candidateList>
        <item>的优质</item>
      </candidateList>
      <explain/>
      <paraID>438E599C</paraID>
      <start>210</start>
      <end>212</end>
      <status>unmodified</status>
      <modifiedWord/>
      <trackRevisions>false</trackRevisions>
    </reviewItem>
    <reviewItem>
      <errorID>76151f23-ea68-4264-b1ba-432118f53407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753A0FF2</paraID>
      <start>0</start>
      <end>2</end>
      <status>unmodified</status>
      <modifiedWord/>
      <trackRevisions>false</trackRevisions>
    </reviewItem>
    <reviewItem>
      <errorID>38c2d622-f177-463e-a127-ce6636497915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581ADF8B</paraID>
      <start>0</start>
      <end>2</end>
      <status>unmodified</status>
      <modifiedWord/>
      <trackRevisions>false</trackRevisions>
    </reviewItem>
    <reviewItem>
      <errorID>82a7eacd-7537-4346-a323-10fdadddc632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6791F74B</paraID>
      <start>0</start>
      <end>2</end>
      <status>unmodified</status>
      <modifiedWord/>
      <trackRevisions>false</trackRevisions>
    </reviewItem>
    <reviewItem>
      <errorID>54e34809-5816-4688-8c4c-69330ad2cbe9</errorID>
      <errorWord>高水平</errorWord>
      <group>L1_Word</group>
      <groupName>字词问题</groupName>
      <ability>L2_Typo</ability>
      <abilityName>字词错误</abilityName>
      <candidateList>
        <item>以高水平</item>
      </candidateList>
      <explain/>
      <paraID>4F69EC61</paraID>
      <start>6</start>
      <end>9</end>
      <status>unmodified</status>
      <modifiedWord/>
      <trackRevisions>false</trackRevisions>
    </reviewItem>
    <reviewItem>
      <errorID>4f5d1c18-5598-4e04-9752-438385e4048e</errorID>
      <errorWord>科技成果</errorWord>
      <group>L1_Word</group>
      <groupName>字词问题</groupName>
      <ability>L2_Typo</ability>
      <abilityName>字词错误</abilityName>
      <candidateList>
        <item>的科技成果</item>
      </candidateList>
      <explain/>
      <paraID>4EC5BCB3</paraID>
      <start>39</start>
      <end>43</end>
      <status>unmodified</status>
      <modifiedWord/>
      <trackRevisions>false</trackRevisions>
    </reviewItem>
    <reviewItem>
      <errorID>f8804a17-5ddb-4276-9c2c-57198c11561e</errorID>
      <errorWord>、</errorWord>
      <group>L1_Grammar</group>
      <groupName>语法问题</groupName>
      <ability>L2_Grammar</ability>
      <abilityName>语法错误</abilityName>
      <candidateList>
        <item>功能、</item>
      </candidateList>
      <explain/>
      <paraID>4EC5BCB3</paraID>
      <start>45</start>
      <end>46</end>
      <status>unmodified</status>
      <modifiedWord/>
      <trackRevisions>false</trackRevisions>
    </reviewItem>
    <reviewItem>
      <errorID>c742ddfc-4624-47f3-9b3f-ca3c2e7a9781</errorID>
      <errorWord>企业</errorWord>
      <group>L1_Word</group>
      <groupName>字词问题</groupName>
      <ability>L2_Typo</ability>
      <abilityName>字词错误</abilityName>
      <candidateList>
        <item>的企业</item>
      </candidateList>
      <explain/>
      <paraID>4EC5BCB3</paraID>
      <start>56</start>
      <end>58</end>
      <status>unmodified</status>
      <modifiedWord/>
      <trackRevisions>false</trackRevisions>
    </reviewItem>
    <reviewItem>
      <errorID>2756b4e7-8bb0-4787-8f3b-8f4b92bbdf46</errorID>
      <errorWord>资源</errorWord>
      <group>L1_Word</group>
      <groupName>字词问题</groupName>
      <ability>L2_Typo</ability>
      <abilityName>字词错误</abilityName>
      <candidateList>
        <item>的资源</item>
      </candidateList>
      <explain/>
      <paraID>4EC5BCB3</paraID>
      <start>96</start>
      <end>98</end>
      <status>unmodified</status>
      <modifiedWord/>
      <trackRevisions>false</trackRevisions>
    </reviewItem>
    <reviewItem>
      <errorID>d39c04d9-2a00-4468-8dc5-207e05cb0b79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75A650</paraID>
      <start>0</start>
      <end>2</end>
      <status>unmodified</status>
      <modifiedWord/>
      <trackRevisions>false</trackRevisions>
    </reviewItem>
    <reviewItem>
      <errorID>f986fe2a-c86e-433c-9bd1-21b839408d95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1DE0F281</paraID>
      <start>0</start>
      <end>2</end>
      <status>unmodified</status>
      <modifiedWord/>
      <trackRevisions>false</trackRevisions>
    </reviewItem>
    <reviewItem>
      <errorID>dfd73258-22c4-4bd3-a726-fb2ee058d8e8</errorID>
      <errorWord> </errorWord>
      <group>L1_Punc</group>
      <groupName>标点问题</groupName>
      <ability>L2_Punc</ability>
      <abilityName>标点符号检查</abilityName>
      <candidateList>
        <item/>
      </candidateList>
      <explain>此处空格冗余，建议删除。</explain>
      <paraID>1DE0F281</paraID>
      <start>150</start>
      <end>151</end>
      <status>unmodified</status>
      <modifiedWord/>
      <trackRevisions>false</trackRevisions>
    </reviewItem>
    <reviewItem>
      <errorID>0ba34e50-4d9b-4745-b3b0-7125559594fa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20551D3B</paraID>
      <start>0</start>
      <end>2</end>
      <status>unmodified</status>
      <modifiedWord/>
      <trackRevisions>false</trackRevisions>
    </reviewItem>
    <reviewItem>
      <errorID>c82ccf6e-156c-4360-8270-d73445555159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C0655F8</paraID>
      <start>0</start>
      <end>2</end>
      <status>unmodified</status>
      <modifiedWord/>
      <trackRevisions>false</trackRevisions>
    </reviewItem>
    <reviewItem>
      <errorID>9142e49b-e72c-4d11-9f1d-914e34407bf6</errorID>
      <errorWord>大学城</errorWord>
      <group>L1_Word</group>
      <groupName>字词问题</groupName>
      <ability>L2_Typo</ability>
      <abilityName>字词错误</abilityName>
      <candidateList>
        <item>以大学城</item>
      </candidateList>
      <explain/>
      <paraID>7CCB304A</paraID>
      <start>6</start>
      <end>9</end>
      <status>unmodified</status>
      <modifiedWord/>
      <trackRevisions>false</trackRevisions>
    </reviewItem>
    <reviewItem>
      <errorID>5969cc96-beb1-42e1-b0d6-cd446708dda4</errorID>
      <errorWord>改革</errorWord>
      <group>L1_Word</group>
      <groupName>字词问题</groupName>
      <ability>L2_Typo</ability>
      <abilityName>字词错误</abilityName>
      <candidateList>
        <item>的改革</item>
      </candidateList>
      <explain/>
      <paraID>13A44281</paraID>
      <start>12</start>
      <end>14</end>
      <status>unmodified</status>
      <modifiedWord/>
      <trackRevisions>false</trackRevisions>
    </reviewItem>
    <reviewItem>
      <errorID>aa3cf92e-2d1f-4ddd-b3e7-4e2fde526fec</errorID>
      <errorWord>。</errorWord>
      <group>L1_Grammar</group>
      <groupName>语法问题</groupName>
      <ability>L2_Grammar</ability>
      <abilityName>语法错误</abilityName>
      <candidateList>
        <item>模式。</item>
      </candidateList>
      <explain/>
      <paraID>13A44281</paraID>
      <start>52</start>
      <end>53</end>
      <status>unmodified</status>
      <modifiedWord/>
      <trackRevisions>false</trackRevisions>
    </reviewItem>
    <reviewItem>
      <errorID>dc955d59-5be1-43c1-bbe6-eb8dbd871e11</errorID>
      <errorWord>。</errorWord>
      <group>L1_Punc</group>
      <groupName>标点问题</groupName>
      <ability>L2_Punc</ability>
      <abilityName>标点符号检查</abilityName>
      <candidateList>
        <item>，</item>
      </candidateList>
      <explain/>
      <paraID>644136A0</paraID>
      <start>10</start>
      <end>11</end>
      <status>unmodified</status>
      <modifiedWord/>
      <trackRevisions>false</trackRevisions>
    </reviewItem>
    <reviewItem>
      <errorID>b147fca8-7cee-48f6-8d1d-e4bf454ee648</errorID>
      <errorWord>。</errorWord>
      <group>L1_Punc</group>
      <groupName>标点问题</groupName>
      <ability>L2_Punc</ability>
      <abilityName>标点符号检查</abilityName>
      <candidateList>
        <item>，</item>
      </candidateList>
      <explain/>
      <paraID>6777CD8E</paraID>
      <start>15</start>
      <end>16</end>
      <status>unmodified</status>
      <modifiedWord/>
      <trackRevisions>false</trackRevisions>
    </reviewItem>
    <reviewItem>
      <errorID>b523e228-75c9-4382-aad7-d616e600b602</errorID>
      <errorWord>“</errorWord>
      <group>L1_Word</group>
      <groupName>字词问题</groupName>
      <ability>L2_Typo</ability>
      <abilityName>字词错误</abilityName>
      <candidateList>
        <item>以“</item>
      </candidateList>
      <explain/>
      <paraID>64CD0BFE</paraID>
      <start>29</start>
      <end>30</end>
      <status>unmodified</status>
      <modifiedWord/>
      <trackRevisions>false</trackRevisions>
    </reviewItem>
    <reviewItem>
      <errorID>40326a6b-9ce5-4ead-b3d8-aaffd8cae871</errorID>
      <errorWord>予以</errorWord>
      <group>L1_Word</group>
      <groupName>字词问题</groupName>
      <ability>L2_Typo</ability>
      <abilityName>字词错误</abilityName>
      <candidateList>
        <item>进行</item>
      </candidateList>
      <explain/>
      <paraID>64CD0BFE</paraID>
      <start>107</start>
      <end>109</end>
      <status>unmodified</status>
      <modifiedWord/>
      <trackRevisions>false</trackRevisions>
    </reviewItem>
    <reviewItem>
      <errorID>d44af9c6-8446-442e-8ffe-e1ac4557cbe5</errorID>
      <errorWord>高校</errorWord>
      <group>L1_Word</group>
      <groupName>字词问题</groupName>
      <ability>L2_Typo</ability>
      <abilityName>字词错误</abilityName>
      <candidateList>
        <item>在高校</item>
      </candidateList>
      <explain/>
      <paraID>64CD0BFE</paraID>
      <start>180</start>
      <end>182</end>
      <status>unmodified</status>
      <modifiedWord/>
      <trackRevisions>false</trackRevisions>
    </reviewItem>
    <reviewItem>
      <errorID>3c3682bc-50d5-4237-a06f-a5b221d4b55f</errorID>
      <errorWord>的</errorWord>
      <group>L1_Word</group>
      <groupName>字词问题</groupName>
      <ability>L2_Typo</ability>
      <abilityName>字词错误</abilityName>
      <candidateList>
        <item>等</item>
      </candidateList>
      <explain/>
      <paraID>64CD0BFE</paraID>
      <start>194</start>
      <end>195</end>
      <status>unmodified</status>
      <modifiedWord/>
      <trackRevisions>false</trackRevisions>
    </reviewItem>
    <reviewItem>
      <errorID>d256482a-0d11-4c8d-b1ba-9f5972f11de5</errorID>
      <errorWord>支持</errorWord>
      <group>L1_Word</group>
      <groupName>字词问题</groupName>
      <ability>L2_Typo</ability>
      <abilityName>字词错误</abilityName>
      <candidateList>
        <item>等支持</item>
      </candidateList>
      <explain/>
      <paraID>64CD0BFE</paraID>
      <start>226</start>
      <end>228</end>
      <status>unmodified</status>
      <modifiedWord/>
      <trackRevisions>false</trackRevisions>
    </reviewItem>
    <reviewItem>
      <errorID>229caaf1-cd7a-412d-98e8-37d90708ee04</errorID>
      <errorWord>改革</errorWord>
      <group>L1_Word</group>
      <groupName>字词问题</groupName>
      <ability>L2_Typo</ability>
      <abilityName>字词错误</abilityName>
      <candidateList>
        <item>的改革</item>
      </candidateList>
      <explain/>
      <paraID>64CD0BFE</paraID>
      <start>234</start>
      <end>236</end>
      <status>unmodified</status>
      <modifiedWord/>
      <trackRevisions>false</trackRevisions>
    </reviewItem>
    <reviewItem>
      <errorID>39382183-69df-4ace-8036-441bcaf4df8e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2359D0E8</paraID>
      <start>0</start>
      <end>2</end>
      <status>unmodified</status>
      <modifiedWord/>
      <trackRevisions>false</trackRevisions>
    </reviewItem>
    <reviewItem>
      <errorID>4c73eb4d-fb58-4866-99b0-46889997f83c</errorID>
      <errorWord>把</errorWord>
      <group>L1_Word</group>
      <groupName>字词问题</groupName>
      <ability>L2_Typo</ability>
      <abilityName>字词错误</abilityName>
      <candidateList>
        <item>将</item>
      </candidateList>
      <explain/>
      <paraID>2359D0E8</paraID>
      <start>50</start>
      <end>51</end>
      <status>unmodified</status>
      <modifiedWord/>
      <trackRevisions>false</trackRevisions>
    </reviewItem>
    <reviewItem>
      <errorID>1d801499-c9e9-464e-9d66-5d17b1a6ccc6</errorID>
      <errorWord>及</errorWord>
      <group>L1_Word</group>
      <groupName>字词问题</groupName>
      <ability>L2_Typo</ability>
      <abilityName>字词错误</abilityName>
      <candidateList>
        <item>、</item>
      </candidateList>
      <explain/>
      <paraID>2359D0E8</paraID>
      <start>67</start>
      <end>68</end>
      <status>unmodified</status>
      <modifiedWord/>
      <trackRevisions>false</trackRevisions>
    </reviewItem>
    <reviewItem>
      <errorID>a897064d-4517-49f5-88a6-bdb3bfa62178</errorID>
      <errorWord>、</errorWord>
      <group>L1_Word</group>
      <groupName>字词问题</groupName>
      <ability>L2_Typo</ability>
      <abilityName>字词错误</abilityName>
      <candidateList>
        <item>和</item>
      </candidateList>
      <explain/>
      <paraID>2359D0E8</paraID>
      <start>74</start>
      <end>75</end>
      <status>unmodified</status>
      <modifiedWord/>
      <trackRevisions>false</trackRevisions>
    </reviewItem>
    <reviewItem>
      <errorID>dc65cdd5-8879-4676-a255-58c28fb123bc</errorID>
      <errorWord>使用权</errorWord>
      <group>L1_Word</group>
      <groupName>字词问题</groupName>
      <ability>L2_Typo</ability>
      <abilityName>字词错误</abilityName>
      <candidateList>
        <item>的使用权</item>
      </candidateList>
      <explain/>
      <paraID>2359D0E8</paraID>
      <start>113</start>
      <end>116</end>
      <status>unmodified</status>
      <modifiedWord/>
      <trackRevisions>false</trackRevisions>
    </reviewItem>
    <reviewItem>
      <errorID>f80ffab4-1c5c-4ad3-ac23-17950830526a</errorID>
      <errorWord>加速</errorWord>
      <group>L1_Word</group>
      <groupName>字词问题</groupName>
      <ability>L2_Typo</ability>
      <abilityName>字词错误</abilityName>
      <candidateList>
        <item>以加速</item>
      </candidateList>
      <explain/>
      <paraID>2359D0E8</paraID>
      <start>135</start>
      <end>137</end>
      <status>unmodified</status>
      <modifiedWord/>
      <trackRevisions>false</trackRevisions>
    </reviewItem>
    <reviewItem>
      <errorID>8b268f84-d552-4650-8994-ec8080c3ba41</errorID>
      <errorWord>增值</errorWord>
      <group>L1_Word</group>
      <groupName>字词问题</groupName>
      <ability>L2_Typo</ability>
      <abilityName>字词错误</abilityName>
      <candidateList>
        <item>的增值</item>
      </candidateList>
      <explain/>
      <paraID>2359D0E8</paraID>
      <start>139</start>
      <end>141</end>
      <status>unmodified</status>
      <modifiedWord/>
      <trackRevisions>false</trackRevisions>
    </reviewItem>
    <reviewItem>
      <errorID>8ed68efc-f969-461f-b4c5-9e7d000285ca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7038741B</paraID>
      <start>0</start>
      <end>2</end>
      <status>unmodified</status>
      <modifiedWord/>
      <trackRevisions>false</trackRevisions>
    </reviewItem>
    <reviewItem>
      <errorID>a6d5b2ad-e042-4cf3-82ed-8af7b2c4fcdb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1D8D5ED3</paraID>
      <start>0</start>
      <end>2</end>
      <status>unmodified</status>
      <modifiedWord/>
      <trackRevisions>false</trackRevisions>
    </reviewItem>
    <reviewItem>
      <errorID>956a0e7a-ecb2-4986-a257-54fa3ccaa014</errorID>
      <errorWord>先投（研）后股</errorWord>
      <group>L1_Punc</group>
      <groupName>标点问题</groupName>
      <ability>L2_Punc</ability>
      <abilityName>标点符号检查</abilityName>
      <candidateList>
        <item>“先投（研）后股”</item>
      </candidateList>
      <explain/>
      <paraID>1D8D5ED3</paraID>
      <start>28</start>
      <end>35</end>
      <status>unmodified</status>
      <modifiedWord/>
      <trackRevisions>false</trackRevisions>
    </reviewItem>
    <reviewItem>
      <errorID>04c1e4b9-f09d-48cf-8240-eb397da681e3</errorID>
      <errorWord>，</errorWord>
      <group>L1_Punc</group>
      <groupName>标点问题</groupName>
      <ability>L2_Punc</ability>
      <abilityName>标点符号检查</abilityName>
      <candidateList>
        <item>；</item>
      </candidateList>
      <explain/>
      <paraID>1D8D5ED3</paraID>
      <start>83</start>
      <end>84</end>
      <status>unmodified</status>
      <modifiedWord/>
      <trackRevisions>false</trackRevisions>
    </reviewItem>
    <reviewItem>
      <errorID>ec2eaad8-6451-47f0-b8e2-6e531fe20582</errorID>
      <errorWord>实现</errorWord>
      <group>L1_Word</group>
      <groupName>字词问题</groupName>
      <ability>L2_Typo</ability>
      <abilityName>字词错误</abilityName>
      <candidateList>
        <item>以实现</item>
      </candidateList>
      <explain/>
      <paraID>1D8D5ED3</paraID>
      <start>130</start>
      <end>132</end>
      <status>unmodified</status>
      <modifiedWord/>
      <trackRevisions>false</trackRevisions>
    </reviewItem>
    <reviewItem>
      <errorID>6344e6c7-dd65-4701-8b0e-21fe60181016</errorID>
      <errorWord>吋</errorWord>
      <group>L1_Word</group>
      <groupName>字词问题</groupName>
      <ability>L2_Variant</ability>
      <abilityName>异形词</abilityName>
      <candidateList>
        <item>英寸</item>
      </candidateList>
      <explain>词汇[吋]的规范词形写作[英寸]。</explain>
      <paraID>4B10C662</paraID>
      <start>348</start>
      <end>349</end>
      <status>unmodified</status>
      <modifiedWord/>
      <trackRevisions>false</trackRevisions>
    </reviewItem>
    <reviewItem>
      <errorID>c557bdd5-160a-42ca-8cee-133ef482168b</errorID>
      <errorWord>吋</errorWord>
      <group>L1_Word</group>
      <groupName>字词问题</groupName>
      <ability>L2_Variant</ability>
      <abilityName>异形词</abilityName>
      <candidateList>
        <item>英寸</item>
      </candidateList>
      <explain>词汇[吋]的规范词形写作[英寸]。</explain>
      <paraID>4B10C662</paraID>
      <start>983</start>
      <end>984</end>
      <status>unmodified</status>
      <modifiedWord/>
      <trackRevisions>false</trackRevisions>
    </reviewItem>
    <reviewItem>
      <errorID>88e55365-523d-4dba-96bc-3d434594e973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21B56EB9</paraID>
      <start>0</start>
      <end>2</end>
      <status>unmodified</status>
      <modifiedWord/>
      <trackRevisions>false</trackRevisions>
    </reviewItem>
    <reviewItem>
      <errorID>10ab63c8-55e5-4c4c-b74a-db545e869759</errorID>
      <errorWord>RISC</errorWord>
      <group>L1_Word</group>
      <groupName>字词问题</groupName>
      <ability>L2_Typo</ability>
      <abilityName>字词错误</abilityName>
      <candidateList>
        <item>的RISC</item>
      </candidateList>
      <explain/>
      <paraID>21B56EB9</paraID>
      <start>59</start>
      <end>63</end>
      <status>unmodified</status>
      <modifiedWord/>
      <trackRevisions>false</trackRevisions>
    </reviewItem>
    <reviewItem>
      <errorID>626c0fdd-b32c-4a05-aa0e-21a894255424</errorID>
      <errorWord>，</errorWord>
      <group>L1_Grammar</group>
      <groupName>语法问题</groupName>
      <ability>L2_Grammar</ability>
      <abilityName>语法错误</abilityName>
      <candidateList>
        <item>能力，</item>
      </candidateList>
      <explain/>
      <paraID>21B56EB9</paraID>
      <start>97</start>
      <end>98</end>
      <status>unmodified</status>
      <modifiedWord/>
      <trackRevisions>false</trackRevisions>
    </reviewItem>
    <reviewItem>
      <errorID>3d22736b-4779-4bfe-8438-50495b6e157a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4882941F</paraID>
      <start>0</start>
      <end>2</end>
      <status>unmodified</status>
      <modifiedWord/>
      <trackRevisions>false</trackRevisions>
    </reviewItem>
    <reviewItem>
      <errorID>ff46c760-04c7-4391-9450-2b29db45cd19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16BC93CF</paraID>
      <start>0</start>
      <end>2</end>
      <status>unmodified</status>
      <modifiedWord/>
      <trackRevisions>false</trackRevisions>
    </reviewItem>
    <reviewItem>
      <errorID>80a82ae4-5b6f-48a7-8cdc-24a88b0d74f4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71F05EEC</paraID>
      <start>0</start>
      <end>2</end>
      <status>unmodified</status>
      <modifiedWord/>
      <trackRevisions>false</trackRevisions>
    </reviewItem>
    <reviewItem>
      <errorID>8bf8d6a2-74ef-4391-90bd-a4db98ec793c</errorID>
      <errorWord>地图</errorWord>
      <group>L1_Punc</group>
      <groupName>标点问题</groupName>
      <ability>L2_Punc</ability>
      <abilityName>标点符号检查</abilityName>
      <candidateList>
        <item>地图。</item>
      </candidateList>
      <explain/>
      <paraID> 69B6681</paraID>
      <start>10</start>
      <end>12</end>
      <status>unmodified</status>
      <modifiedWord/>
      <trackRevisions>false</trackRevisions>
    </reviewItem>
    <reviewItem>
      <errorID>69ba6b62-0d43-4d41-a4a6-dbe4b959b745</errorID>
      <errorWord>都</errorWord>
      <group>L1_Punc</group>
      <groupName>标点问题</groupName>
      <ability>L2_Punc</ability>
      <abilityName>标点符号检查</abilityName>
      <candidateList>
        <item>都。</item>
      </candidateList>
      <explain/>
      <paraID>345D9CB3</paraID>
      <start>27</start>
      <end>28</end>
      <status>unmodified</status>
      <modifiedWord/>
      <trackRevisions>false</trackRevisions>
    </reviewItem>
    <reviewItem>
      <errorID>a2449dc9-3f8f-4b13-82eb-b65e8a1b05a1</errorID>
      <errorWord>。</errorWord>
      <group>L1_Punc</group>
      <groupName>标点问题</groupName>
      <ability>L2_Punc</ability>
      <abilityName>标点符号检查</abilityName>
      <candidateList>
        <item>：</item>
      </candidateList>
      <explain/>
      <paraID>6353181E</paraID>
      <start>11</start>
      <end>12</end>
      <status>unmodified</status>
      <modifiedWord/>
      <trackRevisions>false</trackRevisions>
    </reviewItem>
    <reviewItem>
      <errorID>83dda0a2-b4dd-4caa-8df6-2ee83878d46d</errorID>
      <errorWord>。</errorWord>
      <group>L1_Punc</group>
      <groupName>标点问题</groupName>
      <ability>L2_Punc</ability>
      <abilityName>标点符号检查</abilityName>
      <candidateList>
        <item>：</item>
      </candidateList>
      <explain/>
      <paraID>77830A17</paraID>
      <start>7</start>
      <end>8</end>
      <status>unmodified</status>
      <modifiedWord/>
      <trackRevisions>false</trackRevisions>
    </reviewItem>
    <reviewItem>
      <errorID>866dda99-ec9e-4995-8b94-d7318b38d967</errorID>
      <errorWord>。</errorWord>
      <group>L1_Punc</group>
      <groupName>标点问题</groupName>
      <ability>L2_Punc</ability>
      <abilityName>标点符号检查</abilityName>
      <candidateList>
        <item>：</item>
      </candidateList>
      <explain/>
      <paraID>707C8471</paraID>
      <start>8</start>
      <end>9</end>
      <status>unmodified</status>
      <modifiedWord/>
      <trackRevisions>false</trackRevisions>
    </reviewItem>
    <reviewItem>
      <errorID>a1905c39-c391-494d-b195-dc2976b315fb</errorID>
      <errorWord>领域</errorWord>
      <group>L1_Punc</group>
      <groupName>标点问题</groupName>
      <ability>L2_Punc</ability>
      <abilityName>标点符号检查</abilityName>
      <candidateList>
        <item>领域。</item>
      </candidateList>
      <explain/>
      <paraID>6761C05D</paraID>
      <start>14</start>
      <end>16</end>
      <status>unmodified</status>
      <modifiedWord/>
      <trackRevisions>false</trackRevisions>
    </reviewItem>
    <reviewItem>
      <errorID>4208d487-e826-4183-b81c-77c5f74299ec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77CB740E</paraID>
      <start>0</start>
      <end>2</end>
      <status>unmodified</status>
      <modifiedWord/>
      <trackRevisions>false</trackRevisions>
    </reviewItem>
    <reviewItem>
      <errorID>b22e45e1-de37-42ee-a47d-39b37dba2366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DC6D8B7</paraID>
      <start>0</start>
      <end>2</end>
      <status>unmodified</status>
      <modifiedWord/>
      <trackRevisions>false</trackRevisions>
    </reviewItem>
    <reviewItem>
      <errorID>a94b275f-c071-4d58-a643-7424dda4691b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55C89E4</paraID>
      <start>0</start>
      <end>2</end>
      <status>unmodified</status>
      <modifiedWord/>
      <trackRevisions>false</trackRevisions>
    </reviewItem>
    <reviewItem>
      <errorID>f51b5e0f-55ba-4060-b0e5-a5cf81cb54c3</errorID>
      <errorWord>领域。</errorWord>
      <group>L1_Grammar</group>
      <groupName>语法问题</groupName>
      <ability>L2_Grammar</ability>
      <abilityName>语法错误</abilityName>
      <candidateList>
        <item>等领域的相关产业。</item>
      </candidateList>
      <explain/>
      <paraID> 55C89E4</paraID>
      <start>192</start>
      <end>195</end>
      <status>unmodified</status>
      <modifiedWord/>
      <trackRevisions>false</trackRevisions>
    </reviewItem>
    <reviewItem>
      <errorID>2e0e4fd0-5dc7-4541-82f5-984c0f8a6a86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29CF05C4</paraID>
      <start>0</start>
      <end>2</end>
      <status>unmodified</status>
      <modifiedWord/>
      <trackRevisions>false</trackRevisions>
    </reviewItem>
    <reviewItem>
      <errorID>5e472c26-749f-450f-874f-38ff0b9f8aa8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14202C57</paraID>
      <start>0</start>
      <end>2</end>
      <status>unmodified</status>
      <modifiedWord/>
      <trackRevisions>false</trackRevisions>
    </reviewItem>
    <reviewItem>
      <errorID>66c3ff8b-dadc-410b-b28f-4d545d02c242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655DC1D7</paraID>
      <start>0</start>
      <end>2</end>
      <status>unmodified</status>
      <modifiedWord/>
      <trackRevisions>false</trackRevisions>
    </reviewItem>
    <reviewItem>
      <errorID>9665eb7b-0ba8-433f-ad3e-6dd466286e58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24645CFE</paraID>
      <start>0</start>
      <end>2</end>
      <status>unmodified</status>
      <modifiedWord/>
      <trackRevisions>false</trackRevisions>
    </reviewItem>
    <reviewItem>
      <errorID>48f4b4a5-6f52-4c89-9a98-7646b01e3e24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2CE5AB9B</paraID>
      <start>0</start>
      <end>2</end>
      <status>unmodified</status>
      <modifiedWord/>
      <trackRevisions>false</trackRevisions>
    </reviewItem>
    <reviewItem>
      <errorID>6d18803d-f589-47d3-aa1d-c88510cec818</errorID>
      <errorWord>，</errorWord>
      <group>L1_Punc</group>
      <groupName>标点问题</groupName>
      <ability>L2_Punc</ability>
      <abilityName>标点符号检查</abilityName>
      <candidateList>
        <item>：</item>
      </candidateList>
      <explain/>
      <paraID>1A9AB285</paraID>
      <start>494</start>
      <end>495</end>
      <status>unmodified</status>
      <modifiedWord/>
      <trackRevisions>false</trackRevisions>
    </reviewItem>
    <reviewItem>
      <errorID>3e157946-ca1a-4a78-8399-2c7099919d33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5E122B6D</paraID>
      <start>0</start>
      <end>2</end>
      <status>unmodified</status>
      <modifiedWord/>
      <trackRevisions>false</trackRevisions>
    </reviewItem>
    <reviewItem>
      <errorID>dabd154c-e68a-41f4-8a03-8d6352be6cd4</errorID>
      <errorWord>临床</errorWord>
      <group>L1_Word</group>
      <groupName>字词问题</groupName>
      <ability>L2_Typo</ability>
      <abilityName>字词错误</abilityName>
      <candidateList>
        <item>的临床</item>
      </candidateList>
      <explain/>
      <paraID>5E122B6D</paraID>
      <start>152</start>
      <end>154</end>
      <status>unmodified</status>
      <modifiedWord/>
      <trackRevisions>false</trackRevisions>
    </reviewItem>
    <reviewItem>
      <errorID>841ee451-9994-43a7-a1f5-bf6651a185e9</errorID>
      <errorWord>和临床研究</errorWord>
      <group>L1_Grammar</group>
      <groupName>语法问题</groupName>
      <ability>L2_Grammar</ability>
      <abilityName>语法错误</abilityName>
      <candidateList>
        <item>和</item>
      </candidateList>
      <explain/>
      <paraID>5E122B6D</paraID>
      <start>156</start>
      <end>161</end>
      <status>unmodified</status>
      <modifiedWord/>
      <trackRevisions>false</trackRevisions>
    </reviewItem>
    <reviewItem>
      <errorID>2b47f309-7429-411b-8377-bba121ee597f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46FE3378</paraID>
      <start>0</start>
      <end>2</end>
      <status>unmodified</status>
      <modifiedWord/>
      <trackRevisions>false</trackRevisions>
    </reviewItem>
    <reviewItem>
      <errorID>bff98920-7bd8-4aec-b003-a2919b08d5ca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658D19B3</paraID>
      <start>0</start>
      <end>2</end>
      <status>unmodified</status>
      <modifiedWord/>
      <trackRevisions>false</trackRevisions>
    </reviewItem>
    <reviewItem>
      <errorID>8c2ea34f-5f76-4ae7-9d5b-a77ea7bd4e05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7DC8F655</paraID>
      <start>0</start>
      <end>2</end>
      <status>unmodified</status>
      <modifiedWord/>
      <trackRevisions>false</trackRevisions>
    </reviewItem>
    <reviewItem>
      <errorID>5af004ba-1510-4892-b046-a72df9b10a8c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45C510B8</paraID>
      <start>0</start>
      <end>2</end>
      <status>unmodified</status>
      <modifiedWord/>
      <trackRevisions>false</trackRevisions>
    </reviewItem>
    <reviewItem>
      <errorID>f5b8d9ac-1dae-48c5-8f18-b28140d9df21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148944BF</paraID>
      <start>0</start>
      <end>2</end>
      <status>unmodified</status>
      <modifiedWord/>
      <trackRevisions>false</trackRevisions>
    </reviewItem>
    <reviewItem>
      <errorID>1cdc1e85-b2f7-47f2-9bfb-1f0f1ff8f433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702EE3FE</paraID>
      <start>0</start>
      <end>2</end>
      <status>unmodified</status>
      <modifiedWord/>
      <trackRevisions>false</trackRevisions>
    </reviewItem>
    <reviewItem>
      <errorID>994ffe4a-b794-4c3e-a9f8-dce8f656faf9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44E17730</paraID>
      <start>0</start>
      <end>2</end>
      <status>unmodified</status>
      <modifiedWord/>
      <trackRevisions>false</trackRevisions>
    </reviewItem>
    <reviewItem>
      <errorID>4c68d1fb-cdad-49f6-8583-50e1aa89896f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2C34855</paraID>
      <start>0</start>
      <end>2</end>
      <status>unmodified</status>
      <modifiedWord/>
      <trackRevisions>false</trackRevisions>
    </reviewItem>
    <reviewItem>
      <errorID>3b553cfd-06d4-4a57-8a40-d2db3501ca3a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546190DD</paraID>
      <start>0</start>
      <end>2</end>
      <status>unmodified</status>
      <modifiedWord/>
      <trackRevisions>false</trackRevisions>
    </reviewItem>
    <reviewItem>
      <errorID>7c4ee6cb-80ff-4b5c-aad6-79884b2c15d8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348B2654</paraID>
      <start>0</start>
      <end>2</end>
      <status>unmodified</status>
      <modifiedWord/>
      <trackRevisions>false</trackRevisions>
    </reviewItem>
    <reviewItem>
      <errorID>490a77a2-f54e-4e09-9d39-2820f00905c6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62AC42C2</paraID>
      <start>0</start>
      <end>2</end>
      <status>unmodified</status>
      <modifiedWord/>
      <trackRevisions>false</trackRevisions>
    </reviewItem>
    <reviewItem>
      <errorID>1420cb3d-d25f-4e56-a4c1-e39c5f932472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5E483AE4</paraID>
      <start>0</start>
      <end>2</end>
      <status>unmodified</status>
      <modifiedWord/>
      <trackRevisions>false</trackRevisions>
    </reviewItem>
    <reviewItem>
      <errorID>83830502-9871-4353-9a14-012f2176f943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22319798</paraID>
      <start>0</start>
      <end>2</end>
      <status>unmodified</status>
      <modifiedWord/>
      <trackRevisions>false</trackRevisions>
    </reviewItem>
    <reviewItem>
      <errorID>ab2e872d-f5f7-471f-bb89-2237d0a83042</errorID>
      <errorWord>智融惠畅工程</errorWord>
      <group>L1_Political</group>
      <groupName>政治性问题</groupName>
      <ability>L2_Keyword</ability>
      <abilityName>固定表述</abilityName>
      <candidateList>
        <item>“智融惠畅”工程</item>
      </candidateList>
      <explain>注意检查当前固定表述标点是否使用规范。</explain>
      <paraID>759A3A0A</paraID>
      <start>4</start>
      <end>10</end>
      <status>unmodified</status>
      <modifiedWord/>
      <trackRevisions>false</trackRevisions>
    </reviewItem>
    <reviewItem>
      <errorID>d4a50693-7719-4154-af2a-d988ba1471a8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75F2B008</paraID>
      <start>0</start>
      <end>2</end>
      <status>unmodified</status>
      <modifiedWord/>
      <trackRevisions>false</trackRevisions>
    </reviewItem>
    <reviewItem>
      <errorID>6af3bec5-533c-47cc-b339-e93498b0486e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57B56C07</paraID>
      <start>0</start>
      <end>2</end>
      <status>unmodified</status>
      <modifiedWord/>
      <trackRevisions>false</trackRevisions>
    </reviewItem>
    <reviewItem>
      <errorID>cbbb8bea-9f77-4822-b55f-9010a56ee3f4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68A76916</paraID>
      <start>0</start>
      <end>2</end>
      <status>unmodified</status>
      <modifiedWord/>
      <trackRevisions>false</trackRevisions>
    </reviewItem>
    <reviewItem>
      <errorID>8544967e-ed75-4bb9-a2e3-def9abb21cbd</errorID>
      <errorWord>三农</errorWord>
      <group>L1_Political</group>
      <groupName>政治性问题</groupName>
      <ability>L2_Keyword</ability>
      <abilityName>固定表述</abilityName>
      <candidateList>
        <item>“三农”</item>
      </candidateList>
      <explain>注意检查当前固定表述标点是否使用规范。</explain>
      <paraID>68A76916</paraID>
      <start>46</start>
      <end>48</end>
      <status>unmodified</status>
      <modifiedWord/>
      <trackRevisions>false</trackRevisions>
    </reviewItem>
    <reviewItem>
      <errorID>b9e55b47-4685-412e-9668-5bfd6bfd1bde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120E3F21</paraID>
      <start>0</start>
      <end>2</end>
      <status>unmodified</status>
      <modifiedWord/>
      <trackRevisions>false</trackRevisions>
    </reviewItem>
    <reviewItem>
      <errorID>39add850-d236-41f1-8dfa-8788194a0def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35AA8E64</paraID>
      <start>0</start>
      <end>2</end>
      <status>unmodified</status>
      <modifiedWord/>
      <trackRevisions>false</trackRevisions>
    </reviewItem>
    <reviewItem>
      <errorID>db0e10bd-c2cb-4299-ad2c-adae876a7065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493A8CB0</paraID>
      <start>0</start>
      <end>2</end>
      <status>unmodified</status>
      <modifiedWord/>
      <trackRevisions>false</trackRevisions>
    </reviewItem>
    <reviewItem>
      <errorID>03bbdbb5-3578-4f47-b3f5-dd907b7adc06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654DBC1</paraID>
      <start>0</start>
      <end>2</end>
      <status>unmodified</status>
      <modifiedWord/>
      <trackRevisions>false</trackRevisions>
    </reviewItem>
    <reviewItem>
      <errorID>254716df-d5d2-41fb-bf20-3f599caad349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7E0A0A22</paraID>
      <start>0</start>
      <end>2</end>
      <status>unmodified</status>
      <modifiedWord/>
      <trackRevisions>false</trackRevisions>
    </reviewItem>
    <reviewItem>
      <errorID>da0e34de-0a83-438a-92ab-12b2afba3772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67A5D029</paraID>
      <start>0</start>
      <end>2</end>
      <status>unmodified</status>
      <modifiedWord/>
      <trackRevisions>false</trackRevisions>
    </reviewItem>
    <reviewItem>
      <errorID>a2070740-1128-4900-b37e-821960e8a67a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2CE4064</paraID>
      <start>0</start>
      <end>2</end>
      <status>unmodified</status>
      <modifiedWord/>
      <trackRevisions>false</trackRevisions>
    </reviewItem>
    <reviewItem>
      <errorID>cbe8d1b3-64ba-4a0c-b507-7e16a22ae395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6F0A6440</paraID>
      <start>0</start>
      <end>2</end>
      <status>unmodified</status>
      <modifiedWord/>
      <trackRevisions>false</trackRevisions>
    </reviewItem>
    <reviewItem>
      <errorID>ba9f16ca-ff8d-4da4-a1e0-dded7be1fa22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4B91D34E</paraID>
      <start>0</start>
      <end>2</end>
      <status>unmodified</status>
      <modifiedWord/>
      <trackRevisions>false</trackRevisions>
    </reviewItem>
    <reviewItem>
      <errorID>d90ffc02-0487-4c36-9402-979fb06ff39e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15EBCC6A</paraID>
      <start>0</start>
      <end>2</end>
      <status>unmodified</status>
      <modifiedWord/>
      <trackRevisions>false</trackRevisions>
    </reviewItem>
    <reviewItem>
      <errorID>9b5e87f0-5734-42a9-98f8-7555cc762391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682F0B7A</paraID>
      <start>0</start>
      <end>2</end>
      <status>unmodified</status>
      <modifiedWord/>
      <trackRevisions>false</trackRevisions>
    </reviewItem>
    <reviewItem>
      <errorID>6340705c-80bf-447d-ba81-951a22b608b1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7F7E4C9C</paraID>
      <start>0</start>
      <end>2</end>
      <status>unmodified</status>
      <modifiedWord/>
      <trackRevisions>false</trackRevisions>
    </reviewItem>
    <reviewItem>
      <errorID>60b9282a-a57b-450f-b3bb-a5a90e3226e4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4AD42D12</paraID>
      <start>0</start>
      <end>2</end>
      <status>unmodified</status>
      <modifiedWord/>
      <trackRevisions>false</trackRevisions>
    </reviewItem>
    <reviewItem>
      <errorID>1210fd34-2c5c-4434-ac21-0cc1652baef7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230895F1</paraID>
      <start>0</start>
      <end>2</end>
      <status>unmodified</status>
      <modifiedWord/>
      <trackRevisions>false</trackRevisions>
    </reviewItem>
    <reviewItem>
      <errorID>d3259476-4d3c-4f94-9a2a-38307f8dfdee</errorID>
      <errorWord>坚持人民城市人民建，人民城市为人民</errorWord>
      <group>L1_Political</group>
      <groupName>政治性问题</groupName>
      <ability>L2_Keyword</ability>
      <abilityName>固定表述</abilityName>
      <candidateList>
        <item>坚持人民城市人民建、人民城市为人民</item>
      </candidateList>
      <explain>注意检查当前固定表述标点是否使用规范。</explain>
      <paraID>53851608</paraID>
      <start>0</start>
      <end>17</end>
      <status>unmodified</status>
      <modifiedWord/>
      <trackRevisions>false</trackRevisions>
    </reviewItem>
    <reviewItem>
      <errorID>0dfc521b-b8b8-47ac-aa59-6972f52793d0</errorID>
      <errorWord>创新、宜居、美丽、韧性、文明、智慧现代化人民城市</errorWord>
      <group>L1_Political</group>
      <groupName>政治性问题</groupName>
      <ability>L2_Keyword</ability>
      <abilityName>固定表述</abilityName>
      <candidateList>
        <item>创新、宜居、美丽、韧性、文明、智慧的现代化人民城市</item>
      </candidateList>
      <explain>词汇“创新、宜居、美丽、韧性、文明、智慧的现代化人民城市”在特定场景下为固定表述形式，请确认此处的“创新、宜居、美丽、韧性、文明、智慧现代化人民城市”是否存在不当。</explain>
      <paraID>53851608</paraID>
      <start>22</start>
      <end>46</end>
      <status>unmodified</status>
      <modifiedWord/>
      <trackRevisions>false</trackRevisions>
    </reviewItem>
    <reviewItem>
      <errorID>1bdf5f22-e266-4dfd-a3cc-f4ff9a746f87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5D2F1F37</paraID>
      <start>0</start>
      <end>2</end>
      <status>unmodified</status>
      <modifiedWord/>
      <trackRevisions>false</trackRevisions>
    </reviewItem>
    <reviewItem>
      <errorID>ca640ce0-354f-4756-b1c7-ed6a8d920523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85D91D5</paraID>
      <start>0</start>
      <end>2</end>
      <status>unmodified</status>
      <modifiedWord/>
      <trackRevisions>false</trackRevisions>
    </reviewItem>
    <reviewItem>
      <errorID>53e2ec24-be8e-47f0-a93e-6431eec0b268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338A2CBE</paraID>
      <start>0</start>
      <end>2</end>
      <status>unmodified</status>
      <modifiedWord/>
      <trackRevisions>false</trackRevisions>
    </reviewItem>
    <reviewItem>
      <errorID>1f832669-bc5d-4cf1-b223-9f6cb7ede0b1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255CC35D</paraID>
      <start>0</start>
      <end>2</end>
      <status>unmodified</status>
      <modifiedWord/>
      <trackRevisions>false</trackRevisions>
    </reviewItem>
    <reviewItem>
      <errorID>fb28635b-71dd-48ed-aa96-d9652d37cee6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3EEA0705</paraID>
      <start>0</start>
      <end>2</end>
      <status>unmodified</status>
      <modifiedWord/>
      <trackRevisions>false</trackRevisions>
    </reviewItem>
    <reviewItem>
      <errorID>ef15a6a9-feab-4fb0-b32a-2a07a29fa46b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23C157C5</paraID>
      <start>0</start>
      <end>2</end>
      <status>unmodified</status>
      <modifiedWord/>
      <trackRevisions>false</trackRevisions>
    </reviewItem>
    <reviewItem>
      <errorID>7c019c18-26b2-401f-98e7-a9f85bbb4884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1B5B2AEB</paraID>
      <start>0</start>
      <end>2</end>
      <status>unmodified</status>
      <modifiedWord/>
      <trackRevisions>false</trackRevisions>
    </reviewItem>
    <reviewItem>
      <errorID>2783da36-377f-4085-b0a9-07c11ba6181e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201A9D22</paraID>
      <start>0</start>
      <end>2</end>
      <status>unmodified</status>
      <modifiedWord/>
      <trackRevisions>false</trackRevisions>
    </reviewItem>
    <reviewItem>
      <errorID>b033dd75-30e8-4071-aa52-0fa0050d95a8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7A599498</paraID>
      <start>0</start>
      <end>2</end>
      <status>unmodified</status>
      <modifiedWord/>
      <trackRevisions>false</trackRevisions>
    </reviewItem>
    <reviewItem>
      <errorID>d1db60c8-448c-463a-83d0-ac3dfa0bfe68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73B683D6</paraID>
      <start>0</start>
      <end>2</end>
      <status>unmodified</status>
      <modifiedWord/>
      <trackRevisions>false</trackRevisions>
    </reviewItem>
    <reviewItem>
      <errorID>60ff13b3-4f05-4bce-8f3e-80e9402ef0f0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6A965180</paraID>
      <start>0</start>
      <end>2</end>
      <status>unmodified</status>
      <modifiedWord/>
      <trackRevisions>false</trackRevisions>
    </reviewItem>
    <reviewItem>
      <errorID>9d21def9-e254-42e7-9817-747c6b229ac8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7127ECC7</paraID>
      <start>0</start>
      <end>2</end>
      <status>unmodified</status>
      <modifiedWord/>
      <trackRevisions>false</trackRevisions>
    </reviewItem>
    <reviewItem>
      <errorID>4741ff1a-884d-4436-9ca5-f49c54c91131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1DE0EBBF</paraID>
      <start>0</start>
      <end>2</end>
      <status>unmodified</status>
      <modifiedWord/>
      <trackRevisions>false</trackRevisions>
    </reviewItem>
    <reviewItem>
      <errorID>251a4030-0985-4422-a58f-1e111159f664</errorID>
      <errorWord>，</errorWord>
      <group>L1_Word</group>
      <groupName>字词问题</groupName>
      <ability>L2_Typo</ability>
      <abilityName>字词错误</abilityName>
      <candidateList>
        <item>，在</item>
      </candidateList>
      <explain/>
      <paraID>1DE0EBBF</paraID>
      <start>69</start>
      <end>70</end>
      <status>unmodified</status>
      <modifiedWord/>
      <trackRevisions>false</trackRevisions>
    </reviewItem>
    <reviewItem>
      <errorID>510df132-03f9-4b84-a669-f1bff7068448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52E95298</paraID>
      <start>0</start>
      <end>2</end>
      <status>unmodified</status>
      <modifiedWord/>
      <trackRevisions>false</trackRevisions>
    </reviewItem>
    <reviewItem>
      <errorID>f34f216a-4dcf-438d-ab6e-eea01019df10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56392992</paraID>
      <start>0</start>
      <end>2</end>
      <status>unmodified</status>
      <modifiedWord/>
      <trackRevisions>false</trackRevisions>
    </reviewItem>
    <reviewItem>
      <errorID>e4b9ff49-c52f-421a-9086-6f0688edbf8a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22A95B</paraID>
      <start>0</start>
      <end>2</end>
      <status>unmodified</status>
      <modifiedWord/>
      <trackRevisions>false</trackRevisions>
    </reviewItem>
    <reviewItem>
      <errorID>dd933169-de90-4ed1-bfd3-4a2efd0f941a</errorID>
      <errorWord>加强</errorWord>
      <group>L1_Grammar</group>
      <groupName>语法问题</groupName>
      <ability>L2_Grammar</ability>
      <abilityName>语法错误</abilityName>
      <candidateList>
        <item>加大</item>
      </candidateList>
      <explain>“加强～力度”搭配不当，建议修改为“加大～力度”。</explain>
      <paraID>  22A95B</paraID>
      <start>52</start>
      <end>54</end>
      <status>unmodified</status>
      <modifiedWord/>
      <trackRevisions>false</trackRevisions>
    </reviewItem>
    <reviewItem>
      <errorID>1b65fbdc-8394-416a-a209-a74c3c69a7ca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1D335793</paraID>
      <start>0</start>
      <end>2</end>
      <status>unmodified</status>
      <modifiedWord/>
      <trackRevisions>false</trackRevisions>
    </reviewItem>
    <reviewItem>
      <errorID>d69a276f-5da5-4cf7-abcd-f138e2ed4cc0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9783D3D</paraID>
      <start>0</start>
      <end>2</end>
      <status>unmodified</status>
      <modifiedWord/>
      <trackRevisions>false</trackRevisions>
    </reviewItem>
    <reviewItem>
      <errorID>788ed99c-545c-4a30-be85-af11d045feff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13075CED</paraID>
      <start>0</start>
      <end>2</end>
      <status>unmodified</status>
      <modifiedWord/>
      <trackRevisions>false</trackRevisions>
    </reviewItem>
    <reviewItem>
      <errorID>40239d0a-4c8f-4f1e-969f-d5e90c4375ae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217A5DA5</paraID>
      <start>0</start>
      <end>2</end>
      <status>unmodified</status>
      <modifiedWord/>
      <trackRevisions>false</trackRevisions>
    </reviewItem>
    <reviewItem>
      <errorID>21ad9fb3-57ea-44de-a5a0-e558b8a48611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ED10B31</paraID>
      <start>0</start>
      <end>2</end>
      <status>unmodified</status>
      <modifiedWord/>
      <trackRevisions>false</trackRevisions>
    </reviewItem>
    <reviewItem>
      <errorID>0512091e-1255-4300-b30e-8a3f8efcb7d0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2BDBED4E</paraID>
      <start>0</start>
      <end>2</end>
      <status>unmodified</status>
      <modifiedWord/>
      <trackRevisions>false</trackRevisions>
    </reviewItem>
    <reviewItem>
      <errorID>b6b99455-23ec-41fc-b1b4-2a65f277dfcc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DB4BEA1</paraID>
      <start>0</start>
      <end>2</end>
      <status>unmodified</status>
      <modifiedWord/>
      <trackRevisions>false</trackRevisions>
    </reviewItem>
    <reviewItem>
      <errorID>8d3cd68b-cf48-45ec-9cfb-3dfe0adac373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1E6F951D</paraID>
      <start>0</start>
      <end>2</end>
      <status>unmodified</status>
      <modifiedWord/>
      <trackRevisions>false</trackRevisions>
    </reviewItem>
    <reviewItem>
      <errorID>a0df8a5f-d96d-41a9-9e43-2d62d5e63012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540E3438</paraID>
      <start>0</start>
      <end>2</end>
      <status>unmodified</status>
      <modifiedWord/>
      <trackRevisions>false</trackRevisions>
    </reviewItem>
    <reviewItem>
      <errorID>a05b11d0-548a-4150-a8f4-f00fecba0240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9AF9FB3</paraID>
      <start>0</start>
      <end>2</end>
      <status>unmodified</status>
      <modifiedWord/>
      <trackRevisions>false</trackRevisions>
    </reviewItem>
    <reviewItem>
      <errorID>027bdf9c-01c5-4b4e-9076-b7415649c344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2AA3F112</paraID>
      <start>0</start>
      <end>2</end>
      <status>unmodified</status>
      <modifiedWord/>
      <trackRevisions>false</trackRevisions>
    </reviewItem>
    <reviewItem>
      <errorID>83e6ca09-f139-42bd-a6c8-3478e346d04b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215F9F68</paraID>
      <start>0</start>
      <end>2</end>
      <status>unmodified</status>
      <modifiedWord/>
      <trackRevisions>false</trackRevisions>
    </reviewItem>
    <reviewItem>
      <errorID>39d853bb-9b11-4dbf-bd1b-8156936dd468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3C7BD60C</paraID>
      <start>0</start>
      <end>2</end>
      <status>unmodified</status>
      <modifiedWord/>
      <trackRevisions>false</trackRevisions>
    </reviewItem>
    <reviewItem>
      <errorID>d143db2a-0580-48c2-8eaf-3cbae38071d2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51D2AE98</paraID>
      <start>0</start>
      <end>2</end>
      <status>unmodified</status>
      <modifiedWord/>
      <trackRevisions>false</trackRevisions>
    </reviewItem>
    <reviewItem>
      <errorID>4d65f593-508a-44d4-90f2-f8ba4143ac8c</errorID>
      <errorWord>妇女健康服务体系</errorWord>
      <group>L1_Political</group>
      <groupName>政治性问题</groupName>
      <ability>L2_Keyword</ability>
      <abilityName>固定表述</abilityName>
      <candidateList>
        <item>妇幼健康服务体系</item>
      </candidateList>
      <explain>词汇“妇幼健康服务体系”在特定场景下为固定表述形式，请确认此处的“妇女健康服务体系”是否存在不当。</explain>
      <paraID>7BB87111</paraID>
      <start>43</start>
      <end>51</end>
      <status>unmodified</status>
      <modifiedWord/>
      <trackRevisions>false</trackRevisions>
    </reviewItem>
    <reviewItem>
      <errorID>8074c7ea-7ba7-44b0-8642-f69273ddc807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6A87D2EE</paraID>
      <start>0</start>
      <end>2</end>
      <status>unmodified</status>
      <modifiedWord/>
      <trackRevisions>false</trackRevisions>
    </reviewItem>
    <reviewItem>
      <errorID>babb118a-5eb5-415b-80cf-4f991c6cb2d1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33C2E650</paraID>
      <start>0</start>
      <end>2</end>
      <status>unmodified</status>
      <modifiedWord/>
      <trackRevisions>false</trackRevisions>
    </reviewItem>
    <reviewItem>
      <errorID>ac40ceb9-b57d-456d-888d-57dfe27e0d7d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69DE2998</paraID>
      <start>0</start>
      <end>2</end>
      <status>unmodified</status>
      <modifiedWord/>
      <trackRevisions>false</trackRevisions>
    </reviewItem>
    <reviewItem>
      <errorID>2841130b-6f61-472e-9749-0e4d6638509b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6DFA531F</paraID>
      <start>0</start>
      <end>2</end>
      <status>unmodified</status>
      <modifiedWord/>
      <trackRevisions>false</trackRevisions>
    </reviewItem>
    <reviewItem>
      <errorID>a4237d9a-22d6-44c6-8b42-1963cb39f52e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3DA1B1DC</paraID>
      <start>0</start>
      <end>2</end>
      <status>unmodified</status>
      <modifiedWord/>
      <trackRevisions>false</trackRevisions>
    </reviewItem>
    <reviewItem>
      <errorID>d95aa75c-7764-4ab8-a7ff-6bad6ff2365e</errorID>
      <errorWord>，</errorWord>
      <group>L1_Word</group>
      <groupName>字词问题</groupName>
      <ability>L2_Typo</ability>
      <abilityName>字词错误</abilityName>
      <candidateList>
        <item>，以</item>
      </candidateList>
      <explain/>
      <paraID> DEE0F71</paraID>
      <start>189</start>
      <end>190</end>
      <status>unmodified</status>
      <modifiedWord/>
      <trackRevisions>false</trackRevisions>
    </reviewItem>
    <reviewItem>
      <errorID>e0ea17e3-3ba2-4163-9c41-16fa342bae99</errorID>
      <errorWord>谷子经济</errorWord>
      <group>L1_Political</group>
      <groupName>政治性问题</groupName>
      <ability>L2_Keyword</ability>
      <abilityName>固定表述</abilityName>
      <candidateList>
        <item>“谷子经济”</item>
      </candidateList>
      <explain>注意检查当前固定表述标点是否使用规范。</explain>
      <paraID> 4F67AF8</paraID>
      <start>45</start>
      <end>49</end>
      <status>unmodified</status>
      <modifiedWord/>
      <trackRevisions>false</trackRevisions>
    </reviewItem>
    <reviewItem>
      <errorID>9c4e1e0a-a773-43dd-8394-5568e121c1f3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1A5B372</paraID>
      <start>0</start>
      <end>2</end>
      <status>unmodified</status>
      <modifiedWord/>
      <trackRevisions>false</trackRevisions>
    </reviewItem>
    <reviewItem>
      <errorID>90ebd1ca-6d35-483a-8bd5-8ac3eeb42ea5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6B3874B9</paraID>
      <start>0</start>
      <end>2</end>
      <status>unmodified</status>
      <modifiedWord/>
      <trackRevisions>false</trackRevisions>
    </reviewItem>
    <reviewItem>
      <errorID>d84633d8-80f8-42d2-9357-4f283ac83bef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5728B8EB</paraID>
      <start>0</start>
      <end>2</end>
      <status>unmodified</status>
      <modifiedWord/>
      <trackRevisions>false</trackRevisions>
    </reviewItem>
    <reviewItem>
      <errorID>4a9375a1-0b24-4db2-a315-eb109ff0b531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738C1155</paraID>
      <start>0</start>
      <end>2</end>
      <status>unmodified</status>
      <modifiedWord/>
      <trackRevisions>false</trackRevisions>
    </reviewItem>
    <reviewItem>
      <errorID>87ad2a66-4a85-4d85-9e84-1bba5a8bad9a</errorID>
      <errorWord>补链延链强链</errorWord>
      <group>L1_Word</group>
      <groupName>字词问题</groupName>
      <ability>L2_Typo</ability>
      <abilityName>字词错误</abilityName>
      <candidateList>
        <item>延链补链强链</item>
      </candidateList>
      <explain/>
      <paraID>10E0C52C</paraID>
      <start>150</start>
      <end>156</end>
      <status>unmodified</status>
      <modifiedWord/>
      <trackRevisions>false</trackRevisions>
    </reviewItem>
    <reviewItem>
      <errorID>045da7db-a937-4b62-a6b7-1f264cb93b32</errorID>
      <errorWord>经营等</errorWord>
      <group>L1_Word</group>
      <groupName>字词问题</groupName>
      <ability>L2_Typo</ability>
      <abilityName>字词错误</abilityName>
      <candidateList>
        <item>经营</item>
      </candidateList>
      <explain>〈动〉❶筹划并管理（企业等）：～商业｜～畜牧业｜苦心～。❷泛指计划和组织：这个展览会是煞费～的。</explain>
      <paraID>39CDED31</paraID>
      <start>244</start>
      <end>247</end>
      <status>unmodified</status>
      <modifiedWord/>
      <trackRevisions>false</trackRevisions>
    </reviewItem>
    <reviewItem>
      <errorID>c1d7e371-78a3-433b-95bb-e5abd428214f</errorID>
      <errorWord>着力完善高质量发展</errorWord>
      <group>L1_Political</group>
      <groupName>政治性问题</groupName>
      <ability>L2_Keyword</ability>
      <abilityName>固定表述</abilityName>
      <candidateList>
        <item>着力推动高质量发展</item>
      </candidateList>
      <explain>词汇“着力推动高质量发展”在特定场景下为固定表述形式，请确认此处的“着力完善高质量发展”是否存在不当。</explain>
      <paraID>7DFB081A</paraID>
      <start>87</start>
      <end>96</end>
      <status>unmodified</status>
      <modifiedWord/>
      <trackRevisions>false</trackRevisions>
    </reviewItem>
    <reviewItem>
      <errorID>e12d27f4-822f-4cc6-9a34-110a08b4ea10</errorID>
      <errorWord>综合性科学中心</errorWord>
      <group>L1_Political</group>
      <groupName>政治性问题</groupName>
      <ability>L2_Keyword</ability>
      <abilityName>固定表述</abilityName>
      <candidateList>
        <item>综合性国家科学中心</item>
      </candidateList>
      <explain>词汇“综合性国家科学中心”在特定场景下为固定表述形式，请确认此处的“综合性科学中心”是否存在不当。</explain>
      <paraID>3E4C325A</paraID>
      <start>26</start>
      <end>33</end>
      <status>unmodified</status>
      <modifiedWord/>
      <trackRevisions>false</trackRevisions>
    </reviewItem>
    <reviewItem>
      <errorID>9c82855b-79ea-456e-a86f-e5c44e705c64</errorID>
      <errorWord>大综合一体化</errorWord>
      <group>L1_Political</group>
      <groupName>政治性问题</groupName>
      <ability>L2_Keyword</ability>
      <abilityName>固定表述</abilityName>
      <candidateList>
        <item>“大综合一体化”</item>
      </candidateList>
      <explain>注意检查当前固定表述标点是否使用规范。</explain>
      <paraID>2951058A</paraID>
      <start>7</start>
      <end>13</end>
      <status>unmodified</status>
      <modifiedWord/>
      <trackRevisions>false</trackRevisions>
    </reviewItem>
    <reviewItem>
      <errorID>4a1a8560-aa51-45cd-80c2-d9ec4ae8570f</errorID>
      <errorWord>免申即享</errorWord>
      <group>L1_Political</group>
      <groupName>政治性问题</groupName>
      <ability>L2_Keyword</ability>
      <abilityName>固定表述</abilityName>
      <candidateList>
        <item>“免申即享”</item>
      </candidateList>
      <explain>注意检查当前固定表述标点是否使用规范。</explain>
      <paraID>7FF5D414</paraID>
      <start>238</start>
      <end>242</end>
      <status>unmodified</status>
      <modifiedWord/>
      <trackRevisions>false</trackRevisions>
    </reviewItem>
    <reviewItem>
      <errorID>1fd687e7-12ca-4fa9-9255-012e0b2da122</errorID>
      <errorWord>拨改投</errorWord>
      <group>L1_Political</group>
      <groupName>政治性问题</groupName>
      <ability>L2_Keyword</ability>
      <abilityName>固定表述</abilityName>
      <candidateList>
        <item>“拨改投”</item>
      </candidateList>
      <explain>注意检查当前固定表述标点是否使用规范。</explain>
      <paraID>33201969</paraID>
      <start>127</start>
      <end>130</end>
      <status>unmodified</status>
      <modifiedWord/>
      <trackRevisions>false</trackRevisions>
    </reviewItem>
    <reviewItem>
      <errorID>87924359-78fb-406b-af86-7c3279fb4b1d</errorID>
      <errorWord>高质量发展与高水平安全</errorWord>
      <group>L1_Word</group>
      <groupName>字词问题</groupName>
      <ability>L2_Typo</ability>
      <abilityName>字词错误</abilityName>
      <candidateList>
        <item>高质量发展和高水平安全</item>
      </candidateList>
      <explain/>
      <paraID>27BE4AB7</paraID>
      <start>85</start>
      <end>96</end>
      <status>unmodified</status>
      <modifiedWord/>
      <trackRevisions>false</trackRevisions>
    </reviewItem>
    <reviewItem>
      <errorID>e9077421-0ea4-44fe-b991-4ddf944aa408</errorID>
      <errorWord>风险全维预警体系</errorWord>
      <group>L1_Political</group>
      <groupName>政治性问题</groupName>
      <ability>L2_Keyword</ability>
      <abilityName>固定表述</abilityName>
      <candidateList>
        <item>风险监测预警体系</item>
      </candidateList>
      <explain>词汇“风险监测预警体系”在特定场景下为固定表述形式，请确认此处的“风险全维预警体系”是否存在不当。</explain>
      <paraID>1DEFE58F</paraID>
      <start>149</start>
      <end>157</end>
      <status>unmodified</status>
      <modifiedWord/>
      <trackRevisions>false</trackRevisions>
    </reviewItem>
    <reviewItem>
      <errorID>a0aed324-2361-4a3f-82b8-0fcb6fc6d396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31E6252B</paraID>
      <start>0</start>
      <end>2</end>
      <status>unmodified</status>
      <modifiedWord/>
      <trackRevisions>false</trackRevisions>
    </reviewItem>
    <reviewItem>
      <errorID>c8fdac1e-ee20-49c5-81f3-548cddfb4b1b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2FFF374B</paraID>
      <start>0</start>
      <end>2</end>
      <status>unmodified</status>
      <modifiedWord/>
      <trackRevisions>false</trackRevisions>
    </reviewItem>
    <reviewItem>
      <errorID>5f7fc28c-9436-43d6-b0f3-dacd15f21a04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5A6030AF</paraID>
      <start>0</start>
      <end>2</end>
      <status>unmodified</status>
      <modifiedWord/>
      <trackRevisions>false</trackRevisions>
    </reviewItem>
    <reviewItem>
      <errorID>514b91dd-d1e2-4db1-98cc-4f6fa4f9919e</errorID>
      <errorWord>行业协会商会等改革发展</errorWord>
      <group>L1_Political</group>
      <groupName>政治性问题</groupName>
      <ability>L2_Keyword</ability>
      <abilityName>固定表述</abilityName>
      <candidateList>
        <item>行业协会商会改革发展</item>
      </candidateList>
      <explain>词汇“行业协会商会改革发展”在特定场景下为固定表述形式，请确认此处的“行业协会商会等改革发展”是否存在不当。</explain>
      <paraID>6D0C3A44</paraID>
      <start>156</start>
      <end>167</end>
      <status>unmodified</status>
      <modifiedWord/>
      <trackRevisions>false</trackRevisions>
    </reviewItem>
    <reviewItem>
      <errorID>bab75782-fe9b-4858-9d65-f487e448e2a1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41584DC4</paraID>
      <start>154</start>
      <end>157</end>
      <status>unmodified</status>
      <modifiedWord/>
      <trackRevisions>false</trackRevisions>
    </reviewItem>
    <reviewItem>
      <errorID>563d5522-90cd-4612-a2e6-48bf5c9946c8</errorID>
      <errorWord>培育和和</errorWord>
      <group>L1_Word</group>
      <groupName>字词问题</groupName>
      <ability>L2_Typo</ability>
      <abilityName>字词错误</abilityName>
      <candidateList>
        <item>培育和</item>
      </candidateList>
      <explain/>
      <paraID>5C88788D</paraID>
      <start>156</start>
      <end>160</end>
      <status>unmodified</status>
      <modifiedWord/>
      <trackRevisions>false</trackRevisions>
    </reviewItem>
    <reviewItem>
      <errorID>b7b801bb-ef96-4181-a183-00c196a8553f</errorID>
      <errorWord>美乡村建设</errorWord>
      <group>L1_Political</group>
      <groupName>政治性问题</groupName>
      <ability>L2_Keyword</ability>
      <abilityName>固定表述</abilityName>
      <candidateList>
        <item>美丽乡村建设</item>
      </candidateList>
      <explain>词汇“美丽乡村建设”在特定场景下为固定表述形式，请确认此处的“美乡村建设”是否存在不当。</explain>
      <paraID>5C88788D</paraID>
      <start>160</start>
      <end>165</end>
      <status>unmodified</status>
      <modifiedWord/>
      <trackRevisions>false</trackRevisions>
    </reviewItem>
    <reviewItem>
      <errorID>f911bba2-1224-46e6-9cbf-7652962b4432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40C633C6</paraID>
      <start>0</start>
      <end>2</end>
      <status>unmodified</status>
      <modifiedWord/>
      <trackRevisions>false</trackRevisions>
    </reviewItem>
    <reviewItem>
      <errorID>86da39de-12de-4c37-8e8f-a2476d29fa67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6CD612DB</paraID>
      <start>0</start>
      <end>2</end>
      <status>unmodified</status>
      <modifiedWord/>
      <trackRevisions>false</trackRevisions>
    </reviewItem>
    <reviewItem>
      <errorID>b5b5d845-da5f-46f5-a1d6-1232959f7f77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67B4037C</paraID>
      <start>0</start>
      <end>2</end>
      <status>unmodified</status>
      <modifiedWord/>
      <trackRevisions>false</trackRevisions>
    </reviewItem>
    <reviewItem>
      <errorID>bcd12d7b-e50c-4836-b1de-93db8c50fa3d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1A476AE3</paraID>
      <start>0</start>
      <end>2</end>
      <status>unmodified</status>
      <modifiedWord/>
      <trackRevisions>false</trackRevisions>
    </reviewItem>
    <reviewItem>
      <errorID>e708c252-2eb5-4563-aef1-3084c46fa73b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38606658</paraID>
      <start>0</start>
      <end>2</end>
      <status>unmodified</status>
      <modifiedWord/>
      <trackRevisions>false</trackRevisions>
    </reviewItem>
    <reviewItem>
      <errorID>01aefe0d-ff7c-4d84-ac27-d4c75a86f49b</errorID>
      <errorWord>战略性新兴企业</errorWord>
      <group>L1_Political</group>
      <groupName>政治性问题</groupName>
      <ability>L2_Keyword</ability>
      <abilityName>固定表述</abilityName>
      <candidateList>
        <item>战略性新兴产业</item>
      </candidateList>
      <explain>词汇“战略性新兴产业”在特定场景下为固定表述形式，请确认此处的“战略性新兴企业”是否存在不当。</explain>
      <paraID>7FE7E8DB</paraID>
      <start>37</start>
      <end>44</end>
      <status>unmodified</status>
      <modifiedWord/>
      <trackRevisions>false</trackRevisions>
    </reviewItem>
    <reviewItem>
      <errorID>02d697da-e31b-4d31-b0d6-c55c4597beb4</errorID>
      <errorWord>III类</errorWord>
      <group>L1_Knowledge</group>
      <groupName>知识性问题</groupName>
      <ability>L2_Knowledge</ability>
      <abilityName>其他知识</abilityName>
      <candidateList>
        <item>Ⅲ类</item>
      </candidateList>
      <explain/>
      <paraID>298FC1AB</paraID>
      <start>19</start>
      <end>23</end>
      <status>unmodified</status>
      <modifiedWord/>
      <trackRevisions>false</trackRevisions>
    </reviewItem>
    <reviewItem>
      <errorID>bc900533-9293-4ae4-a7ec-af4d39473c05</errorID>
      <errorWord>求</errorWord>
      <group>L1_Word</group>
      <groupName>字词问题</groupName>
      <ability>L2_Typo</ability>
      <abilityName>字词错误</abilityName>
      <candidateList>
        <item>求和</item>
      </candidateList>
      <explain/>
      <paraID>78841551</paraID>
      <start>161</start>
      <end>162</end>
      <status>unmodified</status>
      <modifiedWord/>
      <trackRevisions>false</trackRevisions>
    </reviewItem>
    <reviewItem>
      <errorID>30e9d904-e8c0-49fb-9e5f-04dee13f7f59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2DE78C99</paraID>
      <start>0</start>
      <end>2</end>
      <status>unmodified</status>
      <modifiedWord/>
      <trackRevisions>false</trackRevisions>
    </reviewItem>
    <reviewItem>
      <errorID>efa26c06-58b8-4506-9abb-e557d1c74978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BD36398</paraID>
      <start>0</start>
      <end>2</end>
      <status>unmodified</status>
      <modifiedWord/>
      <trackRevisions>false</trackRevisions>
    </reviewItem>
    <reviewItem>
      <errorID>d4b30d89-cdde-454c-a541-159af10fd69e</errorID>
      <errorWord>低干</errorWord>
      <group>L1_Word</group>
      <groupName>字词问题</groupName>
      <ability>L2_Typo</ability>
      <abilityName>字词错误</abilityName>
      <candidateList>
        <item>低于</item>
      </candidateList>
      <explain/>
      <paraID>  F1EBEC</paraID>
      <start>10</start>
      <end>12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29ede4-a016-43fd-b82e-2c37f0196bdb}">
  <ds:schemaRefs/>
</ds:datastoreItem>
</file>

<file path=docProps/app.xml><?xml version="1.0" encoding="utf-8"?>
<Properties xmlns="http://schemas.openxmlformats.org/officeDocument/2006/extended-properties" xmlns:vt="http://schemas.openxmlformats.org/officeDocument/2006/docPropsVTypes">
  <Pages>120</Pages>
  <Words>7928</Words>
  <Characters>8440</Characters>
  <Lines>1422</Lines>
  <Paragraphs>505</Paragraphs>
  <TotalTime>9</TotalTime>
  <ScaleCrop>false</ScaleCrop>
  <LinksUpToDate>false</LinksUpToDate>
  <CharactersWithSpaces>8712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2026-03-23T11:53:00Z</dcterms:created>
  <dc:creator>swufe</dc:creator>
  <cp:lastModifiedBy>silence</cp:lastModifiedBy>
  <cp:lastPrinted>2026-07-16T03:42:00Z</cp:lastPrinted>
  <dcterms:modified xsi:type="dcterms:W3CDTF">2026-07-23T01:45:46Z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4A9F129AF0A94427A96D50414D717EBB_13</vt:lpwstr>
  </property>
  <property fmtid="{D5CDD505-2E9C-101B-9397-08002B2CF9AE}" pid="4" name="KSOTemplateDocerSaveRecord">
    <vt:lpwstr>eyJoZGlkIjoiZjRmYWUxOWJhMWE5OGFmZGQyNzA0NjBkZTNhOGRjMDEiLCJ1c2VySWQiOiIyNDg4ODMzNzUifQ==</vt:lpwstr>
  </property>
</Properties>
</file>