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FA" w:rsidRPr="003C0BAD" w:rsidRDefault="004576FA" w:rsidP="004576FA">
      <w:pPr>
        <w:adjustRightInd w:val="0"/>
        <w:snapToGrid w:val="0"/>
        <w:jc w:val="left"/>
        <w:rPr>
          <w:rFonts w:ascii="Times New Roman" w:eastAsia="方正黑体_GBK" w:hAnsi="Times New Roman" w:cs="Times New Roman"/>
          <w:bCs/>
          <w:color w:val="333333"/>
          <w:kern w:val="0"/>
          <w:sz w:val="32"/>
          <w:szCs w:val="32"/>
          <w:shd w:val="clear" w:color="auto" w:fill="FFFFFF"/>
        </w:rPr>
      </w:pPr>
      <w:r w:rsidRPr="003C0BAD">
        <w:rPr>
          <w:rFonts w:ascii="Times New Roman" w:eastAsia="方正黑体_GBK" w:hAnsi="Times New Roman" w:cs="Times New Roman" w:hint="eastAsia"/>
          <w:bCs/>
          <w:color w:val="333333"/>
          <w:kern w:val="0"/>
          <w:sz w:val="32"/>
          <w:szCs w:val="32"/>
          <w:shd w:val="clear" w:color="auto" w:fill="FFFFFF"/>
        </w:rPr>
        <w:t>附件</w:t>
      </w:r>
    </w:p>
    <w:p w:rsidR="004576FA" w:rsidRPr="003C0BAD" w:rsidRDefault="004576FA" w:rsidP="004576FA">
      <w:pPr>
        <w:pStyle w:val="Default"/>
        <w:rPr>
          <w:rFonts w:ascii="Times New Roman" w:hAnsi="Times New Roman"/>
        </w:rPr>
      </w:pPr>
    </w:p>
    <w:p w:rsidR="004576FA" w:rsidRPr="003C0BAD" w:rsidRDefault="004576FA" w:rsidP="004576FA">
      <w:pPr>
        <w:adjustRightInd w:val="0"/>
        <w:snapToGrid w:val="0"/>
        <w:jc w:val="center"/>
        <w:rPr>
          <w:rFonts w:ascii="Times New Roman" w:eastAsia="方正小标宋_GBK" w:hAnsi="Times New Roman" w:cs="Times New Roman"/>
          <w:bCs/>
          <w:color w:val="333333"/>
          <w:kern w:val="0"/>
          <w:sz w:val="36"/>
          <w:szCs w:val="36"/>
          <w:shd w:val="clear" w:color="auto" w:fill="FFFFFF"/>
        </w:rPr>
      </w:pPr>
      <w:r w:rsidRPr="003C0BAD">
        <w:rPr>
          <w:rFonts w:ascii="Times New Roman" w:eastAsia="方正小标宋_GBK" w:hAnsi="Times New Roman" w:cs="Times New Roman" w:hint="eastAsia"/>
          <w:bCs/>
          <w:color w:val="333333"/>
          <w:kern w:val="0"/>
          <w:sz w:val="36"/>
          <w:szCs w:val="36"/>
          <w:shd w:val="clear" w:color="auto" w:fill="FFFFFF"/>
        </w:rPr>
        <w:t>重庆高新区</w:t>
      </w:r>
      <w:r w:rsidRPr="003C0BAD">
        <w:rPr>
          <w:rFonts w:ascii="Times New Roman" w:eastAsia="方正小标宋_GBK" w:hAnsi="Times New Roman" w:cs="Times New Roman"/>
          <w:bCs/>
          <w:color w:val="333333"/>
          <w:kern w:val="0"/>
          <w:sz w:val="36"/>
          <w:szCs w:val="36"/>
          <w:shd w:val="clear" w:color="auto" w:fill="FFFFFF"/>
        </w:rPr>
        <w:t>2021</w:t>
      </w:r>
      <w:r w:rsidRPr="003C0BAD">
        <w:rPr>
          <w:rFonts w:ascii="Times New Roman" w:eastAsia="方正小标宋_GBK" w:hAnsi="Times New Roman" w:cs="Times New Roman" w:hint="eastAsia"/>
          <w:bCs/>
          <w:color w:val="333333"/>
          <w:kern w:val="0"/>
          <w:sz w:val="36"/>
          <w:szCs w:val="36"/>
          <w:shd w:val="clear" w:color="auto" w:fill="FFFFFF"/>
        </w:rPr>
        <w:t>年优化营商环境改革</w:t>
      </w:r>
    </w:p>
    <w:p w:rsidR="004576FA" w:rsidRPr="003C0BAD" w:rsidRDefault="004576FA" w:rsidP="004576FA">
      <w:pPr>
        <w:adjustRightInd w:val="0"/>
        <w:snapToGrid w:val="0"/>
        <w:jc w:val="center"/>
        <w:rPr>
          <w:rFonts w:ascii="Times New Roman" w:eastAsia="方正小标宋_GBK" w:hAnsi="Times New Roman" w:cs="Times New Roman"/>
          <w:bCs/>
          <w:color w:val="333333"/>
          <w:kern w:val="0"/>
          <w:sz w:val="36"/>
          <w:szCs w:val="36"/>
          <w:shd w:val="clear" w:color="auto" w:fill="FFFFFF"/>
        </w:rPr>
      </w:pPr>
      <w:r w:rsidRPr="003C0BAD">
        <w:rPr>
          <w:rFonts w:ascii="Times New Roman" w:eastAsia="方正小标宋_GBK" w:hAnsi="Times New Roman" w:cs="Times New Roman" w:hint="eastAsia"/>
          <w:bCs/>
          <w:color w:val="333333"/>
          <w:kern w:val="0"/>
          <w:sz w:val="36"/>
          <w:szCs w:val="36"/>
          <w:shd w:val="clear" w:color="auto" w:fill="FFFFFF"/>
        </w:rPr>
        <w:t>重点</w:t>
      </w:r>
      <w:r w:rsidRPr="003C0BAD">
        <w:rPr>
          <w:rFonts w:ascii="Times New Roman" w:eastAsia="方正小标宋_GBK" w:hAnsi="Times New Roman" w:cs="Times New Roman"/>
          <w:bCs/>
          <w:color w:val="333333"/>
          <w:kern w:val="0"/>
          <w:sz w:val="36"/>
          <w:szCs w:val="36"/>
          <w:shd w:val="clear" w:color="auto" w:fill="FFFFFF"/>
        </w:rPr>
        <w:t>工作</w:t>
      </w:r>
      <w:r w:rsidRPr="003C0BAD">
        <w:rPr>
          <w:rFonts w:ascii="Times New Roman" w:eastAsia="方正小标宋_GBK" w:hAnsi="Times New Roman" w:cs="Times New Roman" w:hint="eastAsia"/>
          <w:bCs/>
          <w:color w:val="333333"/>
          <w:kern w:val="0"/>
          <w:sz w:val="36"/>
          <w:szCs w:val="36"/>
          <w:shd w:val="clear" w:color="auto" w:fill="FFFFFF"/>
        </w:rPr>
        <w:t>任务清单</w:t>
      </w:r>
    </w:p>
    <w:p w:rsidR="004576FA" w:rsidRPr="003C0BAD" w:rsidRDefault="004576FA" w:rsidP="004576FA">
      <w:pPr>
        <w:pStyle w:val="Default"/>
        <w:adjustRightInd w:val="0"/>
        <w:snapToGrid w:val="0"/>
        <w:jc w:val="center"/>
        <w:rPr>
          <w:rFonts w:ascii="Times New Roman" w:hAnsi="Times New Roman"/>
        </w:rPr>
      </w:pPr>
    </w:p>
    <w:tbl>
      <w:tblPr>
        <w:tblStyle w:val="a3"/>
        <w:tblW w:w="13104" w:type="dxa"/>
        <w:jc w:val="center"/>
        <w:tblLook w:val="04A0"/>
      </w:tblPr>
      <w:tblGrid>
        <w:gridCol w:w="708"/>
        <w:gridCol w:w="1231"/>
        <w:gridCol w:w="2030"/>
        <w:gridCol w:w="7325"/>
        <w:gridCol w:w="1810"/>
      </w:tblGrid>
      <w:tr w:rsidR="004576FA" w:rsidRPr="003C0BAD" w:rsidTr="0048721A">
        <w:trPr>
          <w:trHeight w:val="462"/>
          <w:tblHeader/>
          <w:jc w:val="center"/>
        </w:trPr>
        <w:tc>
          <w:tcPr>
            <w:tcW w:w="708" w:type="dxa"/>
            <w:vAlign w:val="center"/>
          </w:tcPr>
          <w:p w:rsidR="004576FA" w:rsidRPr="003C0BAD" w:rsidRDefault="004576FA" w:rsidP="0048721A">
            <w:pPr>
              <w:adjustRightInd w:val="0"/>
              <w:snapToGrid w:val="0"/>
              <w:jc w:val="center"/>
              <w:rPr>
                <w:rFonts w:ascii="Times New Roman" w:eastAsia="方正黑体_GBK" w:hAnsi="Times New Roman"/>
                <w:bCs/>
                <w:sz w:val="24"/>
                <w:szCs w:val="24"/>
                <w:shd w:val="clear" w:color="auto" w:fill="FFFFFF"/>
              </w:rPr>
            </w:pPr>
            <w:r w:rsidRPr="003C0BAD">
              <w:rPr>
                <w:rFonts w:ascii="Times New Roman" w:eastAsia="方正黑体_GBK" w:hAnsi="Times New Roman" w:hint="eastAsia"/>
                <w:bCs/>
                <w:sz w:val="24"/>
                <w:szCs w:val="24"/>
                <w:shd w:val="clear" w:color="auto" w:fill="FFFFFF"/>
              </w:rPr>
              <w:t>序号</w:t>
            </w:r>
          </w:p>
        </w:tc>
        <w:tc>
          <w:tcPr>
            <w:tcW w:w="1231" w:type="dxa"/>
            <w:vAlign w:val="center"/>
          </w:tcPr>
          <w:p w:rsidR="004576FA" w:rsidRPr="003C0BAD" w:rsidRDefault="004576FA" w:rsidP="0048721A">
            <w:pPr>
              <w:adjustRightInd w:val="0"/>
              <w:snapToGrid w:val="0"/>
              <w:jc w:val="center"/>
              <w:rPr>
                <w:rFonts w:ascii="Times New Roman" w:eastAsia="方正黑体_GBK" w:hAnsi="Times New Roman"/>
                <w:bCs/>
                <w:sz w:val="24"/>
                <w:szCs w:val="24"/>
                <w:shd w:val="clear" w:color="auto" w:fill="FFFFFF"/>
              </w:rPr>
            </w:pPr>
            <w:r w:rsidRPr="003C0BAD">
              <w:rPr>
                <w:rFonts w:ascii="Times New Roman" w:eastAsia="方正黑体_GBK" w:hAnsi="Times New Roman" w:hint="eastAsia"/>
                <w:bCs/>
                <w:sz w:val="24"/>
                <w:szCs w:val="24"/>
                <w:shd w:val="clear" w:color="auto" w:fill="FFFFFF"/>
              </w:rPr>
              <w:t>改革领域</w:t>
            </w:r>
          </w:p>
        </w:tc>
        <w:tc>
          <w:tcPr>
            <w:tcW w:w="2030" w:type="dxa"/>
            <w:vAlign w:val="center"/>
          </w:tcPr>
          <w:p w:rsidR="004576FA" w:rsidRPr="003C0BAD" w:rsidRDefault="004576FA" w:rsidP="0048721A">
            <w:pPr>
              <w:adjustRightInd w:val="0"/>
              <w:snapToGrid w:val="0"/>
              <w:jc w:val="center"/>
              <w:rPr>
                <w:rFonts w:ascii="Times New Roman" w:eastAsia="方正黑体_GBK" w:hAnsi="Times New Roman"/>
                <w:bCs/>
                <w:sz w:val="24"/>
                <w:szCs w:val="24"/>
                <w:shd w:val="clear" w:color="auto" w:fill="FFFFFF"/>
              </w:rPr>
            </w:pPr>
            <w:r w:rsidRPr="003C0BAD">
              <w:rPr>
                <w:rFonts w:ascii="Times New Roman" w:eastAsia="方正黑体_GBK" w:hAnsi="Times New Roman" w:hint="eastAsia"/>
                <w:bCs/>
                <w:sz w:val="24"/>
                <w:szCs w:val="24"/>
                <w:shd w:val="clear" w:color="auto" w:fill="FFFFFF"/>
              </w:rPr>
              <w:t>改革事项</w:t>
            </w:r>
          </w:p>
        </w:tc>
        <w:tc>
          <w:tcPr>
            <w:tcW w:w="7325" w:type="dxa"/>
            <w:vAlign w:val="center"/>
          </w:tcPr>
          <w:p w:rsidR="004576FA" w:rsidRPr="003C0BAD" w:rsidRDefault="004576FA" w:rsidP="0048721A">
            <w:pPr>
              <w:adjustRightInd w:val="0"/>
              <w:snapToGrid w:val="0"/>
              <w:jc w:val="center"/>
              <w:rPr>
                <w:rFonts w:ascii="Times New Roman" w:eastAsia="方正黑体_GBK" w:hAnsi="Times New Roman"/>
                <w:bCs/>
                <w:sz w:val="24"/>
                <w:szCs w:val="24"/>
                <w:shd w:val="clear" w:color="auto" w:fill="FFFFFF"/>
              </w:rPr>
            </w:pPr>
            <w:r w:rsidRPr="003C0BAD">
              <w:rPr>
                <w:rFonts w:ascii="Times New Roman" w:eastAsia="方正黑体_GBK" w:hAnsi="Times New Roman" w:hint="eastAsia"/>
                <w:bCs/>
                <w:sz w:val="24"/>
                <w:szCs w:val="24"/>
                <w:shd w:val="clear" w:color="auto" w:fill="FFFFFF"/>
              </w:rPr>
              <w:t>具体内容</w:t>
            </w:r>
          </w:p>
        </w:tc>
        <w:tc>
          <w:tcPr>
            <w:tcW w:w="1810" w:type="dxa"/>
            <w:vAlign w:val="center"/>
          </w:tcPr>
          <w:p w:rsidR="004576FA" w:rsidRPr="003C0BAD" w:rsidRDefault="004576FA" w:rsidP="0048721A">
            <w:pPr>
              <w:adjustRightInd w:val="0"/>
              <w:snapToGrid w:val="0"/>
              <w:jc w:val="center"/>
              <w:rPr>
                <w:rFonts w:ascii="Times New Roman" w:eastAsia="方正黑体_GBK" w:hAnsi="Times New Roman"/>
                <w:bCs/>
                <w:sz w:val="24"/>
                <w:szCs w:val="24"/>
                <w:shd w:val="clear" w:color="auto" w:fill="FFFFFF"/>
              </w:rPr>
            </w:pPr>
            <w:r w:rsidRPr="003C0BAD">
              <w:rPr>
                <w:rFonts w:ascii="Times New Roman" w:eastAsia="方正黑体_GBK" w:hAnsi="Times New Roman" w:hint="eastAsia"/>
                <w:bCs/>
                <w:sz w:val="24"/>
                <w:szCs w:val="24"/>
                <w:shd w:val="clear" w:color="auto" w:fill="FFFFFF"/>
              </w:rPr>
              <w:t>责任部门</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bCs/>
                <w:sz w:val="24"/>
                <w:szCs w:val="24"/>
                <w:shd w:val="clear" w:color="auto" w:fill="FFFFFF"/>
              </w:rPr>
            </w:pPr>
          </w:p>
        </w:tc>
        <w:tc>
          <w:tcPr>
            <w:tcW w:w="1231" w:type="dxa"/>
            <w:vMerge w:val="restart"/>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政务服务</w:t>
            </w: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“金凤凰”政策体系线上</w:t>
            </w:r>
            <w:r w:rsidRPr="003C0BAD">
              <w:rPr>
                <w:rFonts w:ascii="Times New Roman" w:eastAsia="方正仿宋_GBK" w:hAnsi="Times New Roman"/>
                <w:color w:val="000000"/>
                <w:sz w:val="24"/>
                <w:szCs w:val="24"/>
              </w:rPr>
              <w:t>线下综合服务平台</w:t>
            </w:r>
          </w:p>
        </w:tc>
        <w:tc>
          <w:tcPr>
            <w:tcW w:w="7325" w:type="dxa"/>
            <w:vAlign w:val="center"/>
          </w:tcPr>
          <w:p w:rsidR="004576FA" w:rsidRPr="003C0BAD" w:rsidRDefault="004576FA" w:rsidP="0048721A">
            <w:pPr>
              <w:widowControl/>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线上搭建重庆高新区“金凤凰”政策体系综合服务云平台，充分精简申报材料和审批环节，实现“金凤凰”政策发布、咨询、申报、审核、兑现“一站服务、一网通办”。</w:t>
            </w:r>
          </w:p>
          <w:p w:rsidR="004576FA" w:rsidRPr="003C0BAD" w:rsidRDefault="004576FA" w:rsidP="0048721A">
            <w:pPr>
              <w:widowControl/>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线下设立政策服务综合窗口。线下在政务服务大厅设立政策服务综合窗口，实行一窗咨询</w:t>
            </w:r>
            <w:r w:rsidRPr="003C0BAD">
              <w:rPr>
                <w:rFonts w:ascii="Times New Roman" w:eastAsia="方正仿宋_GBK" w:hAnsi="Times New Roman"/>
                <w:color w:val="000000"/>
                <w:sz w:val="24"/>
                <w:szCs w:val="24"/>
              </w:rPr>
              <w:t>、</w:t>
            </w:r>
            <w:r w:rsidRPr="003C0BAD">
              <w:rPr>
                <w:rFonts w:ascii="Times New Roman" w:eastAsia="方正仿宋_GBK" w:hAnsi="Times New Roman" w:hint="eastAsia"/>
                <w:color w:val="000000"/>
                <w:sz w:val="24"/>
                <w:szCs w:val="24"/>
              </w:rPr>
              <w:t>受理、申报、转办、兑现，改善“部门各自为首、企业多头报送”现状，确保政策咨询更便捷、资料提交更方便、政策兑现更高效。</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财政局、政务服务和社会事务中心、党群工作部、科技创新局、改革发展局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bCs/>
                <w:sz w:val="24"/>
                <w:szCs w:val="24"/>
                <w:shd w:val="clear" w:color="auto" w:fill="FFFFFF"/>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无人工干预自动智能审批试点</w:t>
            </w:r>
          </w:p>
        </w:tc>
        <w:tc>
          <w:tcPr>
            <w:tcW w:w="7325" w:type="dxa"/>
            <w:vAlign w:val="center"/>
          </w:tcPr>
          <w:p w:rsidR="004576FA" w:rsidRPr="003C0BAD" w:rsidRDefault="004576FA" w:rsidP="0048721A">
            <w:pPr>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对符合系统设定的高频事项，无需人工干预，均可由系统自动审批，快速出具审批结果。同时采取系统自动检查、人工抽查、交叉检查等多种事后监管模式，对审批结果进行实时或定时检查。</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政务服务和社会事务中心</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bCs/>
                <w:sz w:val="24"/>
                <w:szCs w:val="24"/>
                <w:shd w:val="clear" w:color="auto" w:fill="FFFFFF"/>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“一网通办”“全程网办”</w:t>
            </w:r>
          </w:p>
        </w:tc>
        <w:tc>
          <w:tcPr>
            <w:tcW w:w="7325" w:type="dxa"/>
            <w:vAlign w:val="center"/>
          </w:tcPr>
          <w:p w:rsidR="004576FA" w:rsidRPr="003C0BAD" w:rsidRDefault="004576FA" w:rsidP="0048721A">
            <w:pPr>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color w:val="000000"/>
                <w:sz w:val="24"/>
                <w:szCs w:val="24"/>
              </w:rPr>
              <w:t>2021</w:t>
            </w:r>
            <w:r w:rsidRPr="003C0BAD">
              <w:rPr>
                <w:rFonts w:ascii="Times New Roman" w:eastAsia="方正仿宋_GBK" w:hAnsi="Times New Roman" w:hint="eastAsia"/>
                <w:color w:val="000000"/>
                <w:sz w:val="24"/>
                <w:szCs w:val="24"/>
              </w:rPr>
              <w:t>年底前，完成行政许可事项“全程网办”比例不低于</w:t>
            </w:r>
            <w:r w:rsidRPr="003C0BAD">
              <w:rPr>
                <w:rFonts w:ascii="Times New Roman" w:eastAsia="方正仿宋_GBK" w:hAnsi="Times New Roman"/>
                <w:color w:val="000000"/>
                <w:sz w:val="24"/>
                <w:szCs w:val="24"/>
              </w:rPr>
              <w:t>96%</w:t>
            </w:r>
            <w:r w:rsidRPr="003C0BAD">
              <w:rPr>
                <w:rFonts w:ascii="Times New Roman" w:eastAsia="方正仿宋_GBK" w:hAnsi="Times New Roman" w:hint="eastAsia"/>
                <w:color w:val="000000"/>
                <w:sz w:val="24"/>
                <w:szCs w:val="24"/>
              </w:rPr>
              <w:t>，依申请类服务事项“全程网办”占比不低于</w:t>
            </w:r>
            <w:r w:rsidRPr="003C0BAD">
              <w:rPr>
                <w:rFonts w:ascii="Times New Roman" w:eastAsia="方正仿宋_GBK" w:hAnsi="Times New Roman"/>
                <w:color w:val="000000"/>
                <w:sz w:val="24"/>
                <w:szCs w:val="24"/>
              </w:rPr>
              <w:t>90%</w:t>
            </w:r>
            <w:r w:rsidRPr="003C0BAD">
              <w:rPr>
                <w:rFonts w:ascii="Times New Roman" w:eastAsia="方正仿宋_GBK" w:hAnsi="Times New Roman" w:hint="eastAsia"/>
                <w:color w:val="000000"/>
                <w:sz w:val="24"/>
                <w:szCs w:val="24"/>
              </w:rPr>
              <w:t>。加快推进高频公证服务事项“一网通办”，实现申请受理、身份认证、材料提交和缴费全程网办。</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政务服务和社会事务中心、综合执法局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bCs/>
                <w:sz w:val="24"/>
                <w:szCs w:val="24"/>
                <w:shd w:val="clear" w:color="auto" w:fill="FFFFFF"/>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pacing w:val="-8"/>
                <w:sz w:val="24"/>
                <w:szCs w:val="24"/>
              </w:rPr>
            </w:pPr>
            <w:r w:rsidRPr="003C0BAD">
              <w:rPr>
                <w:rFonts w:ascii="Times New Roman" w:eastAsia="方正仿宋_GBK" w:hAnsi="Times New Roman" w:hint="eastAsia"/>
                <w:color w:val="000000"/>
                <w:spacing w:val="-8"/>
                <w:sz w:val="24"/>
                <w:szCs w:val="24"/>
              </w:rPr>
              <w:t>税收征管改革试点</w:t>
            </w:r>
          </w:p>
        </w:tc>
        <w:tc>
          <w:tcPr>
            <w:tcW w:w="7325" w:type="dxa"/>
            <w:vAlign w:val="center"/>
          </w:tcPr>
          <w:p w:rsidR="004576FA" w:rsidRPr="003C0BAD" w:rsidRDefault="004576FA" w:rsidP="0048721A">
            <w:pPr>
              <w:widowControl/>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转变税收征管方式，建立税源管理新模式，大力推进税收管理员由固</w:t>
            </w:r>
            <w:r w:rsidRPr="003C0BAD">
              <w:rPr>
                <w:rFonts w:ascii="Times New Roman" w:eastAsia="方正仿宋_GBK" w:hAnsi="Times New Roman" w:hint="eastAsia"/>
                <w:color w:val="000000"/>
                <w:sz w:val="24"/>
                <w:szCs w:val="24"/>
              </w:rPr>
              <w:lastRenderedPageBreak/>
              <w:t>定管户向管事转变，推进</w:t>
            </w:r>
            <w:r w:rsidRPr="003C0BAD">
              <w:rPr>
                <w:rFonts w:ascii="Times New Roman" w:eastAsia="方正仿宋_GBK" w:hAnsi="Times New Roman"/>
                <w:color w:val="000000"/>
                <w:sz w:val="24"/>
                <w:szCs w:val="24"/>
              </w:rPr>
              <w:t>237</w:t>
            </w:r>
            <w:r w:rsidRPr="003C0BAD">
              <w:rPr>
                <w:rFonts w:ascii="Times New Roman" w:eastAsia="方正仿宋_GBK" w:hAnsi="Times New Roman"/>
                <w:color w:val="000000"/>
                <w:sz w:val="24"/>
                <w:szCs w:val="24"/>
              </w:rPr>
              <w:t>项征</w:t>
            </w:r>
            <w:r w:rsidRPr="003C0BAD">
              <w:rPr>
                <w:rFonts w:ascii="Times New Roman" w:eastAsia="方正仿宋_GBK" w:hAnsi="Times New Roman" w:hint="eastAsia"/>
                <w:color w:val="000000"/>
                <w:sz w:val="24"/>
                <w:szCs w:val="24"/>
              </w:rPr>
              <w:t>管事项前移至办税服务厅。提升办税便利度，推进“非接触式”办税缴费服务，不断拓宽“网上办”服务范围；探索推进远程问办一体试点，二级</w:t>
            </w:r>
            <w:r w:rsidRPr="003C0BAD">
              <w:rPr>
                <w:rFonts w:ascii="Times New Roman" w:eastAsia="方正仿宋_GBK" w:hAnsi="Times New Roman"/>
                <w:color w:val="000000"/>
                <w:sz w:val="24"/>
                <w:szCs w:val="24"/>
              </w:rPr>
              <w:t>12366</w:t>
            </w:r>
            <w:r w:rsidRPr="003C0BAD">
              <w:rPr>
                <w:rFonts w:ascii="Times New Roman" w:eastAsia="方正仿宋_GBK" w:hAnsi="Times New Roman" w:hint="eastAsia"/>
                <w:color w:val="000000"/>
                <w:sz w:val="24"/>
                <w:szCs w:val="24"/>
              </w:rPr>
              <w:t>（纳税服务热线）在线受理并处理涉税费业务，实现线上问、线上办；健全风险管理机制，针对纳税人不同类型不同等级的税收风险，合理配置税收管理资源，扎口风险管理。</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lastRenderedPageBreak/>
              <w:t>高新区税务局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bCs/>
                <w:sz w:val="24"/>
                <w:szCs w:val="24"/>
                <w:shd w:val="clear" w:color="auto" w:fill="FFFFFF"/>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“帮代办”服务</w:t>
            </w:r>
          </w:p>
        </w:tc>
        <w:tc>
          <w:tcPr>
            <w:tcW w:w="7325" w:type="dxa"/>
            <w:vAlign w:val="center"/>
          </w:tcPr>
          <w:p w:rsidR="004576FA" w:rsidRPr="003C0BAD" w:rsidRDefault="004576FA" w:rsidP="0048721A">
            <w:pPr>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对招商引资企业和重点项目，企业开办、工程建设阶段涉及的工商注册、经营许可、项目立项、施工许可等所有环节，提供“一对一”上门免费帮办代办服务，实行“全部认领、专人对接、全程服务”。持续扩大“帮代办”服务范围，探索将一般项目和改扩建项目一并纳入服务范围。针对中小微企业，在</w:t>
            </w:r>
            <w:r w:rsidRPr="003C0BAD">
              <w:rPr>
                <w:rFonts w:ascii="Times New Roman" w:eastAsia="方正仿宋_GBK" w:hAnsi="Times New Roman"/>
                <w:color w:val="000000"/>
                <w:sz w:val="24"/>
                <w:szCs w:val="24"/>
              </w:rPr>
              <w:t>政务</w:t>
            </w:r>
            <w:r w:rsidRPr="003C0BAD">
              <w:rPr>
                <w:rFonts w:ascii="Times New Roman" w:eastAsia="方正仿宋_GBK" w:hAnsi="Times New Roman" w:hint="eastAsia"/>
                <w:color w:val="000000"/>
                <w:sz w:val="24"/>
                <w:szCs w:val="24"/>
              </w:rPr>
              <w:t>大厅</w:t>
            </w:r>
            <w:r w:rsidRPr="003C0BAD">
              <w:rPr>
                <w:rFonts w:ascii="Times New Roman" w:eastAsia="方正仿宋_GBK" w:hAnsi="Times New Roman"/>
                <w:color w:val="000000"/>
                <w:sz w:val="24"/>
                <w:szCs w:val="24"/>
              </w:rPr>
              <w:t>开设帮办服务窗口，</w:t>
            </w:r>
            <w:r w:rsidRPr="003C0BAD">
              <w:rPr>
                <w:rFonts w:ascii="Times New Roman" w:eastAsia="方正仿宋_GBK" w:hAnsi="Times New Roman" w:hint="eastAsia"/>
                <w:color w:val="000000"/>
                <w:sz w:val="24"/>
                <w:szCs w:val="24"/>
              </w:rPr>
              <w:t>企业与帮办队伍签订无偿服务协议，即可享受专业化帮办服务。</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高新开发集团（产业发展公司）、政务服务和社会事务中心</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restart"/>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开办企业</w:t>
            </w: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“一业一证（照）”试点</w:t>
            </w:r>
          </w:p>
        </w:tc>
        <w:tc>
          <w:tcPr>
            <w:tcW w:w="7325" w:type="dxa"/>
            <w:vAlign w:val="center"/>
          </w:tcPr>
          <w:p w:rsidR="004576FA" w:rsidRPr="003C0BAD" w:rsidRDefault="004576FA" w:rsidP="0048721A">
            <w:pPr>
              <w:adjustRightInd w:val="0"/>
              <w:snapToGrid w:val="0"/>
              <w:spacing w:line="300" w:lineRule="exact"/>
              <w:rPr>
                <w:rFonts w:ascii="Times New Roman" w:eastAsia="方正仿宋_GBK" w:hAnsi="Times New Roman"/>
                <w:sz w:val="24"/>
                <w:szCs w:val="24"/>
              </w:rPr>
            </w:pPr>
            <w:r w:rsidRPr="003C0BAD">
              <w:rPr>
                <w:rFonts w:ascii="Times New Roman" w:eastAsia="方正仿宋_GBK" w:hAnsi="Times New Roman" w:hint="eastAsia"/>
                <w:sz w:val="24"/>
                <w:szCs w:val="24"/>
              </w:rPr>
              <w:t>将企业“准营”需要办理的多张许可证以“二维码”的形式呈现在“准入”许可证照上，通过“扫码”即可实时查询许可信息与经营状态，实现“一码覆盖、一证通行”，借鉴上海浦东新区经验，将试点范围拓展至协会、专卖店等</w:t>
            </w:r>
            <w:r w:rsidRPr="003C0BAD">
              <w:rPr>
                <w:rFonts w:ascii="Times New Roman" w:eastAsia="方正仿宋_GBK" w:hAnsi="Times New Roman"/>
                <w:sz w:val="24"/>
                <w:szCs w:val="24"/>
              </w:rPr>
              <w:t>47</w:t>
            </w:r>
            <w:r w:rsidRPr="003C0BAD">
              <w:rPr>
                <w:rFonts w:ascii="Times New Roman" w:eastAsia="方正仿宋_GBK" w:hAnsi="Times New Roman" w:hint="eastAsia"/>
                <w:sz w:val="24"/>
                <w:szCs w:val="24"/>
              </w:rPr>
              <w:t>个行业。</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政务服务和社会事务中心、市场监督管理局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w:t>
            </w:r>
            <w:r w:rsidRPr="003C0BAD">
              <w:rPr>
                <w:rFonts w:ascii="Times New Roman" w:eastAsia="方正仿宋_GBK" w:hAnsi="Times New Roman"/>
                <w:sz w:val="24"/>
                <w:szCs w:val="24"/>
              </w:rPr>
              <w:t>24</w:t>
            </w:r>
            <w:r w:rsidRPr="003C0BAD">
              <w:rPr>
                <w:rFonts w:ascii="Times New Roman" w:eastAsia="方正仿宋_GBK" w:hAnsi="Times New Roman"/>
                <w:sz w:val="24"/>
                <w:szCs w:val="24"/>
              </w:rPr>
              <w:t>小时</w:t>
            </w:r>
            <w:r w:rsidRPr="003C0BAD">
              <w:rPr>
                <w:rFonts w:ascii="Times New Roman" w:eastAsia="方正仿宋_GBK" w:hAnsi="Times New Roman" w:hint="eastAsia"/>
                <w:sz w:val="24"/>
                <w:szCs w:val="24"/>
              </w:rPr>
              <w:t>不打烊”自助办照服务试点</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利用人工智能、区块链等技术，搭建“商事登记智慧审批”系统，部分市场主体申领营业执照无需人工审核，利用自助终端机“自主申报、自主打照”，实现商事登记“</w:t>
            </w:r>
            <w:r w:rsidRPr="003C0BAD">
              <w:rPr>
                <w:rFonts w:ascii="Times New Roman" w:eastAsia="方正仿宋_GBK" w:hAnsi="Times New Roman"/>
                <w:sz w:val="24"/>
                <w:szCs w:val="24"/>
              </w:rPr>
              <w:t>24</w:t>
            </w:r>
            <w:r w:rsidRPr="003C0BAD">
              <w:rPr>
                <w:rFonts w:ascii="Times New Roman" w:eastAsia="方正仿宋_GBK" w:hAnsi="Times New Roman"/>
                <w:sz w:val="24"/>
                <w:szCs w:val="24"/>
              </w:rPr>
              <w:t>小时不</w:t>
            </w:r>
            <w:r w:rsidRPr="003C0BAD">
              <w:rPr>
                <w:rFonts w:ascii="Times New Roman" w:eastAsia="方正仿宋_GBK" w:hAnsi="Times New Roman" w:hint="eastAsia"/>
                <w:sz w:val="24"/>
                <w:szCs w:val="24"/>
              </w:rPr>
              <w:t>打烊”、“秒办秒批秒领”。</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市场监督管理局、政务服务和社会事务中心</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pacing w:val="-8"/>
                <w:sz w:val="24"/>
                <w:szCs w:val="24"/>
              </w:rPr>
            </w:pPr>
            <w:r w:rsidRPr="003C0BAD">
              <w:rPr>
                <w:rFonts w:ascii="Times New Roman" w:eastAsia="方正仿宋_GBK" w:hAnsi="Times New Roman" w:hint="eastAsia"/>
                <w:spacing w:val="-8"/>
                <w:sz w:val="24"/>
                <w:szCs w:val="24"/>
              </w:rPr>
              <w:t>简化住所登记要求</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推行住所（经营场所）申报承诺制，不再要求提供住房合同和产权证</w:t>
            </w:r>
            <w:r>
              <w:rPr>
                <w:rFonts w:ascii="Times New Roman" w:eastAsia="方正仿宋_GBK" w:hAnsi="Times New Roman" w:hint="eastAsia"/>
                <w:sz w:val="24"/>
                <w:szCs w:val="24"/>
              </w:rPr>
              <w:t>明，申报人只需提交《市场主体住所（经营场所）登记申报承诺书》。</w:t>
            </w:r>
            <w:r w:rsidRPr="003C0BAD">
              <w:rPr>
                <w:rFonts w:ascii="Times New Roman" w:eastAsia="方正仿宋_GBK" w:hAnsi="Times New Roman" w:hint="eastAsia"/>
                <w:sz w:val="24"/>
                <w:szCs w:val="24"/>
              </w:rPr>
              <w:t>探索推行“集群注册”登记，企业无需购买或租赁场地，与指定的托</w:t>
            </w:r>
            <w:r w:rsidRPr="003C0BAD">
              <w:rPr>
                <w:rFonts w:ascii="Times New Roman" w:eastAsia="方正仿宋_GBK" w:hAnsi="Times New Roman" w:hint="eastAsia"/>
                <w:sz w:val="24"/>
                <w:szCs w:val="24"/>
              </w:rPr>
              <w:lastRenderedPageBreak/>
              <w:t>管机构签订协议即可，解决</w:t>
            </w:r>
            <w:r w:rsidRPr="003C0BAD">
              <w:rPr>
                <w:rFonts w:ascii="Times New Roman" w:eastAsia="方正仿宋_GBK" w:hAnsi="Times New Roman"/>
                <w:sz w:val="24"/>
                <w:szCs w:val="24"/>
              </w:rPr>
              <w:t>对传统住所依赖性较低的</w:t>
            </w:r>
            <w:r w:rsidRPr="003C0BAD">
              <w:rPr>
                <w:rFonts w:ascii="Times New Roman" w:eastAsia="方正仿宋_GBK" w:hAnsi="Times New Roman" w:hint="eastAsia"/>
                <w:sz w:val="24"/>
                <w:szCs w:val="24"/>
              </w:rPr>
              <w:t>行业（</w:t>
            </w:r>
            <w:r w:rsidRPr="003C0BAD">
              <w:rPr>
                <w:rFonts w:ascii="Times New Roman" w:eastAsia="方正仿宋_GBK" w:hAnsi="Times New Roman"/>
                <w:sz w:val="24"/>
                <w:szCs w:val="24"/>
              </w:rPr>
              <w:t>文化、创意、电子商务</w:t>
            </w:r>
            <w:r w:rsidRPr="003C0BAD">
              <w:rPr>
                <w:rFonts w:ascii="Times New Roman" w:eastAsia="方正仿宋_GBK" w:hAnsi="Times New Roman" w:hint="eastAsia"/>
                <w:sz w:val="24"/>
                <w:szCs w:val="24"/>
              </w:rPr>
              <w:t>等）登记注册难的问题。推行“一照多址”“一址多照”，市场主体可以</w:t>
            </w:r>
            <w:r w:rsidRPr="003C0BAD">
              <w:rPr>
                <w:rFonts w:ascii="Times New Roman" w:eastAsia="方正仿宋_GBK" w:hAnsi="Times New Roman"/>
                <w:sz w:val="24"/>
                <w:szCs w:val="24"/>
              </w:rPr>
              <w:t>在住所外设立多个符合规定的生产经营场所</w:t>
            </w:r>
            <w:r w:rsidRPr="003C0BAD">
              <w:rPr>
                <w:rFonts w:ascii="Times New Roman" w:eastAsia="方正仿宋_GBK" w:hAnsi="Times New Roman" w:hint="eastAsia"/>
                <w:sz w:val="24"/>
                <w:szCs w:val="24"/>
              </w:rPr>
              <w:t>；</w:t>
            </w:r>
            <w:r w:rsidRPr="003C0BAD">
              <w:rPr>
                <w:rFonts w:ascii="Times New Roman" w:eastAsia="方正仿宋_GBK" w:hAnsi="Times New Roman"/>
                <w:sz w:val="24"/>
                <w:szCs w:val="24"/>
              </w:rPr>
              <w:t>同一地址可以作为多个市场主体的住所进行登记</w:t>
            </w:r>
            <w:r w:rsidRPr="003C0BAD">
              <w:rPr>
                <w:rFonts w:ascii="Times New Roman" w:eastAsia="方正仿宋_GBK" w:hAnsi="Times New Roman" w:hint="eastAsia"/>
                <w:sz w:val="24"/>
                <w:szCs w:val="24"/>
              </w:rPr>
              <w:t>。</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lastRenderedPageBreak/>
              <w:t>市场监督管理局、改革发展局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综合能源站“三证合一”改革试点</w:t>
            </w:r>
          </w:p>
        </w:tc>
        <w:tc>
          <w:tcPr>
            <w:tcW w:w="7325" w:type="dxa"/>
            <w:vAlign w:val="center"/>
          </w:tcPr>
          <w:p w:rsidR="004576FA" w:rsidRPr="003C0BAD" w:rsidRDefault="004576FA" w:rsidP="0048721A">
            <w:pPr>
              <w:widowControl/>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合并办理加油站、加气站、加氢站“三站”经营许可审批，颁发“车用综合能源站经营许可证”，法定审批时间</w:t>
            </w:r>
            <w:r w:rsidRPr="003C0BAD">
              <w:rPr>
                <w:rFonts w:ascii="Times New Roman" w:eastAsia="方正仿宋_GBK" w:hAnsi="Times New Roman"/>
                <w:color w:val="000000"/>
                <w:sz w:val="24"/>
                <w:szCs w:val="24"/>
              </w:rPr>
              <w:t>40</w:t>
            </w:r>
            <w:r w:rsidRPr="003C0BAD">
              <w:rPr>
                <w:rFonts w:ascii="Times New Roman" w:eastAsia="方正仿宋_GBK" w:hAnsi="Times New Roman"/>
                <w:color w:val="000000"/>
                <w:sz w:val="24"/>
                <w:szCs w:val="24"/>
              </w:rPr>
              <w:t>个工作日压缩至</w:t>
            </w:r>
            <w:r w:rsidRPr="003C0BAD">
              <w:rPr>
                <w:rFonts w:ascii="Times New Roman" w:eastAsia="方正仿宋_GBK" w:hAnsi="Times New Roman"/>
                <w:color w:val="000000"/>
                <w:sz w:val="24"/>
                <w:szCs w:val="24"/>
              </w:rPr>
              <w:t>4</w:t>
            </w:r>
            <w:r w:rsidRPr="003C0BAD">
              <w:rPr>
                <w:rFonts w:ascii="Times New Roman" w:eastAsia="方正仿宋_GBK" w:hAnsi="Times New Roman"/>
                <w:color w:val="000000"/>
                <w:sz w:val="24"/>
                <w:szCs w:val="24"/>
              </w:rPr>
              <w:t>个工作日，压减时限</w:t>
            </w:r>
            <w:r w:rsidRPr="003C0BAD">
              <w:rPr>
                <w:rFonts w:ascii="Times New Roman" w:eastAsia="方正仿宋_GBK" w:hAnsi="Times New Roman"/>
                <w:color w:val="000000"/>
                <w:sz w:val="24"/>
                <w:szCs w:val="24"/>
              </w:rPr>
              <w:t>90%</w:t>
            </w:r>
            <w:r w:rsidRPr="003C0BAD">
              <w:rPr>
                <w:rFonts w:ascii="Times New Roman" w:eastAsia="方正仿宋_GBK" w:hAnsi="Times New Roman"/>
                <w:color w:val="000000"/>
                <w:sz w:val="24"/>
                <w:szCs w:val="24"/>
              </w:rPr>
              <w:t>。</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改革</w:t>
            </w:r>
            <w:r w:rsidRPr="003C0BAD">
              <w:rPr>
                <w:rFonts w:ascii="Times New Roman" w:eastAsia="方正仿宋_GBK" w:hAnsi="Times New Roman"/>
                <w:color w:val="000000"/>
                <w:sz w:val="24"/>
                <w:szCs w:val="24"/>
              </w:rPr>
              <w:t>发展局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能源设施保护区内施工作业“即时批”</w:t>
            </w:r>
          </w:p>
        </w:tc>
        <w:tc>
          <w:tcPr>
            <w:tcW w:w="7325" w:type="dxa"/>
            <w:vAlign w:val="center"/>
          </w:tcPr>
          <w:p w:rsidR="004576FA" w:rsidRPr="003C0BAD" w:rsidRDefault="004576FA" w:rsidP="0048721A">
            <w:pPr>
              <w:widowControl/>
              <w:adjustRightInd w:val="0"/>
              <w:snapToGrid w:val="0"/>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推行“液化石油气经营许可”等</w:t>
            </w:r>
            <w:r w:rsidRPr="003C0BAD">
              <w:rPr>
                <w:rFonts w:ascii="Times New Roman" w:eastAsia="方正仿宋_GBK" w:hAnsi="Times New Roman"/>
                <w:color w:val="000000"/>
                <w:sz w:val="24"/>
                <w:szCs w:val="24"/>
              </w:rPr>
              <w:t>5</w:t>
            </w:r>
            <w:r w:rsidRPr="003C0BAD">
              <w:rPr>
                <w:rFonts w:ascii="Times New Roman" w:eastAsia="方正仿宋_GBK" w:hAnsi="Times New Roman"/>
                <w:color w:val="000000"/>
                <w:sz w:val="24"/>
                <w:szCs w:val="24"/>
              </w:rPr>
              <w:t>项</w:t>
            </w:r>
            <w:r w:rsidRPr="003C0BAD">
              <w:rPr>
                <w:rFonts w:ascii="Times New Roman" w:eastAsia="方正仿宋_GBK" w:hAnsi="Times New Roman" w:hint="eastAsia"/>
                <w:color w:val="000000"/>
                <w:sz w:val="24"/>
                <w:szCs w:val="24"/>
              </w:rPr>
              <w:t>行政审批事项“即时批”，法定审批时间</w:t>
            </w:r>
            <w:r w:rsidRPr="003C0BAD">
              <w:rPr>
                <w:rFonts w:ascii="Times New Roman" w:eastAsia="方正仿宋_GBK" w:hAnsi="Times New Roman"/>
                <w:color w:val="000000"/>
                <w:sz w:val="24"/>
                <w:szCs w:val="24"/>
              </w:rPr>
              <w:t>由</w:t>
            </w:r>
            <w:r w:rsidRPr="003C0BAD">
              <w:rPr>
                <w:rFonts w:ascii="Times New Roman" w:eastAsia="方正仿宋_GBK" w:hAnsi="Times New Roman"/>
                <w:color w:val="000000"/>
                <w:sz w:val="24"/>
                <w:szCs w:val="24"/>
              </w:rPr>
              <w:t>92</w:t>
            </w:r>
            <w:r w:rsidRPr="003C0BAD">
              <w:rPr>
                <w:rFonts w:ascii="Times New Roman" w:eastAsia="方正仿宋_GBK" w:hAnsi="Times New Roman"/>
                <w:color w:val="000000"/>
                <w:sz w:val="24"/>
                <w:szCs w:val="24"/>
              </w:rPr>
              <w:t>个工作日压缩至</w:t>
            </w:r>
            <w:r w:rsidRPr="003C0BAD">
              <w:rPr>
                <w:rFonts w:ascii="Times New Roman" w:eastAsia="方正仿宋_GBK" w:hAnsi="Times New Roman"/>
                <w:color w:val="000000"/>
                <w:sz w:val="24"/>
                <w:szCs w:val="24"/>
              </w:rPr>
              <w:t>0.5</w:t>
            </w:r>
            <w:r w:rsidRPr="003C0BAD">
              <w:rPr>
                <w:rFonts w:ascii="Times New Roman" w:eastAsia="方正仿宋_GBK" w:hAnsi="Times New Roman"/>
                <w:color w:val="000000"/>
                <w:sz w:val="24"/>
                <w:szCs w:val="24"/>
              </w:rPr>
              <w:t>个工作日</w:t>
            </w:r>
            <w:r w:rsidRPr="003C0BAD">
              <w:rPr>
                <w:rFonts w:ascii="Times New Roman" w:eastAsia="方正仿宋_GBK" w:hAnsi="Times New Roman" w:hint="eastAsia"/>
                <w:color w:val="000000"/>
                <w:sz w:val="24"/>
                <w:szCs w:val="24"/>
              </w:rPr>
              <w:t>，项目业主单位、施工单位与能源设施产权单位签订《安全保护协议》并报主管部门即可当场办结。</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color w:val="000000"/>
                <w:sz w:val="24"/>
                <w:szCs w:val="24"/>
              </w:rPr>
            </w:pPr>
            <w:r w:rsidRPr="003C0BAD">
              <w:rPr>
                <w:rFonts w:ascii="Times New Roman" w:eastAsia="方正仿宋_GBK" w:hAnsi="Times New Roman" w:hint="eastAsia"/>
                <w:color w:val="000000"/>
                <w:sz w:val="24"/>
                <w:szCs w:val="24"/>
              </w:rPr>
              <w:t>改革</w:t>
            </w:r>
            <w:r w:rsidRPr="003C0BAD">
              <w:rPr>
                <w:rFonts w:ascii="Times New Roman" w:eastAsia="方正仿宋_GBK" w:hAnsi="Times New Roman"/>
                <w:color w:val="000000"/>
                <w:sz w:val="24"/>
                <w:szCs w:val="24"/>
              </w:rPr>
              <w:t>发展局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restart"/>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办理建筑许可</w:t>
            </w: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项目投资“区域评估</w:t>
            </w:r>
            <w:r w:rsidRPr="003C0BAD">
              <w:rPr>
                <w:rFonts w:ascii="Times New Roman" w:eastAsia="方正仿宋_GBK" w:hAnsi="Times New Roman" w:hint="eastAsia"/>
                <w:sz w:val="24"/>
                <w:szCs w:val="24"/>
              </w:rPr>
              <w:t>+</w:t>
            </w:r>
            <w:r w:rsidRPr="003C0BAD">
              <w:rPr>
                <w:rFonts w:ascii="Times New Roman" w:eastAsia="方正仿宋_GBK" w:hAnsi="Times New Roman" w:hint="eastAsia"/>
                <w:sz w:val="24"/>
                <w:szCs w:val="24"/>
              </w:rPr>
              <w:t>标准地</w:t>
            </w:r>
            <w:r w:rsidRPr="003C0BAD">
              <w:rPr>
                <w:rFonts w:ascii="Times New Roman" w:eastAsia="方正仿宋_GBK" w:hAnsi="Times New Roman" w:hint="eastAsia"/>
                <w:sz w:val="24"/>
                <w:szCs w:val="24"/>
              </w:rPr>
              <w:t>+</w:t>
            </w:r>
            <w:r w:rsidRPr="003C0BAD">
              <w:rPr>
                <w:rFonts w:ascii="Times New Roman" w:eastAsia="方正仿宋_GBK" w:hAnsi="Times New Roman" w:hint="eastAsia"/>
                <w:sz w:val="24"/>
                <w:szCs w:val="24"/>
              </w:rPr>
              <w:t>承诺制</w:t>
            </w:r>
            <w:r w:rsidRPr="003C0BAD">
              <w:rPr>
                <w:rFonts w:ascii="Times New Roman" w:eastAsia="方正仿宋_GBK" w:hAnsi="Times New Roman" w:hint="eastAsia"/>
                <w:sz w:val="24"/>
                <w:szCs w:val="24"/>
              </w:rPr>
              <w:t>+</w:t>
            </w:r>
            <w:r w:rsidRPr="003C0BAD">
              <w:rPr>
                <w:rFonts w:ascii="Times New Roman" w:eastAsia="方正仿宋_GBK" w:hAnsi="Times New Roman" w:hint="eastAsia"/>
                <w:sz w:val="24"/>
                <w:szCs w:val="24"/>
              </w:rPr>
              <w:t>政府配套”试点</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借鉴北京市经验，加快落实地质灾害危险性评价、压覆重要矿产资源评价、环境影响评价、水土保持评价、文物影响评价等事项的区域评估，在完成区域评估工作基础上，制定标准地出让项目竣工验收管理办法、标准地出让项目达产复核管理办法。对符合条件的企业投资项目，除立项、规划、施工等必要手续外，以“标准</w:t>
            </w:r>
            <w:r w:rsidRPr="003C0BAD">
              <w:rPr>
                <w:rFonts w:ascii="Times New Roman" w:eastAsia="方正仿宋_GBK" w:hAnsi="Times New Roman" w:hint="eastAsia"/>
                <w:sz w:val="24"/>
                <w:szCs w:val="24"/>
              </w:rPr>
              <w:t>+</w:t>
            </w:r>
            <w:r w:rsidRPr="003C0BAD">
              <w:rPr>
                <w:rFonts w:ascii="Times New Roman" w:eastAsia="方正仿宋_GBK" w:hAnsi="Times New Roman" w:hint="eastAsia"/>
                <w:sz w:val="24"/>
                <w:szCs w:val="24"/>
              </w:rPr>
              <w:t>承诺”最大限度精简审批环节，同时政府部门优化技术方案备案、审图程序、监管服务、联合验收等环节，变“先批后建”为“先建后验”。</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规划和自然资源局、生态</w:t>
            </w:r>
            <w:r w:rsidRPr="003C0BAD">
              <w:rPr>
                <w:rFonts w:ascii="Times New Roman" w:eastAsia="方正仿宋_GBK" w:hAnsi="Times New Roman"/>
                <w:sz w:val="24"/>
                <w:szCs w:val="24"/>
              </w:rPr>
              <w:t>环境局、</w:t>
            </w:r>
            <w:r w:rsidRPr="003C0BAD">
              <w:rPr>
                <w:rFonts w:ascii="Times New Roman" w:eastAsia="方正仿宋_GBK" w:hAnsi="Times New Roman" w:hint="eastAsia"/>
                <w:sz w:val="24"/>
                <w:szCs w:val="24"/>
              </w:rPr>
              <w:t>建设局、</w:t>
            </w:r>
            <w:r w:rsidRPr="003C0BAD">
              <w:rPr>
                <w:rFonts w:ascii="Times New Roman" w:eastAsia="方正仿宋_GBK" w:hAnsi="Times New Roman"/>
                <w:sz w:val="24"/>
                <w:szCs w:val="24"/>
              </w:rPr>
              <w:t>改革发展局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投资项目分类管理</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highlight w:val="yellow"/>
              </w:rPr>
            </w:pPr>
            <w:r w:rsidRPr="003C0BAD">
              <w:rPr>
                <w:rFonts w:ascii="Times New Roman" w:eastAsia="方正仿宋_GBK" w:hAnsi="Times New Roman" w:hint="eastAsia"/>
                <w:sz w:val="24"/>
                <w:szCs w:val="24"/>
              </w:rPr>
              <w:t>精简规范工程建设项目全流程涉及的审批事项、技术审查和中介服务事项，持续缩减审批时限。</w:t>
            </w:r>
            <w:r w:rsidRPr="003C0BAD">
              <w:rPr>
                <w:rFonts w:ascii="Times New Roman" w:eastAsia="方正仿宋_GBK" w:hAnsi="Times New Roman"/>
                <w:sz w:val="24"/>
                <w:szCs w:val="24"/>
              </w:rPr>
              <w:t>政府投资房屋建筑和市政工程建设项目</w:t>
            </w:r>
            <w:r w:rsidRPr="003C0BAD">
              <w:rPr>
                <w:rFonts w:ascii="Times New Roman" w:eastAsia="方正仿宋_GBK" w:hAnsi="Times New Roman" w:hint="eastAsia"/>
                <w:sz w:val="24"/>
                <w:szCs w:val="24"/>
              </w:rPr>
              <w:t>、</w:t>
            </w:r>
            <w:r w:rsidRPr="003C0BAD">
              <w:rPr>
                <w:rFonts w:ascii="Times New Roman" w:eastAsia="方正仿宋_GBK" w:hAnsi="Times New Roman"/>
                <w:sz w:val="24"/>
                <w:szCs w:val="24"/>
              </w:rPr>
              <w:t>政府投资线性市政工程建设项目</w:t>
            </w:r>
            <w:r w:rsidRPr="003C0BAD">
              <w:rPr>
                <w:rFonts w:ascii="Times New Roman" w:eastAsia="方正仿宋_GBK" w:hAnsi="Times New Roman" w:hint="eastAsia"/>
                <w:sz w:val="24"/>
                <w:szCs w:val="24"/>
              </w:rPr>
              <w:t>、一般社会投资工程建设项目、一般工业建设项目从立项到竣工验收</w:t>
            </w:r>
            <w:r w:rsidRPr="003C0BAD">
              <w:rPr>
                <w:rFonts w:ascii="Times New Roman" w:eastAsia="方正仿宋_GBK" w:hAnsi="Times New Roman"/>
                <w:sz w:val="24"/>
                <w:szCs w:val="24"/>
              </w:rPr>
              <w:t>审批</w:t>
            </w:r>
            <w:r w:rsidRPr="003C0BAD">
              <w:rPr>
                <w:rFonts w:ascii="Times New Roman" w:eastAsia="方正仿宋_GBK" w:hAnsi="Times New Roman" w:hint="eastAsia"/>
                <w:sz w:val="24"/>
                <w:szCs w:val="24"/>
              </w:rPr>
              <w:t>时间原则上分别不超过</w:t>
            </w:r>
            <w:r w:rsidRPr="003C0BAD">
              <w:rPr>
                <w:rFonts w:ascii="Times New Roman" w:eastAsia="方正仿宋_GBK" w:hAnsi="Times New Roman"/>
                <w:sz w:val="24"/>
                <w:szCs w:val="24"/>
              </w:rPr>
              <w:t>29</w:t>
            </w:r>
            <w:r w:rsidRPr="003C0BAD">
              <w:rPr>
                <w:rFonts w:ascii="Times New Roman" w:eastAsia="方正仿宋_GBK" w:hAnsi="Times New Roman"/>
                <w:sz w:val="24"/>
                <w:szCs w:val="24"/>
              </w:rPr>
              <w:t>个工</w:t>
            </w:r>
            <w:r w:rsidRPr="003C0BAD">
              <w:rPr>
                <w:rFonts w:ascii="Times New Roman" w:eastAsia="方正仿宋_GBK" w:hAnsi="Times New Roman"/>
                <w:sz w:val="24"/>
                <w:szCs w:val="24"/>
              </w:rPr>
              <w:lastRenderedPageBreak/>
              <w:t>作日、</w:t>
            </w:r>
            <w:r w:rsidRPr="003C0BAD">
              <w:rPr>
                <w:rFonts w:ascii="Times New Roman" w:eastAsia="方正仿宋_GBK" w:hAnsi="Times New Roman"/>
                <w:sz w:val="24"/>
                <w:szCs w:val="24"/>
              </w:rPr>
              <w:t>36</w:t>
            </w:r>
            <w:r w:rsidRPr="003C0BAD">
              <w:rPr>
                <w:rFonts w:ascii="Times New Roman" w:eastAsia="方正仿宋_GBK" w:hAnsi="Times New Roman"/>
                <w:sz w:val="24"/>
                <w:szCs w:val="24"/>
              </w:rPr>
              <w:t>个工作日、</w:t>
            </w:r>
            <w:r w:rsidRPr="003C0BAD">
              <w:rPr>
                <w:rFonts w:ascii="Times New Roman" w:eastAsia="方正仿宋_GBK" w:hAnsi="Times New Roman"/>
                <w:sz w:val="24"/>
                <w:szCs w:val="24"/>
              </w:rPr>
              <w:t>30</w:t>
            </w:r>
            <w:r w:rsidRPr="003C0BAD">
              <w:rPr>
                <w:rFonts w:ascii="Times New Roman" w:eastAsia="方正仿宋_GBK" w:hAnsi="Times New Roman"/>
                <w:sz w:val="24"/>
                <w:szCs w:val="24"/>
              </w:rPr>
              <w:t>个工作日、</w:t>
            </w:r>
            <w:r w:rsidRPr="003C0BAD">
              <w:rPr>
                <w:rFonts w:ascii="Times New Roman" w:eastAsia="方正仿宋_GBK" w:hAnsi="Times New Roman"/>
                <w:sz w:val="24"/>
                <w:szCs w:val="24"/>
              </w:rPr>
              <w:t>25</w:t>
            </w:r>
            <w:r w:rsidRPr="003C0BAD">
              <w:rPr>
                <w:rFonts w:ascii="Times New Roman" w:eastAsia="方正仿宋_GBK" w:hAnsi="Times New Roman"/>
                <w:sz w:val="24"/>
                <w:szCs w:val="24"/>
              </w:rPr>
              <w:t>个工作日。</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lastRenderedPageBreak/>
              <w:t>改革发展局、规划和自然资源局、建设局、生态环境局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“交地即开工”</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对“交地领证”项目，建设单位取得建设用地规划许可证，确定土石方开挖施工单位和监理单位即可办理土石方施工许可证，先进行土石方开挖工程，同步推进规划方案审查、施工图联合审查备案和主体施工许可等手续。对“标准地”工业项目，建设单位</w:t>
            </w:r>
            <w:r w:rsidRPr="003C0BAD">
              <w:rPr>
                <w:rFonts w:ascii="Times New Roman" w:eastAsia="方正仿宋_GBK" w:hAnsi="Times New Roman"/>
                <w:sz w:val="24"/>
                <w:szCs w:val="24"/>
              </w:rPr>
              <w:t>签订土地出让合同，承诺</w:t>
            </w:r>
            <w:r w:rsidRPr="003C0BAD">
              <w:rPr>
                <w:rFonts w:ascii="Times New Roman" w:eastAsia="方正仿宋_GBK" w:hAnsi="Times New Roman" w:hint="eastAsia"/>
                <w:sz w:val="24"/>
                <w:szCs w:val="24"/>
              </w:rPr>
              <w:t>规划</w:t>
            </w:r>
            <w:r w:rsidRPr="003C0BAD">
              <w:rPr>
                <w:rFonts w:ascii="Times New Roman" w:eastAsia="方正仿宋_GBK" w:hAnsi="Times New Roman"/>
                <w:sz w:val="24"/>
                <w:szCs w:val="24"/>
              </w:rPr>
              <w:t>方案稳定，确定总承包施工单位</w:t>
            </w:r>
            <w:r w:rsidRPr="003C0BAD">
              <w:rPr>
                <w:rFonts w:ascii="Times New Roman" w:eastAsia="方正仿宋_GBK" w:hAnsi="Times New Roman" w:hint="eastAsia"/>
                <w:sz w:val="24"/>
                <w:szCs w:val="24"/>
              </w:rPr>
              <w:t>和监理单位</w:t>
            </w:r>
            <w:r w:rsidRPr="003C0BAD">
              <w:rPr>
                <w:rFonts w:ascii="Times New Roman" w:eastAsia="方正仿宋_GBK" w:hAnsi="Times New Roman"/>
                <w:sz w:val="24"/>
                <w:szCs w:val="24"/>
              </w:rPr>
              <w:t>，</w:t>
            </w:r>
            <w:r w:rsidRPr="003C0BAD">
              <w:rPr>
                <w:rFonts w:ascii="Times New Roman" w:eastAsia="方正仿宋_GBK" w:hAnsi="Times New Roman" w:hint="eastAsia"/>
                <w:sz w:val="24"/>
                <w:szCs w:val="24"/>
              </w:rPr>
              <w:t>具备第三方技术审查合格的</w:t>
            </w:r>
            <w:r w:rsidRPr="003C0BAD">
              <w:rPr>
                <w:rFonts w:ascii="Times New Roman" w:eastAsia="方正仿宋_GBK" w:hAnsi="Times New Roman"/>
                <w:sz w:val="24"/>
                <w:szCs w:val="24"/>
              </w:rPr>
              <w:t>施工图设计文件，即可申报</w:t>
            </w:r>
            <w:r w:rsidRPr="003C0BAD">
              <w:rPr>
                <w:rFonts w:ascii="Times New Roman" w:eastAsia="方正仿宋_GBK" w:hAnsi="Times New Roman" w:hint="eastAsia"/>
                <w:sz w:val="24"/>
                <w:szCs w:val="24"/>
              </w:rPr>
              <w:t>施工登记意见函，可先行开工建设</w:t>
            </w:r>
            <w:r w:rsidRPr="003C0BAD">
              <w:rPr>
                <w:rFonts w:ascii="Times New Roman" w:eastAsia="方正仿宋_GBK" w:hAnsi="Times New Roman"/>
                <w:sz w:val="24"/>
                <w:szCs w:val="24"/>
              </w:rPr>
              <w:t>。</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建设局、规划和自然资源局、改革发展局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同类项目整体环评</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对近三年内拟建的城市道路、学校、建筑垃圾填埋场、河湖整治、公园等项目，开展同类型建设项目整体环评，实行一次编制、一次评审、一次审批。</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生态环境局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环评“一行业一指南”</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以区域环评、产业规划环评为基础，聚焦新一代信息技术、先进制造、大健康、高技术服务业四大主导产业，分行业编制《环境影响报告表编制技术指南》，进一步明确环评简化和评价内容，实现环评“清单式”填报，简化后的环境影响报告表实行告知承诺制审批。</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生态环境局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环评审批并联公示</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环评审批阶段，将建设项目环境影响文件受理和拟审批情况同步公示，环境影响报告书和报告表公示时间分别缩短至</w:t>
            </w:r>
            <w:r w:rsidRPr="003C0BAD">
              <w:rPr>
                <w:rFonts w:ascii="Times New Roman" w:eastAsia="方正仿宋_GBK" w:hAnsi="Times New Roman"/>
                <w:sz w:val="24"/>
                <w:szCs w:val="24"/>
              </w:rPr>
              <w:t>10</w:t>
            </w:r>
            <w:r w:rsidRPr="003C0BAD">
              <w:rPr>
                <w:rFonts w:ascii="Times New Roman" w:eastAsia="方正仿宋_GBK" w:hAnsi="Times New Roman"/>
                <w:sz w:val="24"/>
                <w:szCs w:val="24"/>
              </w:rPr>
              <w:t>个工作日、</w:t>
            </w:r>
            <w:r w:rsidRPr="003C0BAD">
              <w:rPr>
                <w:rFonts w:ascii="Times New Roman" w:eastAsia="方正仿宋_GBK" w:hAnsi="Times New Roman"/>
                <w:sz w:val="24"/>
                <w:szCs w:val="24"/>
              </w:rPr>
              <w:t>5</w:t>
            </w:r>
            <w:r w:rsidRPr="003C0BAD">
              <w:rPr>
                <w:rFonts w:ascii="Times New Roman" w:eastAsia="方正仿宋_GBK" w:hAnsi="Times New Roman"/>
                <w:sz w:val="24"/>
                <w:szCs w:val="24"/>
              </w:rPr>
              <w:t>个工作日。</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生态环境局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优化水电气接入服务</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针对重点建设项目，推行“水电气报装服务专员制度”，与规划、建设部门联动，在工程建设期间提前介入、主动服务，提供“一站式”、高可靠性用能解决方案。针对一般建设项目，获得用水全流程总用时不超过</w:t>
            </w:r>
            <w:r w:rsidRPr="003C0BAD">
              <w:rPr>
                <w:rFonts w:ascii="Times New Roman" w:eastAsia="方正仿宋_GBK" w:hAnsi="Times New Roman"/>
                <w:sz w:val="24"/>
                <w:szCs w:val="24"/>
              </w:rPr>
              <w:t>9</w:t>
            </w:r>
            <w:r w:rsidRPr="003C0BAD">
              <w:rPr>
                <w:rFonts w:ascii="Times New Roman" w:eastAsia="方正仿宋_GBK" w:hAnsi="Times New Roman"/>
                <w:sz w:val="24"/>
                <w:szCs w:val="24"/>
              </w:rPr>
              <w:t>个工作日；获得用电低压小微用户全流程总用时不超过</w:t>
            </w:r>
            <w:r w:rsidRPr="003C0BAD">
              <w:rPr>
                <w:rFonts w:ascii="Times New Roman" w:eastAsia="方正仿宋_GBK" w:hAnsi="Times New Roman"/>
                <w:sz w:val="24"/>
                <w:szCs w:val="24"/>
              </w:rPr>
              <w:t>8</w:t>
            </w:r>
            <w:r w:rsidRPr="003C0BAD">
              <w:rPr>
                <w:rFonts w:ascii="Times New Roman" w:eastAsia="方正仿宋_GBK" w:hAnsi="Times New Roman"/>
                <w:sz w:val="24"/>
                <w:szCs w:val="24"/>
              </w:rPr>
              <w:lastRenderedPageBreak/>
              <w:t>个工作日，</w:t>
            </w:r>
            <w:r w:rsidRPr="003C0BAD">
              <w:rPr>
                <w:rFonts w:ascii="Times New Roman" w:eastAsia="方正仿宋_GBK" w:hAnsi="Times New Roman"/>
                <w:sz w:val="24"/>
                <w:szCs w:val="24"/>
              </w:rPr>
              <w:t>10</w:t>
            </w:r>
            <w:r w:rsidRPr="003C0BAD">
              <w:rPr>
                <w:rFonts w:ascii="Times New Roman" w:eastAsia="方正仿宋_GBK" w:hAnsi="Times New Roman"/>
                <w:sz w:val="24"/>
                <w:szCs w:val="24"/>
              </w:rPr>
              <w:t>千伏城镇用户全流程平均用时不超过</w:t>
            </w:r>
            <w:r w:rsidRPr="003C0BAD">
              <w:rPr>
                <w:rFonts w:ascii="Times New Roman" w:eastAsia="方正仿宋_GBK" w:hAnsi="Times New Roman"/>
                <w:sz w:val="24"/>
                <w:szCs w:val="24"/>
              </w:rPr>
              <w:t>30</w:t>
            </w:r>
            <w:r w:rsidRPr="003C0BAD">
              <w:rPr>
                <w:rFonts w:ascii="Times New Roman" w:eastAsia="方正仿宋_GBK" w:hAnsi="Times New Roman"/>
                <w:sz w:val="24"/>
                <w:szCs w:val="24"/>
              </w:rPr>
              <w:t>个工作日；获得用气用户办理总用时不超过</w:t>
            </w:r>
            <w:r w:rsidRPr="003C0BAD">
              <w:rPr>
                <w:rFonts w:ascii="Times New Roman" w:eastAsia="方正仿宋_GBK" w:hAnsi="Times New Roman"/>
                <w:sz w:val="24"/>
                <w:szCs w:val="24"/>
              </w:rPr>
              <w:t>13</w:t>
            </w:r>
            <w:r w:rsidRPr="003C0BAD">
              <w:rPr>
                <w:rFonts w:ascii="Times New Roman" w:eastAsia="方正仿宋_GBK" w:hAnsi="Times New Roman"/>
                <w:sz w:val="24"/>
                <w:szCs w:val="24"/>
              </w:rPr>
              <w:t>个工作</w:t>
            </w:r>
            <w:r w:rsidRPr="003C0BAD">
              <w:rPr>
                <w:rFonts w:ascii="Times New Roman" w:eastAsia="方正仿宋_GBK" w:hAnsi="Times New Roman" w:hint="eastAsia"/>
                <w:sz w:val="24"/>
                <w:szCs w:val="24"/>
              </w:rPr>
              <w:t>日。</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lastRenderedPageBreak/>
              <w:t>改革发展局、城市建设事务中心</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restart"/>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金融信贷</w:t>
            </w: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民营和小微企业金融服务综合改革试点</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建立“政银担”风险分担机制，政府、再担保、银行共同分担风险，打破由担保公</w:t>
            </w:r>
            <w:r w:rsidRPr="003C0BAD">
              <w:rPr>
                <w:rFonts w:ascii="Times New Roman" w:eastAsia="方正仿宋_GBK" w:hAnsi="Times New Roman"/>
                <w:sz w:val="24"/>
                <w:szCs w:val="24"/>
              </w:rPr>
              <w:t>司</w:t>
            </w:r>
            <w:r w:rsidRPr="003C0BAD">
              <w:rPr>
                <w:rFonts w:ascii="Times New Roman" w:eastAsia="方正仿宋_GBK" w:hAnsi="Times New Roman"/>
                <w:sz w:val="24"/>
                <w:szCs w:val="24"/>
              </w:rPr>
              <w:t>100%</w:t>
            </w:r>
            <w:r w:rsidRPr="003C0BAD">
              <w:rPr>
                <w:rFonts w:ascii="Times New Roman" w:eastAsia="方正仿宋_GBK" w:hAnsi="Times New Roman"/>
                <w:sz w:val="24"/>
                <w:szCs w:val="24"/>
              </w:rPr>
              <w:t>承担模</w:t>
            </w:r>
            <w:r w:rsidRPr="003C0BAD">
              <w:rPr>
                <w:rFonts w:ascii="Times New Roman" w:eastAsia="方正仿宋_GBK" w:hAnsi="Times New Roman" w:hint="eastAsia"/>
                <w:sz w:val="24"/>
                <w:szCs w:val="24"/>
              </w:rPr>
              <w:t>式，撬动更多资金流出市场。对不符合银行贷款条件的民营和小微企业由政府出面担保，扩大对科技型小微企业及高成长性、知识密集型企业的融资担保规模，降低企业融资难度。</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财政局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提升企业融资便利度</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发挥政府牵线搭桥和增信作用，持续完善“高新金服”功能，促进金融机构和企业精准对接，实现金融服务“可视”“可比”“可选”。联合重庆外汇管理部、交通银行、重庆农商行、重庆银行、重庆科学城融资担保公司开展外债便利化试点，为辖区内高新技术</w:t>
            </w:r>
            <w:r w:rsidRPr="003C0BAD">
              <w:rPr>
                <w:rFonts w:ascii="Times New Roman" w:eastAsia="方正仿宋_GBK" w:hAnsi="Times New Roman"/>
                <w:sz w:val="24"/>
                <w:szCs w:val="24"/>
              </w:rPr>
              <w:t>企业</w:t>
            </w:r>
            <w:r w:rsidRPr="003C0BAD">
              <w:rPr>
                <w:rFonts w:ascii="Times New Roman" w:eastAsia="方正仿宋_GBK" w:hAnsi="Times New Roman" w:hint="eastAsia"/>
                <w:sz w:val="24"/>
                <w:szCs w:val="24"/>
              </w:rPr>
              <w:t>开辟境外资金引进绿色通道，可借入最高不超过</w:t>
            </w:r>
            <w:r w:rsidRPr="003C0BAD">
              <w:rPr>
                <w:rFonts w:ascii="Times New Roman" w:eastAsia="方正仿宋_GBK" w:hAnsi="Times New Roman"/>
                <w:sz w:val="24"/>
                <w:szCs w:val="24"/>
              </w:rPr>
              <w:t>500</w:t>
            </w:r>
            <w:r w:rsidRPr="003C0BAD">
              <w:rPr>
                <w:rFonts w:ascii="Times New Roman" w:eastAsia="方正仿宋_GBK" w:hAnsi="Times New Roman" w:hint="eastAsia"/>
                <w:sz w:val="24"/>
                <w:szCs w:val="24"/>
              </w:rPr>
              <w:t>万美元的外债。</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财政局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restart"/>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普惠创新</w:t>
            </w: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实施“金凤凰”人才服务卡制度</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建立高新区人才服务卡制度，在重庆英才卡基础上进一步扩大服务范围，人才凭人才服务卡可享受科技咨询、职称评审、知识产权、户籍、留居签证、配偶就业、子女入学、医疗、人才项目申报、企业注册登记</w:t>
            </w:r>
            <w:r w:rsidRPr="003C0BAD">
              <w:rPr>
                <w:rFonts w:ascii="Times New Roman" w:eastAsia="方正仿宋_GBK" w:hAnsi="Times New Roman"/>
                <w:sz w:val="24"/>
                <w:szCs w:val="24"/>
              </w:rPr>
              <w:t>10</w:t>
            </w:r>
            <w:r w:rsidRPr="003C0BAD">
              <w:rPr>
                <w:rFonts w:ascii="Times New Roman" w:eastAsia="方正仿宋_GBK" w:hAnsi="Times New Roman" w:hint="eastAsia"/>
                <w:sz w:val="24"/>
                <w:szCs w:val="24"/>
              </w:rPr>
              <w:t>项“一卡通”服务。</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党群工作部、</w:t>
            </w:r>
            <w:r w:rsidRPr="003C0BAD">
              <w:rPr>
                <w:rFonts w:ascii="Times New Roman" w:eastAsia="方正仿宋_GBK" w:hAnsi="Times New Roman" w:hint="eastAsia"/>
                <w:color w:val="000000"/>
                <w:sz w:val="24"/>
                <w:szCs w:val="24"/>
              </w:rPr>
              <w:t>政务服务和社会事务中心</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建立跨区域人才共享机制</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建立统一的人才公共服务中心，推进西部（重庆）科学城全域各类人才可跨行政区办理税务、社保、教育、卫生、户籍、出入境等公共服务。探索“金凤凰”人才支持政策与成都高新区“金熊猫”人才支持政策对等互认，以及部分职业资格、职称跨地区核验、互认。</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党群工作部、</w:t>
            </w:r>
            <w:r w:rsidRPr="003C0BAD">
              <w:rPr>
                <w:rFonts w:ascii="Times New Roman" w:eastAsia="方正仿宋_GBK" w:hAnsi="Times New Roman" w:hint="eastAsia"/>
                <w:color w:val="000000"/>
                <w:sz w:val="24"/>
                <w:szCs w:val="24"/>
              </w:rPr>
              <w:t>政务服务和社会事务中心</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外国人来华工作许可服务窗口试</w:t>
            </w:r>
            <w:r w:rsidRPr="003C0BAD">
              <w:rPr>
                <w:rFonts w:ascii="Times New Roman" w:eastAsia="方正仿宋_GBK" w:hAnsi="Times New Roman" w:hint="eastAsia"/>
                <w:sz w:val="24"/>
                <w:szCs w:val="24"/>
              </w:rPr>
              <w:lastRenderedPageBreak/>
              <w:t>点</w:t>
            </w:r>
          </w:p>
        </w:tc>
        <w:tc>
          <w:tcPr>
            <w:tcW w:w="7325" w:type="dxa"/>
            <w:vAlign w:val="center"/>
          </w:tcPr>
          <w:p w:rsidR="004576FA" w:rsidRPr="003C0BAD" w:rsidRDefault="004576FA" w:rsidP="0048721A">
            <w:pPr>
              <w:adjustRightInd w:val="0"/>
              <w:snapToGrid w:val="0"/>
              <w:spacing w:line="300" w:lineRule="exact"/>
              <w:rPr>
                <w:rFonts w:ascii="Times New Roman" w:eastAsia="方正仿宋_GBK" w:hAnsi="Times New Roman"/>
                <w:sz w:val="24"/>
                <w:szCs w:val="24"/>
              </w:rPr>
            </w:pPr>
            <w:r w:rsidRPr="003C0BAD">
              <w:rPr>
                <w:rFonts w:ascii="Times New Roman" w:eastAsia="方正仿宋_GBK" w:hAnsi="Times New Roman" w:hint="eastAsia"/>
                <w:sz w:val="24"/>
                <w:szCs w:val="24"/>
              </w:rPr>
              <w:lastRenderedPageBreak/>
              <w:t>在全市率先开展外国人来华工作许可受理和服务试点改革，由高新区科技管理部门负责园区外国人来华工作许可日常管理，承接高新区直</w:t>
            </w:r>
            <w:r w:rsidRPr="003C0BAD">
              <w:rPr>
                <w:rFonts w:ascii="Times New Roman" w:eastAsia="方正仿宋_GBK" w:hAnsi="Times New Roman" w:hint="eastAsia"/>
                <w:sz w:val="24"/>
                <w:szCs w:val="24"/>
              </w:rPr>
              <w:lastRenderedPageBreak/>
              <w:t>管园范围内聘请外国人的单位或受托的服务机构提出的有关账号注册、外国人来华工作许可新申请、延期、变更、注销、补办以及高端人才确认函等业务的预审、受理、制发证与咨询服务等工作。</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lastRenderedPageBreak/>
              <w:t>科技创新局</w:t>
            </w:r>
          </w:p>
        </w:tc>
      </w:tr>
      <w:tr w:rsidR="004576FA" w:rsidRPr="003C0BAD" w:rsidTr="0048721A">
        <w:trPr>
          <w:jc w:val="center"/>
        </w:trPr>
        <w:tc>
          <w:tcPr>
            <w:tcW w:w="708" w:type="dxa"/>
            <w:vAlign w:val="center"/>
          </w:tcPr>
          <w:p w:rsidR="004576FA" w:rsidRPr="003C0BAD" w:rsidRDefault="004576FA" w:rsidP="004576FA">
            <w:pPr>
              <w:numPr>
                <w:ilvl w:val="0"/>
                <w:numId w:val="1"/>
              </w:numPr>
              <w:adjustRightInd w:val="0"/>
              <w:snapToGrid w:val="0"/>
              <w:ind w:left="0" w:firstLine="0"/>
              <w:jc w:val="center"/>
              <w:rPr>
                <w:rFonts w:ascii="Times New Roman" w:eastAsia="方正仿宋_GBK" w:hAnsi="Times New Roman"/>
                <w:sz w:val="24"/>
                <w:szCs w:val="24"/>
              </w:rPr>
            </w:pPr>
          </w:p>
        </w:tc>
        <w:tc>
          <w:tcPr>
            <w:tcW w:w="1231" w:type="dxa"/>
            <w:vMerge/>
            <w:vAlign w:val="center"/>
          </w:tcPr>
          <w:p w:rsidR="004576FA" w:rsidRPr="003C0BAD" w:rsidRDefault="004576FA" w:rsidP="0048721A">
            <w:pPr>
              <w:adjustRightInd w:val="0"/>
              <w:snapToGrid w:val="0"/>
              <w:jc w:val="center"/>
              <w:rPr>
                <w:rFonts w:ascii="Times New Roman" w:eastAsia="方正仿宋_GBK" w:hAnsi="Times New Roman"/>
                <w:sz w:val="24"/>
                <w:szCs w:val="24"/>
              </w:rPr>
            </w:pPr>
          </w:p>
        </w:tc>
        <w:tc>
          <w:tcPr>
            <w:tcW w:w="203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赋予科研人员职务科技成果所有权或长期使用权试点</w:t>
            </w:r>
          </w:p>
        </w:tc>
        <w:tc>
          <w:tcPr>
            <w:tcW w:w="7325" w:type="dxa"/>
            <w:vAlign w:val="center"/>
          </w:tcPr>
          <w:p w:rsidR="004576FA" w:rsidRPr="003C0BAD" w:rsidRDefault="004576FA" w:rsidP="0048721A">
            <w:pPr>
              <w:adjustRightInd w:val="0"/>
              <w:snapToGrid w:val="0"/>
              <w:rPr>
                <w:rFonts w:ascii="Times New Roman" w:eastAsia="方正仿宋_GBK" w:hAnsi="Times New Roman"/>
                <w:sz w:val="24"/>
                <w:szCs w:val="24"/>
              </w:rPr>
            </w:pPr>
            <w:r w:rsidRPr="003C0BAD">
              <w:rPr>
                <w:rFonts w:ascii="Times New Roman" w:eastAsia="方正仿宋_GBK" w:hAnsi="Times New Roman" w:hint="eastAsia"/>
                <w:sz w:val="24"/>
                <w:szCs w:val="24"/>
              </w:rPr>
              <w:t>配合市科技局，在部分高校、院所开展科技成果赋权试点改革工作，推动各试点单位建立健全职务科技成果转化收益分配机制，赋予科研人员职务科技成果所有权或长期使用权，使科研人员收入与对成果转化的实际贡献相匹配。</w:t>
            </w:r>
          </w:p>
        </w:tc>
        <w:tc>
          <w:tcPr>
            <w:tcW w:w="1810" w:type="dxa"/>
            <w:vAlign w:val="center"/>
          </w:tcPr>
          <w:p w:rsidR="004576FA" w:rsidRPr="003C0BAD" w:rsidRDefault="004576FA" w:rsidP="0048721A">
            <w:pPr>
              <w:adjustRightInd w:val="0"/>
              <w:snapToGrid w:val="0"/>
              <w:jc w:val="center"/>
              <w:rPr>
                <w:rFonts w:ascii="Times New Roman" w:eastAsia="方正仿宋_GBK" w:hAnsi="Times New Roman"/>
                <w:sz w:val="24"/>
                <w:szCs w:val="24"/>
              </w:rPr>
            </w:pPr>
            <w:r w:rsidRPr="003C0BAD">
              <w:rPr>
                <w:rFonts w:ascii="Times New Roman" w:eastAsia="方正仿宋_GBK" w:hAnsi="Times New Roman" w:hint="eastAsia"/>
                <w:sz w:val="24"/>
                <w:szCs w:val="24"/>
              </w:rPr>
              <w:t>科技创新局</w:t>
            </w:r>
          </w:p>
        </w:tc>
      </w:tr>
    </w:tbl>
    <w:p w:rsidR="00E83905" w:rsidRDefault="00E83905"/>
    <w:sectPr w:rsidR="00E83905" w:rsidSect="004576F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C062B"/>
    <w:multiLevelType w:val="multilevel"/>
    <w:tmpl w:val="4BCC062B"/>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76FA"/>
    <w:rsid w:val="004576FA"/>
    <w:rsid w:val="00E83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57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576FA"/>
    <w:rPr>
      <w:rFonts w:ascii="Arial" w:eastAsia="宋体" w:hAnsi="Arial" w:cs="Arial"/>
      <w:kern w:val="0"/>
      <w:sz w:val="24"/>
      <w:szCs w:val="24"/>
    </w:rPr>
  </w:style>
  <w:style w:type="table" w:styleId="a3">
    <w:name w:val="Table Grid"/>
    <w:basedOn w:val="a1"/>
    <w:uiPriority w:val="59"/>
    <w:qFormat/>
    <w:rsid w:val="004576FA"/>
    <w:rPr>
      <w:rFonts w:ascii="Calibri" w:eastAsia="微软雅黑"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2021-07-13T08:36:00Z</dcterms:created>
  <dcterms:modified xsi:type="dcterms:W3CDTF">2021-07-13T08:37:00Z</dcterms:modified>
</cp:coreProperties>
</file>