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53" w:rsidRDefault="00596F51">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重庆科学城高桥学校</w:t>
      </w:r>
    </w:p>
    <w:p w:rsidR="00233453" w:rsidRDefault="00596F51">
      <w:pPr>
        <w:pStyle w:val="a9"/>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33453" w:rsidRDefault="00233453">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一、单位基本情况</w:t>
      </w:r>
    </w:p>
    <w:p w:rsidR="00233453" w:rsidRDefault="00596F51">
      <w:pPr>
        <w:pStyle w:val="a9"/>
        <w:widowControl w:val="0"/>
        <w:shd w:val="clear" w:color="auto" w:fill="FFFFFF"/>
        <w:spacing w:before="0" w:beforeAutospacing="0" w:after="0" w:afterAutospacing="0" w:line="600" w:lineRule="exact"/>
        <w:ind w:firstLineChars="200" w:firstLine="640"/>
        <w:rPr>
          <w:rFonts w:ascii="方正楷体_GBK" w:eastAsia="方正楷体_GBK" w:hAnsi="方正楷体_GBK" w:cs="方正楷体_GBK" w:hint="default"/>
          <w:bCs/>
          <w:sz w:val="32"/>
          <w:szCs w:val="32"/>
        </w:rPr>
      </w:pPr>
      <w:r>
        <w:rPr>
          <w:rStyle w:val="ab"/>
          <w:rFonts w:ascii="方正楷体_GBK" w:eastAsia="方正楷体_GBK" w:hAnsi="方正楷体_GBK" w:cs="方正楷体_GBK"/>
          <w:b w:val="0"/>
          <w:bCs/>
          <w:sz w:val="32"/>
          <w:szCs w:val="32"/>
          <w:shd w:val="clear" w:color="auto" w:fill="FFFFFF"/>
        </w:rPr>
        <w:t>（一）职能职责</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开展教育教学工作，开展学校德育工作，开展学校体育、卫生工作、开展对外交流工作、维护校园安全，提供后勤保障服务。</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（二）机构设置</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学校内设</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个部门，包</w:t>
      </w:r>
      <w:r>
        <w:rPr>
          <w:rFonts w:ascii="方正仿宋_GBK" w:eastAsia="方正仿宋_GBK" w:hAnsi="方正仿宋_GBK" w:cs="方正仿宋_GBK"/>
          <w:sz w:val="32"/>
          <w:szCs w:val="32"/>
          <w:shd w:val="clear" w:color="auto" w:fill="FFFFFF"/>
        </w:rPr>
        <w:t>括综合办公室、教师发展中心、学生发展中心、后勤保障服务中心、安稳办和</w:t>
      </w:r>
      <w:proofErr w:type="gramStart"/>
      <w:r>
        <w:rPr>
          <w:rFonts w:ascii="方正仿宋_GBK" w:eastAsia="方正仿宋_GBK" w:hAnsi="方正仿宋_GBK" w:cs="方正仿宋_GBK"/>
          <w:sz w:val="32"/>
          <w:szCs w:val="32"/>
          <w:shd w:val="clear" w:color="auto" w:fill="FFFFFF"/>
        </w:rPr>
        <w:t>融媒体</w:t>
      </w:r>
      <w:proofErr w:type="gramEnd"/>
      <w:r>
        <w:rPr>
          <w:rFonts w:ascii="方正仿宋_GBK" w:eastAsia="方正仿宋_GBK" w:hAnsi="方正仿宋_GBK" w:cs="方正仿宋_GBK"/>
          <w:sz w:val="32"/>
          <w:szCs w:val="32"/>
          <w:shd w:val="clear" w:color="auto" w:fill="FFFFFF"/>
        </w:rPr>
        <w:t>中心</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二、单位决算收支情况说明</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（一）收入支出决算总体情况说明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收、支与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高桥学校是一所才成立</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年的学校正处于成长发展阶段，教职工人数和学生人数增加以及新开设了初中年级，配备了新的专业教室、计算机教室等导致决算数增加</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教职工人数和学生人数增加以及新开设了初中年级，配备了新的专业教室、计算机教室等</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事业收入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年初结转和结余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教职工人数和学生人数增加以及新开设了初中年级，配备了新的专业教室、计算机教室等</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hint="default"/>
          <w:sz w:val="32"/>
          <w:szCs w:val="32"/>
          <w:shd w:val="clear" w:color="auto" w:fill="FFFFFF"/>
        </w:rPr>
        <w:t>1800.19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66.6%</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hint="default"/>
          <w:sz w:val="32"/>
          <w:szCs w:val="32"/>
          <w:shd w:val="clear" w:color="auto" w:fill="FFFFFF"/>
        </w:rPr>
        <w:t>901.57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33.4%</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预算执行年度终了，我校不存在未执行完毕需要按原用途继续使用的资金</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（二）财政拨款收入支出决算总体情况说明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方正仿宋_GBK" w:eastAsia="方正仿宋_GBK" w:hAnsi="方正仿宋_GBK" w:cs="方正仿宋_GBK" w:hint="default"/>
          <w:sz w:val="32"/>
          <w:szCs w:val="32"/>
          <w:shd w:val="clear" w:color="auto" w:fill="FFFFFF"/>
        </w:rPr>
        <w:t>财政拨款收、支总计各增加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教职工人数和学生人数增加以及新开设了初中年级，配备了新的专业教室、计算机教室等导致财政拨款收支增加</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（三）一般公共预算财政拨款收入支出决算情况说明</w:t>
      </w:r>
    </w:p>
    <w:p w:rsidR="00233453" w:rsidRDefault="00596F51">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教职工人数和学生人数增加以及新开设了初中年级，配备了</w:t>
      </w:r>
      <w:r>
        <w:rPr>
          <w:rFonts w:ascii="方正仿宋_GBK" w:eastAsia="方正仿宋_GBK" w:hAnsi="方正仿宋_GBK" w:cs="方正仿宋_GBK"/>
          <w:sz w:val="32"/>
          <w:szCs w:val="32"/>
          <w:shd w:val="clear" w:color="auto" w:fill="FFFFFF"/>
        </w:rPr>
        <w:lastRenderedPageBreak/>
        <w:t>新的专业教室、计算机教室等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1186.55</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78.3%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年中上级资金追加以及学生人数增加导致预算数增加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hint="default"/>
          <w:sz w:val="32"/>
          <w:szCs w:val="32"/>
          <w:shd w:val="clear" w:color="auto" w:fill="FFFFFF"/>
        </w:rPr>
        <w:t>2701.76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786.03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sz w:val="32"/>
          <w:szCs w:val="32"/>
          <w:shd w:val="clear" w:color="auto" w:fill="FFFFFF"/>
        </w:rPr>
        <w:t>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教职工人数和学生人数增加以及新开设了初中年级，配备了新的专业教室、计算机教室等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1186.55</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78.3%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w:t>
      </w:r>
      <w:r>
        <w:rPr>
          <w:rFonts w:ascii="方正仿宋_GBK" w:eastAsia="方正仿宋_GBK" w:hAnsi="方正仿宋_GBK" w:cs="方正仿宋_GBK"/>
          <w:sz w:val="32"/>
          <w:szCs w:val="32"/>
          <w:shd w:val="clear" w:color="auto" w:fill="FFFFFF"/>
        </w:rPr>
        <w:t>资金追加以及学生人数增加导致决算数增加</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hint="default"/>
          <w:sz w:val="32"/>
          <w:szCs w:val="32"/>
          <w:shd w:val="clear" w:color="auto" w:fill="FFFFFF"/>
        </w:rPr>
        <w:t>2463.22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91.2%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1107.27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81.7%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年中上级资金追加以及学生人数增加导致决算数增加</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方正仿宋_GBK" w:eastAsia="方正仿宋_GBK" w:hAnsi="方正仿宋_GBK" w:cs="方正仿宋_GBK" w:hint="default"/>
          <w:sz w:val="32"/>
          <w:szCs w:val="32"/>
          <w:shd w:val="clear" w:color="auto" w:fill="FFFFFF"/>
        </w:rPr>
        <w:t>138.88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5.1%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62.26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81.3%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教师人数的增加导致相应的社会保障和就业支出增加。</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hint="default"/>
          <w:sz w:val="32"/>
          <w:szCs w:val="32"/>
          <w:shd w:val="clear" w:color="auto" w:fill="FFFFFF"/>
        </w:rPr>
        <w:t>51.13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1.9%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6.80</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教师人数的增加导致相应的</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增加。</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）住房保障支出</w:t>
      </w:r>
      <w:r>
        <w:rPr>
          <w:rFonts w:ascii="方正仿宋_GBK" w:eastAsia="方正仿宋_GBK" w:hAnsi="方正仿宋_GBK" w:cs="方正仿宋_GBK" w:hint="default"/>
          <w:sz w:val="32"/>
          <w:szCs w:val="32"/>
          <w:shd w:val="clear" w:color="auto" w:fill="FFFFFF"/>
        </w:rPr>
        <w:t>48.54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1.8%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10.23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26.7%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教师人数的增加导致相</w:t>
      </w:r>
      <w:r>
        <w:rPr>
          <w:rFonts w:ascii="方正仿宋_GBK" w:eastAsia="方正仿宋_GBK" w:hAnsi="方正仿宋_GBK" w:cs="方正仿宋_GBK"/>
          <w:sz w:val="32"/>
          <w:szCs w:val="32"/>
          <w:shd w:val="clear" w:color="auto" w:fill="FFFFFF"/>
        </w:rPr>
        <w:lastRenderedPageBreak/>
        <w:t>应的</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增加。</w:t>
      </w:r>
    </w:p>
    <w:p w:rsidR="00233453" w:rsidRDefault="00596F51">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预算执行年度终了，我校不存在未执行完毕需要按原用途继续使用的资金</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（四）一般公共预算财政拨款基本支出决算情况说明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hint="default"/>
          <w:sz w:val="32"/>
          <w:szCs w:val="32"/>
          <w:shd w:val="clear" w:color="auto" w:fill="FFFFFF"/>
        </w:rPr>
        <w:t>1800.19</w:t>
      </w:r>
      <w:r>
        <w:rPr>
          <w:rFonts w:ascii="方正仿宋_GBK" w:eastAsia="方正仿宋_GBK" w:hAnsi="方正仿宋_GBK" w:cs="方正仿宋_GBK"/>
          <w:sz w:val="32"/>
          <w:szCs w:val="32"/>
          <w:shd w:val="clear" w:color="auto" w:fill="FFFFFF"/>
        </w:rPr>
        <w:t>万元。其中：</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方正仿宋_GBK" w:eastAsia="方正仿宋_GBK" w:hAnsi="方正仿宋_GBK" w:cs="方正仿宋_GBK" w:hint="default"/>
          <w:sz w:val="32"/>
          <w:szCs w:val="32"/>
          <w:shd w:val="clear" w:color="auto" w:fill="FFFFFF"/>
        </w:rPr>
        <w:t>1373.43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665.92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94.1%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教师人数增加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教职工的基本工资、津贴补贴、绩效工资、社保费及住房公积金等保障人员开支方面的支出</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hint="default"/>
          <w:sz w:val="32"/>
          <w:szCs w:val="32"/>
          <w:shd w:val="clear" w:color="auto" w:fill="FFFFFF"/>
        </w:rPr>
        <w:t>426.76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143.73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50.8%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本年度学生人数增加导致公用经费增加。</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办公费、印刷费、水费、电费、维修（护）费、办公设备购置费等保障学校运转的费用</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（五）政府性基金预算收支决算情况说明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（六）国有资本经营预算财政拨款支出决算情况说明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三、财政拨款“三公”经费情况说明</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（一）“三公”经费支出总体情况说明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（二）“三公”经费分项支出情况</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（三）“三公”经费实物量情况</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lastRenderedPageBreak/>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四、其他需要说明的事项</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（一）财政拨款会议费、培训费和差旅费情况说明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年度都未产生会议费。</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hint="default"/>
          <w:sz w:val="32"/>
          <w:szCs w:val="32"/>
          <w:shd w:val="clear" w:color="auto" w:fill="FFFFFF"/>
        </w:rPr>
        <w:t>12.2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6.18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102.7%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年度学生及教师人数增加，因此培训</w:t>
      </w:r>
      <w:proofErr w:type="gramStart"/>
      <w:r>
        <w:rPr>
          <w:rFonts w:ascii="方正仿宋_GBK" w:eastAsia="方正仿宋_GBK" w:hAnsi="方正仿宋_GBK" w:cs="方正仿宋_GBK"/>
          <w:sz w:val="32"/>
          <w:szCs w:val="32"/>
          <w:shd w:val="clear" w:color="auto" w:fill="FFFFFF"/>
        </w:rPr>
        <w:t>费相应</w:t>
      </w:r>
      <w:proofErr w:type="gramEnd"/>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。本年度差旅费支出</w:t>
      </w:r>
      <w:r>
        <w:rPr>
          <w:rFonts w:ascii="方正仿宋_GBK" w:eastAsia="方正仿宋_GBK" w:hAnsi="方正仿宋_GBK" w:cs="方正仿宋_GBK" w:hint="default"/>
          <w:sz w:val="32"/>
          <w:szCs w:val="32"/>
          <w:shd w:val="clear" w:color="auto" w:fill="FFFFFF"/>
        </w:rPr>
        <w:t>2.91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1.99</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216.3%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年度学生和教师人数增加，学校规模的增加导致事务性的工作增加相应的导致差旅费增加。</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（二）机关运行经费情况说明</w:t>
      </w:r>
    </w:p>
    <w:p w:rsidR="00233453" w:rsidRDefault="00596F51">
      <w:pPr>
        <w:pStyle w:val="a9"/>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highlight w:val="yellow"/>
        </w:rPr>
      </w:pPr>
      <w:r>
        <w:rPr>
          <w:rFonts w:ascii="方正仿宋_GBK" w:eastAsia="方正仿宋_GBK" w:hAnsi="方正仿宋_GBK" w:cs="方正仿宋_GBK" w:hint="default"/>
          <w:color w:val="000000" w:themeColor="text1"/>
          <w:sz w:val="32"/>
          <w:szCs w:val="32"/>
          <w:shd w:val="clear" w:color="auto" w:fill="FFFFFF"/>
        </w:rPr>
        <w:t>2024</w:t>
      </w:r>
      <w:r>
        <w:rPr>
          <w:rFonts w:ascii="方正仿宋_GBK" w:eastAsia="方正仿宋_GBK" w:hAnsi="方正仿宋_GBK" w:cs="方正仿宋_GBK" w:hint="default"/>
          <w:color w:val="000000" w:themeColor="text1"/>
          <w:sz w:val="32"/>
          <w:szCs w:val="32"/>
          <w:shd w:val="clear" w:color="auto" w:fill="FFFFFF"/>
        </w:rPr>
        <w:t>年度本单位机关运行经费支出</w:t>
      </w:r>
      <w:r>
        <w:rPr>
          <w:rFonts w:ascii="方正仿宋_GBK" w:eastAsia="方正仿宋_GBK" w:hAnsi="方正仿宋_GBK" w:cs="方正仿宋_GBK"/>
          <w:color w:val="000000" w:themeColor="text1"/>
          <w:sz w:val="32"/>
          <w:szCs w:val="32"/>
          <w:shd w:val="clear" w:color="auto" w:fill="FFFFFF"/>
        </w:rPr>
        <w:t>0</w:t>
      </w:r>
      <w:r>
        <w:rPr>
          <w:rFonts w:ascii="方正仿宋_GBK" w:eastAsia="方正仿宋_GBK" w:hAnsi="方正仿宋_GBK" w:cs="方正仿宋_GBK" w:hint="default"/>
          <w:color w:val="000000" w:themeColor="text1"/>
          <w:sz w:val="32"/>
          <w:szCs w:val="32"/>
          <w:shd w:val="clear" w:color="auto" w:fill="FFFFFF"/>
        </w:rPr>
        <w:t>万元，机关运行经费较上年</w:t>
      </w:r>
      <w:proofErr w:type="gramStart"/>
      <w:r>
        <w:rPr>
          <w:rFonts w:ascii="方正仿宋_GBK" w:eastAsia="方正仿宋_GBK" w:hAnsi="方正仿宋_GBK" w:cs="方正仿宋_GBK" w:hint="default"/>
          <w:color w:val="000000" w:themeColor="text1"/>
          <w:sz w:val="32"/>
          <w:szCs w:val="32"/>
          <w:shd w:val="clear" w:color="auto" w:fill="FFFFFF"/>
        </w:rPr>
        <w:t>支出数无增减</w:t>
      </w:r>
      <w:proofErr w:type="gramEnd"/>
      <w:r>
        <w:rPr>
          <w:rFonts w:ascii="方正仿宋_GBK" w:eastAsia="方正仿宋_GBK" w:hAnsi="方正仿宋_GBK" w:cs="方正仿宋_GBK" w:hint="default"/>
          <w:color w:val="000000" w:themeColor="text1"/>
          <w:sz w:val="32"/>
          <w:szCs w:val="32"/>
          <w:shd w:val="clear" w:color="auto" w:fill="FFFFFF"/>
        </w:rPr>
        <w:t>，主要原因是按照部门决算列报口径，我单位不在机关运行经费统计范围之内。</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（三）国有资产占用情况说明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w:t>
      </w:r>
      <w:r>
        <w:rPr>
          <w:rFonts w:ascii="方正仿宋_GBK" w:eastAsia="方正仿宋_GBK" w:hAnsi="方正仿宋_GBK" w:cs="方正仿宋_GBK"/>
          <w:sz w:val="32"/>
          <w:szCs w:val="32"/>
          <w:shd w:val="clear" w:color="auto" w:fill="FFFFFF"/>
        </w:rPr>
        <w:lastRenderedPageBreak/>
        <w:t>专用设备</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（四）政府采购支出情况说明</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hint="default"/>
          <w:sz w:val="32"/>
          <w:szCs w:val="32"/>
          <w:shd w:val="clear" w:color="auto" w:fill="FFFFFF"/>
        </w:rPr>
        <w:t>51.99</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hint="default"/>
          <w:sz w:val="32"/>
          <w:szCs w:val="32"/>
          <w:shd w:val="clear" w:color="auto" w:fill="FFFFFF"/>
        </w:rPr>
        <w:t>51.99</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、政府采购服务支出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。授予中小企业合同金额</w:t>
      </w:r>
      <w:r>
        <w:rPr>
          <w:rFonts w:ascii="方正仿宋_GBK" w:eastAsia="方正仿宋_GBK" w:hAnsi="方正仿宋_GBK" w:cs="方正仿宋_GBK" w:hint="default"/>
          <w:sz w:val="32"/>
          <w:szCs w:val="32"/>
          <w:shd w:val="clear" w:color="auto" w:fill="FFFFFF"/>
        </w:rPr>
        <w:t>51.99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方正仿宋_GBK" w:eastAsia="方正仿宋_GBK" w:hAnsi="方正仿宋_GBK" w:cs="方正仿宋_GBK" w:hint="default"/>
          <w:sz w:val="32"/>
          <w:szCs w:val="32"/>
          <w:shd w:val="clear" w:color="auto" w:fill="FFFFFF"/>
        </w:rPr>
        <w:t>51.99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年新增班级办公室空调和初中部计算机教室的计算机等</w:t>
      </w:r>
      <w:r>
        <w:rPr>
          <w:rFonts w:ascii="方正仿宋_GBK" w:eastAsia="方正仿宋_GBK" w:hAnsi="方正仿宋_GBK" w:cs="方正仿宋_GBK"/>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五、</w:t>
      </w:r>
      <w:r>
        <w:rPr>
          <w:rStyle w:val="ab"/>
          <w:rFonts w:ascii="方正黑体_GBK" w:eastAsia="方正黑体_GBK" w:hAnsi="方正黑体_GBK" w:cs="方正黑体_GBK"/>
          <w:b w:val="0"/>
          <w:bCs/>
          <w:sz w:val="32"/>
          <w:szCs w:val="32"/>
          <w:shd w:val="clear" w:color="auto" w:fill="FFFFFF"/>
        </w:rPr>
        <w:t>2024</w:t>
      </w:r>
      <w:r>
        <w:rPr>
          <w:rStyle w:val="ab"/>
          <w:rFonts w:ascii="方正黑体_GBK" w:eastAsia="方正黑体_GBK" w:hAnsi="方正黑体_GBK" w:cs="方正黑体_GBK"/>
          <w:b w:val="0"/>
          <w:bCs/>
          <w:sz w:val="32"/>
          <w:szCs w:val="32"/>
          <w:shd w:val="clear" w:color="auto" w:fill="FFFFFF"/>
        </w:rPr>
        <w:t>年度预算绩效管理情况说明</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（一）单位自评情况</w:t>
      </w:r>
    </w:p>
    <w:p w:rsidR="00233453" w:rsidRDefault="00596F51">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901.57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233453" w:rsidRDefault="00596F51">
      <w:pPr>
        <w:pStyle w:val="a9"/>
        <w:widowControl w:val="0"/>
        <w:snapToGrid w:val="0"/>
        <w:spacing w:before="0" w:beforeAutospacing="0" w:after="0" w:afterAutospacing="0" w:line="600" w:lineRule="exact"/>
        <w:ind w:firstLineChars="200" w:firstLine="640"/>
        <w:jc w:val="both"/>
        <w:rPr>
          <w:rStyle w:val="21"/>
          <w:rFonts w:ascii="Times New Roman" w:eastAsia="方正仿宋_GBK" w:hAnsi="Times New Roman" w:cs="Times New Roman" w:hint="eastAsia"/>
          <w:color w:val="FF0000"/>
          <w:sz w:val="32"/>
          <w:szCs w:val="32"/>
          <w:shd w:val="clear" w:color="auto" w:fill="FFFFFF"/>
        </w:rPr>
      </w:pPr>
      <w:r>
        <w:rPr>
          <w:rFonts w:ascii="方正仿宋_GBK" w:eastAsia="方正仿宋_GBK" w:hAnsi="方正仿宋_GBK" w:cs="方正仿宋_GBK"/>
          <w:sz w:val="32"/>
          <w:szCs w:val="32"/>
          <w:shd w:val="clear" w:color="auto" w:fill="FFFFFF"/>
        </w:rPr>
        <w:t>项目支出绩效自评表（二级项目）详见附件。</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（二）单位绩效评价情况</w:t>
      </w:r>
    </w:p>
    <w:p w:rsidR="00233453" w:rsidRDefault="00596F51">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（三）财政绩效评价情况</w:t>
      </w:r>
    </w:p>
    <w:p w:rsidR="00233453" w:rsidRDefault="00596F51">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六、专业名词解释</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（一）财政拨款收入</w:t>
      </w:r>
      <w:r>
        <w:rPr>
          <w:rStyle w:val="ab"/>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w:t>
      </w:r>
      <w:r>
        <w:rPr>
          <w:rFonts w:ascii="方正仿宋_GBK" w:eastAsia="方正仿宋_GBK" w:hAnsi="方正仿宋_GBK" w:cs="方正仿宋_GBK" w:hint="eastAsia"/>
          <w:sz w:val="32"/>
          <w:szCs w:val="32"/>
          <w:shd w:val="clear" w:color="auto" w:fill="FFFFFF"/>
        </w:rPr>
        <w:lastRenderedPageBreak/>
        <w:t>动取得的现金流入；事业单位收到的财政专户实际核拨的教育收费等资金在此反映。</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（四）其他收入</w:t>
      </w:r>
      <w:r>
        <w:rPr>
          <w:rStyle w:val="ab"/>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lastRenderedPageBreak/>
        <w:t>（九）基本支出</w:t>
      </w:r>
      <w:r>
        <w:rPr>
          <w:rStyle w:val="ab"/>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（十）项目支出</w:t>
      </w:r>
      <w:r>
        <w:rPr>
          <w:rStyle w:val="ab"/>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ascii="方正仿宋_GBK" w:eastAsia="方正仿宋_GBK" w:hAnsi="方正仿宋_GBK" w:cs="方正仿宋_GBK" w:hint="eastAsia"/>
          <w:sz w:val="32"/>
          <w:szCs w:val="32"/>
          <w:shd w:val="clear" w:color="auto" w:fill="FFFFFF"/>
        </w:rPr>
        <w:lastRenderedPageBreak/>
        <w:t>取暖费、办公用房物业管理费、公务用车运行维护费以及其他费用。</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233453" w:rsidRDefault="00596F51">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b"/>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233453" w:rsidRDefault="00596F51">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hint="default"/>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七、决算公开联系方式及信息反馈渠道</w:t>
      </w:r>
    </w:p>
    <w:p w:rsidR="00233453" w:rsidRDefault="00596F51" w:rsidP="003E6EE4">
      <w:pPr>
        <w:pStyle w:val="1"/>
        <w:widowControl w:val="0"/>
        <w:spacing w:line="600" w:lineRule="exact"/>
        <w:ind w:firstLineChars="0" w:firstLine="0"/>
        <w:rPr>
          <w:rStyle w:val="ab"/>
          <w:rFonts w:ascii="方正仿宋_GBK" w:eastAsia="方正仿宋_GBK" w:hAnsi="方正仿宋_GBK" w:cs="方正仿宋_GBK"/>
          <w:color w:val="000000" w:themeColor="text1"/>
          <w:sz w:val="32"/>
          <w:szCs w:val="32"/>
          <w:shd w:val="clear" w:color="auto" w:fill="FFFF00"/>
        </w:rPr>
        <w:sectPr w:rsidR="00233453" w:rsidSect="003E6EE4">
          <w:footerReference w:type="default" r:id="rId8"/>
          <w:pgSz w:w="11915" w:h="16840"/>
          <w:pgMar w:top="2098" w:right="1531" w:bottom="1985" w:left="1531" w:header="851" w:footer="992" w:gutter="0"/>
          <w:pgNumType w:fmt="numberInDash"/>
          <w:cols w:space="0"/>
          <w:docGrid w:type="lines" w:linePitch="327"/>
        </w:sectPr>
      </w:pPr>
      <w:r>
        <w:rPr>
          <w:rFonts w:ascii="方正仿宋_GBK" w:eastAsia="方正仿宋_GBK" w:hAnsi="方正仿宋_GBK" w:cs="方正仿宋_GBK"/>
          <w:color w:val="000000" w:themeColor="text1"/>
          <w:sz w:val="32"/>
          <w:szCs w:val="32"/>
          <w:shd w:val="clear" w:color="auto" w:fill="FFFFFF"/>
        </w:rPr>
        <w:t>本单位决算公开信息反馈和联系方式：</w:t>
      </w:r>
      <w:r>
        <w:rPr>
          <w:rFonts w:ascii="方正仿宋_GBK" w:eastAsia="方正仿宋_GBK" w:hAnsi="方正仿宋_GBK" w:cs="方正仿宋_GBK" w:hint="eastAsia"/>
          <w:color w:val="000000" w:themeColor="text1"/>
          <w:sz w:val="32"/>
          <w:szCs w:val="32"/>
          <w:shd w:val="clear" w:color="auto" w:fill="FFFFFF"/>
        </w:rPr>
        <w:t>林树</w:t>
      </w:r>
      <w:proofErr w:type="gramStart"/>
      <w:r>
        <w:rPr>
          <w:rFonts w:ascii="方正仿宋_GBK" w:eastAsia="方正仿宋_GBK" w:hAnsi="方正仿宋_GBK" w:cs="方正仿宋_GBK" w:hint="eastAsia"/>
          <w:color w:val="000000" w:themeColor="text1"/>
          <w:sz w:val="32"/>
          <w:szCs w:val="32"/>
          <w:shd w:val="clear" w:color="auto" w:fill="FFFFFF"/>
        </w:rPr>
        <w:t>浩</w:t>
      </w:r>
      <w:proofErr w:type="gramEnd"/>
      <w:r w:rsidR="003E6EE4">
        <w:rPr>
          <w:rFonts w:ascii="方正仿宋_GBK" w:eastAsia="方正仿宋_GBK" w:hAnsi="方正仿宋_GBK" w:cs="方正仿宋_GBK" w:hint="eastAsia"/>
          <w:color w:val="000000" w:themeColor="text1"/>
          <w:sz w:val="32"/>
          <w:szCs w:val="32"/>
          <w:shd w:val="clear" w:color="auto" w:fill="FFFFFF"/>
        </w:rPr>
        <w:t>，</w:t>
      </w:r>
      <w:bookmarkStart w:id="0" w:name="_GoBack"/>
      <w:r>
        <w:rPr>
          <w:rFonts w:ascii="方正仿宋_GBK" w:eastAsia="方正仿宋_GBK" w:hAnsi="方正仿宋_GBK" w:cs="方正仿宋_GBK" w:hint="eastAsia"/>
          <w:color w:val="000000" w:themeColor="text1"/>
          <w:sz w:val="32"/>
          <w:szCs w:val="32"/>
          <w:shd w:val="clear" w:color="auto" w:fill="FFFFFF"/>
        </w:rPr>
        <w:t>023-65162196</w:t>
      </w:r>
      <w:bookmarkEnd w:id="0"/>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233453">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233453">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33453">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rPr>
                <w:rFonts w:ascii="Arial" w:hAnsi="Arial" w:cs="Arial" w:hint="default"/>
                <w:color w:val="000000"/>
                <w:sz w:val="22"/>
                <w:szCs w:val="22"/>
              </w:rPr>
            </w:pPr>
            <w:r>
              <w:rPr>
                <w:rFonts w:cs="宋体"/>
                <w:sz w:val="20"/>
                <w:szCs w:val="20"/>
              </w:rPr>
              <w:t>单位：</w:t>
            </w:r>
            <w:r>
              <w:rPr>
                <w:sz w:val="20"/>
              </w:rPr>
              <w:t>重庆科学城高桥学校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2,701.76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2,463.22</w:t>
            </w: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51.13</w:t>
            </w: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2,701.76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2,701.76</w:t>
            </w: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3453">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2,701.76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33453" w:rsidRDefault="00596F5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2,701.76</w:t>
            </w:r>
            <w:r>
              <w:rPr>
                <w:rFonts w:ascii="Times New Roman" w:hAnsi="Times New Roman"/>
                <w:color w:val="000000"/>
                <w:sz w:val="20"/>
              </w:rPr>
              <w:t xml:space="preserve"> </w:t>
            </w:r>
          </w:p>
        </w:tc>
      </w:tr>
    </w:tbl>
    <w:p w:rsidR="00233453" w:rsidRDefault="00233453">
      <w:pPr>
        <w:rPr>
          <w:rFonts w:cs="宋体" w:hint="default"/>
          <w:sz w:val="21"/>
          <w:szCs w:val="21"/>
        </w:rPr>
      </w:pPr>
    </w:p>
    <w:p w:rsidR="00233453" w:rsidRDefault="00596F51">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233453">
        <w:trPr>
          <w:trHeight w:val="562"/>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233453">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20"/>
                <w:szCs w:val="20"/>
              </w:rPr>
            </w:pPr>
            <w:r>
              <w:rPr>
                <w:rFonts w:cs="宋体"/>
                <w:sz w:val="20"/>
                <w:szCs w:val="20"/>
              </w:rPr>
              <w:t>单位：</w:t>
            </w:r>
            <w:r>
              <w:rPr>
                <w:sz w:val="20"/>
              </w:rPr>
              <w:t>重庆科学城高桥学校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33453">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其他收入</w:t>
            </w:r>
          </w:p>
        </w:tc>
      </w:tr>
      <w:tr w:rsidR="00233453">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26"/>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hRule="exact" w:val="369"/>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2,701.76</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2,701.76</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2,455.87</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2,455.87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初中教育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hRule="exact" w:val="369"/>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3453" w:rsidRDefault="00596F51">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233453">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233453">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重庆科学城高桥学校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33453">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对附属单位补助支出</w:t>
            </w:r>
          </w:p>
        </w:tc>
      </w:tr>
      <w:tr w:rsidR="00233453">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33453" w:rsidRDefault="0023345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2,701.76</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1,800.19</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901.57</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1,561.65</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901.57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1,561.65</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901.57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2,455.87</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1,555.20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900.66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初中教育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3453" w:rsidRDefault="00596F51">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p w:rsidR="00233453" w:rsidRDefault="00233453">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233453">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233453">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重庆科学城高桥学校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33453">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233453">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233453">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2,463.22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2,463.22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138.88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138.88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200" w:lineRule="exact"/>
              <w:rPr>
                <w:rFonts w:ascii="Times New Roman" w:hAnsi="Times New Roman" w:hint="default"/>
                <w:color w:val="000000"/>
                <w:sz w:val="18"/>
                <w:szCs w:val="18"/>
              </w:rPr>
            </w:pP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200" w:lineRule="exact"/>
              <w:jc w:val="right"/>
              <w:rPr>
                <w:rFonts w:ascii="Times New Roman" w:hAnsi="Times New Roman" w:hint="default"/>
                <w:color w:val="000000"/>
                <w:sz w:val="18"/>
                <w:szCs w:val="18"/>
              </w:rPr>
            </w:pPr>
          </w:p>
        </w:tc>
      </w:tr>
      <w:tr w:rsidR="0023345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2,701.76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233453" w:rsidRDefault="00596F51">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233453">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33453">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重庆科学城高桥学校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33453">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本年支出</w:t>
            </w:r>
          </w:p>
        </w:tc>
      </w:tr>
      <w:tr w:rsidR="00233453">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项目支出</w:t>
            </w:r>
          </w:p>
        </w:tc>
      </w:tr>
      <w:tr w:rsidR="00233453">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2,701.76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1,800.19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901.57</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1,561.65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901.57</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2,463.22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1,561.65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901.57</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2,455.87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1,555.20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900.66</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0.91</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138.88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92.58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46.29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51.13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32.82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18.31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48.54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3453">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48.54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3453" w:rsidRDefault="00596F51">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233453" w:rsidRDefault="00596F51">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33453">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33453">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重庆科学城高桥学校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33453">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233453" w:rsidRDefault="00233453">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233453">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233453">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spacing w:line="192" w:lineRule="exact"/>
              <w:jc w:val="center"/>
              <w:rPr>
                <w:rFonts w:cs="宋体" w:hint="default"/>
                <w:b/>
                <w:color w:val="000000"/>
                <w:sz w:val="18"/>
                <w:szCs w:val="18"/>
              </w:rPr>
            </w:pP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1,371.31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334.57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92.19</w:t>
            </w: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226.44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92.19</w:t>
            </w: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92.58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86.09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jc w:val="right"/>
              <w:rPr>
                <w:rFonts w:ascii="Times New Roman" w:hAnsi="Times New Roman" w:hint="default"/>
                <w:color w:val="000000"/>
                <w:sz w:val="18"/>
                <w:szCs w:val="18"/>
              </w:rPr>
            </w:pPr>
          </w:p>
        </w:tc>
      </w:tr>
      <w:tr w:rsidR="00233453">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jc w:val="right"/>
              <w:rPr>
                <w:rFonts w:ascii="Times New Roman" w:hAnsi="Times New Roman" w:hint="default"/>
                <w:color w:val="000000"/>
                <w:sz w:val="18"/>
                <w:szCs w:val="18"/>
              </w:rPr>
            </w:pPr>
          </w:p>
        </w:tc>
      </w:tr>
      <w:tr w:rsidR="00233453">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233453">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spacing w:line="192" w:lineRule="exact"/>
              <w:jc w:val="right"/>
              <w:rPr>
                <w:rFonts w:ascii="Times New Roman" w:hAnsi="Times New Roman" w:hint="default"/>
                <w:color w:val="000000"/>
                <w:sz w:val="18"/>
                <w:szCs w:val="18"/>
              </w:rPr>
            </w:pPr>
          </w:p>
        </w:tc>
      </w:tr>
      <w:tr w:rsidR="00233453">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596F5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1,373.43</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426.76</w:t>
            </w:r>
            <w:r>
              <w:rPr>
                <w:rFonts w:ascii="Times New Roman" w:hAnsi="Times New Roman"/>
                <w:color w:val="000000"/>
                <w:sz w:val="18"/>
              </w:rPr>
              <w:t xml:space="preserve"> </w:t>
            </w:r>
          </w:p>
        </w:tc>
      </w:tr>
    </w:tbl>
    <w:p w:rsidR="00233453" w:rsidRDefault="00596F51">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233453">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233453">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重庆科学城高桥学校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33453">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年末结转和结余</w:t>
            </w:r>
          </w:p>
        </w:tc>
      </w:tr>
      <w:tr w:rsidR="00233453">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345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3453" w:rsidRDefault="00596F51">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233453" w:rsidRDefault="00596F51">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233453">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33453">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重庆科学城高桥学校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33453">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233453" w:rsidRDefault="0023345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3453">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3453" w:rsidRDefault="00596F51">
            <w:pPr>
              <w:jc w:val="center"/>
              <w:textAlignment w:val="bottom"/>
              <w:rPr>
                <w:rFonts w:cs="宋体" w:hint="default"/>
                <w:b/>
                <w:color w:val="000000"/>
                <w:sz w:val="20"/>
                <w:szCs w:val="20"/>
              </w:rPr>
            </w:pPr>
            <w:r>
              <w:rPr>
                <w:rFonts w:cs="宋体"/>
                <w:b/>
                <w:color w:val="000000"/>
                <w:sz w:val="20"/>
                <w:szCs w:val="20"/>
              </w:rPr>
              <w:t>本年支出</w:t>
            </w:r>
          </w:p>
        </w:tc>
      </w:tr>
      <w:tr w:rsidR="00233453">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项目支出</w:t>
            </w:r>
          </w:p>
        </w:tc>
      </w:tr>
      <w:tr w:rsidR="0023345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3453" w:rsidRDefault="00233453">
            <w:pPr>
              <w:jc w:val="center"/>
              <w:rPr>
                <w:rFonts w:cs="宋体" w:hint="default"/>
                <w:b/>
                <w:color w:val="000000"/>
                <w:sz w:val="20"/>
                <w:szCs w:val="20"/>
              </w:rPr>
            </w:pPr>
          </w:p>
        </w:tc>
      </w:tr>
      <w:tr w:rsidR="00233453">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453" w:rsidRDefault="00596F51">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3453">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23345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3453" w:rsidRDefault="00596F5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33453" w:rsidRDefault="00596F51">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33453" w:rsidRDefault="00596F51">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233453">
        <w:trPr>
          <w:trHeight w:val="343"/>
        </w:trPr>
        <w:tc>
          <w:tcPr>
            <w:tcW w:w="14130" w:type="dxa"/>
            <w:gridSpan w:val="5"/>
            <w:shd w:val="clear" w:color="auto" w:fill="auto"/>
            <w:noWrap/>
            <w:tcMar>
              <w:top w:w="15" w:type="dxa"/>
              <w:left w:w="15" w:type="dxa"/>
              <w:right w:w="15" w:type="dxa"/>
            </w:tcMar>
            <w:vAlign w:val="bottom"/>
          </w:tcPr>
          <w:p w:rsidR="00233453" w:rsidRDefault="00596F5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33453">
        <w:trPr>
          <w:trHeight w:val="244"/>
        </w:trPr>
        <w:tc>
          <w:tcPr>
            <w:tcW w:w="3176" w:type="dxa"/>
            <w:shd w:val="clear" w:color="auto" w:fill="auto"/>
            <w:noWrap/>
            <w:tcMar>
              <w:top w:w="15" w:type="dxa"/>
              <w:left w:w="15" w:type="dxa"/>
              <w:right w:w="15" w:type="dxa"/>
            </w:tcMar>
            <w:vAlign w:val="bottom"/>
          </w:tcPr>
          <w:p w:rsidR="00233453" w:rsidRDefault="00233453">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233453" w:rsidRDefault="00233453">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233453" w:rsidRDefault="00233453">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233453" w:rsidRDefault="00233453">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33453">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233453" w:rsidRDefault="00596F51">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重庆科学城高桥学校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233453" w:rsidRDefault="00233453">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233453" w:rsidRDefault="00233453">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233453" w:rsidRDefault="00596F5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33453">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33453">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51.99</w:t>
            </w: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51.99</w:t>
            </w: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51.99</w:t>
            </w:r>
            <w:r>
              <w:rPr>
                <w:rFonts w:ascii="Times New Roman" w:hAnsi="Times New Roman"/>
                <w:color w:val="000000"/>
                <w:sz w:val="18"/>
              </w:rPr>
              <w:t xml:space="preserve"> </w:t>
            </w:r>
          </w:p>
        </w:tc>
      </w:tr>
      <w:tr w:rsidR="00233453">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51.99</w:t>
            </w:r>
            <w:r>
              <w:rPr>
                <w:rFonts w:ascii="Times New Roman" w:hAnsi="Times New Roman"/>
                <w:color w:val="000000"/>
                <w:sz w:val="18"/>
              </w:rPr>
              <w:t xml:space="preserve"> </w:t>
            </w:r>
          </w:p>
        </w:tc>
      </w:tr>
      <w:tr w:rsidR="00233453">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233453">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233453">
            <w:pPr>
              <w:spacing w:line="280" w:lineRule="exact"/>
              <w:jc w:val="right"/>
              <w:rPr>
                <w:rFonts w:cs="宋体" w:hint="default"/>
                <w:color w:val="000000"/>
                <w:kern w:val="2"/>
                <w:sz w:val="16"/>
                <w:szCs w:val="16"/>
              </w:rPr>
            </w:pPr>
          </w:p>
        </w:tc>
      </w:tr>
      <w:tr w:rsidR="00233453">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12.20</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233453">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233453">
            <w:pPr>
              <w:spacing w:line="280" w:lineRule="exact"/>
              <w:jc w:val="right"/>
              <w:rPr>
                <w:rFonts w:cs="宋体" w:hint="default"/>
                <w:color w:val="000000"/>
                <w:kern w:val="2"/>
                <w:sz w:val="16"/>
                <w:szCs w:val="16"/>
              </w:rPr>
            </w:pPr>
          </w:p>
        </w:tc>
      </w:tr>
      <w:tr w:rsidR="00233453">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596F5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596F5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3453" w:rsidRDefault="00233453">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3453" w:rsidRDefault="00233453">
            <w:pPr>
              <w:spacing w:line="280" w:lineRule="exact"/>
              <w:jc w:val="right"/>
              <w:rPr>
                <w:rFonts w:cs="宋体" w:hint="default"/>
                <w:color w:val="000000"/>
                <w:sz w:val="16"/>
                <w:szCs w:val="16"/>
              </w:rPr>
            </w:pPr>
          </w:p>
        </w:tc>
      </w:tr>
    </w:tbl>
    <w:p w:rsidR="00233453" w:rsidRDefault="00596F51">
      <w:pPr>
        <w:rPr>
          <w:rFonts w:cs="宋体"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p>
    <w:p w:rsidR="00233453" w:rsidRDefault="00233453">
      <w:pPr>
        <w:rPr>
          <w:rFonts w:cs="宋体" w:hint="default"/>
          <w:sz w:val="18"/>
          <w:szCs w:val="18"/>
        </w:rPr>
      </w:pPr>
    </w:p>
    <w:p w:rsidR="00233453" w:rsidRDefault="00233453">
      <w:pPr>
        <w:rPr>
          <w:rFonts w:cs="宋体" w:hint="default"/>
          <w:sz w:val="18"/>
          <w:szCs w:val="18"/>
        </w:rPr>
      </w:pPr>
    </w:p>
    <w:tbl>
      <w:tblPr>
        <w:tblW w:w="0" w:type="auto"/>
        <w:tblLook w:val="04A0" w:firstRow="1" w:lastRow="0" w:firstColumn="1" w:lastColumn="0" w:noHBand="0" w:noVBand="1"/>
      </w:tblPr>
      <w:tblGrid>
        <w:gridCol w:w="1622"/>
        <w:gridCol w:w="1208"/>
        <w:gridCol w:w="1208"/>
        <w:gridCol w:w="1622"/>
        <w:gridCol w:w="1220"/>
        <w:gridCol w:w="1321"/>
        <w:gridCol w:w="1522"/>
        <w:gridCol w:w="1020"/>
        <w:gridCol w:w="1020"/>
        <w:gridCol w:w="1421"/>
        <w:gridCol w:w="2324"/>
      </w:tblGrid>
      <w:tr w:rsidR="00233453">
        <w:trPr>
          <w:trHeight w:val="288"/>
        </w:trPr>
        <w:tc>
          <w:tcPr>
            <w:tcW w:w="0" w:type="auto"/>
            <w:tcBorders>
              <w:top w:val="nil"/>
              <w:left w:val="nil"/>
              <w:bottom w:val="nil"/>
              <w:right w:val="nil"/>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lastRenderedPageBreak/>
              <w:t>附件十</w:t>
            </w: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jc w:val="cente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jc w:val="center"/>
              <w:rPr>
                <w:rFonts w:cs="宋体" w:hint="default"/>
                <w:color w:val="000000"/>
                <w:sz w:val="22"/>
                <w:szCs w:val="22"/>
              </w:rPr>
            </w:pPr>
          </w:p>
        </w:tc>
        <w:tc>
          <w:tcPr>
            <w:tcW w:w="0" w:type="auto"/>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r>
      <w:tr w:rsidR="00233453">
        <w:trPr>
          <w:trHeight w:val="8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000000"/>
                <w:sz w:val="32"/>
                <w:szCs w:val="32"/>
              </w:rPr>
            </w:pPr>
            <w:r>
              <w:rPr>
                <w:rFonts w:ascii="微软雅黑" w:eastAsia="微软雅黑" w:hAnsi="微软雅黑" w:cs="微软雅黑"/>
                <w:b/>
                <w:bCs/>
                <w:color w:val="000000"/>
                <w:sz w:val="32"/>
                <w:szCs w:val="32"/>
                <w:lang w:bidi="ar"/>
              </w:rPr>
              <w:t>2024</w:t>
            </w:r>
            <w:r>
              <w:rPr>
                <w:rFonts w:ascii="微软雅黑" w:eastAsia="微软雅黑" w:hAnsi="微软雅黑" w:cs="微软雅黑"/>
                <w:b/>
                <w:bCs/>
                <w:color w:val="000000"/>
                <w:sz w:val="32"/>
                <w:szCs w:val="32"/>
                <w:lang w:bidi="ar"/>
              </w:rPr>
              <w:t>年度二级项目绩效自评表</w:t>
            </w:r>
          </w:p>
        </w:tc>
      </w:tr>
      <w:tr w:rsidR="00233453">
        <w:trPr>
          <w:trHeight w:val="3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1"/>
              <w:jc w:val="right"/>
              <w:textAlignment w:val="center"/>
              <w:rPr>
                <w:rFonts w:cs="宋体" w:hint="default"/>
                <w:b/>
                <w:bCs/>
                <w:color w:val="DA3232"/>
                <w:sz w:val="20"/>
                <w:szCs w:val="20"/>
              </w:rPr>
            </w:pPr>
            <w:r>
              <w:rPr>
                <w:rFonts w:cs="宋体"/>
                <w:b/>
                <w:bCs/>
                <w:color w:val="DA3232"/>
                <w:sz w:val="20"/>
                <w:szCs w:val="20"/>
                <w:lang w:bidi="ar"/>
              </w:rPr>
              <w:t>状态：部门审核已审</w:t>
            </w:r>
          </w:p>
        </w:tc>
      </w:tr>
      <w:tr w:rsidR="0023345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困难学生资助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50019324T000004513004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b/>
                <w:bCs/>
                <w:color w:val="000000"/>
                <w:sz w:val="20"/>
                <w:szCs w:val="20"/>
              </w:rPr>
            </w:pPr>
            <w:r>
              <w:rPr>
                <w:rFonts w:cs="宋体"/>
                <w:b/>
                <w:bCs/>
                <w:color w:val="000000"/>
                <w:sz w:val="20"/>
                <w:szCs w:val="20"/>
                <w:lang w:bidi="ar"/>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233453">
            <w:pPr>
              <w:rPr>
                <w:rFonts w:cs="宋体" w:hint="default"/>
                <w:color w:val="000000"/>
                <w:sz w:val="20"/>
                <w:szCs w:val="20"/>
              </w:rPr>
            </w:pPr>
          </w:p>
        </w:tc>
      </w:tr>
      <w:tr w:rsidR="0023345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203-</w:t>
            </w:r>
            <w:r>
              <w:rPr>
                <w:rFonts w:cs="宋体"/>
                <w:color w:val="000000"/>
                <w:sz w:val="20"/>
                <w:szCs w:val="20"/>
                <w:lang w:bidi="ar"/>
              </w:rPr>
              <w:t>重庆高新区教育系统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002-</w:t>
            </w:r>
            <w:r>
              <w:rPr>
                <w:rFonts w:cs="宋体"/>
                <w:color w:val="000000"/>
                <w:sz w:val="20"/>
                <w:szCs w:val="20"/>
                <w:lang w:bidi="ar"/>
              </w:rPr>
              <w:t>公共科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b/>
                <w:bCs/>
                <w:color w:val="000000"/>
                <w:sz w:val="20"/>
                <w:szCs w:val="20"/>
              </w:rPr>
            </w:pPr>
            <w:r>
              <w:rPr>
                <w:rFonts w:cs="宋体"/>
                <w:b/>
                <w:bCs/>
                <w:color w:val="000000"/>
                <w:sz w:val="20"/>
                <w:szCs w:val="20"/>
                <w:lang w:bidi="ar"/>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林树</w:t>
            </w:r>
            <w:proofErr w:type="gramStart"/>
            <w:r>
              <w:rPr>
                <w:rFonts w:cs="宋体"/>
                <w:color w:val="000000"/>
                <w:sz w:val="20"/>
                <w:szCs w:val="20"/>
                <w:lang w:bidi="ar"/>
              </w:rPr>
              <w:t>浩</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联系电话：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13521125288</w:t>
            </w:r>
          </w:p>
        </w:tc>
      </w:tr>
      <w:tr w:rsidR="00233453">
        <w:trPr>
          <w:trHeight w:val="42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资金情况</w:t>
            </w:r>
          </w:p>
        </w:tc>
      </w:tr>
      <w:tr w:rsidR="00233453">
        <w:trPr>
          <w:trHeight w:val="3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执行率得分</w:t>
            </w:r>
          </w:p>
        </w:tc>
      </w:tr>
      <w:tr w:rsidR="00233453">
        <w:trPr>
          <w:trHeight w:val="340"/>
        </w:trPr>
        <w:tc>
          <w:tcPr>
            <w:tcW w:w="0" w:type="auto"/>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0.00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right"/>
              <w:rPr>
                <w:rFonts w:cs="宋体" w:hint="default"/>
                <w:color w:val="000000"/>
                <w:sz w:val="20"/>
                <w:szCs w:val="20"/>
              </w:rPr>
            </w:pPr>
          </w:p>
        </w:tc>
      </w:tr>
      <w:tr w:rsidR="00233453">
        <w:trPr>
          <w:trHeight w:val="340"/>
        </w:trPr>
        <w:tc>
          <w:tcPr>
            <w:tcW w:w="0" w:type="auto"/>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0.00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 xml:space="preserve">10.00 </w:t>
            </w:r>
          </w:p>
        </w:tc>
      </w:tr>
      <w:tr w:rsidR="00233453">
        <w:trPr>
          <w:trHeight w:val="340"/>
        </w:trPr>
        <w:tc>
          <w:tcPr>
            <w:tcW w:w="0" w:type="auto"/>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0.00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59,262.50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right"/>
              <w:rPr>
                <w:rFonts w:cs="宋体" w:hint="default"/>
                <w:color w:val="000000"/>
                <w:sz w:val="20"/>
                <w:szCs w:val="20"/>
              </w:rPr>
            </w:pPr>
          </w:p>
        </w:tc>
      </w:tr>
      <w:tr w:rsidR="00233453">
        <w:trPr>
          <w:trHeight w:val="42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绩效目标</w:t>
            </w:r>
          </w:p>
        </w:tc>
      </w:tr>
      <w:tr w:rsidR="00233453">
        <w:trPr>
          <w:trHeight w:val="44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全年目标实际完成情况</w:t>
            </w:r>
          </w:p>
        </w:tc>
      </w:tr>
      <w:tr w:rsidR="00233453">
        <w:trPr>
          <w:trHeight w:val="4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textAlignment w:val="top"/>
              <w:rPr>
                <w:rFonts w:cs="宋体" w:hint="default"/>
                <w:color w:val="000000"/>
                <w:sz w:val="20"/>
                <w:szCs w:val="20"/>
              </w:rPr>
            </w:pPr>
            <w:r>
              <w:rPr>
                <w:rFonts w:cs="宋体"/>
                <w:color w:val="000000"/>
                <w:sz w:val="20"/>
                <w:szCs w:val="20"/>
                <w:lang w:bidi="ar"/>
              </w:rPr>
              <w:t>保障困难学生完成正常学业。</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textAlignment w:val="top"/>
              <w:rPr>
                <w:rFonts w:cs="宋体" w:hint="default"/>
                <w:color w:val="000000"/>
                <w:sz w:val="20"/>
                <w:szCs w:val="20"/>
              </w:rPr>
            </w:pPr>
            <w:r>
              <w:rPr>
                <w:rFonts w:cs="宋体"/>
                <w:color w:val="000000"/>
                <w:sz w:val="20"/>
                <w:szCs w:val="20"/>
                <w:lang w:bidi="ar"/>
              </w:rPr>
              <w:t>保障困难学生完成正常学业。</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jc w:val="center"/>
              <w:textAlignment w:val="top"/>
              <w:rPr>
                <w:rFonts w:cs="宋体" w:hint="default"/>
                <w:color w:val="000000"/>
                <w:sz w:val="20"/>
                <w:szCs w:val="20"/>
              </w:rPr>
            </w:pPr>
            <w:r>
              <w:rPr>
                <w:rFonts w:cs="宋体"/>
                <w:color w:val="000000"/>
                <w:sz w:val="20"/>
                <w:szCs w:val="20"/>
                <w:lang w:bidi="ar"/>
              </w:rPr>
              <w:t>保障困难学生完成正常学业</w:t>
            </w:r>
          </w:p>
        </w:tc>
      </w:tr>
      <w:tr w:rsidR="00233453">
        <w:trPr>
          <w:trHeight w:val="46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绩效指标</w:t>
            </w:r>
          </w:p>
        </w:tc>
      </w:tr>
      <w:tr w:rsidR="0023345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偏离度（</w:t>
            </w:r>
            <w:r>
              <w:rPr>
                <w:rFonts w:cs="宋体"/>
                <w:b/>
                <w:bCs/>
                <w:color w:val="000000"/>
                <w:sz w:val="20"/>
                <w:szCs w:val="20"/>
                <w:lang w:bidi="ar"/>
              </w:rPr>
              <w:t>%</w:t>
            </w:r>
            <w:r>
              <w:rPr>
                <w:rFonts w:cs="宋体"/>
                <w:b/>
                <w:bCs/>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得分系数（</w:t>
            </w:r>
            <w:r>
              <w:rPr>
                <w:rFonts w:cs="宋体"/>
                <w:b/>
                <w:bCs/>
                <w:color w:val="000000"/>
                <w:sz w:val="20"/>
                <w:szCs w:val="20"/>
                <w:lang w:bidi="ar"/>
              </w:rPr>
              <w:t>%</w:t>
            </w:r>
            <w:r>
              <w:rPr>
                <w:rFonts w:cs="宋体"/>
                <w:b/>
                <w:bCs/>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说明</w:t>
            </w:r>
          </w:p>
        </w:tc>
      </w:tr>
      <w:tr w:rsidR="00233453">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收益学生数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76.47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2024</w:t>
            </w:r>
            <w:r>
              <w:rPr>
                <w:rFonts w:cs="宋体"/>
                <w:color w:val="000000"/>
                <w:sz w:val="20"/>
                <w:szCs w:val="20"/>
                <w:lang w:bidi="ar"/>
              </w:rPr>
              <w:t>年秋期困难学生人数增加至</w:t>
            </w:r>
            <w:r>
              <w:rPr>
                <w:rFonts w:cs="宋体"/>
                <w:color w:val="000000"/>
                <w:sz w:val="20"/>
                <w:szCs w:val="20"/>
                <w:lang w:bidi="ar"/>
              </w:rPr>
              <w:t>60</w:t>
            </w:r>
            <w:r>
              <w:rPr>
                <w:rFonts w:cs="宋体"/>
                <w:color w:val="000000"/>
                <w:sz w:val="20"/>
                <w:szCs w:val="20"/>
                <w:lang w:bidi="ar"/>
              </w:rPr>
              <w:t>人</w:t>
            </w:r>
          </w:p>
        </w:tc>
      </w:tr>
      <w:tr w:rsidR="0023345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支付及时率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r w:rsidR="0023345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预算执行合</w:t>
            </w:r>
            <w:proofErr w:type="gramStart"/>
            <w:r>
              <w:rPr>
                <w:rFonts w:cs="宋体"/>
                <w:color w:val="000000"/>
                <w:sz w:val="20"/>
                <w:szCs w:val="20"/>
                <w:lang w:bidi="ar"/>
              </w:rPr>
              <w:t>规</w:t>
            </w:r>
            <w:proofErr w:type="gramEnd"/>
            <w:r>
              <w:rPr>
                <w:rFonts w:cs="宋体"/>
                <w:color w:val="000000"/>
                <w:sz w:val="20"/>
                <w:szCs w:val="20"/>
                <w:lang w:bidi="ar"/>
              </w:rPr>
              <w:t>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r w:rsidR="0023345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学生满意度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bl>
    <w:p w:rsidR="00233453" w:rsidRDefault="00233453">
      <w:pPr>
        <w:pStyle w:val="a0"/>
        <w:rPr>
          <w:rFonts w:cs="宋体" w:hint="default"/>
        </w:rPr>
      </w:pPr>
    </w:p>
    <w:p w:rsidR="00233453" w:rsidRDefault="00233453" w:rsidP="003E6EE4">
      <w:pPr>
        <w:pStyle w:val="2"/>
        <w:ind w:left="480" w:firstLine="360"/>
        <w:rPr>
          <w:rFonts w:hint="default"/>
          <w:sz w:val="18"/>
          <w:szCs w:val="18"/>
        </w:rPr>
      </w:pPr>
    </w:p>
    <w:p w:rsidR="00233453" w:rsidRDefault="00233453">
      <w:pPr>
        <w:pStyle w:val="2"/>
        <w:ind w:leftChars="0" w:left="0" w:firstLineChars="0" w:firstLine="0"/>
        <w:rPr>
          <w:rFonts w:hint="default"/>
        </w:rPr>
      </w:pPr>
    </w:p>
    <w:tbl>
      <w:tblPr>
        <w:tblW w:w="15508" w:type="dxa"/>
        <w:tblLayout w:type="fixed"/>
        <w:tblLook w:val="04A0" w:firstRow="1" w:lastRow="0" w:firstColumn="1" w:lastColumn="0" w:noHBand="0" w:noVBand="1"/>
      </w:tblPr>
      <w:tblGrid>
        <w:gridCol w:w="2015"/>
        <w:gridCol w:w="1508"/>
        <w:gridCol w:w="1508"/>
        <w:gridCol w:w="1622"/>
        <w:gridCol w:w="1227"/>
        <w:gridCol w:w="1329"/>
        <w:gridCol w:w="1522"/>
        <w:gridCol w:w="1020"/>
        <w:gridCol w:w="1020"/>
        <w:gridCol w:w="1421"/>
        <w:gridCol w:w="1316"/>
      </w:tblGrid>
      <w:tr w:rsidR="00233453">
        <w:trPr>
          <w:trHeight w:val="270"/>
        </w:trPr>
        <w:tc>
          <w:tcPr>
            <w:tcW w:w="2015" w:type="dxa"/>
            <w:tcBorders>
              <w:top w:val="nil"/>
              <w:left w:val="nil"/>
              <w:bottom w:val="nil"/>
              <w:right w:val="nil"/>
            </w:tcBorders>
            <w:shd w:val="clear" w:color="auto" w:fill="auto"/>
            <w:noWrap/>
            <w:vAlign w:val="center"/>
          </w:tcPr>
          <w:p w:rsidR="00233453" w:rsidRDefault="00596F51">
            <w:pPr>
              <w:textAlignment w:val="center"/>
              <w:rPr>
                <w:rFonts w:cs="宋体" w:hint="default"/>
                <w:color w:val="000000"/>
                <w:sz w:val="22"/>
                <w:szCs w:val="22"/>
              </w:rPr>
            </w:pPr>
            <w:r>
              <w:rPr>
                <w:rFonts w:cs="宋体"/>
                <w:color w:val="000000"/>
                <w:sz w:val="20"/>
                <w:szCs w:val="20"/>
                <w:lang w:bidi="ar"/>
              </w:rPr>
              <w:lastRenderedPageBreak/>
              <w:t>附</w:t>
            </w:r>
            <w:r>
              <w:rPr>
                <w:rFonts w:cs="宋体"/>
                <w:color w:val="000000"/>
                <w:sz w:val="20"/>
                <w:szCs w:val="20"/>
                <w:lang w:bidi="ar"/>
              </w:rPr>
              <w:t>表十一</w:t>
            </w:r>
          </w:p>
        </w:tc>
        <w:tc>
          <w:tcPr>
            <w:tcW w:w="1508"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508"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622"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227"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329"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522"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020"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020"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421"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c>
          <w:tcPr>
            <w:tcW w:w="1316" w:type="dxa"/>
            <w:tcBorders>
              <w:top w:val="nil"/>
              <w:left w:val="nil"/>
              <w:bottom w:val="nil"/>
              <w:right w:val="nil"/>
            </w:tcBorders>
            <w:shd w:val="clear" w:color="auto" w:fill="auto"/>
            <w:noWrap/>
            <w:vAlign w:val="center"/>
          </w:tcPr>
          <w:p w:rsidR="00233453" w:rsidRDefault="00233453">
            <w:pPr>
              <w:rPr>
                <w:rFonts w:cs="宋体" w:hint="default"/>
                <w:color w:val="000000"/>
                <w:sz w:val="22"/>
                <w:szCs w:val="22"/>
              </w:rPr>
            </w:pPr>
          </w:p>
        </w:tc>
      </w:tr>
      <w:tr w:rsidR="00233453">
        <w:trPr>
          <w:trHeight w:val="420"/>
        </w:trPr>
        <w:tc>
          <w:tcPr>
            <w:tcW w:w="1550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000000"/>
                <w:sz w:val="28"/>
                <w:szCs w:val="28"/>
              </w:rPr>
            </w:pPr>
            <w:r>
              <w:rPr>
                <w:rFonts w:ascii="微软雅黑" w:eastAsia="微软雅黑" w:hAnsi="微软雅黑" w:cs="微软雅黑"/>
                <w:b/>
                <w:bCs/>
                <w:color w:val="000000"/>
                <w:sz w:val="28"/>
                <w:szCs w:val="28"/>
                <w:lang w:bidi="ar"/>
              </w:rPr>
              <w:t>2024</w:t>
            </w:r>
            <w:r>
              <w:rPr>
                <w:rFonts w:ascii="微软雅黑" w:eastAsia="微软雅黑" w:hAnsi="微软雅黑" w:cs="微软雅黑"/>
                <w:b/>
                <w:bCs/>
                <w:color w:val="000000"/>
                <w:sz w:val="28"/>
                <w:szCs w:val="28"/>
                <w:lang w:bidi="ar"/>
              </w:rPr>
              <w:t>年度二级项目绩效自评表</w:t>
            </w:r>
          </w:p>
        </w:tc>
      </w:tr>
      <w:tr w:rsidR="00233453">
        <w:trPr>
          <w:trHeight w:val="260"/>
        </w:trPr>
        <w:tc>
          <w:tcPr>
            <w:tcW w:w="1550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1"/>
              <w:jc w:val="right"/>
              <w:textAlignment w:val="center"/>
              <w:rPr>
                <w:rFonts w:cs="宋体" w:hint="default"/>
                <w:b/>
                <w:bCs/>
                <w:color w:val="DA3232"/>
                <w:sz w:val="20"/>
                <w:szCs w:val="20"/>
              </w:rPr>
            </w:pPr>
            <w:r>
              <w:rPr>
                <w:rFonts w:cs="宋体"/>
                <w:b/>
                <w:bCs/>
                <w:color w:val="000000" w:themeColor="text1"/>
                <w:sz w:val="20"/>
                <w:szCs w:val="20"/>
                <w:lang w:bidi="ar"/>
              </w:rPr>
              <w:t>状态：部门审核已审</w:t>
            </w:r>
          </w:p>
        </w:tc>
      </w:tr>
      <w:tr w:rsidR="00233453">
        <w:trPr>
          <w:trHeight w:val="40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项目名称：</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学校设施设备采购（教育系统）</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项目编码：</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50019323T000003742846</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b/>
                <w:bCs/>
                <w:color w:val="000000"/>
                <w:sz w:val="20"/>
                <w:szCs w:val="20"/>
              </w:rPr>
            </w:pPr>
            <w:r>
              <w:rPr>
                <w:rFonts w:cs="宋体"/>
                <w:b/>
                <w:bCs/>
                <w:color w:val="000000"/>
                <w:sz w:val="20"/>
                <w:szCs w:val="20"/>
                <w:lang w:bidi="ar"/>
              </w:rPr>
              <w:t>自评总分：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100.00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right"/>
              <w:rPr>
                <w:rFonts w:cs="宋体" w:hint="default"/>
                <w:b/>
                <w:bCs/>
                <w:color w:val="000000"/>
                <w:sz w:val="20"/>
                <w:szCs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233453">
            <w:pPr>
              <w:rPr>
                <w:rFonts w:cs="宋体" w:hint="default"/>
                <w:color w:val="000000"/>
                <w:sz w:val="20"/>
                <w:szCs w:val="20"/>
              </w:rPr>
            </w:pPr>
          </w:p>
        </w:tc>
      </w:tr>
      <w:tr w:rsidR="00233453">
        <w:trPr>
          <w:trHeight w:val="36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项目主管部门：</w:t>
            </w: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203-</w:t>
            </w:r>
            <w:r>
              <w:rPr>
                <w:rFonts w:cs="宋体"/>
                <w:color w:val="000000"/>
                <w:sz w:val="20"/>
                <w:szCs w:val="20"/>
                <w:lang w:bidi="ar"/>
              </w:rPr>
              <w:t>重庆高新区教育系统</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财政归口处室：</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002-</w:t>
            </w:r>
            <w:r>
              <w:rPr>
                <w:rFonts w:cs="宋体"/>
                <w:color w:val="000000"/>
                <w:sz w:val="20"/>
                <w:szCs w:val="20"/>
                <w:lang w:bidi="ar"/>
              </w:rPr>
              <w:t>公共科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b/>
                <w:bCs/>
                <w:color w:val="000000"/>
                <w:sz w:val="20"/>
                <w:szCs w:val="20"/>
              </w:rPr>
            </w:pPr>
            <w:r>
              <w:rPr>
                <w:rFonts w:cs="宋体"/>
                <w:b/>
                <w:bCs/>
                <w:color w:val="000000"/>
                <w:sz w:val="20"/>
                <w:szCs w:val="20"/>
                <w:lang w:bidi="ar"/>
              </w:rPr>
              <w:t>部门联系人：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林树</w:t>
            </w:r>
            <w:proofErr w:type="gramStart"/>
            <w:r>
              <w:rPr>
                <w:rFonts w:cs="宋体"/>
                <w:color w:val="000000"/>
                <w:sz w:val="20"/>
                <w:szCs w:val="20"/>
                <w:lang w:bidi="ar"/>
              </w:rPr>
              <w:t>浩</w:t>
            </w:r>
            <w:proofErr w:type="gramEnd"/>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b/>
                <w:bCs/>
                <w:color w:val="000000"/>
                <w:sz w:val="20"/>
                <w:szCs w:val="20"/>
              </w:rPr>
            </w:pPr>
            <w:r>
              <w:rPr>
                <w:rFonts w:cs="宋体"/>
                <w:b/>
                <w:bCs/>
                <w:color w:val="000000"/>
                <w:sz w:val="20"/>
                <w:szCs w:val="20"/>
                <w:lang w:bidi="ar"/>
              </w:rPr>
              <w:t>联系电话：</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13521125288</w:t>
            </w:r>
          </w:p>
        </w:tc>
      </w:tr>
      <w:tr w:rsidR="00233453">
        <w:trPr>
          <w:trHeight w:val="300"/>
        </w:trPr>
        <w:tc>
          <w:tcPr>
            <w:tcW w:w="1550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资金情况</w:t>
            </w:r>
          </w:p>
        </w:tc>
      </w:tr>
      <w:tr w:rsidR="00233453">
        <w:trPr>
          <w:trHeight w:val="300"/>
        </w:trPr>
        <w:tc>
          <w:tcPr>
            <w:tcW w:w="352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年初预算数</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全年（调整）预算数</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全年执行数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执行率</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b/>
                <w:bCs/>
                <w:color w:val="000000"/>
                <w:sz w:val="20"/>
                <w:szCs w:val="20"/>
              </w:rPr>
            </w:pPr>
            <w:r>
              <w:rPr>
                <w:rFonts w:cs="宋体"/>
                <w:b/>
                <w:bCs/>
                <w:color w:val="000000"/>
                <w:sz w:val="20"/>
                <w:szCs w:val="20"/>
                <w:lang w:bidi="ar"/>
              </w:rPr>
              <w:t>执行率权重</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执行率得分</w:t>
            </w:r>
          </w:p>
        </w:tc>
      </w:tr>
      <w:tr w:rsidR="00233453">
        <w:trPr>
          <w:trHeight w:val="380"/>
        </w:trPr>
        <w:tc>
          <w:tcPr>
            <w:tcW w:w="2015" w:type="dxa"/>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年度总金额</w:t>
            </w:r>
          </w:p>
        </w:tc>
        <w:tc>
          <w:tcPr>
            <w:tcW w:w="1508" w:type="dxa"/>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1508" w:type="dxa"/>
            <w:tcBorders>
              <w:top w:val="single" w:sz="4" w:space="0" w:color="000000"/>
              <w:left w:val="single" w:sz="4" w:space="0" w:color="000000"/>
              <w:bottom w:val="single" w:sz="4" w:space="0" w:color="000000"/>
              <w:right w:val="nil"/>
            </w:tcBorders>
            <w:shd w:val="clear" w:color="auto" w:fill="auto"/>
            <w:noWrap/>
            <w:vAlign w:val="center"/>
          </w:tcPr>
          <w:p w:rsidR="00233453" w:rsidRDefault="00233453">
            <w:pPr>
              <w:rPr>
                <w:rFonts w:cs="宋体" w:hint="default"/>
                <w:color w:val="000000"/>
                <w:sz w:val="20"/>
                <w:szCs w:val="20"/>
              </w:rPr>
            </w:pPr>
          </w:p>
        </w:tc>
        <w:tc>
          <w:tcPr>
            <w:tcW w:w="1622" w:type="dxa"/>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color w:val="000000"/>
                <w:sz w:val="20"/>
                <w:szCs w:val="20"/>
              </w:rPr>
            </w:pPr>
            <w:r>
              <w:rPr>
                <w:rFonts w:cs="宋体"/>
                <w:color w:val="000000"/>
                <w:sz w:val="20"/>
                <w:szCs w:val="20"/>
                <w:lang w:bidi="ar"/>
              </w:rPr>
              <w:t xml:space="preserve">0.00 </w:t>
            </w:r>
          </w:p>
        </w:tc>
        <w:tc>
          <w:tcPr>
            <w:tcW w:w="2556"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2542"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r>
      <w:tr w:rsidR="00233453">
        <w:trPr>
          <w:trHeight w:val="380"/>
        </w:trPr>
        <w:tc>
          <w:tcPr>
            <w:tcW w:w="2015" w:type="dxa"/>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其中：财政拨款</w:t>
            </w:r>
          </w:p>
        </w:tc>
        <w:tc>
          <w:tcPr>
            <w:tcW w:w="1508" w:type="dxa"/>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1508" w:type="dxa"/>
            <w:tcBorders>
              <w:top w:val="single" w:sz="4" w:space="0" w:color="000000"/>
              <w:left w:val="single" w:sz="4" w:space="0" w:color="000000"/>
              <w:bottom w:val="single" w:sz="4" w:space="0" w:color="000000"/>
              <w:right w:val="nil"/>
            </w:tcBorders>
            <w:shd w:val="clear" w:color="auto" w:fill="auto"/>
            <w:noWrap/>
            <w:vAlign w:val="center"/>
          </w:tcPr>
          <w:p w:rsidR="00233453" w:rsidRDefault="00233453">
            <w:pPr>
              <w:rPr>
                <w:rFonts w:cs="宋体" w:hint="default"/>
                <w:color w:val="000000"/>
                <w:sz w:val="20"/>
                <w:szCs w:val="20"/>
              </w:rPr>
            </w:pPr>
          </w:p>
        </w:tc>
        <w:tc>
          <w:tcPr>
            <w:tcW w:w="1622" w:type="dxa"/>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color w:val="000000"/>
                <w:sz w:val="20"/>
                <w:szCs w:val="20"/>
              </w:rPr>
            </w:pPr>
            <w:r>
              <w:rPr>
                <w:rFonts w:cs="宋体"/>
                <w:color w:val="000000"/>
                <w:sz w:val="20"/>
                <w:szCs w:val="20"/>
                <w:lang w:bidi="ar"/>
              </w:rPr>
              <w:t xml:space="preserve">0.00 </w:t>
            </w:r>
          </w:p>
        </w:tc>
        <w:tc>
          <w:tcPr>
            <w:tcW w:w="2556"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2542"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10.00</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10.00 </w:t>
            </w:r>
          </w:p>
        </w:tc>
      </w:tr>
      <w:tr w:rsidR="00233453">
        <w:trPr>
          <w:trHeight w:val="380"/>
        </w:trPr>
        <w:tc>
          <w:tcPr>
            <w:tcW w:w="2015" w:type="dxa"/>
            <w:tcBorders>
              <w:top w:val="single" w:sz="4" w:space="0" w:color="000000"/>
              <w:left w:val="single" w:sz="4" w:space="0" w:color="000000"/>
              <w:bottom w:val="single" w:sz="4" w:space="0" w:color="000000"/>
              <w:right w:val="nil"/>
            </w:tcBorders>
            <w:shd w:val="clear" w:color="auto" w:fill="auto"/>
            <w:vAlign w:val="center"/>
          </w:tcPr>
          <w:p w:rsidR="00233453" w:rsidRDefault="00596F51">
            <w:pPr>
              <w:textAlignment w:val="center"/>
              <w:rPr>
                <w:rFonts w:cs="宋体" w:hint="default"/>
                <w:color w:val="000000"/>
                <w:sz w:val="20"/>
                <w:szCs w:val="20"/>
              </w:rPr>
            </w:pPr>
            <w:r>
              <w:rPr>
                <w:rFonts w:cs="宋体"/>
                <w:color w:val="000000"/>
                <w:sz w:val="20"/>
                <w:szCs w:val="20"/>
                <w:lang w:bidi="ar"/>
              </w:rPr>
              <w:t>一般公共预算</w:t>
            </w:r>
          </w:p>
        </w:tc>
        <w:tc>
          <w:tcPr>
            <w:tcW w:w="1508" w:type="dxa"/>
            <w:tcBorders>
              <w:top w:val="single" w:sz="4" w:space="0" w:color="000000"/>
              <w:left w:val="nil"/>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c>
          <w:tcPr>
            <w:tcW w:w="1508" w:type="dxa"/>
            <w:tcBorders>
              <w:top w:val="single" w:sz="4" w:space="0" w:color="000000"/>
              <w:left w:val="single" w:sz="4" w:space="0" w:color="000000"/>
              <w:bottom w:val="single" w:sz="4" w:space="0" w:color="000000"/>
              <w:right w:val="nil"/>
            </w:tcBorders>
            <w:shd w:val="clear" w:color="auto" w:fill="auto"/>
            <w:noWrap/>
            <w:vAlign w:val="center"/>
          </w:tcPr>
          <w:p w:rsidR="00233453" w:rsidRDefault="00233453">
            <w:pPr>
              <w:rPr>
                <w:rFonts w:cs="宋体" w:hint="default"/>
                <w:color w:val="000000"/>
                <w:sz w:val="20"/>
                <w:szCs w:val="20"/>
              </w:rPr>
            </w:pPr>
          </w:p>
        </w:tc>
        <w:tc>
          <w:tcPr>
            <w:tcW w:w="1622" w:type="dxa"/>
            <w:tcBorders>
              <w:top w:val="single" w:sz="4" w:space="0" w:color="000000"/>
              <w:left w:val="nil"/>
              <w:bottom w:val="single" w:sz="4" w:space="0" w:color="000000"/>
              <w:right w:val="single" w:sz="4" w:space="0" w:color="000000"/>
            </w:tcBorders>
            <w:shd w:val="clear" w:color="auto" w:fill="auto"/>
            <w:noWrap/>
            <w:vAlign w:val="center"/>
          </w:tcPr>
          <w:p w:rsidR="00233453" w:rsidRDefault="00596F51">
            <w:pPr>
              <w:jc w:val="right"/>
              <w:textAlignment w:val="center"/>
              <w:rPr>
                <w:rFonts w:cs="宋体" w:hint="default"/>
                <w:color w:val="000000"/>
                <w:sz w:val="20"/>
                <w:szCs w:val="20"/>
              </w:rPr>
            </w:pPr>
            <w:r>
              <w:rPr>
                <w:rFonts w:cs="宋体"/>
                <w:color w:val="000000"/>
                <w:sz w:val="20"/>
                <w:szCs w:val="20"/>
                <w:lang w:bidi="ar"/>
              </w:rPr>
              <w:t xml:space="preserve">0.00 </w:t>
            </w:r>
          </w:p>
        </w:tc>
        <w:tc>
          <w:tcPr>
            <w:tcW w:w="2556"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2542" w:type="dxa"/>
            <w:gridSpan w:val="2"/>
            <w:tcBorders>
              <w:top w:val="single" w:sz="4" w:space="0" w:color="000000"/>
              <w:left w:val="nil"/>
              <w:bottom w:val="single" w:sz="4" w:space="0" w:color="000000"/>
              <w:right w:val="single" w:sz="4" w:space="0" w:color="000000"/>
            </w:tcBorders>
            <w:shd w:val="clear" w:color="auto" w:fill="auto"/>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 xml:space="preserve">2,039,447.00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color w:val="000000"/>
                <w:sz w:val="20"/>
                <w:szCs w:val="20"/>
              </w:rPr>
            </w:pPr>
            <w:r>
              <w:rPr>
                <w:rFonts w:cs="宋体"/>
                <w:color w:val="000000"/>
                <w:sz w:val="20"/>
                <w:szCs w:val="20"/>
                <w:lang w:bidi="ar"/>
              </w:rPr>
              <w:t>100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jc w:val="center"/>
              <w:rPr>
                <w:rFonts w:cs="宋体" w:hint="default"/>
                <w:color w:val="000000"/>
                <w:sz w:val="20"/>
                <w:szCs w:val="20"/>
              </w:rPr>
            </w:pPr>
          </w:p>
        </w:tc>
      </w:tr>
      <w:tr w:rsidR="00233453">
        <w:trPr>
          <w:trHeight w:val="320"/>
        </w:trPr>
        <w:tc>
          <w:tcPr>
            <w:tcW w:w="1550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绩效目标</w:t>
            </w:r>
          </w:p>
        </w:tc>
      </w:tr>
      <w:tr w:rsidR="00233453">
        <w:trPr>
          <w:trHeight w:val="380"/>
        </w:trPr>
        <w:tc>
          <w:tcPr>
            <w:tcW w:w="66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年初绩效目标</w:t>
            </w:r>
          </w:p>
        </w:tc>
        <w:tc>
          <w:tcPr>
            <w:tcW w:w="509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全年（调整）绩效目标</w:t>
            </w:r>
          </w:p>
        </w:tc>
        <w:tc>
          <w:tcPr>
            <w:tcW w:w="37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全年目标实际完成情况</w:t>
            </w:r>
          </w:p>
        </w:tc>
      </w:tr>
      <w:tr w:rsidR="00233453">
        <w:trPr>
          <w:trHeight w:val="360"/>
        </w:trPr>
        <w:tc>
          <w:tcPr>
            <w:tcW w:w="6653" w:type="dxa"/>
            <w:gridSpan w:val="4"/>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textAlignment w:val="top"/>
              <w:rPr>
                <w:rFonts w:cs="宋体" w:hint="default"/>
                <w:color w:val="000000"/>
                <w:sz w:val="20"/>
                <w:szCs w:val="20"/>
              </w:rPr>
            </w:pPr>
            <w:r>
              <w:rPr>
                <w:rFonts w:cs="宋体"/>
                <w:color w:val="000000"/>
                <w:sz w:val="20"/>
                <w:szCs w:val="20"/>
                <w:lang w:bidi="ar"/>
              </w:rPr>
              <w:t>保障学校高质量发展需要经费保障。</w:t>
            </w:r>
          </w:p>
        </w:tc>
        <w:tc>
          <w:tcPr>
            <w:tcW w:w="5098" w:type="dxa"/>
            <w:gridSpan w:val="4"/>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textAlignment w:val="top"/>
              <w:rPr>
                <w:rFonts w:cs="宋体" w:hint="default"/>
                <w:color w:val="000000"/>
                <w:sz w:val="20"/>
                <w:szCs w:val="20"/>
              </w:rPr>
            </w:pPr>
            <w:r>
              <w:rPr>
                <w:rFonts w:cs="宋体"/>
                <w:color w:val="000000"/>
                <w:sz w:val="20"/>
                <w:szCs w:val="20"/>
                <w:lang w:bidi="ar"/>
              </w:rPr>
              <w:t>保障学校高质量发展需要经费保障。</w:t>
            </w:r>
          </w:p>
        </w:tc>
        <w:tc>
          <w:tcPr>
            <w:tcW w:w="3757" w:type="dxa"/>
            <w:gridSpan w:val="3"/>
            <w:tcBorders>
              <w:top w:val="single" w:sz="4" w:space="0" w:color="000000"/>
              <w:left w:val="single" w:sz="4" w:space="0" w:color="000000"/>
              <w:bottom w:val="single" w:sz="4" w:space="0" w:color="000000"/>
              <w:right w:val="single" w:sz="4" w:space="0" w:color="000000"/>
            </w:tcBorders>
            <w:shd w:val="clear" w:color="auto" w:fill="auto"/>
          </w:tcPr>
          <w:p w:rsidR="00233453" w:rsidRDefault="00596F51">
            <w:pPr>
              <w:textAlignment w:val="top"/>
              <w:rPr>
                <w:rFonts w:cs="宋体" w:hint="default"/>
                <w:color w:val="000000"/>
                <w:sz w:val="20"/>
                <w:szCs w:val="20"/>
              </w:rPr>
            </w:pPr>
            <w:r>
              <w:rPr>
                <w:rFonts w:cs="宋体"/>
                <w:color w:val="000000"/>
                <w:sz w:val="20"/>
                <w:szCs w:val="20"/>
                <w:lang w:bidi="ar"/>
              </w:rPr>
              <w:t>已经全额完成</w:t>
            </w:r>
          </w:p>
        </w:tc>
      </w:tr>
      <w:tr w:rsidR="00233453">
        <w:trPr>
          <w:trHeight w:val="240"/>
        </w:trPr>
        <w:tc>
          <w:tcPr>
            <w:tcW w:w="1550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ascii="微软雅黑" w:eastAsia="微软雅黑" w:hAnsi="微软雅黑" w:cs="微软雅黑" w:hint="default"/>
                <w:b/>
                <w:bCs/>
                <w:color w:val="808080"/>
                <w:sz w:val="20"/>
                <w:szCs w:val="20"/>
              </w:rPr>
            </w:pPr>
            <w:r>
              <w:rPr>
                <w:rFonts w:ascii="微软雅黑" w:eastAsia="微软雅黑" w:hAnsi="微软雅黑" w:cs="微软雅黑"/>
                <w:b/>
                <w:bCs/>
                <w:color w:val="808080"/>
                <w:sz w:val="20"/>
                <w:szCs w:val="20"/>
                <w:lang w:bidi="ar"/>
              </w:rPr>
              <w:t>绩效指标</w:t>
            </w:r>
          </w:p>
        </w:tc>
      </w:tr>
      <w:tr w:rsidR="00233453">
        <w:trPr>
          <w:trHeight w:val="32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指标名称</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计量单位</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指标性质</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指标值</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全年完成值</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偏离度（</w:t>
            </w:r>
            <w:r>
              <w:rPr>
                <w:rFonts w:cs="宋体"/>
                <w:b/>
                <w:bCs/>
                <w:color w:val="000000"/>
                <w:sz w:val="20"/>
                <w:szCs w:val="20"/>
                <w:lang w:bidi="ar"/>
              </w:rPr>
              <w:t>%</w:t>
            </w:r>
            <w:r>
              <w:rPr>
                <w:rFonts w:cs="宋体"/>
                <w:b/>
                <w:bCs/>
                <w:color w:val="000000"/>
                <w:sz w:val="20"/>
                <w:szCs w:val="20"/>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得分系数（</w:t>
            </w:r>
            <w:r>
              <w:rPr>
                <w:rFonts w:cs="宋体"/>
                <w:b/>
                <w:bCs/>
                <w:color w:val="000000"/>
                <w:sz w:val="20"/>
                <w:szCs w:val="20"/>
                <w:lang w:bidi="ar"/>
              </w:rPr>
              <w:t>%</w:t>
            </w:r>
            <w:r>
              <w:rPr>
                <w:rFonts w:cs="宋体"/>
                <w:b/>
                <w:bCs/>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指标权重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指标得分</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是否核心指标</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jc w:val="center"/>
              <w:textAlignment w:val="center"/>
              <w:rPr>
                <w:rFonts w:cs="宋体" w:hint="default"/>
                <w:b/>
                <w:bCs/>
                <w:color w:val="000000"/>
                <w:sz w:val="20"/>
                <w:szCs w:val="20"/>
              </w:rPr>
            </w:pPr>
            <w:r>
              <w:rPr>
                <w:rFonts w:cs="宋体"/>
                <w:b/>
                <w:bCs/>
                <w:color w:val="000000"/>
                <w:sz w:val="20"/>
                <w:szCs w:val="20"/>
                <w:lang w:bidi="ar"/>
              </w:rPr>
              <w:t>说明</w:t>
            </w:r>
          </w:p>
        </w:tc>
      </w:tr>
      <w:tr w:rsidR="00233453">
        <w:trPr>
          <w:trHeight w:val="126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购买数量</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台</w:t>
            </w:r>
            <w:r>
              <w:rPr>
                <w:rFonts w:cs="宋体"/>
                <w:color w:val="000000"/>
                <w:sz w:val="20"/>
                <w:szCs w:val="20"/>
                <w:lang w:bidi="ar"/>
              </w:rPr>
              <w:t>/</w:t>
            </w:r>
            <w:r>
              <w:rPr>
                <w:rFonts w:cs="宋体"/>
                <w:color w:val="000000"/>
                <w:sz w:val="20"/>
                <w:szCs w:val="20"/>
                <w:lang w:bidi="ar"/>
              </w:rPr>
              <w:t>套</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1472</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147100</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否</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采购心理咨询设备、生物实验设备、空调、监控、课座椅等设施设备</w:t>
            </w:r>
          </w:p>
        </w:tc>
      </w:tr>
      <w:tr w:rsidR="00233453">
        <w:trPr>
          <w:trHeight w:val="38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设备质量合格率</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30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是</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r w:rsidR="00233453">
        <w:trPr>
          <w:trHeight w:val="38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预算资金执行合</w:t>
            </w:r>
            <w:proofErr w:type="gramStart"/>
            <w:r>
              <w:rPr>
                <w:rFonts w:cs="宋体"/>
                <w:color w:val="000000"/>
                <w:sz w:val="20"/>
                <w:szCs w:val="20"/>
                <w:lang w:bidi="ar"/>
              </w:rPr>
              <w:t>规</w:t>
            </w:r>
            <w:proofErr w:type="gramEnd"/>
            <w:r>
              <w:rPr>
                <w:rFonts w:cs="宋体"/>
                <w:color w:val="000000"/>
                <w:sz w:val="20"/>
                <w:szCs w:val="20"/>
                <w:lang w:bidi="ar"/>
              </w:rPr>
              <w:t>率</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20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否</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r w:rsidR="00233453">
        <w:trPr>
          <w:trHeight w:val="380"/>
        </w:trPr>
        <w:tc>
          <w:tcPr>
            <w:tcW w:w="2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pPr>
              <w:textAlignment w:val="center"/>
              <w:rPr>
                <w:rFonts w:cs="宋体" w:hint="default"/>
                <w:color w:val="000000"/>
                <w:sz w:val="20"/>
                <w:szCs w:val="20"/>
              </w:rPr>
            </w:pPr>
            <w:r>
              <w:rPr>
                <w:rFonts w:cs="宋体"/>
                <w:color w:val="000000"/>
                <w:sz w:val="20"/>
                <w:szCs w:val="20"/>
                <w:lang w:bidi="ar"/>
              </w:rPr>
              <w:t>学校满意度</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95</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0</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jc w:val="right"/>
              <w:textAlignment w:val="center"/>
              <w:rPr>
                <w:rFonts w:cs="宋体" w:hint="default"/>
                <w:color w:val="000000"/>
                <w:sz w:val="20"/>
                <w:szCs w:val="20"/>
              </w:rPr>
            </w:pPr>
            <w:r>
              <w:rPr>
                <w:rFonts w:cs="宋体"/>
                <w:color w:val="000000"/>
                <w:sz w:val="20"/>
                <w:szCs w:val="20"/>
                <w:lang w:bidi="ar"/>
              </w:rPr>
              <w:t>10</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596F51" w:rsidP="003E6EE4">
            <w:pPr>
              <w:ind w:firstLineChars="100" w:firstLine="200"/>
              <w:textAlignment w:val="center"/>
              <w:rPr>
                <w:rFonts w:cs="宋体" w:hint="default"/>
                <w:color w:val="000000"/>
                <w:sz w:val="20"/>
                <w:szCs w:val="20"/>
              </w:rPr>
            </w:pPr>
            <w:r>
              <w:rPr>
                <w:rFonts w:cs="宋体"/>
                <w:color w:val="000000"/>
                <w:sz w:val="20"/>
                <w:szCs w:val="20"/>
                <w:lang w:bidi="ar"/>
              </w:rPr>
              <w:t>否</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453" w:rsidRDefault="00233453">
            <w:pPr>
              <w:rPr>
                <w:rFonts w:cs="宋体" w:hint="default"/>
                <w:color w:val="000000"/>
                <w:sz w:val="20"/>
                <w:szCs w:val="20"/>
              </w:rPr>
            </w:pPr>
          </w:p>
        </w:tc>
      </w:tr>
    </w:tbl>
    <w:p w:rsidR="00233453" w:rsidRDefault="00233453">
      <w:pPr>
        <w:rPr>
          <w:rFonts w:hint="default"/>
          <w:sz w:val="18"/>
          <w:szCs w:val="18"/>
        </w:rPr>
      </w:pPr>
    </w:p>
    <w:sectPr w:rsidR="00233453">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51" w:rsidRDefault="00596F51">
      <w:pPr>
        <w:rPr>
          <w:rFonts w:hint="default"/>
        </w:rPr>
      </w:pPr>
      <w:r>
        <w:separator/>
      </w:r>
    </w:p>
  </w:endnote>
  <w:endnote w:type="continuationSeparator" w:id="0">
    <w:p w:rsidR="00596F51" w:rsidRDefault="00596F5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A2EB5FDB-67A6-4FA8-B30F-D7A51671BE37}"/>
  </w:font>
  <w:font w:name="方正黑体_GBK">
    <w:panose1 w:val="03000509000000000000"/>
    <w:charset w:val="86"/>
    <w:family w:val="script"/>
    <w:pitch w:val="fixed"/>
    <w:sig w:usb0="00000001" w:usb1="080E0000" w:usb2="00000010" w:usb3="00000000" w:csb0="00040000" w:csb1="00000000"/>
    <w:embedRegular r:id="rId2" w:subsetted="1" w:fontKey="{085A4418-D911-4FD6-9B9B-1138CD33DEC6}"/>
  </w:font>
  <w:font w:name="方正楷体_GBK">
    <w:panose1 w:val="03000509000000000000"/>
    <w:charset w:val="86"/>
    <w:family w:val="script"/>
    <w:pitch w:val="fixed"/>
    <w:sig w:usb0="00000001" w:usb1="080E0000" w:usb2="00000010" w:usb3="00000000" w:csb0="00040000" w:csb1="00000000"/>
    <w:embedRegular r:id="rId3" w:subsetted="1" w:fontKey="{F012317A-D509-47E4-8C75-BA430DE1F0F1}"/>
  </w:font>
  <w:font w:name="方正仿宋_GBK">
    <w:panose1 w:val="03000509000000000000"/>
    <w:charset w:val="86"/>
    <w:family w:val="script"/>
    <w:pitch w:val="fixed"/>
    <w:sig w:usb0="00000001" w:usb1="080E0000" w:usb2="00000010" w:usb3="00000000" w:csb0="00040000" w:csb1="00000000"/>
    <w:embedRegular r:id="rId4" w:subsetted="1" w:fontKey="{11E12E4F-0A07-41BB-86A6-FC7FED497639}"/>
    <w:embedBold r:id="rId5" w:subsetted="1" w:fontKey="{079A8C9E-D9D8-45C3-AF8B-9E26F71C64F9}"/>
  </w:font>
  <w:font w:name="楷体">
    <w:panose1 w:val="02010609060101010101"/>
    <w:charset w:val="86"/>
    <w:family w:val="modern"/>
    <w:pitch w:val="fixed"/>
    <w:sig w:usb0="800002BF" w:usb1="38CF7CFA" w:usb2="00000016" w:usb3="00000000" w:csb0="00040001" w:csb1="00000000"/>
    <w:embedBold r:id="rId6" w:subsetted="1" w:fontKey="{30E05E92-E1E8-4537-8C21-2B67CB19149E}"/>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Bold r:id="rId7" w:subsetted="1" w:fontKey="{A36BD499-2784-46E3-BFCB-76DFF0133163}"/>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53" w:rsidRDefault="00596F51">
    <w:pPr>
      <w:pStyle w:val="a7"/>
      <w:rPr>
        <w:rFonts w:hint="default"/>
      </w:rPr>
    </w:pPr>
    <w:r>
      <w:rPr>
        <w:noProof/>
      </w:rPr>
      <mc:AlternateContent>
        <mc:Choice Requires="wps">
          <w:drawing>
            <wp:anchor distT="0" distB="0" distL="114300" distR="114300" simplePos="0" relativeHeight="251661312" behindDoc="0" locked="0" layoutInCell="1" allowOverlap="1" wp14:anchorId="197B5B59" wp14:editId="2C6C1C8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33453" w:rsidRDefault="00596F51">
                          <w:pPr>
                            <w:pStyle w:val="a7"/>
                            <w:rPr>
                              <w:rFonts w:hint="default"/>
                            </w:rPr>
                          </w:pPr>
                          <w:r>
                            <w:fldChar w:fldCharType="begin"/>
                          </w:r>
                          <w:r>
                            <w:instrText xml:space="preserve"> PAGE  \* MERGEFORMAT </w:instrText>
                          </w:r>
                          <w:r>
                            <w:fldChar w:fldCharType="separate"/>
                          </w:r>
                          <w:r w:rsidR="003E6EE4">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233453" w:rsidRDefault="00596F51">
                    <w:pPr>
                      <w:pStyle w:val="a7"/>
                      <w:rPr>
                        <w:rFonts w:hint="default"/>
                      </w:rPr>
                    </w:pPr>
                    <w:r>
                      <w:fldChar w:fldCharType="begin"/>
                    </w:r>
                    <w:r>
                      <w:instrText xml:space="preserve"> PAGE  \* MERGEFORMAT </w:instrText>
                    </w:r>
                    <w:r>
                      <w:fldChar w:fldCharType="separate"/>
                    </w:r>
                    <w:r w:rsidR="003E6EE4">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53" w:rsidRDefault="00596F51">
    <w:pPr>
      <w:pStyle w:val="a7"/>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33453" w:rsidRDefault="00596F51">
                          <w:pPr>
                            <w:pStyle w:val="a7"/>
                            <w:rPr>
                              <w:rFonts w:hint="default"/>
                            </w:rPr>
                          </w:pPr>
                          <w:r>
                            <w:t xml:space="preserve"> </w:t>
                          </w:r>
                          <w:r>
                            <w:fldChar w:fldCharType="begin"/>
                          </w:r>
                          <w:r>
                            <w:instrText>PAGE   \* MERGEFORMAT</w:instrText>
                          </w:r>
                          <w:r>
                            <w:fldChar w:fldCharType="separate"/>
                          </w:r>
                          <w:r w:rsidR="003E6EE4" w:rsidRPr="003E6EE4">
                            <w:rPr>
                              <w:rFonts w:hint="default"/>
                              <w:noProof/>
                              <w:lang w:val="zh-CN"/>
                            </w:rPr>
                            <w:t>-</w:t>
                          </w:r>
                          <w:r w:rsidR="003E6EE4">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233453" w:rsidRDefault="00596F51">
                    <w:pPr>
                      <w:pStyle w:val="a7"/>
                      <w:rPr>
                        <w:rFonts w:hint="default"/>
                      </w:rPr>
                    </w:pPr>
                    <w:r>
                      <w:t xml:space="preserve"> </w:t>
                    </w:r>
                    <w:r>
                      <w:fldChar w:fldCharType="begin"/>
                    </w:r>
                    <w:r>
                      <w:instrText>PAGE   \* MERGEFORMAT</w:instrText>
                    </w:r>
                    <w:r>
                      <w:fldChar w:fldCharType="separate"/>
                    </w:r>
                    <w:r w:rsidR="003E6EE4" w:rsidRPr="003E6EE4">
                      <w:rPr>
                        <w:rFonts w:hint="default"/>
                        <w:noProof/>
                        <w:lang w:val="zh-CN"/>
                      </w:rPr>
                      <w:t>-</w:t>
                    </w:r>
                    <w:r w:rsidR="003E6EE4">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33453" w:rsidRDefault="00596F51">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C46D07">
                    <w:pPr>
                      <w:pStyle w:val="7"/>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51" w:rsidRDefault="00596F51">
      <w:pPr>
        <w:rPr>
          <w:rFonts w:hint="default"/>
        </w:rPr>
      </w:pPr>
      <w:r>
        <w:separator/>
      </w:r>
    </w:p>
  </w:footnote>
  <w:footnote w:type="continuationSeparator" w:id="0">
    <w:p w:rsidR="00596F51" w:rsidRDefault="00596F51">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53" w:rsidRDefault="00233453">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proofState w:spelling="clean" w:grammar="clean"/>
  <w:defaultTabStop w:val="420"/>
  <w:drawingGridHorizontalSpacing w:val="120"/>
  <w:drawingGridVerticalSpacing w:val="327"/>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YTE2YTc4ZTc0OWZjNjQ3MDJmNjMxOWQ0ZmI0Y2IifQ=="/>
  </w:docVars>
  <w:rsids>
    <w:rsidRoot w:val="00B03CCD"/>
    <w:rsid w:val="000239C6"/>
    <w:rsid w:val="000B30AD"/>
    <w:rsid w:val="000C024B"/>
    <w:rsid w:val="001D3BB7"/>
    <w:rsid w:val="00233453"/>
    <w:rsid w:val="002B254B"/>
    <w:rsid w:val="0034050A"/>
    <w:rsid w:val="003E6EE4"/>
    <w:rsid w:val="0044504F"/>
    <w:rsid w:val="00466C9B"/>
    <w:rsid w:val="00486CFC"/>
    <w:rsid w:val="00491DDD"/>
    <w:rsid w:val="00550ABE"/>
    <w:rsid w:val="00596F51"/>
    <w:rsid w:val="00620D80"/>
    <w:rsid w:val="00623A85"/>
    <w:rsid w:val="007237F3"/>
    <w:rsid w:val="00770383"/>
    <w:rsid w:val="007819D4"/>
    <w:rsid w:val="007B419D"/>
    <w:rsid w:val="007B7C4B"/>
    <w:rsid w:val="007D3D39"/>
    <w:rsid w:val="00833138"/>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CD6F0B"/>
    <w:rsid w:val="03E3214F"/>
    <w:rsid w:val="044C50BA"/>
    <w:rsid w:val="04D244A8"/>
    <w:rsid w:val="05BC6D49"/>
    <w:rsid w:val="06194FF1"/>
    <w:rsid w:val="065F44AD"/>
    <w:rsid w:val="06A2550B"/>
    <w:rsid w:val="06F80EE2"/>
    <w:rsid w:val="07001CCA"/>
    <w:rsid w:val="0700306C"/>
    <w:rsid w:val="07463B9B"/>
    <w:rsid w:val="075678DB"/>
    <w:rsid w:val="077B465F"/>
    <w:rsid w:val="079D7CC7"/>
    <w:rsid w:val="08051BCA"/>
    <w:rsid w:val="086C12F4"/>
    <w:rsid w:val="08705944"/>
    <w:rsid w:val="0887385A"/>
    <w:rsid w:val="08BA052C"/>
    <w:rsid w:val="08DB07BA"/>
    <w:rsid w:val="09055F84"/>
    <w:rsid w:val="091C1270"/>
    <w:rsid w:val="096469DE"/>
    <w:rsid w:val="0969353F"/>
    <w:rsid w:val="098305D0"/>
    <w:rsid w:val="09B1218B"/>
    <w:rsid w:val="0A3317EA"/>
    <w:rsid w:val="0A5C4B69"/>
    <w:rsid w:val="0A86124A"/>
    <w:rsid w:val="0AB54CC0"/>
    <w:rsid w:val="0B9335CE"/>
    <w:rsid w:val="0BF2311A"/>
    <w:rsid w:val="0C7927C4"/>
    <w:rsid w:val="0C9B098C"/>
    <w:rsid w:val="0D673E11"/>
    <w:rsid w:val="0DDA54E4"/>
    <w:rsid w:val="0E3A5F83"/>
    <w:rsid w:val="0EE9231D"/>
    <w:rsid w:val="0F836721"/>
    <w:rsid w:val="0FA25D96"/>
    <w:rsid w:val="101B4C8D"/>
    <w:rsid w:val="103204AF"/>
    <w:rsid w:val="105B6C5F"/>
    <w:rsid w:val="107B59E5"/>
    <w:rsid w:val="10EC0126"/>
    <w:rsid w:val="10F70B9A"/>
    <w:rsid w:val="111445C7"/>
    <w:rsid w:val="114278C6"/>
    <w:rsid w:val="1158083A"/>
    <w:rsid w:val="11643A4B"/>
    <w:rsid w:val="11982983"/>
    <w:rsid w:val="119916CE"/>
    <w:rsid w:val="11ED0F98"/>
    <w:rsid w:val="11F03528"/>
    <w:rsid w:val="12C921C4"/>
    <w:rsid w:val="13871C70"/>
    <w:rsid w:val="13A71CB4"/>
    <w:rsid w:val="13AF1D43"/>
    <w:rsid w:val="13CE1647"/>
    <w:rsid w:val="13FD55AB"/>
    <w:rsid w:val="14200702"/>
    <w:rsid w:val="1429086F"/>
    <w:rsid w:val="14370EA1"/>
    <w:rsid w:val="14D33B85"/>
    <w:rsid w:val="15535D12"/>
    <w:rsid w:val="15E16F83"/>
    <w:rsid w:val="163A6CEE"/>
    <w:rsid w:val="173708E3"/>
    <w:rsid w:val="17C374FC"/>
    <w:rsid w:val="17E2272D"/>
    <w:rsid w:val="182E4AB6"/>
    <w:rsid w:val="189079DC"/>
    <w:rsid w:val="189B0D0B"/>
    <w:rsid w:val="18B43F7C"/>
    <w:rsid w:val="191C433B"/>
    <w:rsid w:val="19253BC5"/>
    <w:rsid w:val="194A1770"/>
    <w:rsid w:val="196C33F1"/>
    <w:rsid w:val="198C2D36"/>
    <w:rsid w:val="19B906A4"/>
    <w:rsid w:val="1B6F15B6"/>
    <w:rsid w:val="1BAA2EDC"/>
    <w:rsid w:val="1C185B56"/>
    <w:rsid w:val="1CA55E64"/>
    <w:rsid w:val="1D014A01"/>
    <w:rsid w:val="1D022362"/>
    <w:rsid w:val="1D1B04B0"/>
    <w:rsid w:val="1D407142"/>
    <w:rsid w:val="1DA52501"/>
    <w:rsid w:val="1DBD6767"/>
    <w:rsid w:val="1DC52125"/>
    <w:rsid w:val="1DD26311"/>
    <w:rsid w:val="1DFF36A3"/>
    <w:rsid w:val="1E01250B"/>
    <w:rsid w:val="1E374ACB"/>
    <w:rsid w:val="1EAF37E2"/>
    <w:rsid w:val="1ECF0A66"/>
    <w:rsid w:val="1EDC1850"/>
    <w:rsid w:val="1EF67CA4"/>
    <w:rsid w:val="1F020D3A"/>
    <w:rsid w:val="1F2C5189"/>
    <w:rsid w:val="1F3E23E2"/>
    <w:rsid w:val="1F4B0B02"/>
    <w:rsid w:val="1FBB35CD"/>
    <w:rsid w:val="1FCD26AF"/>
    <w:rsid w:val="20642787"/>
    <w:rsid w:val="21556F04"/>
    <w:rsid w:val="21B773A1"/>
    <w:rsid w:val="21E8421C"/>
    <w:rsid w:val="22402DDE"/>
    <w:rsid w:val="22403BD3"/>
    <w:rsid w:val="22AD3177"/>
    <w:rsid w:val="235417B6"/>
    <w:rsid w:val="23C75808"/>
    <w:rsid w:val="24744F0F"/>
    <w:rsid w:val="24B92327"/>
    <w:rsid w:val="24C14514"/>
    <w:rsid w:val="2533755C"/>
    <w:rsid w:val="25791755"/>
    <w:rsid w:val="26396DF4"/>
    <w:rsid w:val="269F0F7E"/>
    <w:rsid w:val="27167136"/>
    <w:rsid w:val="271B320D"/>
    <w:rsid w:val="271B442C"/>
    <w:rsid w:val="27B23302"/>
    <w:rsid w:val="28827CF6"/>
    <w:rsid w:val="29310A5F"/>
    <w:rsid w:val="29C37A35"/>
    <w:rsid w:val="2A076083"/>
    <w:rsid w:val="2A73162E"/>
    <w:rsid w:val="2B167953"/>
    <w:rsid w:val="2B200583"/>
    <w:rsid w:val="2B2729C0"/>
    <w:rsid w:val="2B8209DE"/>
    <w:rsid w:val="2B821C91"/>
    <w:rsid w:val="2BF81A22"/>
    <w:rsid w:val="2C636760"/>
    <w:rsid w:val="2C6762A3"/>
    <w:rsid w:val="2CB56436"/>
    <w:rsid w:val="2CE3666E"/>
    <w:rsid w:val="2DBD5517"/>
    <w:rsid w:val="2FCA4B37"/>
    <w:rsid w:val="2FE029D7"/>
    <w:rsid w:val="2FF06E00"/>
    <w:rsid w:val="30586FEC"/>
    <w:rsid w:val="30DC28A2"/>
    <w:rsid w:val="315F0B22"/>
    <w:rsid w:val="31A15828"/>
    <w:rsid w:val="31D84415"/>
    <w:rsid w:val="32285F6F"/>
    <w:rsid w:val="32770556"/>
    <w:rsid w:val="329446CB"/>
    <w:rsid w:val="329C0913"/>
    <w:rsid w:val="32AA0460"/>
    <w:rsid w:val="32B6053F"/>
    <w:rsid w:val="3337290D"/>
    <w:rsid w:val="339E0BDF"/>
    <w:rsid w:val="33E31118"/>
    <w:rsid w:val="33EF7674"/>
    <w:rsid w:val="342D7BC6"/>
    <w:rsid w:val="34631085"/>
    <w:rsid w:val="351F4C64"/>
    <w:rsid w:val="352930DB"/>
    <w:rsid w:val="35573069"/>
    <w:rsid w:val="355F6038"/>
    <w:rsid w:val="358C217E"/>
    <w:rsid w:val="35921790"/>
    <w:rsid w:val="36C9128A"/>
    <w:rsid w:val="37841E99"/>
    <w:rsid w:val="37BF1123"/>
    <w:rsid w:val="381C7684"/>
    <w:rsid w:val="383C3F15"/>
    <w:rsid w:val="38BE4696"/>
    <w:rsid w:val="39306883"/>
    <w:rsid w:val="3939115E"/>
    <w:rsid w:val="39B82A39"/>
    <w:rsid w:val="39C42CA8"/>
    <w:rsid w:val="39DC4FD6"/>
    <w:rsid w:val="39F03D7A"/>
    <w:rsid w:val="39F33306"/>
    <w:rsid w:val="3A2C1C67"/>
    <w:rsid w:val="3A6A77C9"/>
    <w:rsid w:val="3ADD7F09"/>
    <w:rsid w:val="3B1705E5"/>
    <w:rsid w:val="3B18334B"/>
    <w:rsid w:val="3B1A1138"/>
    <w:rsid w:val="3B36794F"/>
    <w:rsid w:val="3B6F6EE0"/>
    <w:rsid w:val="3C566AD6"/>
    <w:rsid w:val="3C594871"/>
    <w:rsid w:val="3C6A5B02"/>
    <w:rsid w:val="3CE65141"/>
    <w:rsid w:val="3D083B3A"/>
    <w:rsid w:val="3D2757A1"/>
    <w:rsid w:val="3D3D4FC4"/>
    <w:rsid w:val="3D6A5C73"/>
    <w:rsid w:val="3D8C14E6"/>
    <w:rsid w:val="3DCD5966"/>
    <w:rsid w:val="3DDF3AB1"/>
    <w:rsid w:val="3E1D0952"/>
    <w:rsid w:val="3E42660A"/>
    <w:rsid w:val="3E434D78"/>
    <w:rsid w:val="3E7555B1"/>
    <w:rsid w:val="3E787ED9"/>
    <w:rsid w:val="3E976706"/>
    <w:rsid w:val="3F032E93"/>
    <w:rsid w:val="3F0527E5"/>
    <w:rsid w:val="3F4C52C6"/>
    <w:rsid w:val="3F694D83"/>
    <w:rsid w:val="3F885DCC"/>
    <w:rsid w:val="3FC301A6"/>
    <w:rsid w:val="3FCD675E"/>
    <w:rsid w:val="4004000C"/>
    <w:rsid w:val="40760DD1"/>
    <w:rsid w:val="40BD5482"/>
    <w:rsid w:val="411B6CE5"/>
    <w:rsid w:val="412070D7"/>
    <w:rsid w:val="41314E40"/>
    <w:rsid w:val="416109B6"/>
    <w:rsid w:val="41E0734B"/>
    <w:rsid w:val="426C1EA8"/>
    <w:rsid w:val="42736402"/>
    <w:rsid w:val="42E86A87"/>
    <w:rsid w:val="42F02E7E"/>
    <w:rsid w:val="42F97D2E"/>
    <w:rsid w:val="43307B09"/>
    <w:rsid w:val="439A3EB9"/>
    <w:rsid w:val="43BA7BB2"/>
    <w:rsid w:val="43BB152F"/>
    <w:rsid w:val="43C273A4"/>
    <w:rsid w:val="43DF5027"/>
    <w:rsid w:val="44BB72CD"/>
    <w:rsid w:val="44C37687"/>
    <w:rsid w:val="44DF5EF4"/>
    <w:rsid w:val="45797611"/>
    <w:rsid w:val="45CB699A"/>
    <w:rsid w:val="46423C66"/>
    <w:rsid w:val="465B470D"/>
    <w:rsid w:val="469D6AD4"/>
    <w:rsid w:val="471E6C84"/>
    <w:rsid w:val="4748792B"/>
    <w:rsid w:val="475D719D"/>
    <w:rsid w:val="47674801"/>
    <w:rsid w:val="48225EF7"/>
    <w:rsid w:val="488F422B"/>
    <w:rsid w:val="48E36915"/>
    <w:rsid w:val="48EB6572"/>
    <w:rsid w:val="490E50B2"/>
    <w:rsid w:val="495C4A24"/>
    <w:rsid w:val="497135DF"/>
    <w:rsid w:val="49F44C5D"/>
    <w:rsid w:val="4A263DF2"/>
    <w:rsid w:val="4A2F278B"/>
    <w:rsid w:val="4A6F6675"/>
    <w:rsid w:val="4B135857"/>
    <w:rsid w:val="4B7951CB"/>
    <w:rsid w:val="4B7C315C"/>
    <w:rsid w:val="4CF31966"/>
    <w:rsid w:val="4D1F53CA"/>
    <w:rsid w:val="4DAC4ACA"/>
    <w:rsid w:val="4DBE01D2"/>
    <w:rsid w:val="4EFD467F"/>
    <w:rsid w:val="4F0C6BA3"/>
    <w:rsid w:val="4F186D58"/>
    <w:rsid w:val="4F4C0F2D"/>
    <w:rsid w:val="4FB9619E"/>
    <w:rsid w:val="4FFE7F08"/>
    <w:rsid w:val="504B6EAA"/>
    <w:rsid w:val="50D1339A"/>
    <w:rsid w:val="50F06B6E"/>
    <w:rsid w:val="51064DCD"/>
    <w:rsid w:val="517415CB"/>
    <w:rsid w:val="51D21804"/>
    <w:rsid w:val="52234D33"/>
    <w:rsid w:val="522F6E0C"/>
    <w:rsid w:val="52463BA1"/>
    <w:rsid w:val="52CD6993"/>
    <w:rsid w:val="52F163D4"/>
    <w:rsid w:val="531A2DB4"/>
    <w:rsid w:val="53C0244D"/>
    <w:rsid w:val="53DD4D4E"/>
    <w:rsid w:val="53E578CE"/>
    <w:rsid w:val="541330F0"/>
    <w:rsid w:val="54272666"/>
    <w:rsid w:val="543B029D"/>
    <w:rsid w:val="54861779"/>
    <w:rsid w:val="549C4157"/>
    <w:rsid w:val="55084A4C"/>
    <w:rsid w:val="552256E1"/>
    <w:rsid w:val="554E5773"/>
    <w:rsid w:val="555829E0"/>
    <w:rsid w:val="555A3CBC"/>
    <w:rsid w:val="5582012B"/>
    <w:rsid w:val="55847CAA"/>
    <w:rsid w:val="558E4E05"/>
    <w:rsid w:val="55BE2E85"/>
    <w:rsid w:val="56052E95"/>
    <w:rsid w:val="56530F5D"/>
    <w:rsid w:val="567700D3"/>
    <w:rsid w:val="56B55396"/>
    <w:rsid w:val="56EF7C37"/>
    <w:rsid w:val="56FF7E9E"/>
    <w:rsid w:val="578867FC"/>
    <w:rsid w:val="57EB7EC1"/>
    <w:rsid w:val="580A3393"/>
    <w:rsid w:val="5842572D"/>
    <w:rsid w:val="58763DA9"/>
    <w:rsid w:val="5A3B59D6"/>
    <w:rsid w:val="5AD134D8"/>
    <w:rsid w:val="5BF41F67"/>
    <w:rsid w:val="5C263CE4"/>
    <w:rsid w:val="5C5D2777"/>
    <w:rsid w:val="5CED61D0"/>
    <w:rsid w:val="5CF66BF3"/>
    <w:rsid w:val="5D290C69"/>
    <w:rsid w:val="5D81321F"/>
    <w:rsid w:val="5DA80C2C"/>
    <w:rsid w:val="5E0528E1"/>
    <w:rsid w:val="5E9321AA"/>
    <w:rsid w:val="5F2D4A41"/>
    <w:rsid w:val="5F354D0B"/>
    <w:rsid w:val="5FEB2E13"/>
    <w:rsid w:val="60950820"/>
    <w:rsid w:val="60C74F6C"/>
    <w:rsid w:val="61015958"/>
    <w:rsid w:val="61025A59"/>
    <w:rsid w:val="613D5BBC"/>
    <w:rsid w:val="61536C39"/>
    <w:rsid w:val="61743A77"/>
    <w:rsid w:val="62944DD7"/>
    <w:rsid w:val="6319381F"/>
    <w:rsid w:val="638A23D4"/>
    <w:rsid w:val="63C116B0"/>
    <w:rsid w:val="63C25DC5"/>
    <w:rsid w:val="63C62057"/>
    <w:rsid w:val="64571EF5"/>
    <w:rsid w:val="64FB113D"/>
    <w:rsid w:val="65227711"/>
    <w:rsid w:val="656152C6"/>
    <w:rsid w:val="6587477F"/>
    <w:rsid w:val="658C3A08"/>
    <w:rsid w:val="65C031CA"/>
    <w:rsid w:val="65CE6852"/>
    <w:rsid w:val="66267C04"/>
    <w:rsid w:val="663F505A"/>
    <w:rsid w:val="666C2D2F"/>
    <w:rsid w:val="66AF5D7C"/>
    <w:rsid w:val="66B709DC"/>
    <w:rsid w:val="66EE5541"/>
    <w:rsid w:val="67400D9D"/>
    <w:rsid w:val="67924660"/>
    <w:rsid w:val="67DF3BC2"/>
    <w:rsid w:val="68394FC4"/>
    <w:rsid w:val="68407834"/>
    <w:rsid w:val="68554D07"/>
    <w:rsid w:val="6883293E"/>
    <w:rsid w:val="688412AD"/>
    <w:rsid w:val="68EB1B71"/>
    <w:rsid w:val="692318DC"/>
    <w:rsid w:val="696C0310"/>
    <w:rsid w:val="69BA232F"/>
    <w:rsid w:val="6A2353BE"/>
    <w:rsid w:val="6A6C7940"/>
    <w:rsid w:val="6A9F1565"/>
    <w:rsid w:val="6AAD2300"/>
    <w:rsid w:val="6AB65751"/>
    <w:rsid w:val="6B3F2D85"/>
    <w:rsid w:val="6B474EF5"/>
    <w:rsid w:val="6BB32F89"/>
    <w:rsid w:val="6BC938E5"/>
    <w:rsid w:val="6C0A5AC5"/>
    <w:rsid w:val="6C186142"/>
    <w:rsid w:val="6C44026A"/>
    <w:rsid w:val="6C560CAE"/>
    <w:rsid w:val="6C576495"/>
    <w:rsid w:val="6D903FF5"/>
    <w:rsid w:val="6DA955B8"/>
    <w:rsid w:val="6DE346AB"/>
    <w:rsid w:val="6DE5391A"/>
    <w:rsid w:val="6E112FE4"/>
    <w:rsid w:val="6EFD1324"/>
    <w:rsid w:val="6F5A53AC"/>
    <w:rsid w:val="6F746C00"/>
    <w:rsid w:val="6FAC003D"/>
    <w:rsid w:val="6FD926BF"/>
    <w:rsid w:val="6FE55E12"/>
    <w:rsid w:val="6FFB2E76"/>
    <w:rsid w:val="7007104A"/>
    <w:rsid w:val="70237187"/>
    <w:rsid w:val="708F6F7F"/>
    <w:rsid w:val="70971056"/>
    <w:rsid w:val="70D94BD3"/>
    <w:rsid w:val="70F9436B"/>
    <w:rsid w:val="71574775"/>
    <w:rsid w:val="71C34D91"/>
    <w:rsid w:val="72272F66"/>
    <w:rsid w:val="726F3FDE"/>
    <w:rsid w:val="7292636A"/>
    <w:rsid w:val="72B50C88"/>
    <w:rsid w:val="72D466F0"/>
    <w:rsid w:val="72DB435C"/>
    <w:rsid w:val="72E2613A"/>
    <w:rsid w:val="72F771F4"/>
    <w:rsid w:val="73934AD2"/>
    <w:rsid w:val="73B12CD9"/>
    <w:rsid w:val="746F6492"/>
    <w:rsid w:val="74C034A3"/>
    <w:rsid w:val="750837F0"/>
    <w:rsid w:val="754758CF"/>
    <w:rsid w:val="75595ECD"/>
    <w:rsid w:val="764F62AB"/>
    <w:rsid w:val="765C45EC"/>
    <w:rsid w:val="768A7619"/>
    <w:rsid w:val="76974B9D"/>
    <w:rsid w:val="76BD23AB"/>
    <w:rsid w:val="772E1EBA"/>
    <w:rsid w:val="77F6687E"/>
    <w:rsid w:val="781926BC"/>
    <w:rsid w:val="79240C8C"/>
    <w:rsid w:val="796D60A4"/>
    <w:rsid w:val="79A031D5"/>
    <w:rsid w:val="79B47FDF"/>
    <w:rsid w:val="79E569A9"/>
    <w:rsid w:val="7A1525F7"/>
    <w:rsid w:val="7B420052"/>
    <w:rsid w:val="7BD06A28"/>
    <w:rsid w:val="7C0F4E42"/>
    <w:rsid w:val="7C3A7C0B"/>
    <w:rsid w:val="7C5248E4"/>
    <w:rsid w:val="7C566698"/>
    <w:rsid w:val="7C5866A3"/>
    <w:rsid w:val="7CA6248E"/>
    <w:rsid w:val="7D2D15AA"/>
    <w:rsid w:val="7D3D7414"/>
    <w:rsid w:val="7D7406BB"/>
    <w:rsid w:val="7DE94331"/>
    <w:rsid w:val="7E0F185B"/>
    <w:rsid w:val="7EB24BC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spacing w:before="100" w:beforeAutospacing="1" w:after="100" w:afterAutospacing="1"/>
    </w:pPr>
    <w:rPr>
      <w:rFonts w:cs="宋体"/>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spacing w:before="100" w:beforeAutospacing="1" w:after="100" w:afterAutospacing="1"/>
    </w:pPr>
    <w:rPr>
      <w:rFonts w:cs="宋体"/>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2220</Words>
  <Characters>12658</Characters>
  <Application>Microsoft Office Word</Application>
  <DocSecurity>0</DocSecurity>
  <Lines>105</Lines>
  <Paragraphs>29</Paragraphs>
  <ScaleCrop>false</ScaleCrop>
  <Company>Microsoft</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8841E1C0D081403F9C5EC7146B67FE97</vt:lpwstr>
  </property>
  <property fmtid="{D5CDD505-2E9C-101B-9397-08002B2CF9AE}" pid="4" name="KSOTemplateDocerSaveRecord">
    <vt:lpwstr>eyJoZGlkIjoiMmM4ZGJhM2M3MzU3MWM4NzdkYzlmYTE5YTdlYmI4NzIiLCJ1c2VySWQiOiIxMjMxMDQxOTM3In0=</vt:lpwstr>
  </property>
</Properties>
</file>