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15" w:rsidRDefault="00A950AC">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重庆科学城走马小学校</w:t>
      </w:r>
    </w:p>
    <w:p w:rsidR="00E71815" w:rsidRDefault="00A950AC">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E71815" w:rsidRDefault="00E71815">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E71815" w:rsidRDefault="00A950AC">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一、单位基本情况</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（一）职能职责</w:t>
      </w:r>
      <w:bookmarkStart w:id="0" w:name="OLE_LINK2"/>
    </w:p>
    <w:p w:rsidR="00E71815" w:rsidRDefault="00A950AC">
      <w:pPr>
        <w:pStyle w:val="a8"/>
        <w:widowControl w:val="0"/>
        <w:shd w:val="clear" w:color="auto" w:fill="FFFFFF"/>
        <w:spacing w:before="0" w:beforeAutospacing="0" w:after="0" w:afterAutospacing="0" w:line="600" w:lineRule="exact"/>
        <w:ind w:firstLineChars="200" w:firstLine="640"/>
        <w:rPr>
          <w:rStyle w:val="21"/>
          <w:rFonts w:ascii="方正仿宋_GBK" w:eastAsia="方正仿宋_GBK" w:hint="eastAsia"/>
          <w:b w:val="0"/>
          <w:sz w:val="32"/>
          <w:szCs w:val="32"/>
        </w:rPr>
      </w:pPr>
      <w:r>
        <w:rPr>
          <w:rStyle w:val="21"/>
          <w:rFonts w:ascii="方正仿宋_GBK" w:eastAsia="方正仿宋_GBK" w:hint="eastAsia"/>
          <w:b w:val="0"/>
          <w:sz w:val="32"/>
          <w:szCs w:val="32"/>
        </w:rPr>
        <w:t>实施普通小学义务教育，促进学生全面发展。开展教育教学工作；开展学校德育工作；开展学校体育、卫生、艺术工作；负责学校行政管理工作；开展对外交流工作；维护校园安全，提供后勤保障服务；按政策规定开展学前教育。</w:t>
      </w:r>
      <w:bookmarkEnd w:id="0"/>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（二）机构设置</w:t>
      </w:r>
    </w:p>
    <w:p w:rsidR="00E71815" w:rsidRDefault="00A950AC">
      <w:pPr>
        <w:pStyle w:val="a8"/>
        <w:widowControl w:val="0"/>
        <w:shd w:val="clear" w:color="auto" w:fill="FFFFFF"/>
        <w:spacing w:before="0" w:beforeAutospacing="0" w:after="0" w:afterAutospacing="0" w:line="600" w:lineRule="exact"/>
        <w:ind w:firstLineChars="200" w:firstLine="640"/>
        <w:rPr>
          <w:rFonts w:ascii="方正楷体_GBK" w:eastAsia="方正楷体_GBK" w:hAnsi="楷体" w:cs="楷体" w:hint="default"/>
          <w:bCs/>
          <w:sz w:val="32"/>
          <w:szCs w:val="32"/>
          <w:shd w:val="clear" w:color="auto" w:fill="FFFFFF"/>
        </w:rPr>
      </w:pPr>
      <w:r>
        <w:rPr>
          <w:rFonts w:ascii="方正仿宋_GBK" w:eastAsia="方正仿宋_GBK" w:hAnsi="Times New Roman"/>
          <w:bCs/>
          <w:sz w:val="32"/>
          <w:szCs w:val="32"/>
        </w:rPr>
        <w:t>我校为独立核算的全额财政拨款事业单位。本部门下设机构：党政服务中心、教师发展中心、学生成长中心、后勤保障中心，无二级单位。</w:t>
      </w:r>
    </w:p>
    <w:p w:rsidR="00E71815" w:rsidRDefault="00A950AC">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二、单位决算收支情况说明</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（一）收入支出决算总体情况说明</w:t>
      </w:r>
    </w:p>
    <w:p w:rsidR="00E71815" w:rsidRDefault="00A950AC">
      <w:pPr>
        <w:pStyle w:val="a8"/>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bCs/>
          <w:color w:val="FF0000"/>
          <w:sz w:val="32"/>
          <w:szCs w:val="32"/>
          <w:shd w:val="clear" w:color="auto" w:fill="FFFFFF"/>
        </w:rPr>
      </w:pP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年度收、支总计均为</w:t>
      </w:r>
      <w:r>
        <w:rPr>
          <w:rFonts w:ascii="方正仿宋_GBK" w:eastAsia="方正仿宋_GBK" w:hAnsi="Times New Roman"/>
          <w:bCs/>
          <w:sz w:val="32"/>
          <w:szCs w:val="32"/>
          <w:shd w:val="clear" w:color="auto" w:fill="FFFFFF"/>
        </w:rPr>
        <w:t>1680.35</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收、支与2023年度相比，增加98.86万元，增长6.3%</w:t>
      </w:r>
      <w:r>
        <w:rPr>
          <w:rFonts w:ascii="方正仿宋_GBK" w:eastAsia="方正仿宋_GBK" w:hAnsi="方正仿宋_GBK" w:cs="方正仿宋_GBK"/>
          <w:bCs/>
          <w:sz w:val="32"/>
          <w:szCs w:val="32"/>
          <w:shd w:val="clear" w:color="auto" w:fill="FFFFFF"/>
        </w:rPr>
        <w:t>，主要原因</w:t>
      </w:r>
      <w:bookmarkStart w:id="1" w:name="OLE_LINK4"/>
      <w:r>
        <w:rPr>
          <w:rFonts w:ascii="方正仿宋_GBK" w:eastAsia="方正仿宋_GBK" w:hAnsi="方正仿宋_GBK" w:cs="方正仿宋_GBK"/>
          <w:bCs/>
          <w:sz w:val="32"/>
          <w:szCs w:val="32"/>
          <w:shd w:val="clear" w:color="auto" w:fill="FFFFFF"/>
        </w:rPr>
        <w:t>是</w:t>
      </w:r>
      <w:bookmarkStart w:id="2" w:name="OLE_LINK3"/>
      <w:r>
        <w:rPr>
          <w:rFonts w:ascii="方正仿宋_GBK" w:eastAsia="方正仿宋_GBK" w:hAnsi="方正仿宋_GBK" w:cs="方正仿宋_GBK"/>
          <w:bCs/>
          <w:sz w:val="32"/>
          <w:szCs w:val="32"/>
          <w:shd w:val="clear" w:color="auto" w:fill="FFFFFF"/>
        </w:rPr>
        <w:t>补缴职业年金及养老保险等。</w:t>
      </w:r>
      <w:bookmarkEnd w:id="1"/>
      <w:bookmarkEnd w:id="2"/>
    </w:p>
    <w:p w:rsidR="00E71815" w:rsidRDefault="00A950AC">
      <w:pPr>
        <w:pStyle w:val="a8"/>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bCs/>
          <w:sz w:val="32"/>
          <w:szCs w:val="32"/>
          <w:shd w:val="clear" w:color="auto" w:fill="FFFFFF"/>
        </w:rPr>
      </w:pPr>
      <w:r>
        <w:rPr>
          <w:rStyle w:val="aa"/>
          <w:rFonts w:ascii="方正仿宋_GBK"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年度收入合计</w:t>
      </w:r>
      <w:r>
        <w:rPr>
          <w:rFonts w:ascii="方正仿宋_GBK" w:eastAsia="方正仿宋_GBK" w:hAnsi="Times New Roman"/>
          <w:bCs/>
          <w:sz w:val="32"/>
          <w:szCs w:val="32"/>
          <w:shd w:val="clear" w:color="auto" w:fill="FFFFFF"/>
        </w:rPr>
        <w:t>1680.35</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与2023年度相比，增加98.86万元，增长6.3%</w:t>
      </w:r>
      <w:r>
        <w:rPr>
          <w:rFonts w:ascii="方正仿宋_GBK" w:eastAsia="方正仿宋_GBK" w:hAnsi="方正仿宋_GBK" w:cs="方正仿宋_GBK"/>
          <w:bCs/>
          <w:sz w:val="32"/>
          <w:szCs w:val="32"/>
          <w:shd w:val="clear" w:color="auto" w:fill="FFFFFF"/>
        </w:rPr>
        <w:t>，主要原因是补缴职业年金及养老保险等。其中：财政拨款收入</w:t>
      </w:r>
      <w:r>
        <w:rPr>
          <w:rFonts w:ascii="方正仿宋_GBK" w:eastAsia="方正仿宋_GBK" w:hAnsi="Times New Roman"/>
          <w:bCs/>
          <w:sz w:val="32"/>
          <w:szCs w:val="32"/>
          <w:shd w:val="clear" w:color="auto" w:fill="FFFFFF"/>
        </w:rPr>
        <w:t>1674.35</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99.6%</w:t>
      </w:r>
      <w:r>
        <w:rPr>
          <w:rFonts w:ascii="方正仿宋_GBK" w:eastAsia="方正仿宋_GBK" w:hAnsi="方正仿宋_GBK" w:cs="方正仿宋_GBK"/>
          <w:bCs/>
          <w:sz w:val="32"/>
          <w:szCs w:val="32"/>
          <w:shd w:val="clear" w:color="auto" w:fill="FFFFFF"/>
        </w:rPr>
        <w:t>；</w:t>
      </w:r>
      <w:r>
        <w:rPr>
          <w:rFonts w:ascii="方正仿宋_GBK" w:eastAsia="方正仿宋_GBK" w:hAnsi="方正仿宋_GBK" w:cs="方正仿宋_GBK"/>
          <w:bCs/>
          <w:sz w:val="32"/>
          <w:szCs w:val="32"/>
          <w:shd w:val="clear" w:color="auto" w:fill="FFFFFF"/>
        </w:rPr>
        <w:lastRenderedPageBreak/>
        <w:t>事业收入</w:t>
      </w:r>
      <w:r>
        <w:rPr>
          <w:rFonts w:ascii="方正仿宋_GBK" w:eastAsia="方正仿宋_GBK" w:hAnsi="Times New Roman"/>
          <w:bCs/>
          <w:sz w:val="32"/>
          <w:szCs w:val="32"/>
          <w:shd w:val="clear" w:color="auto" w:fill="FFFFFF"/>
        </w:rPr>
        <w:t>6</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0.4%</w:t>
      </w:r>
      <w:r>
        <w:rPr>
          <w:rFonts w:ascii="方正仿宋_GBK" w:eastAsia="方正仿宋_GBK" w:hAnsi="方正仿宋_GBK" w:cs="方正仿宋_GBK"/>
          <w:bCs/>
          <w:sz w:val="32"/>
          <w:szCs w:val="32"/>
          <w:shd w:val="clear" w:color="auto" w:fill="FFFFFF"/>
        </w:rPr>
        <w:t>；经营收入</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；其他收入</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。此外，使用非财政拨款结余（含专用结余）</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万元，年初结转和结余</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w:t>
      </w:r>
    </w:p>
    <w:p w:rsidR="00E71815" w:rsidRDefault="00A950AC">
      <w:pPr>
        <w:pStyle w:val="a8"/>
        <w:widowControl w:val="0"/>
        <w:spacing w:before="0" w:beforeAutospacing="0" w:after="0" w:afterAutospacing="0" w:line="600" w:lineRule="exact"/>
        <w:ind w:firstLineChars="200" w:firstLine="643"/>
        <w:jc w:val="both"/>
        <w:rPr>
          <w:rFonts w:ascii="方正仿宋_GBK" w:eastAsia="方正仿宋_GBK" w:hAnsi="方正仿宋_GBK" w:cs="方正仿宋_GBK" w:hint="default"/>
          <w:bCs/>
          <w:sz w:val="32"/>
          <w:szCs w:val="32"/>
          <w:shd w:val="clear" w:color="auto" w:fill="FFFFFF"/>
        </w:rPr>
      </w:pPr>
      <w:r>
        <w:rPr>
          <w:rStyle w:val="aa"/>
          <w:rFonts w:ascii="方正仿宋_GBK"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年度支出合计</w:t>
      </w:r>
      <w:r>
        <w:rPr>
          <w:rFonts w:ascii="方正仿宋_GBK" w:eastAsia="方正仿宋_GBK" w:hAnsi="Times New Roman"/>
          <w:bCs/>
          <w:sz w:val="32"/>
          <w:szCs w:val="32"/>
          <w:shd w:val="clear" w:color="auto" w:fill="FFFFFF"/>
        </w:rPr>
        <w:t>1680.35</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与2023年度相比，增加98.86万元，增长6.3%</w:t>
      </w:r>
      <w:r>
        <w:rPr>
          <w:rFonts w:ascii="方正仿宋_GBK" w:eastAsia="方正仿宋_GBK" w:hAnsi="方正仿宋_GBK" w:cs="方正仿宋_GBK"/>
          <w:bCs/>
          <w:sz w:val="32"/>
          <w:szCs w:val="32"/>
          <w:shd w:val="clear" w:color="auto" w:fill="FFFFFF"/>
        </w:rPr>
        <w:t>，主要原因是补缴职业年金及养老保险等。其中：基本支出</w:t>
      </w:r>
      <w:r>
        <w:rPr>
          <w:rFonts w:ascii="方正仿宋_GBK" w:eastAsia="方正仿宋_GBK" w:hAnsi="Times New Roman"/>
          <w:bCs/>
          <w:sz w:val="32"/>
          <w:szCs w:val="32"/>
          <w:shd w:val="clear" w:color="auto" w:fill="FFFFFF"/>
        </w:rPr>
        <w:t>1610.75</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95.9%</w:t>
      </w:r>
      <w:r>
        <w:rPr>
          <w:rFonts w:ascii="方正仿宋_GBK" w:eastAsia="方正仿宋_GBK" w:hAnsi="方正仿宋_GBK" w:cs="方正仿宋_GBK"/>
          <w:bCs/>
          <w:sz w:val="32"/>
          <w:szCs w:val="32"/>
          <w:shd w:val="clear" w:color="auto" w:fill="FFFFFF"/>
        </w:rPr>
        <w:t>；项目支出</w:t>
      </w:r>
      <w:r>
        <w:rPr>
          <w:rFonts w:ascii="方正仿宋_GBK" w:eastAsia="方正仿宋_GBK" w:hAnsi="Times New Roman"/>
          <w:bCs/>
          <w:sz w:val="32"/>
          <w:szCs w:val="32"/>
          <w:shd w:val="clear" w:color="auto" w:fill="FFFFFF"/>
        </w:rPr>
        <w:t>69.6</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4.1%</w:t>
      </w:r>
      <w:r>
        <w:rPr>
          <w:rFonts w:ascii="方正仿宋_GBK" w:eastAsia="方正仿宋_GBK" w:hAnsi="方正仿宋_GBK" w:cs="方正仿宋_GBK"/>
          <w:bCs/>
          <w:sz w:val="32"/>
          <w:szCs w:val="32"/>
          <w:shd w:val="clear" w:color="auto" w:fill="FFFFFF"/>
        </w:rPr>
        <w:t>；经营支出</w:t>
      </w:r>
      <w:r>
        <w:rPr>
          <w:rFonts w:ascii="方正仿宋_GBK" w:eastAsia="方正仿宋_GBK" w:hAnsi="Times New Roman"/>
          <w:bCs/>
          <w:sz w:val="32"/>
          <w:szCs w:val="32"/>
        </w:rPr>
        <w:t>0</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。此外，结余分配</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w:t>
      </w:r>
    </w:p>
    <w:p w:rsidR="00E71815" w:rsidRDefault="00A950AC">
      <w:pPr>
        <w:pStyle w:val="a8"/>
        <w:widowControl w:val="0"/>
        <w:spacing w:before="0" w:beforeAutospacing="0" w:after="0" w:afterAutospacing="0" w:line="600" w:lineRule="exact"/>
        <w:ind w:firstLineChars="200" w:firstLine="643"/>
        <w:jc w:val="both"/>
        <w:rPr>
          <w:rFonts w:ascii="方正仿宋_GBK" w:eastAsia="方正仿宋_GBK" w:hAnsi="方正仿宋_GBK" w:cs="方正仿宋_GBK" w:hint="default"/>
          <w:bCs/>
          <w:sz w:val="32"/>
          <w:szCs w:val="32"/>
        </w:rPr>
      </w:pPr>
      <w:r>
        <w:rPr>
          <w:rStyle w:val="aa"/>
          <w:rFonts w:ascii="方正仿宋_GBK"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年度年末结转和结余</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与2023年度相比，无增减</w:t>
      </w:r>
      <w:r>
        <w:rPr>
          <w:rFonts w:ascii="方正仿宋_GBK" w:eastAsia="方正仿宋_GBK" w:hAnsi="方正仿宋_GBK" w:cs="方正仿宋_GBK"/>
          <w:bCs/>
          <w:sz w:val="32"/>
          <w:szCs w:val="32"/>
          <w:shd w:val="clear" w:color="auto" w:fill="FFFFFF"/>
        </w:rPr>
        <w:t>。</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（二）财政拨款收入支出决算总体情况说明</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shd w:val="clear" w:color="auto" w:fill="FFFFFF"/>
        </w:rPr>
      </w:pP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年度财政拨款收、支总计均为</w:t>
      </w:r>
      <w:r>
        <w:rPr>
          <w:rFonts w:ascii="方正仿宋_GBK" w:eastAsia="方正仿宋_GBK" w:hAnsi="Times New Roman"/>
          <w:bCs/>
          <w:sz w:val="32"/>
          <w:szCs w:val="32"/>
          <w:shd w:val="clear" w:color="auto" w:fill="FFFFFF"/>
        </w:rPr>
        <w:t>1674.35</w:t>
      </w:r>
      <w:r>
        <w:rPr>
          <w:rFonts w:ascii="方正仿宋_GBK" w:eastAsia="方正仿宋_GBK" w:hAnsi="方正仿宋_GBK" w:cs="方正仿宋_GBK"/>
          <w:bCs/>
          <w:sz w:val="32"/>
          <w:szCs w:val="32"/>
          <w:shd w:val="clear" w:color="auto" w:fill="FFFFFF"/>
        </w:rPr>
        <w:t>万元。与</w:t>
      </w:r>
      <w:r>
        <w:rPr>
          <w:rFonts w:ascii="方正仿宋_GBK" w:eastAsia="方正仿宋_GBK" w:hAnsi="Times New Roman"/>
          <w:bCs/>
          <w:sz w:val="32"/>
          <w:szCs w:val="32"/>
          <w:shd w:val="clear" w:color="auto" w:fill="FFFFFF"/>
        </w:rPr>
        <w:t>2023</w:t>
      </w:r>
      <w:r>
        <w:rPr>
          <w:rFonts w:ascii="方正仿宋_GBK" w:eastAsia="方正仿宋_GBK" w:hAnsi="方正仿宋_GBK" w:cs="方正仿宋_GBK"/>
          <w:bCs/>
          <w:sz w:val="32"/>
          <w:szCs w:val="32"/>
          <w:shd w:val="clear" w:color="auto" w:fill="FFFFFF"/>
        </w:rPr>
        <w:t>年度相比，</w:t>
      </w:r>
      <w:r>
        <w:rPr>
          <w:rFonts w:ascii="方正仿宋_GBK" w:eastAsia="方正仿宋_GBK" w:hAnsi="Times New Roman"/>
          <w:bCs/>
          <w:sz w:val="32"/>
          <w:szCs w:val="32"/>
          <w:shd w:val="clear" w:color="auto" w:fill="FFFFFF"/>
        </w:rPr>
        <w:t>财政拨款收、支总计各增加99.53万元，增长6.3%</w:t>
      </w:r>
      <w:r>
        <w:rPr>
          <w:rFonts w:ascii="方正仿宋_GBK" w:eastAsia="方正仿宋_GBK" w:hAnsi="方正仿宋_GBK" w:cs="方正仿宋_GBK"/>
          <w:bCs/>
          <w:sz w:val="32"/>
          <w:szCs w:val="32"/>
          <w:shd w:val="clear" w:color="auto" w:fill="FFFFFF"/>
        </w:rPr>
        <w:t>。主要原因是补缴职业年金及养老保险等。</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（三）一般公共预算财政拨款收入支出决算情况说明</w:t>
      </w:r>
    </w:p>
    <w:p w:rsidR="00E71815" w:rsidRDefault="00A950AC">
      <w:pPr>
        <w:pStyle w:val="a8"/>
        <w:widowControl w:val="0"/>
        <w:spacing w:before="0" w:beforeAutospacing="0" w:after="0" w:afterAutospacing="0" w:line="600" w:lineRule="exact"/>
        <w:ind w:firstLineChars="200" w:firstLine="643"/>
        <w:jc w:val="both"/>
        <w:rPr>
          <w:rFonts w:ascii="方正仿宋_GBK" w:eastAsia="方正仿宋_GBK" w:hAnsi="方正仿宋_GBK" w:cs="方正仿宋_GBK" w:hint="default"/>
          <w:bCs/>
          <w:sz w:val="32"/>
          <w:szCs w:val="32"/>
        </w:rPr>
      </w:pPr>
      <w:r>
        <w:rPr>
          <w:rStyle w:val="aa"/>
          <w:rFonts w:ascii="方正仿宋_GBK"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年度一般公共预算财政拨款收入</w:t>
      </w:r>
      <w:r>
        <w:rPr>
          <w:rFonts w:ascii="方正仿宋_GBK" w:eastAsia="方正仿宋_GBK" w:hAnsi="Times New Roman"/>
          <w:bCs/>
          <w:sz w:val="32"/>
          <w:szCs w:val="32"/>
          <w:shd w:val="clear" w:color="auto" w:fill="FFFFFF"/>
        </w:rPr>
        <w:t>1672.35</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与2023年度相比，增加101.53万元，增长6.5%</w:t>
      </w:r>
      <w:r>
        <w:rPr>
          <w:rFonts w:ascii="方正仿宋_GBK" w:eastAsia="方正仿宋_GBK" w:hAnsi="方正仿宋_GBK" w:cs="方正仿宋_GBK"/>
          <w:bCs/>
          <w:sz w:val="32"/>
          <w:szCs w:val="32"/>
          <w:shd w:val="clear" w:color="auto" w:fill="FFFFFF"/>
        </w:rPr>
        <w:t>。主要原因是补缴职业年金及养老保险等。</w:t>
      </w:r>
      <w:r>
        <w:rPr>
          <w:rFonts w:ascii="方正仿宋_GBK" w:eastAsia="方正仿宋_GBK" w:hAnsi="Times New Roman"/>
          <w:bCs/>
          <w:sz w:val="32"/>
          <w:szCs w:val="32"/>
          <w:shd w:val="clear" w:color="auto" w:fill="FFFFFF"/>
        </w:rPr>
        <w:t>较年初预算数增加682.13万元，增长68.9%</w:t>
      </w:r>
      <w:r>
        <w:rPr>
          <w:rFonts w:ascii="方正仿宋_GBK" w:eastAsia="方正仿宋_GBK" w:hAnsi="方正仿宋_GBK" w:cs="方正仿宋_GBK"/>
          <w:bCs/>
          <w:sz w:val="32"/>
          <w:szCs w:val="32"/>
          <w:shd w:val="clear" w:color="auto" w:fill="FFFFFF"/>
        </w:rPr>
        <w:t>。主要原因年中获得上级补助资金预算。此外，年初财政拨款结转和结余</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w:t>
      </w:r>
    </w:p>
    <w:p w:rsidR="00E71815" w:rsidRDefault="00A950AC">
      <w:pPr>
        <w:pStyle w:val="a8"/>
        <w:widowControl w:val="0"/>
        <w:spacing w:before="0" w:beforeAutospacing="0" w:after="0" w:afterAutospacing="0" w:line="600" w:lineRule="exact"/>
        <w:ind w:firstLineChars="200" w:firstLine="643"/>
        <w:jc w:val="both"/>
        <w:rPr>
          <w:rFonts w:ascii="方正仿宋_GBK" w:eastAsia="方正仿宋_GBK" w:hAnsi="方正仿宋_GBK" w:cs="方正仿宋_GBK" w:hint="default"/>
          <w:bCs/>
          <w:color w:val="FF0000"/>
          <w:sz w:val="32"/>
          <w:szCs w:val="32"/>
          <w:shd w:val="clear" w:color="auto" w:fill="FFFFFF"/>
        </w:rPr>
      </w:pPr>
      <w:r>
        <w:rPr>
          <w:rStyle w:val="aa"/>
          <w:rFonts w:ascii="方正仿宋_GBK"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年度一般公共预算财政拨款支出</w:t>
      </w:r>
      <w:r>
        <w:rPr>
          <w:rFonts w:ascii="方正仿宋_GBK" w:eastAsia="方正仿宋_GBK" w:hAnsi="Times New Roman"/>
          <w:bCs/>
          <w:sz w:val="32"/>
          <w:szCs w:val="32"/>
          <w:shd w:val="clear" w:color="auto" w:fill="FFFFFF"/>
        </w:rPr>
        <w:t>1672.35</w:t>
      </w:r>
      <w:r>
        <w:rPr>
          <w:rFonts w:ascii="方正仿宋_GBK" w:eastAsia="方正仿宋_GBK" w:hAnsi="方正仿宋_GBK" w:cs="方正仿宋_GBK"/>
          <w:bCs/>
          <w:sz w:val="32"/>
          <w:szCs w:val="32"/>
          <w:shd w:val="clear" w:color="auto" w:fill="FFFFFF"/>
        </w:rPr>
        <w:lastRenderedPageBreak/>
        <w:t>万元，</w:t>
      </w:r>
      <w:r>
        <w:rPr>
          <w:rFonts w:ascii="方正仿宋_GBK" w:eastAsia="方正仿宋_GBK" w:hAnsi="Times New Roman"/>
          <w:bCs/>
          <w:sz w:val="32"/>
          <w:szCs w:val="32"/>
          <w:shd w:val="clear" w:color="auto" w:fill="FFFFFF"/>
        </w:rPr>
        <w:t>与2023年度相比，增加101.53万元，增长6.5%</w:t>
      </w:r>
      <w:r>
        <w:rPr>
          <w:rFonts w:ascii="方正仿宋_GBK" w:eastAsia="方正仿宋_GBK" w:hAnsi="方正仿宋_GBK" w:cs="方正仿宋_GBK"/>
          <w:bCs/>
          <w:sz w:val="32"/>
          <w:szCs w:val="32"/>
          <w:shd w:val="clear" w:color="auto" w:fill="FFFFFF"/>
        </w:rPr>
        <w:t>。主要原因是补缴职业年金及养老保险等。</w:t>
      </w:r>
      <w:r>
        <w:rPr>
          <w:rFonts w:ascii="方正仿宋_GBK" w:eastAsia="方正仿宋_GBK" w:hAnsi="Times New Roman"/>
          <w:bCs/>
          <w:sz w:val="32"/>
          <w:szCs w:val="32"/>
          <w:shd w:val="clear" w:color="auto" w:fill="FFFFFF"/>
        </w:rPr>
        <w:t>较年初预算数增加682.13万元，增长68.9%</w:t>
      </w:r>
      <w:r>
        <w:rPr>
          <w:rFonts w:ascii="方正仿宋_GBK" w:eastAsia="方正仿宋_GBK" w:hAnsi="方正仿宋_GBK" w:cs="方正仿宋_GBK"/>
          <w:bCs/>
          <w:sz w:val="32"/>
          <w:szCs w:val="32"/>
          <w:shd w:val="clear" w:color="auto" w:fill="FFFFFF"/>
        </w:rPr>
        <w:t>。主要原因是年中获得上级补助资金预算。</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shd w:val="clear" w:color="auto" w:fill="FFFFFF"/>
        </w:rPr>
      </w:pPr>
      <w:r>
        <w:rPr>
          <w:rFonts w:ascii="方正仿宋_GBK" w:eastAsia="方正仿宋_GBK" w:hAnsi="方正仿宋_GBK" w:cs="方正仿宋_GBK"/>
          <w:bCs/>
          <w:sz w:val="32"/>
          <w:szCs w:val="32"/>
          <w:shd w:val="clear" w:color="auto" w:fill="FFFFFF"/>
        </w:rPr>
        <w:t>一般公共预算财政拨款支出主要用途如下：</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w:t>
      </w:r>
      <w:r>
        <w:rPr>
          <w:rFonts w:ascii="方正仿宋_GBK" w:eastAsia="方正仿宋_GBK" w:hAnsi="Times New Roman"/>
          <w:bCs/>
          <w:sz w:val="32"/>
          <w:szCs w:val="32"/>
          <w:shd w:val="clear" w:color="auto" w:fill="FFFFFF"/>
        </w:rPr>
        <w:t>1</w:t>
      </w:r>
      <w:r>
        <w:rPr>
          <w:rFonts w:ascii="方正仿宋_GBK" w:eastAsia="方正仿宋_GBK" w:hAnsi="方正仿宋_GBK" w:cs="方正仿宋_GBK"/>
          <w:bCs/>
          <w:sz w:val="32"/>
          <w:szCs w:val="32"/>
          <w:shd w:val="clear" w:color="auto" w:fill="FFFFFF"/>
        </w:rPr>
        <w:t>）教育支出</w:t>
      </w:r>
      <w:r>
        <w:rPr>
          <w:rFonts w:ascii="方正仿宋_GBK" w:eastAsia="方正仿宋_GBK" w:hAnsi="Times New Roman"/>
          <w:bCs/>
          <w:sz w:val="32"/>
          <w:szCs w:val="32"/>
          <w:shd w:val="clear" w:color="auto" w:fill="FFFFFF"/>
        </w:rPr>
        <w:t>1268.86</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75.9%</w:t>
      </w:r>
      <w:r>
        <w:rPr>
          <w:rFonts w:ascii="方正仿宋_GBK" w:eastAsia="方正仿宋_GBK" w:hAnsi="方正仿宋_GBK" w:cs="方正仿宋_GBK"/>
          <w:bCs/>
          <w:sz w:val="32"/>
          <w:szCs w:val="32"/>
          <w:shd w:val="clear" w:color="auto" w:fill="FFFFFF"/>
        </w:rPr>
        <w:t>，</w:t>
      </w:r>
      <w:r>
        <w:rPr>
          <w:rFonts w:ascii="方正仿宋_GBK" w:eastAsia="方正仿宋_GBK" w:hAnsi="Times New Roman"/>
          <w:bCs/>
          <w:sz w:val="32"/>
          <w:szCs w:val="32"/>
          <w:shd w:val="clear" w:color="auto" w:fill="FFFFFF"/>
        </w:rPr>
        <w:t>较年初预算数增加639.99万元，增长101.8%</w:t>
      </w:r>
      <w:r>
        <w:rPr>
          <w:rFonts w:ascii="方正仿宋_GBK" w:eastAsia="方正仿宋_GBK" w:hAnsi="方正仿宋_GBK" w:cs="方正仿宋_GBK"/>
          <w:bCs/>
          <w:sz w:val="32"/>
          <w:szCs w:val="32"/>
          <w:shd w:val="clear" w:color="auto" w:fill="FFFFFF"/>
        </w:rPr>
        <w:t>，主要原因是年中获得上级补助资金预算。</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w:t>
      </w:r>
      <w:r>
        <w:rPr>
          <w:rFonts w:ascii="方正仿宋_GBK" w:eastAsia="方正仿宋_GBK" w:hAnsi="Times New Roman"/>
          <w:bCs/>
          <w:sz w:val="32"/>
          <w:szCs w:val="32"/>
          <w:shd w:val="clear" w:color="auto" w:fill="FFFFFF"/>
        </w:rPr>
        <w:t>2</w:t>
      </w:r>
      <w:r>
        <w:rPr>
          <w:rFonts w:ascii="方正仿宋_GBK" w:eastAsia="方正仿宋_GBK" w:hAnsi="方正仿宋_GBK" w:cs="方正仿宋_GBK"/>
          <w:bCs/>
          <w:sz w:val="32"/>
          <w:szCs w:val="32"/>
          <w:shd w:val="clear" w:color="auto" w:fill="FFFFFF"/>
        </w:rPr>
        <w:t>）社会保障和就业支出</w:t>
      </w:r>
      <w:r>
        <w:rPr>
          <w:rFonts w:ascii="方正仿宋_GBK" w:eastAsia="方正仿宋_GBK" w:hAnsi="Times New Roman"/>
          <w:bCs/>
          <w:sz w:val="32"/>
          <w:szCs w:val="32"/>
          <w:shd w:val="clear" w:color="auto" w:fill="FFFFFF"/>
        </w:rPr>
        <w:t>306.77</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18.3%</w:t>
      </w:r>
      <w:r>
        <w:rPr>
          <w:rFonts w:ascii="方正仿宋_GBK" w:eastAsia="方正仿宋_GBK" w:hAnsi="方正仿宋_GBK" w:cs="方正仿宋_GBK"/>
          <w:bCs/>
          <w:sz w:val="32"/>
          <w:szCs w:val="32"/>
          <w:shd w:val="clear" w:color="auto" w:fill="FFFFFF"/>
        </w:rPr>
        <w:t>，</w:t>
      </w:r>
      <w:r>
        <w:rPr>
          <w:rFonts w:ascii="方正仿宋_GBK" w:eastAsia="方正仿宋_GBK" w:hAnsi="Times New Roman"/>
          <w:bCs/>
          <w:sz w:val="32"/>
          <w:szCs w:val="32"/>
          <w:shd w:val="clear" w:color="auto" w:fill="FFFFFF"/>
        </w:rPr>
        <w:t>较年初预算数增加43.33万元，增长16.5%</w:t>
      </w:r>
      <w:r>
        <w:rPr>
          <w:rFonts w:ascii="方正仿宋_GBK" w:eastAsia="方正仿宋_GBK" w:hAnsi="方正仿宋_GBK" w:cs="方正仿宋_GBK"/>
          <w:bCs/>
          <w:sz w:val="32"/>
          <w:szCs w:val="32"/>
          <w:shd w:val="clear" w:color="auto" w:fill="FFFFFF"/>
        </w:rPr>
        <w:t>，主要原因补缴职业年金及养老保险。</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w:t>
      </w:r>
      <w:r>
        <w:rPr>
          <w:rFonts w:ascii="方正仿宋_GBK" w:eastAsia="方正仿宋_GBK" w:hAnsi="Times New Roman"/>
          <w:bCs/>
          <w:sz w:val="32"/>
          <w:szCs w:val="32"/>
          <w:shd w:val="clear" w:color="auto" w:fill="FFFFFF"/>
        </w:rPr>
        <w:t>3</w:t>
      </w:r>
      <w:r>
        <w:rPr>
          <w:rFonts w:ascii="方正仿宋_GBK" w:eastAsia="方正仿宋_GBK" w:hAnsi="方正仿宋_GBK" w:cs="方正仿宋_GBK"/>
          <w:bCs/>
          <w:sz w:val="32"/>
          <w:szCs w:val="32"/>
          <w:shd w:val="clear" w:color="auto" w:fill="FFFFFF"/>
        </w:rPr>
        <w:t>）卫生健康支出</w:t>
      </w:r>
      <w:r>
        <w:rPr>
          <w:rFonts w:ascii="方正仿宋_GBK" w:eastAsia="方正仿宋_GBK" w:hAnsi="Times New Roman"/>
          <w:bCs/>
          <w:sz w:val="32"/>
          <w:szCs w:val="32"/>
          <w:shd w:val="clear" w:color="auto" w:fill="FFFFFF"/>
        </w:rPr>
        <w:t>50.9</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3%</w:t>
      </w:r>
      <w:r>
        <w:rPr>
          <w:rFonts w:ascii="方正仿宋_GBK" w:eastAsia="方正仿宋_GBK" w:hAnsi="方正仿宋_GBK" w:cs="方正仿宋_GBK"/>
          <w:bCs/>
          <w:sz w:val="32"/>
          <w:szCs w:val="32"/>
          <w:shd w:val="clear" w:color="auto" w:fill="FFFFFF"/>
        </w:rPr>
        <w:t>，</w:t>
      </w:r>
      <w:r>
        <w:rPr>
          <w:rFonts w:ascii="方正仿宋_GBK" w:eastAsia="方正仿宋_GBK" w:hAnsi="Times New Roman"/>
          <w:bCs/>
          <w:sz w:val="32"/>
          <w:szCs w:val="32"/>
          <w:shd w:val="clear" w:color="auto" w:fill="FFFFFF"/>
        </w:rPr>
        <w:t>较年初预算数减少0.54万元，下降1.1%</w:t>
      </w:r>
      <w:r>
        <w:rPr>
          <w:rFonts w:ascii="方正仿宋_GBK" w:eastAsia="方正仿宋_GBK" w:hAnsi="方正仿宋_GBK" w:cs="方正仿宋_GBK"/>
          <w:bCs/>
          <w:sz w:val="32"/>
          <w:szCs w:val="32"/>
          <w:shd w:val="clear" w:color="auto" w:fill="FFFFFF"/>
        </w:rPr>
        <w:t>，主要原因是单位在编人员减少。</w:t>
      </w:r>
    </w:p>
    <w:p w:rsidR="00E71815" w:rsidRDefault="00A950AC">
      <w:pPr>
        <w:widowControl w:val="0"/>
        <w:spacing w:line="600" w:lineRule="exact"/>
        <w:ind w:firstLineChars="200" w:firstLine="640"/>
        <w:jc w:val="both"/>
        <w:rPr>
          <w:rFonts w:ascii="方正仿宋_GBK" w:eastAsia="方正仿宋_GBK" w:hAnsi="方正仿宋_GBK" w:cs="方正仿宋_GBK" w:hint="default"/>
          <w:bCs/>
          <w:color w:val="FF0000"/>
          <w:sz w:val="32"/>
          <w:szCs w:val="32"/>
          <w:shd w:val="clear" w:color="auto" w:fill="FFFFFF"/>
        </w:rPr>
      </w:pPr>
      <w:r>
        <w:rPr>
          <w:rFonts w:ascii="方正仿宋_GBK" w:eastAsia="方正仿宋_GBK" w:hAnsi="方正仿宋_GBK" w:cs="方正仿宋_GBK"/>
          <w:bCs/>
          <w:sz w:val="32"/>
          <w:szCs w:val="32"/>
          <w:shd w:val="clear" w:color="auto" w:fill="FFFFFF"/>
        </w:rPr>
        <w:t>（</w:t>
      </w:r>
      <w:r>
        <w:rPr>
          <w:rFonts w:ascii="方正仿宋_GBK" w:eastAsia="方正仿宋_GBK" w:hAnsi="Times New Roman"/>
          <w:bCs/>
          <w:sz w:val="32"/>
          <w:szCs w:val="32"/>
          <w:shd w:val="clear" w:color="auto" w:fill="FFFFFF"/>
        </w:rPr>
        <w:t>4</w:t>
      </w:r>
      <w:r>
        <w:rPr>
          <w:rFonts w:ascii="方正仿宋_GBK" w:eastAsia="方正仿宋_GBK" w:hAnsi="方正仿宋_GBK" w:cs="方正仿宋_GBK"/>
          <w:bCs/>
          <w:sz w:val="32"/>
          <w:szCs w:val="32"/>
          <w:shd w:val="clear" w:color="auto" w:fill="FFFFFF"/>
        </w:rPr>
        <w:t>）</w:t>
      </w:r>
      <w:r>
        <w:rPr>
          <w:rFonts w:ascii="方正仿宋_GBK" w:eastAsia="方正仿宋_GBK" w:hAnsi="方正仿宋_GBK" w:cs="方正仿宋_GBK"/>
          <w:bCs/>
          <w:sz w:val="32"/>
          <w:szCs w:val="32"/>
        </w:rPr>
        <w:t>住房保障支出</w:t>
      </w:r>
      <w:r>
        <w:rPr>
          <w:rFonts w:ascii="方正仿宋_GBK" w:eastAsia="方正仿宋_GBK" w:hAnsi="Times New Roman"/>
          <w:bCs/>
          <w:sz w:val="32"/>
          <w:szCs w:val="32"/>
          <w:shd w:val="clear" w:color="auto" w:fill="FFFFFF"/>
        </w:rPr>
        <w:t>45.82</w:t>
      </w:r>
      <w:r>
        <w:rPr>
          <w:rFonts w:ascii="方正仿宋_GBK" w:eastAsia="方正仿宋_GBK" w:hAnsi="方正仿宋_GBK" w:cs="方正仿宋_GBK"/>
          <w:bCs/>
          <w:sz w:val="32"/>
          <w:szCs w:val="32"/>
          <w:shd w:val="clear" w:color="auto" w:fill="FFFFFF"/>
        </w:rPr>
        <w:t>万元，占</w:t>
      </w:r>
      <w:r>
        <w:rPr>
          <w:rFonts w:ascii="方正仿宋_GBK" w:eastAsia="方正仿宋_GBK" w:hAnsi="Times New Roman"/>
          <w:bCs/>
          <w:sz w:val="32"/>
          <w:szCs w:val="32"/>
          <w:shd w:val="clear" w:color="auto" w:fill="FFFFFF"/>
        </w:rPr>
        <w:t>2.7%</w:t>
      </w:r>
      <w:r>
        <w:rPr>
          <w:rFonts w:ascii="方正仿宋_GBK" w:eastAsia="方正仿宋_GBK" w:hAnsi="方正仿宋_GBK" w:cs="方正仿宋_GBK"/>
          <w:bCs/>
          <w:sz w:val="32"/>
          <w:szCs w:val="32"/>
          <w:shd w:val="clear" w:color="auto" w:fill="FFFFFF"/>
        </w:rPr>
        <w:t>，</w:t>
      </w:r>
      <w:r>
        <w:rPr>
          <w:rFonts w:ascii="方正仿宋_GBK" w:eastAsia="方正仿宋_GBK" w:hAnsi="Times New Roman"/>
          <w:bCs/>
          <w:sz w:val="32"/>
          <w:szCs w:val="32"/>
          <w:shd w:val="clear" w:color="auto" w:fill="FFFFFF"/>
        </w:rPr>
        <w:t>较年初预算数减少0.66万元，下降1.4%</w:t>
      </w:r>
      <w:r>
        <w:rPr>
          <w:rFonts w:ascii="方正仿宋_GBK" w:eastAsia="方正仿宋_GBK" w:hAnsi="方正仿宋_GBK" w:cs="方正仿宋_GBK"/>
          <w:bCs/>
          <w:sz w:val="32"/>
          <w:szCs w:val="32"/>
          <w:shd w:val="clear" w:color="auto" w:fill="FFFFFF"/>
        </w:rPr>
        <w:t>，主要原因是单位在编人员减少。</w:t>
      </w:r>
    </w:p>
    <w:p w:rsidR="00E71815" w:rsidRDefault="00A950AC">
      <w:pPr>
        <w:pStyle w:val="a8"/>
        <w:widowControl w:val="0"/>
        <w:spacing w:before="0" w:beforeAutospacing="0" w:after="0" w:afterAutospacing="0" w:line="600" w:lineRule="exact"/>
        <w:ind w:firstLineChars="200" w:firstLine="643"/>
        <w:jc w:val="both"/>
        <w:rPr>
          <w:rFonts w:ascii="方正仿宋_GBK" w:eastAsia="方正仿宋_GBK" w:hAnsi="方正仿宋_GBK" w:cs="方正仿宋_GBK" w:hint="default"/>
          <w:bCs/>
          <w:color w:val="FF0000"/>
          <w:sz w:val="32"/>
          <w:szCs w:val="32"/>
          <w:shd w:val="clear" w:color="auto" w:fill="FFFFFF"/>
        </w:rPr>
      </w:pPr>
      <w:r>
        <w:rPr>
          <w:rStyle w:val="aa"/>
          <w:rFonts w:ascii="方正仿宋_GBK"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年度年末一般公共预算财政拨款结转和结余</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与2023年度相比，无增减</w:t>
      </w:r>
      <w:r>
        <w:rPr>
          <w:rFonts w:ascii="方正仿宋_GBK" w:eastAsia="方正仿宋_GBK" w:hAnsi="方正仿宋_GBK" w:cs="方正仿宋_GBK"/>
          <w:bCs/>
          <w:sz w:val="32"/>
          <w:szCs w:val="32"/>
          <w:shd w:val="clear" w:color="auto" w:fill="FFFFFF"/>
        </w:rPr>
        <w:t>。</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（四）一般公共预算财政拨款基本支出决算情况说明</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shd w:val="clear" w:color="auto" w:fill="FFFFFF"/>
        </w:rPr>
      </w:pP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年度一般公共财政拨款基本支出</w:t>
      </w:r>
      <w:r>
        <w:rPr>
          <w:rFonts w:ascii="方正仿宋_GBK" w:eastAsia="方正仿宋_GBK" w:hAnsi="Times New Roman"/>
          <w:bCs/>
          <w:sz w:val="32"/>
          <w:szCs w:val="32"/>
          <w:shd w:val="clear" w:color="auto" w:fill="FFFFFF"/>
        </w:rPr>
        <w:t>1604.75</w:t>
      </w:r>
      <w:r>
        <w:rPr>
          <w:rFonts w:ascii="方正仿宋_GBK" w:eastAsia="方正仿宋_GBK" w:hAnsi="方正仿宋_GBK" w:cs="方正仿宋_GBK"/>
          <w:bCs/>
          <w:sz w:val="32"/>
          <w:szCs w:val="32"/>
          <w:shd w:val="clear" w:color="auto" w:fill="FFFFFF"/>
        </w:rPr>
        <w:t>万元。其中：人员经费</w:t>
      </w:r>
      <w:r>
        <w:rPr>
          <w:rFonts w:ascii="方正仿宋_GBK" w:eastAsia="方正仿宋_GBK" w:hAnsi="Times New Roman"/>
          <w:bCs/>
          <w:sz w:val="32"/>
          <w:szCs w:val="32"/>
          <w:shd w:val="clear" w:color="auto" w:fill="FFFFFF"/>
        </w:rPr>
        <w:t>1382.87</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与2023年度相比，增加100.3万元，增长7.8%</w:t>
      </w:r>
      <w:r>
        <w:rPr>
          <w:rFonts w:ascii="方正仿宋_GBK" w:eastAsia="方正仿宋_GBK" w:hAnsi="方正仿宋_GBK" w:cs="方正仿宋_GBK"/>
          <w:bCs/>
          <w:sz w:val="32"/>
          <w:szCs w:val="32"/>
          <w:shd w:val="clear" w:color="auto" w:fill="FFFFFF"/>
        </w:rPr>
        <w:t>，主要原因是补缴职业年金及养老保险等。人员经费用途主要包括工资、津贴、绩效工资、超额绩效、</w:t>
      </w:r>
      <w:proofErr w:type="gramStart"/>
      <w:r>
        <w:rPr>
          <w:rFonts w:ascii="方正仿宋_GBK" w:eastAsia="方正仿宋_GBK" w:hAnsi="方正仿宋_GBK" w:cs="方正仿宋_GBK"/>
          <w:bCs/>
          <w:sz w:val="32"/>
          <w:szCs w:val="32"/>
          <w:shd w:val="clear" w:color="auto" w:fill="FFFFFF"/>
        </w:rPr>
        <w:t>五险一</w:t>
      </w:r>
      <w:proofErr w:type="gramEnd"/>
      <w:r>
        <w:rPr>
          <w:rFonts w:ascii="方正仿宋_GBK" w:eastAsia="方正仿宋_GBK" w:hAnsi="方正仿宋_GBK" w:cs="方正仿宋_GBK"/>
          <w:bCs/>
          <w:sz w:val="32"/>
          <w:szCs w:val="32"/>
          <w:shd w:val="clear" w:color="auto" w:fill="FFFFFF"/>
        </w:rPr>
        <w:t>金等。</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lastRenderedPageBreak/>
        <w:t>公用经费</w:t>
      </w:r>
      <w:r>
        <w:rPr>
          <w:rFonts w:ascii="方正仿宋_GBK" w:eastAsia="方正仿宋_GBK" w:hAnsi="Times New Roman"/>
          <w:bCs/>
          <w:sz w:val="32"/>
          <w:szCs w:val="32"/>
          <w:shd w:val="clear" w:color="auto" w:fill="FFFFFF"/>
        </w:rPr>
        <w:t>221.88</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与2023年度相比，增加25.77万元，增长13.1%</w:t>
      </w:r>
      <w:r>
        <w:rPr>
          <w:rFonts w:ascii="方正仿宋_GBK" w:eastAsia="方正仿宋_GBK" w:hAnsi="方正仿宋_GBK" w:cs="方正仿宋_GBK"/>
          <w:bCs/>
          <w:sz w:val="32"/>
          <w:szCs w:val="32"/>
          <w:shd w:val="clear" w:color="auto" w:fill="FFFFFF"/>
        </w:rPr>
        <w:t>，主要原因是上级补助资金增加导致公用经费增加。公用经费用途主要包括办公费、印刷费、咨询费、水电费、邮电费、福利费、培训费、差旅费、工会经费、教职工培训费、设备购置费、维修费、劳务费及其他资本性支出等。</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（五）政府性基金预算收支决算情况说明</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color w:val="FF0000"/>
          <w:sz w:val="32"/>
          <w:szCs w:val="32"/>
          <w:shd w:val="clear" w:color="auto" w:fill="FFFFFF"/>
        </w:rPr>
      </w:pP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年度政府性基金预算财政拨款年初结转结余</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万元，年末结转结余</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万元。本年收入</w:t>
      </w:r>
      <w:r>
        <w:rPr>
          <w:rFonts w:ascii="方正仿宋_GBK" w:eastAsia="方正仿宋_GBK" w:hAnsi="Times New Roman"/>
          <w:bCs/>
          <w:sz w:val="32"/>
          <w:szCs w:val="32"/>
          <w:shd w:val="clear" w:color="auto" w:fill="FFFFFF"/>
        </w:rPr>
        <w:t>2</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与2023年度相比，减少2万元，下降50%</w:t>
      </w:r>
      <w:r>
        <w:rPr>
          <w:rFonts w:ascii="方正仿宋_GBK" w:eastAsia="方正仿宋_GBK" w:hAnsi="方正仿宋_GBK" w:cs="方正仿宋_GBK"/>
          <w:bCs/>
          <w:sz w:val="32"/>
          <w:szCs w:val="32"/>
          <w:shd w:val="clear" w:color="auto" w:fill="FFFFFF"/>
        </w:rPr>
        <w:t>，主要原因是政府性基金预算财政拨款减少（本年度少年宫活动补助款项为2万元，上年度少年宫活动补助款项为4万元）。本年支出</w:t>
      </w:r>
      <w:r>
        <w:rPr>
          <w:rFonts w:ascii="方正仿宋_GBK" w:eastAsia="方正仿宋_GBK" w:hAnsi="Times New Roman"/>
          <w:bCs/>
          <w:sz w:val="32"/>
          <w:szCs w:val="32"/>
          <w:shd w:val="clear" w:color="auto" w:fill="FFFFFF"/>
        </w:rPr>
        <w:t>2</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与2023年度相比，减少2万元，下降50%</w:t>
      </w:r>
      <w:r>
        <w:rPr>
          <w:rFonts w:ascii="方正仿宋_GBK" w:eastAsia="方正仿宋_GBK" w:hAnsi="方正仿宋_GBK" w:cs="方正仿宋_GBK"/>
          <w:bCs/>
          <w:sz w:val="32"/>
          <w:szCs w:val="32"/>
          <w:shd w:val="clear" w:color="auto" w:fill="FFFFFF"/>
        </w:rPr>
        <w:t>，主要原因是政府性基金预算财政拨款减少（本年度少年宫活动补助款项为2万元，上年度少年宫活动补助款项为4万元），主要用于少年宫活动的开展。所有经费均在当年完成使用。</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（六）国有资本经营预算财政拨款支出决算情况说明</w:t>
      </w:r>
    </w:p>
    <w:p w:rsidR="00E71815" w:rsidRDefault="00A950AC">
      <w:pPr>
        <w:pStyle w:val="a8"/>
        <w:widowControl w:val="0"/>
        <w:shd w:val="clear" w:color="auto" w:fill="FFFFFF"/>
        <w:spacing w:before="0" w:beforeAutospacing="0" w:after="0" w:afterAutospacing="0" w:line="600" w:lineRule="exact"/>
        <w:ind w:firstLineChars="200" w:firstLine="640"/>
        <w:rPr>
          <w:rFonts w:ascii="方正仿宋_GBK" w:eastAsia="方正仿宋_GBK" w:hint="default"/>
          <w:bCs/>
          <w:sz w:val="32"/>
          <w:szCs w:val="32"/>
        </w:rPr>
      </w:pPr>
      <w:r>
        <w:rPr>
          <w:rFonts w:ascii="方正仿宋_GBK" w:eastAsia="方正仿宋_GBK"/>
          <w:bCs/>
          <w:sz w:val="32"/>
          <w:szCs w:val="32"/>
        </w:rPr>
        <w:t>本部门2024年度无国有资本经营预算财政拨款支出。</w:t>
      </w:r>
    </w:p>
    <w:p w:rsidR="00E71815" w:rsidRDefault="00A950AC">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三、财政拨款“三公”经费情况说明</w:t>
      </w:r>
    </w:p>
    <w:p w:rsidR="00E71815" w:rsidRDefault="00A950AC">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b w:val="0"/>
          <w:bCs/>
          <w:sz w:val="32"/>
          <w:szCs w:val="32"/>
        </w:rPr>
        <w:t>我单位属于全</w:t>
      </w:r>
      <w:r>
        <w:rPr>
          <w:rFonts w:ascii="方正仿宋_GBK" w:eastAsia="方正仿宋_GBK" w:hAnsi="方正仿宋_GBK" w:cs="方正仿宋_GBK"/>
          <w:bCs/>
          <w:sz w:val="32"/>
          <w:szCs w:val="32"/>
        </w:rPr>
        <w:t>额拨款单位</w:t>
      </w:r>
      <w:r>
        <w:rPr>
          <w:rStyle w:val="aa"/>
          <w:rFonts w:ascii="方正仿宋_GBK" w:eastAsia="方正仿宋_GBK" w:hAnsi="方正仿宋_GBK" w:cs="方正仿宋_GBK"/>
          <w:b w:val="0"/>
          <w:bCs/>
          <w:sz w:val="32"/>
          <w:szCs w:val="32"/>
        </w:rPr>
        <w:t>，未使用财政资金保障“三公”经费。</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（一）“三公”经费支出总体情况说明</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shd w:val="clear" w:color="auto" w:fill="FFFFFF"/>
        </w:rPr>
      </w:pPr>
      <w:r>
        <w:rPr>
          <w:rFonts w:ascii="方正仿宋_GBK" w:eastAsia="方正仿宋_GBK" w:hAnsi="Times New Roman"/>
          <w:bCs/>
          <w:sz w:val="32"/>
          <w:szCs w:val="32"/>
          <w:shd w:val="clear" w:color="auto" w:fill="FFFFFF"/>
        </w:rPr>
        <w:lastRenderedPageBreak/>
        <w:t>2024</w:t>
      </w:r>
      <w:r>
        <w:rPr>
          <w:rFonts w:ascii="方正仿宋_GBK" w:eastAsia="方正仿宋_GBK" w:hAnsi="方正仿宋_GBK" w:cs="方正仿宋_GBK"/>
          <w:bCs/>
          <w:sz w:val="32"/>
          <w:szCs w:val="32"/>
          <w:shd w:val="clear" w:color="auto" w:fill="FFFFFF"/>
        </w:rPr>
        <w:t>年度“三公”经费支出共计</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较年初</w:t>
      </w:r>
      <w:proofErr w:type="gramStart"/>
      <w:r>
        <w:rPr>
          <w:rFonts w:ascii="方正仿宋_GBK" w:eastAsia="方正仿宋_GBK" w:hAnsi="Times New Roman"/>
          <w:bCs/>
          <w:sz w:val="32"/>
          <w:szCs w:val="32"/>
          <w:shd w:val="clear" w:color="auto" w:fill="FFFFFF"/>
        </w:rPr>
        <w:t>预算数无增减</w:t>
      </w:r>
      <w:proofErr w:type="gramEnd"/>
      <w:r>
        <w:rPr>
          <w:rFonts w:ascii="方正仿宋_GBK" w:eastAsia="方正仿宋_GBK" w:hAnsi="方正仿宋_GBK" w:cs="方正仿宋_GBK"/>
          <w:bCs/>
          <w:sz w:val="32"/>
          <w:szCs w:val="32"/>
          <w:shd w:val="clear" w:color="auto" w:fill="FFFFFF"/>
        </w:rPr>
        <w:t>，主要原因是本单位2024年度未发生“三公”经费总支出情况。</w:t>
      </w:r>
      <w:r>
        <w:rPr>
          <w:rFonts w:ascii="方正仿宋_GBK" w:eastAsia="方正仿宋_GBK" w:hAnsi="Times New Roman"/>
          <w:bCs/>
          <w:sz w:val="32"/>
          <w:szCs w:val="32"/>
          <w:shd w:val="clear" w:color="auto" w:fill="FFFFFF"/>
        </w:rPr>
        <w:t>较上年</w:t>
      </w:r>
      <w:proofErr w:type="gramStart"/>
      <w:r>
        <w:rPr>
          <w:rFonts w:ascii="方正仿宋_GBK" w:eastAsia="方正仿宋_GBK" w:hAnsi="Times New Roman"/>
          <w:bCs/>
          <w:sz w:val="32"/>
          <w:szCs w:val="32"/>
          <w:shd w:val="clear" w:color="auto" w:fill="FFFFFF"/>
        </w:rPr>
        <w:t>支出数无增减</w:t>
      </w:r>
      <w:proofErr w:type="gramEnd"/>
      <w:r>
        <w:rPr>
          <w:rFonts w:ascii="方正仿宋_GBK" w:eastAsia="方正仿宋_GBK" w:hAnsi="方正仿宋_GBK" w:cs="方正仿宋_GBK"/>
          <w:bCs/>
          <w:sz w:val="32"/>
          <w:szCs w:val="32"/>
          <w:shd w:val="clear" w:color="auto" w:fill="FFFFFF"/>
        </w:rPr>
        <w:t>，主要原因是本单位2024年度未发生“三公”经费总支出情况。</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（二）“三公”经费分项支出情况</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w:t>
      </w:r>
      <w:bookmarkStart w:id="3" w:name="OLE_LINK10"/>
      <w:r>
        <w:rPr>
          <w:rFonts w:ascii="方正仿宋_GBK" w:eastAsia="方正仿宋_GBK" w:hAnsi="方正仿宋_GBK" w:cs="方正仿宋_GBK"/>
          <w:bCs/>
          <w:sz w:val="32"/>
          <w:szCs w:val="32"/>
          <w:shd w:val="clear" w:color="auto" w:fill="FFFFFF"/>
        </w:rPr>
        <w:t>本</w:t>
      </w:r>
      <w:bookmarkStart w:id="4" w:name="OLE_LINK9"/>
      <w:r>
        <w:rPr>
          <w:rFonts w:ascii="方正仿宋_GBK" w:eastAsia="方正仿宋_GBK" w:hAnsi="方正仿宋_GBK" w:cs="方正仿宋_GBK"/>
          <w:bCs/>
          <w:sz w:val="32"/>
          <w:szCs w:val="32"/>
          <w:shd w:val="clear" w:color="auto" w:fill="FFFFFF"/>
        </w:rPr>
        <w:t>单位因公出国（境）</w:t>
      </w:r>
      <w:bookmarkEnd w:id="4"/>
      <w:r>
        <w:rPr>
          <w:rFonts w:ascii="方正仿宋_GBK" w:eastAsia="方正仿宋_GBK" w:hAnsi="方正仿宋_GBK" w:cs="方正仿宋_GBK"/>
          <w:bCs/>
          <w:sz w:val="32"/>
          <w:szCs w:val="32"/>
          <w:shd w:val="clear" w:color="auto" w:fill="FFFFFF"/>
        </w:rPr>
        <w:t>费用</w:t>
      </w:r>
      <w:bookmarkEnd w:id="3"/>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万元。费用支出</w:t>
      </w:r>
      <w:r>
        <w:rPr>
          <w:rFonts w:ascii="方正仿宋_GBK" w:eastAsia="方正仿宋_GBK" w:hAnsi="Times New Roman"/>
          <w:bCs/>
          <w:sz w:val="32"/>
          <w:szCs w:val="32"/>
          <w:shd w:val="clear" w:color="auto" w:fill="FFFFFF"/>
        </w:rPr>
        <w:t>较年初</w:t>
      </w:r>
      <w:proofErr w:type="gramStart"/>
      <w:r>
        <w:rPr>
          <w:rFonts w:ascii="方正仿宋_GBK" w:eastAsia="方正仿宋_GBK" w:hAnsi="Times New Roman"/>
          <w:bCs/>
          <w:sz w:val="32"/>
          <w:szCs w:val="32"/>
          <w:shd w:val="clear" w:color="auto" w:fill="FFFFFF"/>
        </w:rPr>
        <w:t>预算数无增减</w:t>
      </w:r>
      <w:proofErr w:type="gramEnd"/>
      <w:r>
        <w:rPr>
          <w:rFonts w:ascii="方正仿宋_GBK" w:eastAsia="方正仿宋_GBK" w:hAnsi="方正仿宋_GBK" w:cs="方正仿宋_GBK"/>
          <w:bCs/>
          <w:sz w:val="32"/>
          <w:szCs w:val="32"/>
          <w:shd w:val="clear" w:color="auto" w:fill="FFFFFF"/>
        </w:rPr>
        <w:t>，主要原因是</w:t>
      </w:r>
      <w:bookmarkStart w:id="5" w:name="OLE_LINK11"/>
      <w:r>
        <w:rPr>
          <w:rFonts w:ascii="方正仿宋_GBK" w:eastAsia="方正仿宋_GBK" w:hAnsi="方正仿宋_GBK" w:cs="方正仿宋_GBK"/>
          <w:bCs/>
          <w:sz w:val="32"/>
          <w:szCs w:val="32"/>
          <w:shd w:val="clear" w:color="auto" w:fill="FFFFFF"/>
        </w:rPr>
        <w:t>本单位无因公出国（境）费用。</w:t>
      </w:r>
      <w:bookmarkEnd w:id="5"/>
      <w:r>
        <w:rPr>
          <w:rFonts w:ascii="方正仿宋_GBK" w:eastAsia="方正仿宋_GBK" w:hAnsi="Times New Roman"/>
          <w:bCs/>
          <w:sz w:val="32"/>
          <w:szCs w:val="32"/>
          <w:shd w:val="clear" w:color="auto" w:fill="FFFFFF"/>
        </w:rPr>
        <w:t>较上年</w:t>
      </w:r>
      <w:proofErr w:type="gramStart"/>
      <w:r>
        <w:rPr>
          <w:rFonts w:ascii="方正仿宋_GBK" w:eastAsia="方正仿宋_GBK" w:hAnsi="Times New Roman"/>
          <w:bCs/>
          <w:sz w:val="32"/>
          <w:szCs w:val="32"/>
          <w:shd w:val="clear" w:color="auto" w:fill="FFFFFF"/>
        </w:rPr>
        <w:t>支出数无增减</w:t>
      </w:r>
      <w:proofErr w:type="gramEnd"/>
      <w:r>
        <w:rPr>
          <w:rFonts w:ascii="方正仿宋_GBK" w:eastAsia="方正仿宋_GBK" w:hAnsi="方正仿宋_GBK" w:cs="方正仿宋_GBK"/>
          <w:bCs/>
          <w:sz w:val="32"/>
          <w:szCs w:val="32"/>
          <w:shd w:val="clear" w:color="auto" w:fill="FFFFFF"/>
        </w:rPr>
        <w:t>，主要原因是本单位无因公出国（境）费用。</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bookmarkStart w:id="6" w:name="OLE_LINK12"/>
      <w:r>
        <w:rPr>
          <w:rFonts w:ascii="方正仿宋_GBK" w:eastAsia="方正仿宋_GBK" w:hAnsi="方正仿宋_GBK" w:cs="方正仿宋_GBK"/>
          <w:bCs/>
          <w:sz w:val="32"/>
          <w:szCs w:val="32"/>
          <w:shd w:val="clear" w:color="auto" w:fill="FFFFFF"/>
        </w:rPr>
        <w:t>公务用车购置费</w:t>
      </w:r>
      <w:bookmarkEnd w:id="6"/>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万元。费用支出</w:t>
      </w:r>
      <w:r>
        <w:rPr>
          <w:rFonts w:ascii="方正仿宋_GBK" w:eastAsia="方正仿宋_GBK" w:hAnsi="Times New Roman"/>
          <w:bCs/>
          <w:sz w:val="32"/>
          <w:szCs w:val="32"/>
          <w:shd w:val="clear" w:color="auto" w:fill="FFFFFF"/>
        </w:rPr>
        <w:t>较年初</w:t>
      </w:r>
      <w:proofErr w:type="gramStart"/>
      <w:r>
        <w:rPr>
          <w:rFonts w:ascii="方正仿宋_GBK" w:eastAsia="方正仿宋_GBK" w:hAnsi="Times New Roman"/>
          <w:bCs/>
          <w:sz w:val="32"/>
          <w:szCs w:val="32"/>
          <w:shd w:val="clear" w:color="auto" w:fill="FFFFFF"/>
        </w:rPr>
        <w:t>预算数无增减</w:t>
      </w:r>
      <w:proofErr w:type="gramEnd"/>
      <w:r>
        <w:rPr>
          <w:rFonts w:ascii="方正仿宋_GBK" w:eastAsia="方正仿宋_GBK" w:hAnsi="方正仿宋_GBK" w:cs="方正仿宋_GBK"/>
          <w:bCs/>
          <w:sz w:val="32"/>
          <w:szCs w:val="32"/>
          <w:shd w:val="clear" w:color="auto" w:fill="FFFFFF"/>
        </w:rPr>
        <w:t>，主要原因</w:t>
      </w:r>
      <w:bookmarkStart w:id="7" w:name="OLE_LINK13"/>
      <w:r>
        <w:rPr>
          <w:rFonts w:ascii="方正仿宋_GBK" w:eastAsia="方正仿宋_GBK" w:hAnsi="方正仿宋_GBK" w:cs="方正仿宋_GBK"/>
          <w:bCs/>
          <w:sz w:val="32"/>
          <w:szCs w:val="32"/>
          <w:shd w:val="clear" w:color="auto" w:fill="FFFFFF"/>
        </w:rPr>
        <w:t>是本单位无公务用车购置费。</w:t>
      </w:r>
      <w:bookmarkEnd w:id="7"/>
      <w:r>
        <w:rPr>
          <w:rFonts w:ascii="方正仿宋_GBK" w:eastAsia="方正仿宋_GBK" w:hAnsi="Times New Roman"/>
          <w:bCs/>
          <w:sz w:val="32"/>
          <w:szCs w:val="32"/>
          <w:shd w:val="clear" w:color="auto" w:fill="FFFFFF"/>
        </w:rPr>
        <w:t>较上年</w:t>
      </w:r>
      <w:proofErr w:type="gramStart"/>
      <w:r>
        <w:rPr>
          <w:rFonts w:ascii="方正仿宋_GBK" w:eastAsia="方正仿宋_GBK" w:hAnsi="Times New Roman"/>
          <w:bCs/>
          <w:sz w:val="32"/>
          <w:szCs w:val="32"/>
          <w:shd w:val="clear" w:color="auto" w:fill="FFFFFF"/>
        </w:rPr>
        <w:t>支出数无增减</w:t>
      </w:r>
      <w:proofErr w:type="gramEnd"/>
      <w:r>
        <w:rPr>
          <w:rFonts w:ascii="方正仿宋_GBK" w:eastAsia="方正仿宋_GBK" w:hAnsi="方正仿宋_GBK" w:cs="方正仿宋_GBK"/>
          <w:bCs/>
          <w:sz w:val="32"/>
          <w:szCs w:val="32"/>
          <w:shd w:val="clear" w:color="auto" w:fill="FFFFFF"/>
        </w:rPr>
        <w:t>，主要原因是本单位无公务用车购置费。</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bookmarkStart w:id="8" w:name="OLE_LINK14"/>
      <w:r>
        <w:rPr>
          <w:rFonts w:ascii="方正仿宋_GBK" w:eastAsia="方正仿宋_GBK" w:hAnsi="方正仿宋_GBK" w:cs="方正仿宋_GBK"/>
          <w:bCs/>
          <w:sz w:val="32"/>
          <w:szCs w:val="32"/>
          <w:shd w:val="clear" w:color="auto" w:fill="FFFFFF"/>
        </w:rPr>
        <w:t>公务用车运行维护费</w:t>
      </w:r>
      <w:bookmarkEnd w:id="8"/>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万元。费用支出</w:t>
      </w:r>
      <w:r>
        <w:rPr>
          <w:rFonts w:ascii="方正仿宋_GBK" w:eastAsia="方正仿宋_GBK" w:hAnsi="Times New Roman"/>
          <w:bCs/>
          <w:sz w:val="32"/>
          <w:szCs w:val="32"/>
          <w:shd w:val="clear" w:color="auto" w:fill="FFFFFF"/>
        </w:rPr>
        <w:t>较年初</w:t>
      </w:r>
      <w:proofErr w:type="gramStart"/>
      <w:r>
        <w:rPr>
          <w:rFonts w:ascii="方正仿宋_GBK" w:eastAsia="方正仿宋_GBK" w:hAnsi="Times New Roman"/>
          <w:bCs/>
          <w:sz w:val="32"/>
          <w:szCs w:val="32"/>
          <w:shd w:val="clear" w:color="auto" w:fill="FFFFFF"/>
        </w:rPr>
        <w:t>预算数无增减</w:t>
      </w:r>
      <w:proofErr w:type="gramEnd"/>
      <w:r>
        <w:rPr>
          <w:rFonts w:ascii="方正仿宋_GBK" w:eastAsia="方正仿宋_GBK" w:hAnsi="方正仿宋_GBK" w:cs="方正仿宋_GBK"/>
          <w:bCs/>
          <w:sz w:val="32"/>
          <w:szCs w:val="32"/>
          <w:shd w:val="clear" w:color="auto" w:fill="FFFFFF"/>
        </w:rPr>
        <w:t>，主要原因</w:t>
      </w:r>
      <w:bookmarkStart w:id="9" w:name="OLE_LINK15"/>
      <w:r>
        <w:rPr>
          <w:rFonts w:ascii="方正仿宋_GBK" w:eastAsia="方正仿宋_GBK" w:hAnsi="方正仿宋_GBK" w:cs="方正仿宋_GBK"/>
          <w:bCs/>
          <w:sz w:val="32"/>
          <w:szCs w:val="32"/>
          <w:shd w:val="clear" w:color="auto" w:fill="FFFFFF"/>
        </w:rPr>
        <w:t>是本单位无公务用车运行维护费。</w:t>
      </w:r>
      <w:bookmarkEnd w:id="9"/>
      <w:r>
        <w:rPr>
          <w:rFonts w:ascii="方正仿宋_GBK" w:eastAsia="方正仿宋_GBK" w:hAnsi="Times New Roman"/>
          <w:bCs/>
          <w:sz w:val="32"/>
          <w:szCs w:val="32"/>
          <w:shd w:val="clear" w:color="auto" w:fill="FFFFFF"/>
        </w:rPr>
        <w:t>较上年</w:t>
      </w:r>
      <w:proofErr w:type="gramStart"/>
      <w:r>
        <w:rPr>
          <w:rFonts w:ascii="方正仿宋_GBK" w:eastAsia="方正仿宋_GBK" w:hAnsi="Times New Roman"/>
          <w:bCs/>
          <w:sz w:val="32"/>
          <w:szCs w:val="32"/>
          <w:shd w:val="clear" w:color="auto" w:fill="FFFFFF"/>
        </w:rPr>
        <w:t>支出数无增减</w:t>
      </w:r>
      <w:proofErr w:type="gramEnd"/>
      <w:r>
        <w:rPr>
          <w:rFonts w:ascii="方正仿宋_GBK" w:eastAsia="方正仿宋_GBK" w:hAnsi="方正仿宋_GBK" w:cs="方正仿宋_GBK"/>
          <w:bCs/>
          <w:sz w:val="32"/>
          <w:szCs w:val="32"/>
          <w:shd w:val="clear" w:color="auto" w:fill="FFFFFF"/>
        </w:rPr>
        <w:t>，主要原因是本单位无公务用车运行维护费。</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公务接待费</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万元。费用支出</w:t>
      </w:r>
      <w:r>
        <w:rPr>
          <w:rFonts w:ascii="方正仿宋_GBK" w:eastAsia="方正仿宋_GBK" w:hAnsi="Times New Roman"/>
          <w:bCs/>
          <w:sz w:val="32"/>
          <w:szCs w:val="32"/>
          <w:shd w:val="clear" w:color="auto" w:fill="FFFFFF"/>
        </w:rPr>
        <w:t>较年初</w:t>
      </w:r>
      <w:proofErr w:type="gramStart"/>
      <w:r>
        <w:rPr>
          <w:rFonts w:ascii="方正仿宋_GBK" w:eastAsia="方正仿宋_GBK" w:hAnsi="Times New Roman"/>
          <w:bCs/>
          <w:sz w:val="32"/>
          <w:szCs w:val="32"/>
          <w:shd w:val="clear" w:color="auto" w:fill="FFFFFF"/>
        </w:rPr>
        <w:t>预算数无增减</w:t>
      </w:r>
      <w:proofErr w:type="gramEnd"/>
      <w:r>
        <w:rPr>
          <w:rFonts w:ascii="方正仿宋_GBK" w:eastAsia="方正仿宋_GBK" w:hAnsi="方正仿宋_GBK" w:cs="方正仿宋_GBK"/>
          <w:bCs/>
          <w:sz w:val="32"/>
          <w:szCs w:val="32"/>
          <w:shd w:val="clear" w:color="auto" w:fill="FFFFFF"/>
        </w:rPr>
        <w:t>，主要原因</w:t>
      </w:r>
      <w:bookmarkStart w:id="10" w:name="OLE_LINK16"/>
      <w:r>
        <w:rPr>
          <w:rFonts w:ascii="方正仿宋_GBK" w:eastAsia="方正仿宋_GBK" w:hAnsi="方正仿宋_GBK" w:cs="方正仿宋_GBK"/>
          <w:bCs/>
          <w:sz w:val="32"/>
          <w:szCs w:val="32"/>
          <w:shd w:val="clear" w:color="auto" w:fill="FFFFFF"/>
        </w:rPr>
        <w:t>是本单位无公务接待费。</w:t>
      </w:r>
      <w:bookmarkEnd w:id="10"/>
      <w:r>
        <w:rPr>
          <w:rFonts w:ascii="方正仿宋_GBK" w:eastAsia="方正仿宋_GBK" w:hAnsi="Times New Roman"/>
          <w:bCs/>
          <w:sz w:val="32"/>
          <w:szCs w:val="32"/>
          <w:shd w:val="clear" w:color="auto" w:fill="FFFFFF"/>
        </w:rPr>
        <w:t>较上年</w:t>
      </w:r>
      <w:proofErr w:type="gramStart"/>
      <w:r>
        <w:rPr>
          <w:rFonts w:ascii="方正仿宋_GBK" w:eastAsia="方正仿宋_GBK" w:hAnsi="Times New Roman"/>
          <w:bCs/>
          <w:sz w:val="32"/>
          <w:szCs w:val="32"/>
          <w:shd w:val="clear" w:color="auto" w:fill="FFFFFF"/>
        </w:rPr>
        <w:t>支出数无增减</w:t>
      </w:r>
      <w:proofErr w:type="gramEnd"/>
      <w:r>
        <w:rPr>
          <w:rFonts w:ascii="方正仿宋_GBK" w:eastAsia="方正仿宋_GBK" w:hAnsi="方正仿宋_GBK" w:cs="方正仿宋_GBK"/>
          <w:bCs/>
          <w:sz w:val="32"/>
          <w:szCs w:val="32"/>
          <w:shd w:val="clear" w:color="auto" w:fill="FFFFFF"/>
        </w:rPr>
        <w:t>，主要原因是本单位无公务接待费。</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（三）“三公”经费实物量情况</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年度本单位因公出国（境）共计</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个团组，</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人；公务用车购置</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辆，公务车保有量为</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辆；国内公务接待</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人，其中：国内外事接待</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人；国（境）外公务接待</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批次，</w:t>
      </w:r>
      <w:r>
        <w:rPr>
          <w:rFonts w:ascii="方正仿宋_GBK" w:eastAsia="方正仿宋_GBK" w:hAnsi="Times New Roman"/>
          <w:bCs/>
          <w:sz w:val="32"/>
          <w:szCs w:val="32"/>
          <w:shd w:val="clear" w:color="auto" w:fill="FFFFFF"/>
        </w:rPr>
        <w:lastRenderedPageBreak/>
        <w:t>0</w:t>
      </w:r>
      <w:r>
        <w:rPr>
          <w:rFonts w:ascii="方正仿宋_GBK" w:eastAsia="方正仿宋_GBK" w:hAnsi="方正仿宋_GBK" w:cs="方正仿宋_GBK"/>
          <w:bCs/>
          <w:sz w:val="32"/>
          <w:szCs w:val="32"/>
          <w:shd w:val="clear" w:color="auto" w:fill="FFFFFF"/>
        </w:rPr>
        <w:t>人。</w:t>
      </w: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年本单位人均接待费</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元，车均购置费</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万元，车均维护费</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w:t>
      </w:r>
    </w:p>
    <w:p w:rsidR="00E71815" w:rsidRDefault="00A950AC">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黑体" w:cs="黑体" w:hint="default"/>
          <w:b w:val="0"/>
          <w:bCs/>
          <w:sz w:val="32"/>
          <w:szCs w:val="32"/>
          <w:shd w:val="clear" w:color="auto" w:fill="FFFFFF"/>
        </w:rPr>
      </w:pPr>
      <w:r>
        <w:rPr>
          <w:rStyle w:val="aa"/>
          <w:rFonts w:ascii="方正黑体_GBK" w:eastAsia="方正黑体_GBK" w:hAnsi="黑体" w:cs="黑体"/>
          <w:b w:val="0"/>
          <w:bCs/>
          <w:sz w:val="32"/>
          <w:szCs w:val="32"/>
          <w:shd w:val="clear" w:color="auto" w:fill="FFFFFF"/>
        </w:rPr>
        <w:t>四、其他需要说明的事项</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（一）财政拨款会议费、培训费和差旅费情况说明</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color w:val="FF0000"/>
          <w:sz w:val="32"/>
          <w:szCs w:val="32"/>
        </w:rPr>
      </w:pPr>
      <w:r>
        <w:rPr>
          <w:rFonts w:ascii="方正仿宋_GBK" w:eastAsia="方正仿宋_GBK" w:hAnsi="方正仿宋_GBK" w:cs="方正仿宋_GBK"/>
          <w:bCs/>
          <w:sz w:val="32"/>
          <w:szCs w:val="32"/>
          <w:shd w:val="clear" w:color="auto" w:fill="FFFFFF"/>
        </w:rPr>
        <w:t>本年度会议费支出</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与2023年度相比，无增减</w:t>
      </w:r>
      <w:r>
        <w:rPr>
          <w:rFonts w:ascii="方正仿宋_GBK" w:eastAsia="方正仿宋_GBK" w:hAnsi="方正仿宋_GBK" w:cs="方正仿宋_GBK"/>
          <w:bCs/>
          <w:sz w:val="32"/>
          <w:szCs w:val="32"/>
          <w:shd w:val="clear" w:color="auto" w:fill="FFFFFF"/>
        </w:rPr>
        <w:t>。本年度培训费支出</w:t>
      </w:r>
      <w:r>
        <w:rPr>
          <w:rFonts w:ascii="方正仿宋_GBK" w:eastAsia="方正仿宋_GBK" w:hAnsi="Times New Roman"/>
          <w:bCs/>
          <w:sz w:val="32"/>
          <w:szCs w:val="32"/>
          <w:shd w:val="clear" w:color="auto" w:fill="FFFFFF"/>
        </w:rPr>
        <w:t>6.98</w:t>
      </w:r>
      <w:r>
        <w:rPr>
          <w:rFonts w:ascii="方正仿宋_GBK" w:eastAsia="方正仿宋_GBK" w:hAnsi="方正仿宋_GBK" w:cs="方正仿宋_GBK"/>
          <w:bCs/>
          <w:sz w:val="32"/>
          <w:szCs w:val="32"/>
          <w:shd w:val="clear" w:color="auto" w:fill="FFFFFF"/>
        </w:rPr>
        <w:t>万元，</w:t>
      </w:r>
      <w:r>
        <w:rPr>
          <w:rFonts w:ascii="方正仿宋_GBK" w:eastAsia="方正仿宋_GBK" w:hAnsi="Times New Roman"/>
          <w:bCs/>
          <w:sz w:val="32"/>
          <w:szCs w:val="32"/>
          <w:shd w:val="clear" w:color="auto" w:fill="FFFFFF"/>
        </w:rPr>
        <w:t>与2023年度相比，减少0.05万元，下降0.7%</w:t>
      </w:r>
      <w:r>
        <w:rPr>
          <w:rFonts w:ascii="方正仿宋_GBK" w:eastAsia="方正仿宋_GBK" w:hAnsi="方正仿宋_GBK" w:cs="方正仿宋_GBK"/>
          <w:bCs/>
          <w:sz w:val="32"/>
          <w:szCs w:val="32"/>
          <w:shd w:val="clear" w:color="auto" w:fill="FFFFFF"/>
        </w:rPr>
        <w:t>，主要原因是教师培训有所减少。本年度差旅费支出</w:t>
      </w:r>
      <w:r>
        <w:rPr>
          <w:rFonts w:ascii="方正仿宋_GBK" w:eastAsia="方正仿宋_GBK" w:hAnsi="Times New Roman"/>
          <w:bCs/>
          <w:sz w:val="32"/>
          <w:szCs w:val="32"/>
          <w:shd w:val="clear" w:color="auto" w:fill="FFFFFF"/>
        </w:rPr>
        <w:t>8.79</w:t>
      </w:r>
      <w:r>
        <w:rPr>
          <w:rFonts w:ascii="方正仿宋_GBK" w:eastAsia="方正仿宋_GBK" w:hAnsi="方正仿宋_GBK" w:cs="方正仿宋_GBK"/>
          <w:bCs/>
          <w:sz w:val="32"/>
          <w:szCs w:val="32"/>
        </w:rPr>
        <w:t>万元，</w:t>
      </w:r>
      <w:r>
        <w:rPr>
          <w:rFonts w:ascii="方正仿宋_GBK" w:eastAsia="方正仿宋_GBK" w:hAnsi="Times New Roman"/>
          <w:bCs/>
          <w:sz w:val="32"/>
          <w:szCs w:val="32"/>
          <w:shd w:val="clear" w:color="auto" w:fill="FFFFFF"/>
        </w:rPr>
        <w:t>与2023年度相比，增加1.29万元，增长17.2%</w:t>
      </w:r>
      <w:r>
        <w:rPr>
          <w:rFonts w:ascii="方正仿宋_GBK" w:eastAsia="方正仿宋_GBK" w:hAnsi="方正仿宋_GBK" w:cs="方正仿宋_GBK"/>
          <w:bCs/>
          <w:sz w:val="32"/>
          <w:szCs w:val="32"/>
          <w:shd w:val="clear" w:color="auto" w:fill="FFFFFF"/>
        </w:rPr>
        <w:t>，主要原因是教师参加活动人数及次数有所增加。</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（二）机关运行经费情况说明</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年度本单位机关运行经费支出</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万元，机关运行经费</w:t>
      </w:r>
      <w:r>
        <w:rPr>
          <w:rFonts w:ascii="方正仿宋_GBK" w:eastAsia="方正仿宋_GBK" w:hAnsi="Times New Roman"/>
          <w:bCs/>
          <w:sz w:val="32"/>
          <w:szCs w:val="32"/>
          <w:shd w:val="clear" w:color="auto" w:fill="FFFFFF"/>
        </w:rPr>
        <w:t>较上年</w:t>
      </w:r>
      <w:proofErr w:type="gramStart"/>
      <w:r>
        <w:rPr>
          <w:rFonts w:ascii="方正仿宋_GBK" w:eastAsia="方正仿宋_GBK" w:hAnsi="Times New Roman"/>
          <w:bCs/>
          <w:sz w:val="32"/>
          <w:szCs w:val="32"/>
          <w:shd w:val="clear" w:color="auto" w:fill="FFFFFF"/>
        </w:rPr>
        <w:t>支出数无增减</w:t>
      </w:r>
      <w:proofErr w:type="gramEnd"/>
      <w:r>
        <w:rPr>
          <w:rFonts w:ascii="方正仿宋_GBK" w:eastAsia="方正仿宋_GBK" w:hAnsi="方正仿宋_GBK" w:cs="方正仿宋_GBK"/>
          <w:bCs/>
          <w:sz w:val="32"/>
          <w:szCs w:val="32"/>
          <w:shd w:val="clear" w:color="auto" w:fill="FFFFFF"/>
        </w:rPr>
        <w:t>，主要原因是按照部门决算列报口径，我单位未使用财政资金保障机关运行经费。</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（三）国有资产占用情况说明</w:t>
      </w:r>
    </w:p>
    <w:p w:rsidR="00E71815" w:rsidRDefault="00A950AC">
      <w:pPr>
        <w:pStyle w:val="a8"/>
        <w:widowControl w:val="0"/>
        <w:spacing w:before="0" w:beforeAutospacing="0" w:after="0" w:afterAutospacing="0" w:line="600" w:lineRule="exact"/>
        <w:ind w:firstLineChars="200" w:firstLine="640"/>
        <w:jc w:val="both"/>
        <w:rPr>
          <w:rFonts w:ascii="方正仿宋_GBK" w:eastAsia="方正仿宋_GBK" w:hAnsi="方正仿宋_GBK" w:cs="方正仿宋_GBK" w:hint="default"/>
          <w:bCs/>
          <w:sz w:val="32"/>
          <w:szCs w:val="32"/>
        </w:rPr>
      </w:pPr>
      <w:r>
        <w:rPr>
          <w:rFonts w:ascii="方正仿宋_GBK" w:eastAsia="方正仿宋_GBK" w:hAnsi="方正仿宋_GBK" w:cs="方正仿宋_GBK"/>
          <w:bCs/>
          <w:sz w:val="32"/>
          <w:szCs w:val="32"/>
          <w:shd w:val="clear" w:color="auto" w:fill="FFFFFF"/>
        </w:rPr>
        <w:t>截至</w:t>
      </w:r>
      <w:r>
        <w:rPr>
          <w:rFonts w:ascii="方正仿宋_GBK" w:eastAsia="方正仿宋_GBK" w:hAnsi="Times New Roman"/>
          <w:bCs/>
          <w:sz w:val="32"/>
          <w:szCs w:val="32"/>
          <w:shd w:val="clear" w:color="auto" w:fill="FFFFFF"/>
        </w:rPr>
        <w:t>2024</w:t>
      </w:r>
      <w:r>
        <w:rPr>
          <w:rFonts w:ascii="方正仿宋_GBK" w:eastAsia="方正仿宋_GBK" w:hAnsi="方正仿宋_GBK" w:cs="方正仿宋_GBK"/>
          <w:bCs/>
          <w:sz w:val="32"/>
          <w:szCs w:val="32"/>
          <w:shd w:val="clear" w:color="auto" w:fill="FFFFFF"/>
        </w:rPr>
        <w:t>年</w:t>
      </w:r>
      <w:r>
        <w:rPr>
          <w:rFonts w:ascii="方正仿宋_GBK" w:eastAsia="方正仿宋_GBK" w:hAnsi="Times New Roman"/>
          <w:bCs/>
          <w:sz w:val="32"/>
          <w:szCs w:val="32"/>
          <w:shd w:val="clear" w:color="auto" w:fill="FFFFFF"/>
        </w:rPr>
        <w:t>12</w:t>
      </w:r>
      <w:r>
        <w:rPr>
          <w:rFonts w:ascii="方正仿宋_GBK" w:eastAsia="方正仿宋_GBK" w:hAnsi="方正仿宋_GBK" w:cs="方正仿宋_GBK"/>
          <w:bCs/>
          <w:sz w:val="32"/>
          <w:szCs w:val="32"/>
          <w:shd w:val="clear" w:color="auto" w:fill="FFFFFF"/>
        </w:rPr>
        <w:t>月</w:t>
      </w:r>
      <w:r>
        <w:rPr>
          <w:rFonts w:ascii="方正仿宋_GBK" w:eastAsia="方正仿宋_GBK" w:hAnsi="Times New Roman"/>
          <w:bCs/>
          <w:sz w:val="32"/>
          <w:szCs w:val="32"/>
          <w:shd w:val="clear" w:color="auto" w:fill="FFFFFF"/>
        </w:rPr>
        <w:t>31</w:t>
      </w:r>
      <w:r>
        <w:rPr>
          <w:rFonts w:ascii="方正仿宋_GBK" w:eastAsia="方正仿宋_GBK" w:hAnsi="方正仿宋_GBK" w:cs="方正仿宋_GBK"/>
          <w:bCs/>
          <w:sz w:val="32"/>
          <w:szCs w:val="32"/>
          <w:shd w:val="clear" w:color="auto" w:fill="FFFFFF"/>
        </w:rPr>
        <w:t>日，本单位共有车辆</w:t>
      </w:r>
      <w:r>
        <w:rPr>
          <w:rFonts w:ascii="方正仿宋_GBK" w:eastAsia="方正仿宋_GBK" w:hAnsi="Times New Roman"/>
          <w:bCs/>
          <w:sz w:val="32"/>
          <w:szCs w:val="32"/>
          <w:shd w:val="clear" w:color="auto" w:fill="FFFFFF"/>
        </w:rPr>
        <w:t>1</w:t>
      </w:r>
      <w:r>
        <w:rPr>
          <w:rFonts w:ascii="方正仿宋_GBK" w:eastAsia="方正仿宋_GBK" w:hAnsi="方正仿宋_GBK" w:cs="方正仿宋_GBK"/>
          <w:bCs/>
          <w:sz w:val="32"/>
          <w:szCs w:val="32"/>
          <w:shd w:val="clear" w:color="auto" w:fill="FFFFFF"/>
        </w:rPr>
        <w:t>辆，其中，副部（省）级及以上领导用车</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辆、主要负责人用车</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辆、机要通信用车</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辆、应急保障用车</w:t>
      </w:r>
      <w:r>
        <w:rPr>
          <w:rFonts w:ascii="方正仿宋_GBK" w:eastAsia="方正仿宋_GBK" w:hAnsi="Times New Roman"/>
          <w:bCs/>
          <w:sz w:val="32"/>
          <w:szCs w:val="32"/>
          <w:shd w:val="clear" w:color="auto" w:fill="FFFFFF"/>
        </w:rPr>
        <w:t>1</w:t>
      </w:r>
      <w:r>
        <w:rPr>
          <w:rFonts w:ascii="方正仿宋_GBK" w:eastAsia="方正仿宋_GBK" w:hAnsi="方正仿宋_GBK" w:cs="方正仿宋_GBK"/>
          <w:bCs/>
          <w:sz w:val="32"/>
          <w:szCs w:val="32"/>
          <w:shd w:val="clear" w:color="auto" w:fill="FFFFFF"/>
        </w:rPr>
        <w:t>辆、执法执勤用车</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辆，特种专业技术用车</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辆，离退休干部用车</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辆。单价</w:t>
      </w:r>
      <w:r>
        <w:rPr>
          <w:rFonts w:ascii="方正仿宋_GBK" w:eastAsia="方正仿宋_GBK" w:hAnsi="Times New Roman"/>
          <w:bCs/>
          <w:sz w:val="32"/>
          <w:szCs w:val="32"/>
          <w:shd w:val="clear" w:color="auto" w:fill="FFFFFF"/>
        </w:rPr>
        <w:t>100</w:t>
      </w:r>
      <w:r>
        <w:rPr>
          <w:rFonts w:ascii="方正仿宋_GBK" w:eastAsia="方正仿宋_GBK" w:hAnsi="方正仿宋_GBK" w:cs="方正仿宋_GBK"/>
          <w:bCs/>
          <w:sz w:val="32"/>
          <w:szCs w:val="32"/>
          <w:shd w:val="clear" w:color="auto" w:fill="FFFFFF"/>
        </w:rPr>
        <w:t>万元（含）以上专用设备</w:t>
      </w:r>
      <w:r>
        <w:rPr>
          <w:rFonts w:ascii="方正仿宋_GBK" w:eastAsia="方正仿宋_GBK" w:hAnsi="Times New Roman"/>
          <w:bCs/>
          <w:sz w:val="32"/>
          <w:szCs w:val="32"/>
          <w:shd w:val="clear" w:color="auto" w:fill="FFFFFF"/>
        </w:rPr>
        <w:t>0</w:t>
      </w:r>
      <w:r>
        <w:rPr>
          <w:rFonts w:ascii="方正仿宋_GBK" w:eastAsia="方正仿宋_GBK" w:hAnsi="方正仿宋_GBK" w:cs="方正仿宋_GBK"/>
          <w:bCs/>
          <w:sz w:val="32"/>
          <w:szCs w:val="32"/>
          <w:shd w:val="clear" w:color="auto" w:fill="FFFFFF"/>
        </w:rPr>
        <w:t>台（套）。</w:t>
      </w:r>
      <w:r>
        <w:rPr>
          <w:rFonts w:ascii="方正仿宋_GBK" w:eastAsia="方正仿宋_GBK"/>
          <w:bCs/>
          <w:sz w:val="32"/>
          <w:szCs w:val="32"/>
        </w:rPr>
        <w:t>因我校属于公益一类教育原因，我单位资产未纳入部门决算报表。</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（四）政府采购支出情况说明</w:t>
      </w:r>
    </w:p>
    <w:p w:rsidR="00E71815" w:rsidRDefault="00A950AC">
      <w:pPr>
        <w:pStyle w:val="1"/>
        <w:widowControl w:val="0"/>
        <w:spacing w:line="600" w:lineRule="exact"/>
        <w:ind w:firstLine="640"/>
        <w:rPr>
          <w:rFonts w:ascii="方正楷体_GBK" w:eastAsia="方正楷体_GBK" w:hAnsi="楷体" w:cs="楷体"/>
          <w:bCs/>
          <w:sz w:val="32"/>
          <w:szCs w:val="32"/>
          <w:shd w:val="clear" w:color="auto" w:fill="FFFFFF"/>
        </w:rPr>
      </w:pPr>
      <w:r>
        <w:rPr>
          <w:rFonts w:ascii="方正仿宋_GBK" w:eastAsia="方正仿宋_GBK" w:hAnsi="Times New Roman" w:hint="eastAsia"/>
          <w:bCs/>
          <w:sz w:val="32"/>
          <w:szCs w:val="32"/>
          <w:shd w:val="clear" w:color="auto" w:fill="FFFFFF"/>
        </w:rPr>
        <w:lastRenderedPageBreak/>
        <w:t>2024</w:t>
      </w:r>
      <w:r>
        <w:rPr>
          <w:rFonts w:ascii="方正仿宋_GBK" w:eastAsia="方正仿宋_GBK" w:hAnsi="方正仿宋_GBK" w:cs="方正仿宋_GBK" w:hint="eastAsia"/>
          <w:bCs/>
          <w:sz w:val="32"/>
          <w:szCs w:val="32"/>
          <w:shd w:val="clear" w:color="auto" w:fill="FFFFFF"/>
        </w:rPr>
        <w:t>年度本单位政府采购支出总额</w:t>
      </w:r>
      <w:r>
        <w:rPr>
          <w:rFonts w:ascii="方正仿宋_GBK" w:eastAsia="方正仿宋_GBK" w:hAnsi="Times New Roman" w:hint="eastAsia"/>
          <w:bCs/>
          <w:sz w:val="32"/>
          <w:szCs w:val="32"/>
          <w:shd w:val="clear" w:color="auto" w:fill="FFFFFF"/>
        </w:rPr>
        <w:t>0</w:t>
      </w:r>
      <w:r>
        <w:rPr>
          <w:rFonts w:ascii="方正仿宋_GBK" w:eastAsia="方正仿宋_GBK" w:hAnsi="方正仿宋_GBK" w:cs="方正仿宋_GBK" w:hint="eastAsia"/>
          <w:bCs/>
          <w:sz w:val="32"/>
          <w:szCs w:val="32"/>
          <w:shd w:val="clear" w:color="auto" w:fill="FFFFFF"/>
        </w:rPr>
        <w:t>万元，其中：政府采购货物支出</w:t>
      </w:r>
      <w:r>
        <w:rPr>
          <w:rFonts w:ascii="方正仿宋_GBK" w:eastAsia="方正仿宋_GBK" w:hAnsi="Times New Roman" w:hint="eastAsia"/>
          <w:bCs/>
          <w:sz w:val="32"/>
          <w:szCs w:val="32"/>
          <w:shd w:val="clear" w:color="auto" w:fill="FFFFFF"/>
        </w:rPr>
        <w:t>0</w:t>
      </w:r>
      <w:r>
        <w:rPr>
          <w:rFonts w:ascii="方正仿宋_GBK" w:eastAsia="方正仿宋_GBK" w:hAnsi="方正仿宋_GBK" w:cs="方正仿宋_GBK" w:hint="eastAsia"/>
          <w:bCs/>
          <w:sz w:val="32"/>
          <w:szCs w:val="32"/>
          <w:shd w:val="clear" w:color="auto" w:fill="FFFFFF"/>
        </w:rPr>
        <w:t>万元、政府采购工程支出</w:t>
      </w:r>
      <w:r>
        <w:rPr>
          <w:rFonts w:ascii="方正仿宋_GBK" w:eastAsia="方正仿宋_GBK" w:hAnsi="Times New Roman" w:hint="eastAsia"/>
          <w:bCs/>
          <w:sz w:val="32"/>
          <w:szCs w:val="32"/>
          <w:shd w:val="clear" w:color="auto" w:fill="FFFFFF"/>
        </w:rPr>
        <w:t>0</w:t>
      </w:r>
      <w:r>
        <w:rPr>
          <w:rFonts w:ascii="方正仿宋_GBK" w:eastAsia="方正仿宋_GBK" w:hAnsi="方正仿宋_GBK" w:cs="方正仿宋_GBK" w:hint="eastAsia"/>
          <w:bCs/>
          <w:sz w:val="32"/>
          <w:szCs w:val="32"/>
          <w:shd w:val="clear" w:color="auto" w:fill="FFFFFF"/>
        </w:rPr>
        <w:t>万元、政府采购服务支出</w:t>
      </w:r>
      <w:r>
        <w:rPr>
          <w:rFonts w:ascii="方正仿宋_GBK" w:eastAsia="方正仿宋_GBK" w:hAnsi="Times New Roman" w:hint="eastAsia"/>
          <w:bCs/>
          <w:sz w:val="32"/>
          <w:szCs w:val="32"/>
          <w:shd w:val="clear" w:color="auto" w:fill="FFFFFF"/>
        </w:rPr>
        <w:t>0</w:t>
      </w:r>
      <w:r>
        <w:rPr>
          <w:rFonts w:ascii="方正仿宋_GBK" w:eastAsia="方正仿宋_GBK" w:hAnsi="方正仿宋_GBK" w:cs="方正仿宋_GBK" w:hint="eastAsia"/>
          <w:bCs/>
          <w:sz w:val="32"/>
          <w:szCs w:val="32"/>
          <w:shd w:val="clear" w:color="auto" w:fill="FFFFFF"/>
        </w:rPr>
        <w:t>万元。授予中小企业合同金额</w:t>
      </w:r>
      <w:r>
        <w:rPr>
          <w:rFonts w:ascii="方正仿宋_GBK" w:eastAsia="方正仿宋_GBK" w:hAnsi="Times New Roman" w:hint="eastAsia"/>
          <w:bCs/>
          <w:sz w:val="32"/>
          <w:szCs w:val="32"/>
          <w:shd w:val="clear" w:color="auto" w:fill="FFFFFF"/>
        </w:rPr>
        <w:t>0</w:t>
      </w:r>
      <w:r>
        <w:rPr>
          <w:rFonts w:ascii="方正仿宋_GBK" w:eastAsia="方正仿宋_GBK" w:hAnsi="方正仿宋_GBK" w:cs="方正仿宋_GBK" w:hint="eastAsia"/>
          <w:bCs/>
          <w:sz w:val="32"/>
          <w:szCs w:val="32"/>
        </w:rPr>
        <w:t>万</w:t>
      </w:r>
      <w:r>
        <w:rPr>
          <w:rFonts w:ascii="方正仿宋_GBK" w:eastAsia="方正仿宋_GBK" w:hAnsi="方正仿宋_GBK" w:cs="方正仿宋_GBK" w:hint="eastAsia"/>
          <w:bCs/>
          <w:sz w:val="32"/>
          <w:szCs w:val="32"/>
          <w:shd w:val="clear" w:color="auto" w:fill="FFFFFF"/>
        </w:rPr>
        <w:t>元，占政府采购支出总额的</w:t>
      </w:r>
      <w:r>
        <w:rPr>
          <w:rFonts w:ascii="方正仿宋_GBK" w:eastAsia="方正仿宋_GBK" w:hAnsi="Times New Roman" w:hint="eastAsia"/>
          <w:bCs/>
          <w:sz w:val="32"/>
          <w:szCs w:val="32"/>
          <w:shd w:val="clear" w:color="auto" w:fill="FFFFFF"/>
        </w:rPr>
        <w:t>0%</w:t>
      </w:r>
      <w:r>
        <w:rPr>
          <w:rFonts w:ascii="方正仿宋_GBK" w:eastAsia="方正仿宋_GBK" w:hAnsi="方正仿宋_GBK" w:cs="方正仿宋_GBK" w:hint="eastAsia"/>
          <w:bCs/>
          <w:sz w:val="32"/>
          <w:szCs w:val="32"/>
          <w:shd w:val="clear" w:color="auto" w:fill="FFFFFF"/>
        </w:rPr>
        <w:t>，其中：授予小</w:t>
      </w:r>
      <w:proofErr w:type="gramStart"/>
      <w:r>
        <w:rPr>
          <w:rFonts w:ascii="方正仿宋_GBK" w:eastAsia="方正仿宋_GBK" w:hAnsi="方正仿宋_GBK" w:cs="方正仿宋_GBK" w:hint="eastAsia"/>
          <w:bCs/>
          <w:sz w:val="32"/>
          <w:szCs w:val="32"/>
          <w:shd w:val="clear" w:color="auto" w:fill="FFFFFF"/>
        </w:rPr>
        <w:t>微企业</w:t>
      </w:r>
      <w:proofErr w:type="gramEnd"/>
      <w:r>
        <w:rPr>
          <w:rFonts w:ascii="方正仿宋_GBK" w:eastAsia="方正仿宋_GBK" w:hAnsi="方正仿宋_GBK" w:cs="方正仿宋_GBK" w:hint="eastAsia"/>
          <w:bCs/>
          <w:sz w:val="32"/>
          <w:szCs w:val="32"/>
          <w:shd w:val="clear" w:color="auto" w:fill="FFFFFF"/>
        </w:rPr>
        <w:t>合同金额</w:t>
      </w:r>
      <w:r>
        <w:rPr>
          <w:rFonts w:ascii="方正仿宋_GBK" w:eastAsia="方正仿宋_GBK" w:hAnsi="Times New Roman" w:hint="eastAsia"/>
          <w:bCs/>
          <w:sz w:val="32"/>
          <w:szCs w:val="32"/>
          <w:shd w:val="clear" w:color="auto" w:fill="FFFFFF"/>
        </w:rPr>
        <w:t>0</w:t>
      </w:r>
      <w:r>
        <w:rPr>
          <w:rFonts w:ascii="方正仿宋_GBK" w:eastAsia="方正仿宋_GBK" w:hAnsi="方正仿宋_GBK" w:cs="方正仿宋_GBK" w:hint="eastAsia"/>
          <w:bCs/>
          <w:sz w:val="32"/>
          <w:szCs w:val="32"/>
          <w:shd w:val="clear" w:color="auto" w:fill="FFFFFF"/>
        </w:rPr>
        <w:t>万元，占政府采购支出总额的</w:t>
      </w:r>
      <w:r>
        <w:rPr>
          <w:rFonts w:ascii="方正仿宋_GBK" w:eastAsia="方正仿宋_GBK" w:hAnsi="Times New Roman" w:hint="eastAsia"/>
          <w:bCs/>
          <w:sz w:val="32"/>
          <w:szCs w:val="32"/>
          <w:shd w:val="clear" w:color="auto" w:fill="FFFFFF"/>
        </w:rPr>
        <w:t>0%</w:t>
      </w:r>
      <w:r>
        <w:rPr>
          <w:rFonts w:ascii="方正仿宋_GBK" w:eastAsia="方正仿宋_GBK" w:hAnsi="方正仿宋_GBK" w:cs="方正仿宋_GBK" w:hint="eastAsia"/>
          <w:bCs/>
          <w:sz w:val="32"/>
          <w:szCs w:val="32"/>
          <w:shd w:val="clear" w:color="auto" w:fill="FFFFFF"/>
        </w:rPr>
        <w:t>。2024年度我单位未发生政府采购事项，无相关经费支出。</w:t>
      </w:r>
    </w:p>
    <w:p w:rsidR="00E71815" w:rsidRDefault="00A950AC">
      <w:pPr>
        <w:pStyle w:val="Char0"/>
        <w:widowControl w:val="0"/>
        <w:spacing w:before="0" w:beforeAutospacing="0" w:after="0" w:afterAutospacing="0" w:line="600" w:lineRule="exact"/>
        <w:ind w:firstLineChars="200" w:firstLine="640"/>
        <w:rPr>
          <w:rStyle w:val="aa"/>
          <w:rFonts w:ascii="方正黑体_GBK" w:eastAsia="方正黑体_GBK" w:hAnsi="黑体" w:cs="黑体"/>
          <w:b w:val="0"/>
          <w:bCs/>
          <w:sz w:val="32"/>
          <w:szCs w:val="32"/>
          <w:shd w:val="clear" w:color="auto" w:fill="FFFFFF"/>
        </w:rPr>
      </w:pPr>
      <w:r>
        <w:rPr>
          <w:rStyle w:val="aa"/>
          <w:rFonts w:ascii="方正黑体_GBK" w:eastAsia="方正黑体_GBK" w:hAnsi="黑体" w:cs="黑体" w:hint="eastAsia"/>
          <w:b w:val="0"/>
          <w:bCs/>
          <w:sz w:val="32"/>
          <w:szCs w:val="32"/>
          <w:shd w:val="clear" w:color="auto" w:fill="FFFFFF"/>
        </w:rPr>
        <w:t>五、2024年度预算绩效管理情况说明</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（一）单位自评情况</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hint="eastAsia"/>
          <w:bCs/>
          <w:sz w:val="32"/>
          <w:szCs w:val="32"/>
          <w:shd w:val="clear" w:color="auto" w:fill="FFFFFF"/>
        </w:rPr>
        <w:t>根据预算绩效管理要求，我单位对8个二级项目开展了绩效自评，涉及财政拨款项目支出资金69.6万元。项目支出绩效自评表（二级项目）见附件。</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（二）单位绩效评价情况</w:t>
      </w:r>
    </w:p>
    <w:p w:rsidR="00E71815" w:rsidRDefault="00A950AC">
      <w:pPr>
        <w:pStyle w:val="1"/>
        <w:widowControl w:val="0"/>
        <w:spacing w:line="600" w:lineRule="exact"/>
        <w:ind w:firstLine="640"/>
        <w:rPr>
          <w:rFonts w:ascii="方正仿宋_GBK" w:eastAsia="方正仿宋_GBK" w:hAnsi="方正仿宋_GBK" w:cs="方正仿宋_GBK"/>
          <w:bCs/>
          <w:sz w:val="32"/>
          <w:szCs w:val="32"/>
          <w:shd w:val="clear" w:color="auto" w:fill="FFFFFF"/>
        </w:rPr>
      </w:pPr>
      <w:r>
        <w:rPr>
          <w:rFonts w:ascii="方正仿宋_GBK" w:eastAsia="方正仿宋_GBK" w:hAnsi="方正仿宋_GBK" w:cs="方正仿宋_GBK" w:hint="eastAsia"/>
          <w:bCs/>
          <w:sz w:val="32"/>
          <w:szCs w:val="32"/>
          <w:shd w:val="clear" w:color="auto" w:fill="FFFFFF"/>
        </w:rPr>
        <w:t>我单位未组织开展绩效评价。</w:t>
      </w:r>
    </w:p>
    <w:p w:rsidR="00E71815" w:rsidRDefault="00A950AC">
      <w:pPr>
        <w:widowControl w:val="0"/>
        <w:shd w:val="clear" w:color="auto" w:fill="FFFFFF"/>
        <w:spacing w:line="600" w:lineRule="exact"/>
        <w:ind w:firstLineChars="200" w:firstLine="640"/>
        <w:rPr>
          <w:rFonts w:ascii="方正楷体_GBK" w:eastAsia="方正楷体_GBK" w:hAnsi="方正楷体_GBK" w:cs="方正楷体_GBK" w:hint="default"/>
          <w:sz w:val="32"/>
          <w:szCs w:val="32"/>
          <w:shd w:val="clear" w:color="auto" w:fill="FFFFFF"/>
        </w:rPr>
      </w:pPr>
      <w:r>
        <w:rPr>
          <w:rFonts w:ascii="方正楷体_GBK" w:eastAsia="方正楷体_GBK" w:hAnsi="方正楷体_GBK" w:cs="方正楷体_GBK"/>
          <w:sz w:val="32"/>
          <w:szCs w:val="32"/>
          <w:shd w:val="clear" w:color="auto" w:fill="FFFFFF"/>
        </w:rPr>
        <w:t>（三）财政绩效评价情况</w:t>
      </w:r>
    </w:p>
    <w:p w:rsidR="00E71815" w:rsidRDefault="00A950AC">
      <w:pPr>
        <w:pStyle w:val="10"/>
        <w:widowControl w:val="0"/>
        <w:tabs>
          <w:tab w:val="center" w:pos="4153"/>
          <w:tab w:val="left" w:pos="7275"/>
        </w:tabs>
        <w:spacing w:line="600" w:lineRule="exact"/>
        <w:ind w:firstLine="640"/>
        <w:rPr>
          <w:rFonts w:ascii="方正仿宋_GBK" w:eastAsia="方正仿宋_GBK" w:hAnsi="Times New Roman" w:hint="default"/>
          <w:bCs/>
          <w:sz w:val="32"/>
          <w:szCs w:val="32"/>
        </w:rPr>
      </w:pPr>
      <w:r>
        <w:rPr>
          <w:rFonts w:ascii="方正仿宋_GBK" w:eastAsia="方正仿宋_GBK" w:hAnsi="Times New Roman"/>
          <w:bCs/>
          <w:sz w:val="32"/>
          <w:szCs w:val="32"/>
        </w:rPr>
        <w:t>区财政局未委托第三方对我</w:t>
      </w:r>
      <w:r>
        <w:rPr>
          <w:rFonts w:ascii="方正仿宋_GBK" w:eastAsia="方正仿宋_GBK"/>
          <w:bCs/>
          <w:sz w:val="32"/>
          <w:szCs w:val="32"/>
        </w:rPr>
        <w:t>单位</w:t>
      </w:r>
      <w:r>
        <w:rPr>
          <w:rFonts w:ascii="方正仿宋_GBK" w:eastAsia="方正仿宋_GBK" w:hAnsi="Times New Roman"/>
          <w:bCs/>
          <w:sz w:val="32"/>
          <w:szCs w:val="32"/>
        </w:rPr>
        <w:t>开展绩效评价。</w:t>
      </w:r>
    </w:p>
    <w:p w:rsidR="00E71815" w:rsidRDefault="00A950AC">
      <w:pPr>
        <w:pStyle w:val="Char0"/>
        <w:widowControl w:val="0"/>
        <w:spacing w:before="0" w:beforeAutospacing="0" w:after="0" w:afterAutospacing="0" w:line="600" w:lineRule="exact"/>
        <w:rPr>
          <w:rFonts w:ascii="方正黑体_GBK" w:eastAsia="方正黑体_GBK" w:hAnsi="方正仿宋_GBK" w:cs="方正仿宋_GBK"/>
          <w:bCs/>
          <w:sz w:val="32"/>
          <w:szCs w:val="32"/>
        </w:rPr>
      </w:pPr>
      <w:r>
        <w:rPr>
          <w:rStyle w:val="21"/>
          <w:rFonts w:ascii="方正仿宋_GBK" w:eastAsia="方正仿宋_GBK" w:hAnsi="方正仿宋_GBK" w:cs="方正仿宋_GBK" w:hint="eastAsia"/>
          <w:b w:val="0"/>
          <w:sz w:val="32"/>
          <w:szCs w:val="32"/>
          <w:shd w:val="clear" w:color="auto" w:fill="FFFFFF"/>
        </w:rPr>
        <w:t xml:space="preserve">   </w:t>
      </w:r>
      <w:r>
        <w:rPr>
          <w:rStyle w:val="aa"/>
          <w:rFonts w:ascii="方正仿宋_GBK" w:eastAsia="方正仿宋_GBK" w:hAnsi="黑体" w:cs="黑体" w:hint="eastAsia"/>
          <w:b w:val="0"/>
          <w:bCs/>
          <w:sz w:val="32"/>
          <w:szCs w:val="32"/>
          <w:shd w:val="clear" w:color="auto" w:fill="FFFFFF"/>
        </w:rPr>
        <w:t xml:space="preserve"> </w:t>
      </w:r>
      <w:r>
        <w:rPr>
          <w:rStyle w:val="aa"/>
          <w:rFonts w:ascii="方正黑体_GBK" w:eastAsia="方正黑体_GBK" w:hAnsi="黑体" w:cs="黑体" w:hint="eastAsia"/>
          <w:b w:val="0"/>
          <w:bCs/>
          <w:sz w:val="32"/>
          <w:szCs w:val="32"/>
          <w:shd w:val="clear" w:color="auto" w:fill="FFFFFF"/>
        </w:rPr>
        <w:t>六、专业名词解释</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（一）财政拨款收入：</w:t>
      </w:r>
      <w:r>
        <w:rPr>
          <w:rFonts w:ascii="方正仿宋_GBK" w:eastAsia="方正仿宋_GBK" w:hAnsi="方正仿宋_GBK" w:cs="方正仿宋_GBK" w:hint="eastAsia"/>
          <w:bCs/>
          <w:sz w:val="32"/>
          <w:szCs w:val="32"/>
          <w:shd w:val="clear" w:color="auto" w:fill="FFFFFF"/>
        </w:rPr>
        <w:t>指本年度从本级财政部门取得的财政拨款，包括一般公共预算财政拨款和政府性基金预算财政拨款。</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（二）事业收入：</w:t>
      </w:r>
      <w:r>
        <w:rPr>
          <w:rFonts w:ascii="方正仿宋_GBK" w:eastAsia="方正仿宋_GBK" w:hAnsi="方正仿宋_GBK" w:cs="方正仿宋_GBK" w:hint="eastAsia"/>
          <w:bCs/>
          <w:sz w:val="32"/>
          <w:szCs w:val="32"/>
          <w:shd w:val="clear" w:color="auto" w:fill="FFFFFF"/>
        </w:rPr>
        <w:t>指事业单位开展专业业务活动及其辅助活动取得的现金流入；事业单位收到的财政专户实际核拨的教育收费等资金在此反映。</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lastRenderedPageBreak/>
        <w:t>（三）经营收入：</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指事业单位在专业业务活动及其辅助活动之外开展非独立核算经营活动取得的现金流入。</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（四）其他收入：</w:t>
      </w:r>
      <w:r>
        <w:rPr>
          <w:rFonts w:ascii="方正仿宋_GBK" w:eastAsia="方正仿宋_GBK" w:hAnsi="方正仿宋_GBK" w:cs="方正仿宋_GBK" w:hint="eastAsia"/>
          <w:bCs/>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（五）使用非财政拨款结余（含专用结余）：</w:t>
      </w:r>
      <w:r>
        <w:rPr>
          <w:rFonts w:ascii="方正仿宋_GBK" w:eastAsia="方正仿宋_GBK" w:hAnsi="方正仿宋_GBK" w:cs="方正仿宋_GBK" w:hint="eastAsia"/>
          <w:bCs/>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（六）年初结转和结余：</w:t>
      </w:r>
      <w:r>
        <w:rPr>
          <w:rFonts w:ascii="方正仿宋_GBK" w:eastAsia="方正仿宋_GBK" w:hAnsi="方正仿宋_GBK" w:cs="方正仿宋_GBK" w:hint="eastAsia"/>
          <w:bCs/>
          <w:sz w:val="32"/>
          <w:szCs w:val="32"/>
          <w:shd w:val="clear" w:color="auto" w:fill="FFFFFF"/>
        </w:rPr>
        <w:t>指单位上年结转本年使用的基本支出结转、项目支出结转和结余、经营结余。</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（七）结余分配：</w:t>
      </w:r>
      <w:r>
        <w:rPr>
          <w:rFonts w:ascii="方正仿宋_GBK" w:eastAsia="方正仿宋_GBK" w:hAnsi="方正仿宋_GBK" w:cs="方正仿宋_GBK" w:hint="eastAsia"/>
          <w:bCs/>
          <w:sz w:val="32"/>
          <w:szCs w:val="32"/>
          <w:shd w:val="clear" w:color="auto" w:fill="FFFFFF"/>
        </w:rPr>
        <w:t>指单位按照国家有关规定，缴纳所得税、提取专用基金、转入非财政拨款结余等当年结余的分配情况。</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（八）年末结转和结余：</w:t>
      </w:r>
      <w:r>
        <w:rPr>
          <w:rFonts w:ascii="方正仿宋_GBK" w:eastAsia="方正仿宋_GBK" w:hAnsi="方正仿宋_GBK" w:cs="方正仿宋_GBK" w:hint="eastAsia"/>
          <w:bCs/>
          <w:sz w:val="32"/>
          <w:szCs w:val="32"/>
          <w:shd w:val="clear" w:color="auto" w:fill="FFFFFF"/>
        </w:rPr>
        <w:t>指单位结转下年的基本支出结转、项目支出结转和结余、经营结余。</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（九）基本支出：</w:t>
      </w:r>
      <w:r>
        <w:rPr>
          <w:rFonts w:ascii="方正仿宋_GBK" w:eastAsia="方正仿宋_GBK" w:hAnsi="方正仿宋_GBK" w:cs="方正仿宋_GBK" w:hint="eastAsia"/>
          <w:bCs/>
          <w:sz w:val="32"/>
          <w:szCs w:val="32"/>
          <w:shd w:val="clear" w:color="auto" w:fill="FFFFFF"/>
        </w:rPr>
        <w:t>指为保障机构正常运转、完成日常工作任务而发生的人员经费和公用经费。其中：人员经费指政府收支分</w:t>
      </w:r>
      <w:r>
        <w:rPr>
          <w:rFonts w:ascii="方正仿宋_GBK" w:eastAsia="方正仿宋_GBK" w:hAnsi="方正仿宋_GBK" w:cs="方正仿宋_GBK" w:hint="eastAsia"/>
          <w:bCs/>
          <w:sz w:val="32"/>
          <w:szCs w:val="32"/>
          <w:shd w:val="clear" w:color="auto" w:fill="FFFFFF"/>
        </w:rPr>
        <w:lastRenderedPageBreak/>
        <w:t>类经济科目中的“工资福利支出”和“对个人和家庭的补助”；公用经费指政府收支分类经济科目中除“工资福利支出”和“对个人和家庭的补助”外的其他支出。</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（十）项目支出：</w:t>
      </w:r>
      <w:r>
        <w:rPr>
          <w:rFonts w:ascii="方正仿宋_GBK" w:eastAsia="方正仿宋_GBK" w:hAnsi="方正仿宋_GBK" w:cs="方正仿宋_GBK" w:hint="eastAsia"/>
          <w:bCs/>
          <w:sz w:val="32"/>
          <w:szCs w:val="32"/>
          <w:shd w:val="clear" w:color="auto" w:fill="FFFFFF"/>
        </w:rPr>
        <w:t>指在基本支出之外为完成特定行政任务和事业发展目标所发生的支出。</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（十一）经营支出：</w:t>
      </w:r>
      <w:r>
        <w:rPr>
          <w:rFonts w:ascii="方正仿宋_GBK" w:eastAsia="方正仿宋_GBK" w:hAnsi="方正仿宋_GBK" w:cs="方正仿宋_GBK" w:hint="eastAsia"/>
          <w:bCs/>
          <w:sz w:val="32"/>
          <w:szCs w:val="32"/>
          <w:shd w:val="clear" w:color="auto" w:fill="FFFFFF"/>
        </w:rPr>
        <w:t>指事业单位在专业业务活动及其辅助活动之外开展非独立核算经营活动发生的支出。</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（十二）“三公”经费：</w:t>
      </w:r>
      <w:r>
        <w:rPr>
          <w:rFonts w:ascii="方正仿宋_GBK" w:eastAsia="方正仿宋_GBK" w:hAnsi="方正仿宋_GBK" w:cs="方正仿宋_GBK" w:hint="eastAsia"/>
          <w:bCs/>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bCs/>
          <w:sz w:val="32"/>
          <w:szCs w:val="32"/>
          <w:shd w:val="clear" w:color="auto" w:fill="FFFFFF"/>
        </w:rPr>
        <w:t>费反映</w:t>
      </w:r>
      <w:proofErr w:type="gramEnd"/>
      <w:r>
        <w:rPr>
          <w:rFonts w:ascii="方正仿宋_GBK" w:eastAsia="方正仿宋_GBK" w:hAnsi="方正仿宋_GBK" w:cs="方正仿宋_GBK" w:hint="eastAsia"/>
          <w:bCs/>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bCs/>
          <w:sz w:val="32"/>
          <w:szCs w:val="32"/>
          <w:shd w:val="clear" w:color="auto" w:fill="FFFFFF"/>
        </w:rPr>
        <w:t>费反映</w:t>
      </w:r>
      <w:proofErr w:type="gramEnd"/>
      <w:r>
        <w:rPr>
          <w:rFonts w:ascii="方正仿宋_GBK" w:eastAsia="方正仿宋_GBK" w:hAnsi="方正仿宋_GBK" w:cs="方正仿宋_GBK" w:hint="eastAsia"/>
          <w:bCs/>
          <w:sz w:val="32"/>
          <w:szCs w:val="32"/>
          <w:shd w:val="clear" w:color="auto" w:fill="FFFFFF"/>
        </w:rPr>
        <w:t>单位公务用车购置支出（</w:t>
      </w:r>
      <w:proofErr w:type="gramStart"/>
      <w:r>
        <w:rPr>
          <w:rFonts w:ascii="方正仿宋_GBK" w:eastAsia="方正仿宋_GBK" w:hAnsi="方正仿宋_GBK" w:cs="方正仿宋_GBK" w:hint="eastAsia"/>
          <w:bCs/>
          <w:sz w:val="32"/>
          <w:szCs w:val="32"/>
          <w:shd w:val="clear" w:color="auto" w:fill="FFFFFF"/>
        </w:rPr>
        <w:t>含车辆</w:t>
      </w:r>
      <w:proofErr w:type="gramEnd"/>
      <w:r>
        <w:rPr>
          <w:rFonts w:ascii="方正仿宋_GBK" w:eastAsia="方正仿宋_GBK" w:hAnsi="方正仿宋_GBK" w:cs="方正仿宋_GBK" w:hint="eastAsia"/>
          <w:bCs/>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bCs/>
          <w:sz w:val="32"/>
          <w:szCs w:val="32"/>
          <w:shd w:val="clear" w:color="auto" w:fill="FFFFFF"/>
        </w:rPr>
        <w:t>费反映</w:t>
      </w:r>
      <w:proofErr w:type="gramEnd"/>
      <w:r>
        <w:rPr>
          <w:rFonts w:ascii="方正仿宋_GBK" w:eastAsia="方正仿宋_GBK" w:hAnsi="方正仿宋_GBK" w:cs="方正仿宋_GBK" w:hint="eastAsia"/>
          <w:bCs/>
          <w:sz w:val="32"/>
          <w:szCs w:val="32"/>
          <w:shd w:val="clear" w:color="auto" w:fill="FFFFFF"/>
        </w:rPr>
        <w:t>单位按规定开支的各类公务接待（含外宾接待）支出。</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（十三）机关运行经费：</w:t>
      </w:r>
      <w:r>
        <w:rPr>
          <w:rFonts w:ascii="方正仿宋_GBK" w:eastAsia="方正仿宋_GBK" w:hAnsi="方正仿宋_GBK" w:cs="方正仿宋_GBK" w:hint="eastAsia"/>
          <w:bCs/>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lastRenderedPageBreak/>
        <w:t>（十四）工资福利支出（支出经济分类科目类级）：</w:t>
      </w:r>
      <w:r>
        <w:rPr>
          <w:rFonts w:ascii="方正仿宋_GBK" w:eastAsia="方正仿宋_GBK" w:hAnsi="方正仿宋_GBK" w:cs="方正仿宋_GBK" w:hint="eastAsia"/>
          <w:bCs/>
          <w:sz w:val="32"/>
          <w:szCs w:val="32"/>
          <w:shd w:val="clear" w:color="auto" w:fill="FFFFFF"/>
        </w:rPr>
        <w:t>反映单位开支的在职职工和编制</w:t>
      </w:r>
      <w:proofErr w:type="gramStart"/>
      <w:r>
        <w:rPr>
          <w:rFonts w:ascii="方正仿宋_GBK" w:eastAsia="方正仿宋_GBK" w:hAnsi="方正仿宋_GBK" w:cs="方正仿宋_GBK" w:hint="eastAsia"/>
          <w:bCs/>
          <w:sz w:val="32"/>
          <w:szCs w:val="32"/>
          <w:shd w:val="clear" w:color="auto" w:fill="FFFFFF"/>
        </w:rPr>
        <w:t>外长期</w:t>
      </w:r>
      <w:proofErr w:type="gramEnd"/>
      <w:r>
        <w:rPr>
          <w:rFonts w:ascii="方正仿宋_GBK" w:eastAsia="方正仿宋_GBK" w:hAnsi="方正仿宋_GBK" w:cs="方正仿宋_GBK" w:hint="eastAsia"/>
          <w:bCs/>
          <w:sz w:val="32"/>
          <w:szCs w:val="32"/>
          <w:shd w:val="clear" w:color="auto" w:fill="FFFFFF"/>
        </w:rPr>
        <w:t>聘用人员的各类劳动报酬，以及为上述人员缴纳的各项社会保险费等。</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bCs/>
          <w:sz w:val="32"/>
          <w:szCs w:val="32"/>
          <w:shd w:val="clear" w:color="auto" w:fill="FFFFFF"/>
        </w:rPr>
        <w:t>反映单位购买商品和服务的支出（不包括用于购置固定资产的支出、战略性和应急储备支出）。</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bCs/>
          <w:sz w:val="32"/>
          <w:szCs w:val="32"/>
          <w:shd w:val="clear" w:color="auto" w:fill="FFFFFF"/>
        </w:rPr>
        <w:t>反映用于对个人和家庭的补助支出。</w:t>
      </w:r>
    </w:p>
    <w:p w:rsidR="00E71815" w:rsidRDefault="00A950AC">
      <w:pPr>
        <w:pStyle w:val="Char0"/>
        <w:widowControl w:val="0"/>
        <w:spacing w:before="0" w:beforeAutospacing="0" w:after="0" w:afterAutospacing="0" w:line="600" w:lineRule="exact"/>
        <w:ind w:firstLineChars="200" w:firstLine="640"/>
        <w:rPr>
          <w:rFonts w:ascii="方正仿宋_GBK" w:eastAsia="方正仿宋_GBK" w:hAnsi="方正仿宋_GBK" w:cs="方正仿宋_GBK"/>
          <w:bCs/>
          <w:sz w:val="32"/>
          <w:szCs w:val="32"/>
        </w:rPr>
      </w:pPr>
      <w:r>
        <w:rPr>
          <w:rStyle w:val="aa"/>
          <w:rFonts w:ascii="方正楷体_GBK" w:eastAsia="方正楷体_GBK" w:hAnsi="楷体" w:cs="楷体"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bCs/>
          <w:sz w:val="32"/>
          <w:szCs w:val="32"/>
          <w:shd w:val="clear" w:color="auto" w:fill="FFFFFF"/>
        </w:rPr>
        <w:t>反映</w:t>
      </w:r>
      <w:proofErr w:type="gramStart"/>
      <w:r>
        <w:rPr>
          <w:rFonts w:ascii="方正仿宋_GBK" w:eastAsia="方正仿宋_GBK" w:hAnsi="方正仿宋_GBK" w:cs="方正仿宋_GBK" w:hint="eastAsia"/>
          <w:bCs/>
          <w:sz w:val="32"/>
          <w:szCs w:val="32"/>
          <w:shd w:val="clear" w:color="auto" w:fill="FFFFFF"/>
        </w:rPr>
        <w:t>非各级</w:t>
      </w:r>
      <w:proofErr w:type="gramEnd"/>
      <w:r>
        <w:rPr>
          <w:rFonts w:ascii="方正仿宋_GBK" w:eastAsia="方正仿宋_GBK" w:hAnsi="方正仿宋_GBK" w:cs="方正仿宋_GBK" w:hint="eastAsia"/>
          <w:bCs/>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E71815" w:rsidRDefault="00A950AC">
      <w:pPr>
        <w:pStyle w:val="Char0"/>
        <w:widowControl w:val="0"/>
        <w:spacing w:before="0" w:beforeAutospacing="0" w:after="0" w:afterAutospacing="0" w:line="600" w:lineRule="exact"/>
        <w:ind w:firstLineChars="200" w:firstLine="640"/>
        <w:rPr>
          <w:rFonts w:ascii="方正黑体_GBK" w:eastAsia="方正黑体_GBK" w:hAnsi="方正仿宋_GBK" w:cs="方正仿宋_GBK"/>
          <w:bCs/>
          <w:sz w:val="32"/>
          <w:szCs w:val="32"/>
        </w:rPr>
      </w:pPr>
      <w:r>
        <w:rPr>
          <w:rStyle w:val="aa"/>
          <w:rFonts w:ascii="方正黑体_GBK" w:eastAsia="方正黑体_GBK" w:hAnsi="黑体" w:cs="黑体" w:hint="eastAsia"/>
          <w:b w:val="0"/>
          <w:bCs/>
          <w:sz w:val="32"/>
          <w:szCs w:val="32"/>
          <w:shd w:val="clear" w:color="auto" w:fill="FFFFFF"/>
        </w:rPr>
        <w:t>七、决算公开联系方式及信息反馈渠道</w:t>
      </w:r>
    </w:p>
    <w:p w:rsidR="00E71815" w:rsidRDefault="00A950AC" w:rsidP="00A950AC">
      <w:pPr>
        <w:pStyle w:val="Char0"/>
        <w:widowControl w:val="0"/>
        <w:spacing w:before="0" w:beforeAutospacing="0" w:after="0" w:afterAutospacing="0" w:line="600" w:lineRule="exac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shd w:val="clear" w:color="auto" w:fill="FFFFFF"/>
        </w:rPr>
        <w:t>本单位决算公开</w:t>
      </w:r>
      <w:bookmarkStart w:id="11" w:name="_GoBack"/>
      <w:bookmarkEnd w:id="11"/>
      <w:r>
        <w:rPr>
          <w:rFonts w:ascii="方正仿宋_GBK" w:eastAsia="方正仿宋_GBK" w:hAnsi="方正仿宋_GBK" w:cs="方正仿宋_GBK" w:hint="eastAsia"/>
          <w:bCs/>
          <w:sz w:val="32"/>
          <w:szCs w:val="32"/>
          <w:shd w:val="clear" w:color="auto" w:fill="FFFFFF"/>
        </w:rPr>
        <w:t>信息反馈和联系方式：赖国科，023-65770074</w:t>
      </w:r>
    </w:p>
    <w:p w:rsidR="00E71815" w:rsidRDefault="00E71815">
      <w:pPr>
        <w:pStyle w:val="1"/>
        <w:widowControl w:val="0"/>
        <w:spacing w:line="600" w:lineRule="exact"/>
        <w:ind w:firstLine="643"/>
        <w:jc w:val="both"/>
        <w:rPr>
          <w:rStyle w:val="aa"/>
          <w:rFonts w:ascii="方正仿宋_GBK" w:eastAsia="方正仿宋_GBK" w:hAnsi="方正仿宋_GBK" w:cs="方正仿宋_GBK"/>
          <w:sz w:val="32"/>
          <w:szCs w:val="32"/>
          <w:shd w:val="clear" w:color="auto" w:fill="FFFF00"/>
        </w:rPr>
        <w:sectPr w:rsidR="00E71815">
          <w:footerReference w:type="default" r:id="rId8"/>
          <w:pgSz w:w="11915" w:h="16840"/>
          <w:pgMar w:top="2098" w:right="1531" w:bottom="1984" w:left="1531"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E71815">
        <w:trPr>
          <w:trHeight w:val="232"/>
        </w:trPr>
        <w:tc>
          <w:tcPr>
            <w:tcW w:w="14737" w:type="dxa"/>
            <w:gridSpan w:val="4"/>
            <w:tcBorders>
              <w:top w:val="nil"/>
              <w:left w:val="nil"/>
              <w:bottom w:val="nil"/>
              <w:right w:val="nil"/>
            </w:tcBorders>
            <w:noWrap/>
            <w:tcMar>
              <w:top w:w="15" w:type="dxa"/>
              <w:left w:w="15" w:type="dxa"/>
              <w:right w:w="15" w:type="dxa"/>
            </w:tcMar>
            <w:vAlign w:val="bottom"/>
          </w:tcPr>
          <w:p w:rsidR="00E71815" w:rsidRDefault="00A950AC">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E71815">
        <w:trPr>
          <w:trHeight w:val="232"/>
        </w:trPr>
        <w:tc>
          <w:tcPr>
            <w:tcW w:w="429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ascii="Arial" w:hAnsi="Arial" w:cs="Arial" w:hint="default"/>
                <w:color w:val="000000"/>
                <w:sz w:val="20"/>
                <w:szCs w:val="20"/>
              </w:rPr>
            </w:pPr>
          </w:p>
        </w:tc>
        <w:tc>
          <w:tcPr>
            <w:tcW w:w="3558" w:type="dxa"/>
            <w:tcBorders>
              <w:top w:val="nil"/>
              <w:left w:val="nil"/>
              <w:bottom w:val="nil"/>
              <w:right w:val="nil"/>
            </w:tcBorders>
            <w:noWrap/>
            <w:tcMar>
              <w:top w:w="15" w:type="dxa"/>
              <w:left w:w="15" w:type="dxa"/>
              <w:right w:w="15" w:type="dxa"/>
            </w:tcMar>
            <w:vAlign w:val="bottom"/>
          </w:tcPr>
          <w:p w:rsidR="00E71815" w:rsidRDefault="00E71815">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ascii="Arial" w:hAnsi="Arial" w:cs="Arial" w:hint="default"/>
                <w:color w:val="000000"/>
                <w:sz w:val="20"/>
                <w:szCs w:val="20"/>
              </w:rPr>
            </w:pPr>
          </w:p>
        </w:tc>
        <w:tc>
          <w:tcPr>
            <w:tcW w:w="2841"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71815">
        <w:trPr>
          <w:trHeight w:val="232"/>
        </w:trPr>
        <w:tc>
          <w:tcPr>
            <w:tcW w:w="7852" w:type="dxa"/>
            <w:gridSpan w:val="2"/>
            <w:tcBorders>
              <w:top w:val="nil"/>
              <w:left w:val="nil"/>
              <w:bottom w:val="nil"/>
              <w:right w:val="nil"/>
            </w:tcBorders>
            <w:noWrap/>
            <w:tcMar>
              <w:top w:w="15" w:type="dxa"/>
              <w:left w:w="15" w:type="dxa"/>
              <w:right w:w="15" w:type="dxa"/>
            </w:tcMar>
            <w:vAlign w:val="bottom"/>
          </w:tcPr>
          <w:p w:rsidR="00E71815" w:rsidRDefault="00A950AC">
            <w:pPr>
              <w:spacing w:line="280" w:lineRule="exact"/>
              <w:rPr>
                <w:rFonts w:ascii="Arial" w:hAnsi="Arial" w:cs="Arial" w:hint="default"/>
                <w:color w:val="000000"/>
                <w:sz w:val="22"/>
                <w:szCs w:val="22"/>
              </w:rPr>
            </w:pPr>
            <w:r>
              <w:rPr>
                <w:rFonts w:cs="宋体"/>
                <w:sz w:val="20"/>
                <w:szCs w:val="20"/>
              </w:rPr>
              <w:t>单位：</w:t>
            </w:r>
            <w:r>
              <w:rPr>
                <w:sz w:val="20"/>
              </w:rPr>
              <w:t>重庆科学城走马小学校</w:t>
            </w:r>
          </w:p>
        </w:tc>
        <w:tc>
          <w:tcPr>
            <w:tcW w:w="404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ascii="Arial" w:hAnsi="Arial" w:cs="Arial" w:hint="default"/>
                <w:color w:val="000000"/>
                <w:sz w:val="22"/>
                <w:szCs w:val="22"/>
              </w:rPr>
            </w:pPr>
          </w:p>
        </w:tc>
        <w:tc>
          <w:tcPr>
            <w:tcW w:w="2841"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71815">
        <w:trPr>
          <w:trHeight w:val="243"/>
        </w:trPr>
        <w:tc>
          <w:tcPr>
            <w:tcW w:w="785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1,672.35</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1,274.86</w:t>
            </w: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306.77</w:t>
            </w: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50.90</w:t>
            </w: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90"/>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45.82</w:t>
            </w: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1,680.35</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1,680.35</w:t>
            </w: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4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71815">
        <w:trPr>
          <w:trHeight w:val="253"/>
        </w:trPr>
        <w:tc>
          <w:tcPr>
            <w:tcW w:w="4294"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1,680.35</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noWrap/>
            <w:tcMar>
              <w:top w:w="15" w:type="dxa"/>
              <w:left w:w="15" w:type="dxa"/>
              <w:right w:w="15" w:type="dxa"/>
            </w:tcMar>
            <w:vAlign w:val="center"/>
          </w:tcPr>
          <w:p w:rsidR="00E71815" w:rsidRDefault="00A950AC">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1,680.35</w:t>
            </w:r>
            <w:r>
              <w:rPr>
                <w:rFonts w:ascii="Times New Roman" w:hAnsi="Times New Roman"/>
                <w:color w:val="000000"/>
                <w:sz w:val="20"/>
              </w:rPr>
              <w:t xml:space="preserve"> </w:t>
            </w:r>
          </w:p>
        </w:tc>
      </w:tr>
    </w:tbl>
    <w:p w:rsidR="00E71815" w:rsidRDefault="00E71815">
      <w:pPr>
        <w:rPr>
          <w:rFonts w:cs="宋体" w:hint="default"/>
          <w:sz w:val="21"/>
          <w:szCs w:val="21"/>
        </w:rPr>
      </w:pPr>
    </w:p>
    <w:p w:rsidR="00E71815" w:rsidRDefault="00A950AC">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3280"/>
        <w:gridCol w:w="1219"/>
        <w:gridCol w:w="1448"/>
        <w:gridCol w:w="1256"/>
        <w:gridCol w:w="1436"/>
        <w:gridCol w:w="1460"/>
        <w:gridCol w:w="1293"/>
        <w:gridCol w:w="1349"/>
        <w:gridCol w:w="1333"/>
      </w:tblGrid>
      <w:tr w:rsidR="00E71815">
        <w:trPr>
          <w:trHeight w:val="641"/>
        </w:trPr>
        <w:tc>
          <w:tcPr>
            <w:tcW w:w="15503" w:type="dxa"/>
            <w:gridSpan w:val="10"/>
            <w:tcBorders>
              <w:top w:val="nil"/>
              <w:left w:val="nil"/>
              <w:bottom w:val="nil"/>
              <w:right w:val="nil"/>
            </w:tcBorders>
            <w:noWrap/>
            <w:tcMar>
              <w:top w:w="15" w:type="dxa"/>
              <w:left w:w="15" w:type="dxa"/>
              <w:right w:w="15" w:type="dxa"/>
            </w:tcMar>
            <w:vAlign w:val="bottom"/>
          </w:tcPr>
          <w:p w:rsidR="00E71815" w:rsidRDefault="00A950AC">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E71815">
        <w:trPr>
          <w:trHeight w:val="328"/>
        </w:trPr>
        <w:tc>
          <w:tcPr>
            <w:tcW w:w="5928" w:type="dxa"/>
            <w:gridSpan w:val="3"/>
            <w:vMerge w:val="restart"/>
            <w:tcBorders>
              <w:top w:val="nil"/>
              <w:left w:val="nil"/>
              <w:right w:val="nil"/>
            </w:tcBorders>
            <w:noWrap/>
            <w:tcMar>
              <w:top w:w="15" w:type="dxa"/>
              <w:left w:w="15" w:type="dxa"/>
              <w:right w:w="15" w:type="dxa"/>
            </w:tcMar>
            <w:vAlign w:val="bottom"/>
          </w:tcPr>
          <w:p w:rsidR="00E71815" w:rsidRDefault="00A950AC">
            <w:pPr>
              <w:spacing w:line="280" w:lineRule="exact"/>
              <w:rPr>
                <w:rFonts w:cs="宋体" w:hint="default"/>
                <w:color w:val="000000"/>
                <w:sz w:val="20"/>
                <w:szCs w:val="20"/>
              </w:rPr>
            </w:pPr>
            <w:r>
              <w:rPr>
                <w:rFonts w:cs="宋体"/>
                <w:sz w:val="20"/>
                <w:szCs w:val="20"/>
              </w:rPr>
              <w:t>单位：</w:t>
            </w:r>
            <w:r>
              <w:rPr>
                <w:sz w:val="20"/>
              </w:rPr>
              <w:t>重庆科学城走马小学校</w:t>
            </w:r>
          </w:p>
        </w:tc>
        <w:tc>
          <w:tcPr>
            <w:tcW w:w="1448"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256"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436"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460"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293"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349"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333"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71815">
        <w:trPr>
          <w:trHeight w:val="328"/>
        </w:trPr>
        <w:tc>
          <w:tcPr>
            <w:tcW w:w="5928" w:type="dxa"/>
            <w:gridSpan w:val="3"/>
            <w:vMerge/>
            <w:tcBorders>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448"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256"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436"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460"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293"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349"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333"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71815">
        <w:trPr>
          <w:trHeight w:val="431"/>
        </w:trPr>
        <w:tc>
          <w:tcPr>
            <w:tcW w:w="4709" w:type="dxa"/>
            <w:gridSpan w:val="2"/>
            <w:tcBorders>
              <w:top w:val="single" w:sz="4" w:space="0" w:color="000000"/>
              <w:left w:val="single" w:sz="4" w:space="0" w:color="000000"/>
              <w:bottom w:val="single" w:sz="4" w:space="0" w:color="000000"/>
              <w:right w:val="nil"/>
            </w:tcBorders>
            <w:noWrap/>
            <w:tcMar>
              <w:top w:w="15" w:type="dxa"/>
              <w:left w:w="15" w:type="dxa"/>
              <w:right w:w="15" w:type="dxa"/>
            </w:tcMar>
            <w:vAlign w:val="bottom"/>
          </w:tcPr>
          <w:p w:rsidR="00E71815" w:rsidRDefault="00A950AC">
            <w:pPr>
              <w:jc w:val="center"/>
              <w:textAlignment w:val="bottom"/>
              <w:rPr>
                <w:rFonts w:cs="宋体" w:hint="default"/>
                <w:b/>
                <w:color w:val="000000"/>
                <w:sz w:val="20"/>
                <w:szCs w:val="20"/>
              </w:rPr>
            </w:pPr>
            <w:r>
              <w:rPr>
                <w:rFonts w:cs="宋体"/>
                <w:b/>
                <w:color w:val="000000"/>
                <w:sz w:val="20"/>
                <w:szCs w:val="20"/>
              </w:rPr>
              <w:t>项目</w:t>
            </w:r>
          </w:p>
        </w:tc>
        <w:tc>
          <w:tcPr>
            <w:tcW w:w="121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A950AC">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其他收入</w:t>
            </w:r>
          </w:p>
        </w:tc>
      </w:tr>
      <w:tr w:rsidR="00E71815">
        <w:trPr>
          <w:trHeight w:val="334"/>
        </w:trPr>
        <w:tc>
          <w:tcPr>
            <w:tcW w:w="1429"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功能分类科目编码</w:t>
            </w:r>
          </w:p>
        </w:tc>
        <w:tc>
          <w:tcPr>
            <w:tcW w:w="3280" w:type="dxa"/>
            <w:vMerge w:val="restart"/>
            <w:tcBorders>
              <w:top w:val="nil"/>
              <w:left w:val="nil"/>
              <w:bottom w:val="single" w:sz="4" w:space="0" w:color="000000"/>
              <w:right w:val="nil"/>
            </w:tcBorders>
            <w:noWrap/>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2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34"/>
        </w:trPr>
        <w:tc>
          <w:tcPr>
            <w:tcW w:w="142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3280" w:type="dxa"/>
            <w:vMerge/>
            <w:tcBorders>
              <w:top w:val="nil"/>
              <w:left w:val="nil"/>
              <w:bottom w:val="single" w:sz="4" w:space="0" w:color="000000"/>
              <w:right w:val="nil"/>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12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34"/>
        </w:trPr>
        <w:tc>
          <w:tcPr>
            <w:tcW w:w="142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3280" w:type="dxa"/>
            <w:vMerge/>
            <w:tcBorders>
              <w:top w:val="nil"/>
              <w:left w:val="nil"/>
              <w:bottom w:val="single" w:sz="4" w:space="0" w:color="000000"/>
              <w:right w:val="nil"/>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12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26"/>
        </w:trPr>
        <w:tc>
          <w:tcPr>
            <w:tcW w:w="142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3280" w:type="dxa"/>
            <w:vMerge/>
            <w:tcBorders>
              <w:top w:val="nil"/>
              <w:left w:val="nil"/>
              <w:bottom w:val="single" w:sz="4" w:space="0" w:color="000000"/>
              <w:right w:val="nil"/>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121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hRule="exact" w:val="283"/>
        </w:trPr>
        <w:tc>
          <w:tcPr>
            <w:tcW w:w="470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合计</w:t>
            </w:r>
          </w:p>
        </w:tc>
        <w:tc>
          <w:tcPr>
            <w:tcW w:w="1219"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1,680.35</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1,674.35</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205</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教育支出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1,274.86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1,268.86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20502</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普通教育</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1,274.86</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1,268.86</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2050201</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学前教育</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2050202</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小学教育</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1,274.51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1,268.51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社会保障和就业支出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306.77</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306.77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20805</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行政事业单位养老支出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299.47</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299.47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2080505</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机关事业单位基本养老保险缴费支出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86.99</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86.99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2080506</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机关事业单位职业年金缴费支出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43.76</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43.76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2080599</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其他行政事业单位养老支出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168.72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168.72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20808</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抚恤</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7.31</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7.31</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2080801</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死亡抚恤</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210</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卫生健康支出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21011</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行政事业单位医疗</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2101102</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事业单位医疗</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32.47</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32.47</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2101199</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其他行政事业单位医疗支出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221</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住房保障支出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22102</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住房改革支出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2210201</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住房公积金</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229</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其他支出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22960</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彩票公益金安排的支出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42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2296004</w:t>
            </w:r>
          </w:p>
        </w:tc>
        <w:tc>
          <w:tcPr>
            <w:tcW w:w="328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用于教育事业的彩票公益金支出</w:t>
            </w:r>
          </w:p>
        </w:tc>
        <w:tc>
          <w:tcPr>
            <w:tcW w:w="12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bl>
    <w:p w:rsidR="00E71815" w:rsidRDefault="00A950AC">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p>
    <w:p w:rsidR="00E71815" w:rsidRDefault="00A950AC">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E71815">
        <w:trPr>
          <w:trHeight w:val="654"/>
        </w:trPr>
        <w:tc>
          <w:tcPr>
            <w:tcW w:w="15322" w:type="dxa"/>
            <w:gridSpan w:val="8"/>
            <w:tcBorders>
              <w:top w:val="nil"/>
              <w:left w:val="nil"/>
              <w:bottom w:val="nil"/>
              <w:right w:val="nil"/>
            </w:tcBorders>
            <w:noWrap/>
            <w:tcMar>
              <w:top w:w="15" w:type="dxa"/>
              <w:left w:w="15" w:type="dxa"/>
              <w:right w:w="15" w:type="dxa"/>
            </w:tcMar>
            <w:vAlign w:val="bottom"/>
          </w:tcPr>
          <w:p w:rsidR="00E71815" w:rsidRDefault="00A950AC">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71815">
        <w:trPr>
          <w:trHeight w:val="342"/>
        </w:trPr>
        <w:tc>
          <w:tcPr>
            <w:tcW w:w="6732" w:type="dxa"/>
            <w:gridSpan w:val="3"/>
            <w:vMerge w:val="restart"/>
            <w:tcBorders>
              <w:top w:val="nil"/>
              <w:left w:val="nil"/>
              <w:right w:val="nil"/>
            </w:tcBorders>
            <w:noWrap/>
            <w:tcMar>
              <w:top w:w="15" w:type="dxa"/>
              <w:left w:w="15" w:type="dxa"/>
              <w:right w:w="15" w:type="dxa"/>
            </w:tcMar>
            <w:vAlign w:val="bottom"/>
          </w:tcPr>
          <w:p w:rsidR="00E71815" w:rsidRDefault="00A950AC">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重庆科学城走马小学校 </w:t>
            </w:r>
          </w:p>
        </w:tc>
        <w:tc>
          <w:tcPr>
            <w:tcW w:w="1762"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621"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557"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692"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958"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71815">
        <w:trPr>
          <w:trHeight w:val="342"/>
        </w:trPr>
        <w:tc>
          <w:tcPr>
            <w:tcW w:w="6732" w:type="dxa"/>
            <w:gridSpan w:val="3"/>
            <w:vMerge/>
            <w:tcBorders>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762"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621"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557"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692"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958"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71815">
        <w:trPr>
          <w:trHeight w:val="362"/>
        </w:trPr>
        <w:tc>
          <w:tcPr>
            <w:tcW w:w="489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A950AC">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对附属单位补助支出</w:t>
            </w:r>
          </w:p>
        </w:tc>
      </w:tr>
      <w:tr w:rsidR="00E71815">
        <w:trPr>
          <w:trHeight w:val="338"/>
        </w:trPr>
        <w:tc>
          <w:tcPr>
            <w:tcW w:w="1289" w:type="dxa"/>
            <w:vMerge w:val="restart"/>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noWrap/>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38"/>
        </w:trPr>
        <w:tc>
          <w:tcPr>
            <w:tcW w:w="128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3604" w:type="dxa"/>
            <w:vMerge/>
            <w:tcBorders>
              <w:top w:val="nil"/>
              <w:left w:val="nil"/>
              <w:bottom w:val="single" w:sz="4" w:space="0" w:color="000000"/>
              <w:right w:val="nil"/>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38"/>
        </w:trPr>
        <w:tc>
          <w:tcPr>
            <w:tcW w:w="128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3604" w:type="dxa"/>
            <w:vMerge/>
            <w:tcBorders>
              <w:top w:val="nil"/>
              <w:left w:val="nil"/>
              <w:bottom w:val="single" w:sz="4" w:space="0" w:color="000000"/>
              <w:right w:val="nil"/>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38"/>
        </w:trPr>
        <w:tc>
          <w:tcPr>
            <w:tcW w:w="1289" w:type="dxa"/>
            <w:vMerge/>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3604" w:type="dxa"/>
            <w:vMerge/>
            <w:tcBorders>
              <w:top w:val="nil"/>
              <w:left w:val="nil"/>
              <w:bottom w:val="single" w:sz="4" w:space="0" w:color="000000"/>
              <w:right w:val="nil"/>
            </w:tcBorders>
            <w:noWrap/>
            <w:tcMar>
              <w:top w:w="15" w:type="dxa"/>
              <w:left w:w="15" w:type="dxa"/>
              <w:right w:w="15" w:type="dxa"/>
            </w:tcMar>
            <w:vAlign w:val="center"/>
          </w:tcPr>
          <w:p w:rsidR="00E71815" w:rsidRDefault="00E7181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hRule="exact" w:val="283"/>
        </w:trPr>
        <w:tc>
          <w:tcPr>
            <w:tcW w:w="4893"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1,680.35</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1,610.75</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69.60</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1,274.86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1,207.26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67.60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1,274.86</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1,207.26</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67.60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2050201</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学前教育</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2050202</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小学教育</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1,274.51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1,206.91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67.60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306.77</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306.77</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299.47</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299.47</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86.99</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86.99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43.76</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43.76</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2080599</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其他行政事业单位养老支出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168.72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168.72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20808</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抚恤</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7.31</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7.31</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2080801</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死亡抚恤</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32.47</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32.47</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229</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其他支出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22960</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彩票公益金安排的支出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hRule="exact" w:val="283"/>
        </w:trPr>
        <w:tc>
          <w:tcPr>
            <w:tcW w:w="12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2296004</w:t>
            </w:r>
          </w:p>
        </w:tc>
        <w:tc>
          <w:tcPr>
            <w:tcW w:w="360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用于教育事业的彩票公益金支出</w:t>
            </w:r>
          </w:p>
        </w:tc>
        <w:tc>
          <w:tcPr>
            <w:tcW w:w="18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bl>
    <w:p w:rsidR="00E71815" w:rsidRDefault="00A950AC">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p>
    <w:p w:rsidR="00E71815" w:rsidRDefault="00E71815">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E71815">
        <w:trPr>
          <w:trHeight w:val="90"/>
        </w:trPr>
        <w:tc>
          <w:tcPr>
            <w:tcW w:w="14678" w:type="dxa"/>
            <w:gridSpan w:val="7"/>
            <w:tcBorders>
              <w:top w:val="nil"/>
              <w:left w:val="nil"/>
              <w:bottom w:val="nil"/>
              <w:right w:val="nil"/>
            </w:tcBorders>
            <w:noWrap/>
            <w:tcMar>
              <w:top w:w="15" w:type="dxa"/>
              <w:left w:w="15" w:type="dxa"/>
              <w:right w:w="15" w:type="dxa"/>
            </w:tcMar>
            <w:vAlign w:val="bottom"/>
          </w:tcPr>
          <w:p w:rsidR="00E71815" w:rsidRDefault="00A950AC">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71815">
        <w:trPr>
          <w:trHeight w:val="90"/>
        </w:trPr>
        <w:tc>
          <w:tcPr>
            <w:tcW w:w="7667" w:type="dxa"/>
            <w:gridSpan w:val="3"/>
            <w:vMerge w:val="restart"/>
            <w:tcBorders>
              <w:top w:val="nil"/>
              <w:left w:val="nil"/>
              <w:right w:val="nil"/>
            </w:tcBorders>
            <w:noWrap/>
            <w:tcMar>
              <w:top w:w="15" w:type="dxa"/>
              <w:left w:w="15" w:type="dxa"/>
              <w:right w:w="15" w:type="dxa"/>
            </w:tcMar>
            <w:vAlign w:val="bottom"/>
          </w:tcPr>
          <w:p w:rsidR="00E71815" w:rsidRDefault="00A950A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重庆科学城走马小学校</w:t>
            </w:r>
          </w:p>
        </w:tc>
        <w:tc>
          <w:tcPr>
            <w:tcW w:w="169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929" w:type="dxa"/>
            <w:tcBorders>
              <w:top w:val="nil"/>
              <w:left w:val="nil"/>
              <w:bottom w:val="nil"/>
              <w:right w:val="nil"/>
            </w:tcBorders>
            <w:noWrap/>
            <w:tcMar>
              <w:top w:w="15" w:type="dxa"/>
              <w:left w:w="15" w:type="dxa"/>
              <w:right w:w="15" w:type="dxa"/>
            </w:tcMar>
            <w:vAlign w:val="bottom"/>
          </w:tcPr>
          <w:p w:rsidR="00E71815" w:rsidRDefault="00A950AC">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71815">
        <w:trPr>
          <w:trHeight w:val="90"/>
        </w:trPr>
        <w:tc>
          <w:tcPr>
            <w:tcW w:w="7667" w:type="dxa"/>
            <w:gridSpan w:val="3"/>
            <w:vMerge/>
            <w:tcBorders>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694"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929" w:type="dxa"/>
            <w:tcBorders>
              <w:top w:val="nil"/>
              <w:left w:val="nil"/>
              <w:bottom w:val="nil"/>
              <w:right w:val="nil"/>
            </w:tcBorders>
            <w:noWrap/>
            <w:tcMar>
              <w:top w:w="15" w:type="dxa"/>
              <w:left w:w="15" w:type="dxa"/>
              <w:right w:w="15" w:type="dxa"/>
            </w:tcMar>
            <w:vAlign w:val="bottom"/>
          </w:tcPr>
          <w:p w:rsidR="00E71815" w:rsidRDefault="00A950AC">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71815">
        <w:trPr>
          <w:trHeight w:val="90"/>
        </w:trPr>
        <w:tc>
          <w:tcPr>
            <w:tcW w:w="4488"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E71815">
        <w:trPr>
          <w:trHeight w:val="90"/>
        </w:trPr>
        <w:tc>
          <w:tcPr>
            <w:tcW w:w="29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71815">
        <w:trPr>
          <w:trHeight w:val="90"/>
        </w:trPr>
        <w:tc>
          <w:tcPr>
            <w:tcW w:w="29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1,672.35</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1,268.86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1,268.86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306.77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306.77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50.90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50.90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1,674.35</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1,674.35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1,672.35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200" w:lineRule="exact"/>
              <w:rPr>
                <w:rFonts w:ascii="Times New Roman" w:hAnsi="Times New Roman" w:hint="default"/>
                <w:color w:val="000000"/>
                <w:sz w:val="18"/>
                <w:szCs w:val="18"/>
              </w:rPr>
            </w:pP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200" w:lineRule="exact"/>
              <w:jc w:val="right"/>
              <w:rPr>
                <w:rFonts w:ascii="Times New Roman" w:hAnsi="Times New Roman" w:hint="default"/>
                <w:color w:val="000000"/>
                <w:sz w:val="18"/>
                <w:szCs w:val="18"/>
              </w:rPr>
            </w:pPr>
          </w:p>
        </w:tc>
      </w:tr>
      <w:tr w:rsidR="00E71815">
        <w:trPr>
          <w:trHeight w:val="90"/>
        </w:trPr>
        <w:tc>
          <w:tcPr>
            <w:tcW w:w="29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1,674.35</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1,674.35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1,672.35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71815" w:rsidRDefault="00A950AC">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E71815">
        <w:trPr>
          <w:trHeight w:val="510"/>
        </w:trPr>
        <w:tc>
          <w:tcPr>
            <w:tcW w:w="15322" w:type="dxa"/>
            <w:gridSpan w:val="5"/>
            <w:tcBorders>
              <w:top w:val="nil"/>
              <w:left w:val="nil"/>
              <w:bottom w:val="nil"/>
              <w:right w:val="nil"/>
            </w:tcBorders>
            <w:noWrap/>
            <w:tcMar>
              <w:top w:w="15" w:type="dxa"/>
              <w:left w:w="15" w:type="dxa"/>
              <w:right w:w="15" w:type="dxa"/>
            </w:tcMar>
            <w:vAlign w:val="bottom"/>
          </w:tcPr>
          <w:p w:rsidR="00E71815" w:rsidRDefault="00A950AC">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71815">
        <w:trPr>
          <w:trHeight w:val="255"/>
        </w:trPr>
        <w:tc>
          <w:tcPr>
            <w:tcW w:w="8685" w:type="dxa"/>
            <w:gridSpan w:val="3"/>
            <w:vMerge w:val="restart"/>
            <w:tcBorders>
              <w:top w:val="nil"/>
              <w:left w:val="nil"/>
              <w:right w:val="nil"/>
            </w:tcBorders>
            <w:noWrap/>
            <w:tcMar>
              <w:top w:w="15" w:type="dxa"/>
              <w:left w:w="15" w:type="dxa"/>
              <w:right w:w="15" w:type="dxa"/>
            </w:tcMar>
            <w:vAlign w:val="bottom"/>
          </w:tcPr>
          <w:p w:rsidR="00E71815" w:rsidRDefault="00A950A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重庆科学城走马小学校</w:t>
            </w:r>
          </w:p>
        </w:tc>
        <w:tc>
          <w:tcPr>
            <w:tcW w:w="3297"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3340"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71815">
        <w:trPr>
          <w:trHeight w:val="285"/>
        </w:trPr>
        <w:tc>
          <w:tcPr>
            <w:tcW w:w="8685" w:type="dxa"/>
            <w:gridSpan w:val="3"/>
            <w:vMerge/>
            <w:tcBorders>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3297"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3340"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71815">
        <w:trPr>
          <w:trHeight w:val="308"/>
        </w:trPr>
        <w:tc>
          <w:tcPr>
            <w:tcW w:w="53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本年支出</w:t>
            </w:r>
          </w:p>
        </w:tc>
      </w:tr>
      <w:tr w:rsidR="00E71815">
        <w:trPr>
          <w:trHeight w:val="326"/>
        </w:trPr>
        <w:tc>
          <w:tcPr>
            <w:tcW w:w="130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项目支出</w:t>
            </w:r>
          </w:p>
        </w:tc>
      </w:tr>
      <w:tr w:rsidR="00E71815">
        <w:trPr>
          <w:trHeight w:val="326"/>
        </w:trPr>
        <w:tc>
          <w:tcPr>
            <w:tcW w:w="130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615"/>
        </w:trPr>
        <w:tc>
          <w:tcPr>
            <w:tcW w:w="130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08"/>
        </w:trPr>
        <w:tc>
          <w:tcPr>
            <w:tcW w:w="5379"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1,672.35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1,604.75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67.60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1,268.86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1,201.25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67.60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1,268.86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1,201.25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67.60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2050201</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学前教育</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0.35</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1,268.51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1,200.91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67.60</w:t>
            </w:r>
            <w:r>
              <w:rPr>
                <w:rFonts w:ascii="Times New Roman" w:hAnsi="Times New Roman"/>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306.77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306.77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299.47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299.47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86.99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86.99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43.76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43.76</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168.72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168.72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20808</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抚恤</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7.31</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2080801</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死亡抚恤</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50.90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32.47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32.47</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18.43</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45.82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08"/>
        </w:trPr>
        <w:tc>
          <w:tcPr>
            <w:tcW w:w="130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bl>
    <w:p w:rsidR="00E71815" w:rsidRDefault="00A950AC">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p>
    <w:p w:rsidR="00E71815" w:rsidRDefault="00E71815">
      <w:pPr>
        <w:ind w:firstLineChars="300" w:firstLine="630"/>
        <w:rPr>
          <w:rFonts w:cs="宋体" w:hint="default"/>
          <w:sz w:val="21"/>
          <w:szCs w:val="21"/>
        </w:rPr>
      </w:pP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E71815">
        <w:trPr>
          <w:trHeight w:val="90"/>
        </w:trPr>
        <w:tc>
          <w:tcPr>
            <w:tcW w:w="15304" w:type="dxa"/>
            <w:gridSpan w:val="9"/>
            <w:tcBorders>
              <w:top w:val="nil"/>
              <w:left w:val="nil"/>
              <w:bottom w:val="nil"/>
              <w:right w:val="nil"/>
            </w:tcBorders>
            <w:noWrap/>
            <w:tcMar>
              <w:top w:w="15" w:type="dxa"/>
              <w:left w:w="15" w:type="dxa"/>
              <w:right w:w="15" w:type="dxa"/>
            </w:tcMar>
            <w:vAlign w:val="bottom"/>
          </w:tcPr>
          <w:p w:rsidR="00E71815" w:rsidRDefault="00A950AC">
            <w:pPr>
              <w:spacing w:line="440" w:lineRule="exact"/>
              <w:jc w:val="center"/>
              <w:textAlignment w:val="bottom"/>
              <w:rPr>
                <w:rFonts w:cs="宋体" w:hint="default"/>
                <w:b/>
                <w:color w:val="000000"/>
                <w:sz w:val="32"/>
                <w:szCs w:val="32"/>
              </w:rPr>
            </w:pPr>
            <w:r>
              <w:rPr>
                <w:rFonts w:cs="宋体"/>
                <w:b/>
                <w:color w:val="000000"/>
                <w:sz w:val="32"/>
                <w:szCs w:val="32"/>
              </w:rPr>
              <w:t>一般公共预算财政拨款基本支出决算表</w:t>
            </w:r>
          </w:p>
        </w:tc>
      </w:tr>
      <w:tr w:rsidR="00E71815">
        <w:trPr>
          <w:trHeight w:val="334"/>
        </w:trPr>
        <w:tc>
          <w:tcPr>
            <w:tcW w:w="8056" w:type="dxa"/>
            <w:gridSpan w:val="5"/>
            <w:vMerge w:val="restart"/>
            <w:tcBorders>
              <w:top w:val="nil"/>
              <w:left w:val="nil"/>
              <w:right w:val="nil"/>
            </w:tcBorders>
            <w:noWrap/>
            <w:tcMar>
              <w:top w:w="15" w:type="dxa"/>
              <w:left w:w="15" w:type="dxa"/>
              <w:right w:w="15" w:type="dxa"/>
            </w:tcMar>
            <w:vAlign w:val="bottom"/>
          </w:tcPr>
          <w:p w:rsidR="00E71815" w:rsidRDefault="00A950AC">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重庆科学城走马小学校</w:t>
            </w:r>
          </w:p>
        </w:tc>
        <w:tc>
          <w:tcPr>
            <w:tcW w:w="1417"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872"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3462"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497"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71815">
        <w:trPr>
          <w:trHeight w:val="520"/>
        </w:trPr>
        <w:tc>
          <w:tcPr>
            <w:tcW w:w="8056" w:type="dxa"/>
            <w:gridSpan w:val="5"/>
            <w:vMerge/>
            <w:tcBorders>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417"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872"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3462" w:type="dxa"/>
            <w:tcBorders>
              <w:top w:val="nil"/>
              <w:left w:val="nil"/>
              <w:bottom w:val="nil"/>
              <w:right w:val="nil"/>
            </w:tcBorders>
            <w:noWrap/>
            <w:tcMar>
              <w:top w:w="15" w:type="dxa"/>
              <w:left w:w="15" w:type="dxa"/>
              <w:right w:w="15" w:type="dxa"/>
            </w:tcMar>
            <w:vAlign w:val="bottom"/>
          </w:tcPr>
          <w:p w:rsidR="00E71815" w:rsidRDefault="00E71815">
            <w:pPr>
              <w:spacing w:line="200" w:lineRule="exact"/>
              <w:rPr>
                <w:rFonts w:cs="宋体" w:hint="default"/>
                <w:color w:val="000000"/>
                <w:sz w:val="18"/>
                <w:szCs w:val="18"/>
              </w:rPr>
            </w:pPr>
          </w:p>
        </w:tc>
        <w:tc>
          <w:tcPr>
            <w:tcW w:w="1497"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71815">
        <w:trPr>
          <w:trHeight w:val="90"/>
        </w:trPr>
        <w:tc>
          <w:tcPr>
            <w:tcW w:w="515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E71815">
        <w:trPr>
          <w:trHeight w:val="312"/>
        </w:trPr>
        <w:tc>
          <w:tcPr>
            <w:tcW w:w="80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E71815">
        <w:trPr>
          <w:trHeight w:val="312"/>
        </w:trPr>
        <w:tc>
          <w:tcPr>
            <w:tcW w:w="80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spacing w:line="192" w:lineRule="exact"/>
              <w:jc w:val="center"/>
              <w:rPr>
                <w:rFonts w:cs="宋体" w:hint="default"/>
                <w:b/>
                <w:color w:val="000000"/>
                <w:sz w:val="18"/>
                <w:szCs w:val="18"/>
              </w:rPr>
            </w:pP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1,204.99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218.73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w:t>
            </w: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212.22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40.33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29.37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3.15</w:t>
            </w: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731.50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86.99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43.76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32.47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10.14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45.82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12.71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177.88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159.77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82.78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28.65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jc w:val="right"/>
              <w:rPr>
                <w:rFonts w:ascii="Times New Roman" w:hAnsi="Times New Roman" w:hint="default"/>
                <w:color w:val="000000"/>
                <w:sz w:val="18"/>
                <w:szCs w:val="18"/>
              </w:rPr>
            </w:pPr>
          </w:p>
        </w:tc>
      </w:tr>
      <w:tr w:rsidR="00E71815">
        <w:trPr>
          <w:trHeight w:val="90"/>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jc w:val="right"/>
              <w:rPr>
                <w:rFonts w:ascii="Times New Roman" w:hAnsi="Times New Roman" w:hint="default"/>
                <w:color w:val="000000"/>
                <w:sz w:val="18"/>
                <w:szCs w:val="18"/>
              </w:rPr>
            </w:pPr>
          </w:p>
        </w:tc>
      </w:tr>
      <w:tr w:rsidR="00E71815">
        <w:trPr>
          <w:trHeight w:val="155"/>
        </w:trPr>
        <w:tc>
          <w:tcPr>
            <w:tcW w:w="80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E7181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spacing w:line="192" w:lineRule="exact"/>
              <w:jc w:val="right"/>
              <w:rPr>
                <w:rFonts w:ascii="Times New Roman" w:hAnsi="Times New Roman" w:hint="default"/>
                <w:color w:val="000000"/>
                <w:sz w:val="18"/>
                <w:szCs w:val="18"/>
              </w:rPr>
            </w:pPr>
          </w:p>
        </w:tc>
      </w:tr>
      <w:tr w:rsidR="00E71815">
        <w:trPr>
          <w:trHeight w:val="310"/>
        </w:trPr>
        <w:tc>
          <w:tcPr>
            <w:tcW w:w="3612"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A950AC">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1,382.87</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221.88</w:t>
            </w:r>
            <w:r>
              <w:rPr>
                <w:rFonts w:ascii="Times New Roman" w:hAnsi="Times New Roman"/>
                <w:color w:val="000000"/>
                <w:sz w:val="18"/>
              </w:rPr>
              <w:t xml:space="preserve"> </w:t>
            </w:r>
          </w:p>
        </w:tc>
      </w:tr>
    </w:tbl>
    <w:p w:rsidR="00E71815" w:rsidRDefault="00A950AC">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E71815">
        <w:trPr>
          <w:trHeight w:val="644"/>
        </w:trPr>
        <w:tc>
          <w:tcPr>
            <w:tcW w:w="15322" w:type="dxa"/>
            <w:gridSpan w:val="8"/>
            <w:tcBorders>
              <w:top w:val="nil"/>
              <w:left w:val="nil"/>
              <w:bottom w:val="nil"/>
              <w:right w:val="nil"/>
            </w:tcBorders>
            <w:noWrap/>
            <w:tcMar>
              <w:top w:w="15" w:type="dxa"/>
              <w:left w:w="15" w:type="dxa"/>
              <w:right w:w="15" w:type="dxa"/>
            </w:tcMar>
            <w:vAlign w:val="bottom"/>
          </w:tcPr>
          <w:p w:rsidR="00E71815" w:rsidRDefault="00A950AC">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E71815">
        <w:trPr>
          <w:trHeight w:val="329"/>
        </w:trPr>
        <w:tc>
          <w:tcPr>
            <w:tcW w:w="6615" w:type="dxa"/>
            <w:gridSpan w:val="3"/>
            <w:vMerge w:val="restart"/>
            <w:tcBorders>
              <w:top w:val="nil"/>
              <w:left w:val="nil"/>
              <w:right w:val="nil"/>
            </w:tcBorders>
            <w:noWrap/>
            <w:tcMar>
              <w:top w:w="15" w:type="dxa"/>
              <w:left w:w="15" w:type="dxa"/>
              <w:right w:w="15" w:type="dxa"/>
            </w:tcMar>
            <w:vAlign w:val="bottom"/>
          </w:tcPr>
          <w:p w:rsidR="00E71815" w:rsidRDefault="00A950A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重庆科学城走马小学校</w:t>
            </w:r>
          </w:p>
        </w:tc>
        <w:tc>
          <w:tcPr>
            <w:tcW w:w="1701"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765"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839"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71815">
        <w:trPr>
          <w:trHeight w:val="329"/>
        </w:trPr>
        <w:tc>
          <w:tcPr>
            <w:tcW w:w="6615" w:type="dxa"/>
            <w:gridSpan w:val="3"/>
            <w:vMerge/>
            <w:tcBorders>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701"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765" w:type="dxa"/>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1839"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71815">
        <w:trPr>
          <w:trHeight w:val="339"/>
        </w:trPr>
        <w:tc>
          <w:tcPr>
            <w:tcW w:w="491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年末结转和结余</w:t>
            </w:r>
          </w:p>
        </w:tc>
      </w:tr>
      <w:tr w:rsidR="00E71815">
        <w:trPr>
          <w:trHeight w:val="335"/>
        </w:trPr>
        <w:tc>
          <w:tcPr>
            <w:tcW w:w="132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35"/>
        </w:trPr>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645"/>
        </w:trPr>
        <w:tc>
          <w:tcPr>
            <w:tcW w:w="132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39"/>
        </w:trPr>
        <w:tc>
          <w:tcPr>
            <w:tcW w:w="4914"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r>
      <w:tr w:rsidR="00E71815">
        <w:trPr>
          <w:trHeight w:val="349"/>
        </w:trPr>
        <w:tc>
          <w:tcPr>
            <w:tcW w:w="1320"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49"/>
        </w:trPr>
        <w:tc>
          <w:tcPr>
            <w:tcW w:w="1320"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w:t>
            </w:r>
            <w:r>
              <w:rPr>
                <w:rFonts w:ascii="Times New Roman" w:hAnsi="Times New Roman"/>
                <w:b/>
                <w:color w:val="000000"/>
                <w:sz w:val="20"/>
              </w:rPr>
              <w:t xml:space="preserve"> </w:t>
            </w:r>
          </w:p>
        </w:tc>
      </w:tr>
      <w:tr w:rsidR="00E71815">
        <w:trPr>
          <w:trHeight w:val="349"/>
        </w:trPr>
        <w:tc>
          <w:tcPr>
            <w:tcW w:w="1320"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A950AC">
            <w:pPr>
              <w:jc w:val="both"/>
              <w:textAlignment w:val="center"/>
              <w:rPr>
                <w:rFonts w:cs="宋体" w:hint="default"/>
                <w:color w:val="000000"/>
                <w:sz w:val="20"/>
                <w:szCs w:val="20"/>
              </w:rPr>
            </w:pPr>
            <w:r>
              <w:rPr>
                <w:rFonts w:cs="宋体"/>
                <w:color w:val="000000"/>
                <w:sz w:val="20"/>
                <w:szCs w:val="20"/>
              </w:rPr>
              <w:t>2296004</w:t>
            </w:r>
          </w:p>
        </w:tc>
        <w:tc>
          <w:tcPr>
            <w:tcW w:w="3594"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jc w:val="both"/>
              <w:textAlignment w:val="center"/>
              <w:rPr>
                <w:rFonts w:cs="宋体" w:hint="default"/>
                <w:color w:val="000000"/>
                <w:sz w:val="20"/>
                <w:szCs w:val="20"/>
              </w:rPr>
            </w:pPr>
            <w:r>
              <w:rPr>
                <w:rFonts w:cs="宋体"/>
                <w:color w:val="000000"/>
                <w:sz w:val="20"/>
                <w:szCs w:val="20"/>
              </w:rPr>
              <w:t>用于教育事业的彩票公益金支出</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w:t>
            </w:r>
            <w:r>
              <w:rPr>
                <w:rFonts w:ascii="Times New Roman" w:hAnsi="Times New Roman"/>
                <w:color w:val="000000"/>
                <w:sz w:val="20"/>
              </w:rPr>
              <w:t xml:space="preserve"> </w:t>
            </w:r>
          </w:p>
        </w:tc>
      </w:tr>
    </w:tbl>
    <w:p w:rsidR="00E71815" w:rsidRDefault="00A950AC">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71815" w:rsidRDefault="00A950AC">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E71815">
        <w:trPr>
          <w:trHeight w:val="650"/>
        </w:trPr>
        <w:tc>
          <w:tcPr>
            <w:tcW w:w="15322" w:type="dxa"/>
            <w:gridSpan w:val="7"/>
            <w:tcBorders>
              <w:top w:val="nil"/>
              <w:left w:val="nil"/>
              <w:bottom w:val="nil"/>
              <w:right w:val="nil"/>
            </w:tcBorders>
            <w:noWrap/>
            <w:tcMar>
              <w:top w:w="15" w:type="dxa"/>
              <w:left w:w="15" w:type="dxa"/>
              <w:right w:w="15" w:type="dxa"/>
            </w:tcMar>
            <w:vAlign w:val="bottom"/>
          </w:tcPr>
          <w:p w:rsidR="00E71815" w:rsidRDefault="00A950AC">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71815">
        <w:trPr>
          <w:trHeight w:val="332"/>
        </w:trPr>
        <w:tc>
          <w:tcPr>
            <w:tcW w:w="8182" w:type="dxa"/>
            <w:gridSpan w:val="3"/>
            <w:vMerge w:val="restart"/>
            <w:tcBorders>
              <w:top w:val="nil"/>
              <w:left w:val="nil"/>
              <w:right w:val="nil"/>
            </w:tcBorders>
            <w:noWrap/>
            <w:tcMar>
              <w:top w:w="15" w:type="dxa"/>
              <w:left w:w="15" w:type="dxa"/>
              <w:right w:w="15" w:type="dxa"/>
            </w:tcMar>
            <w:vAlign w:val="bottom"/>
          </w:tcPr>
          <w:p w:rsidR="00E71815" w:rsidRDefault="00A950AC">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重庆科学城走马小学校</w:t>
            </w:r>
          </w:p>
        </w:tc>
        <w:tc>
          <w:tcPr>
            <w:tcW w:w="3739" w:type="dxa"/>
            <w:gridSpan w:val="3"/>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3401"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71815">
        <w:trPr>
          <w:trHeight w:val="332"/>
        </w:trPr>
        <w:tc>
          <w:tcPr>
            <w:tcW w:w="8182" w:type="dxa"/>
            <w:gridSpan w:val="3"/>
            <w:vMerge/>
            <w:tcBorders>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3739" w:type="dxa"/>
            <w:gridSpan w:val="3"/>
            <w:tcBorders>
              <w:top w:val="nil"/>
              <w:left w:val="nil"/>
              <w:bottom w:val="nil"/>
              <w:right w:val="nil"/>
            </w:tcBorders>
            <w:noWrap/>
            <w:tcMar>
              <w:top w:w="15" w:type="dxa"/>
              <w:left w:w="15" w:type="dxa"/>
              <w:right w:w="15" w:type="dxa"/>
            </w:tcMar>
            <w:vAlign w:val="bottom"/>
          </w:tcPr>
          <w:p w:rsidR="00E71815" w:rsidRDefault="00E71815">
            <w:pPr>
              <w:rPr>
                <w:rFonts w:cs="宋体" w:hint="default"/>
                <w:color w:val="000000"/>
                <w:sz w:val="20"/>
                <w:szCs w:val="20"/>
              </w:rPr>
            </w:pPr>
          </w:p>
        </w:tc>
        <w:tc>
          <w:tcPr>
            <w:tcW w:w="3401" w:type="dxa"/>
            <w:tcBorders>
              <w:top w:val="nil"/>
              <w:left w:val="nil"/>
              <w:bottom w:val="nil"/>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71815">
        <w:trPr>
          <w:trHeight w:val="422"/>
        </w:trPr>
        <w:tc>
          <w:tcPr>
            <w:tcW w:w="490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A950AC">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E71815" w:rsidRDefault="00A950AC">
            <w:pPr>
              <w:jc w:val="center"/>
              <w:textAlignment w:val="bottom"/>
              <w:rPr>
                <w:rFonts w:cs="宋体" w:hint="default"/>
                <w:b/>
                <w:color w:val="000000"/>
                <w:sz w:val="20"/>
                <w:szCs w:val="20"/>
              </w:rPr>
            </w:pPr>
            <w:r>
              <w:rPr>
                <w:rFonts w:cs="宋体"/>
                <w:b/>
                <w:color w:val="000000"/>
                <w:sz w:val="20"/>
                <w:szCs w:val="20"/>
              </w:rPr>
              <w:t>本年支出</w:t>
            </w:r>
          </w:p>
        </w:tc>
      </w:tr>
      <w:tr w:rsidR="00E71815">
        <w:trPr>
          <w:trHeight w:val="339"/>
        </w:trPr>
        <w:tc>
          <w:tcPr>
            <w:tcW w:w="129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项目支出</w:t>
            </w:r>
          </w:p>
        </w:tc>
      </w:tr>
      <w:tr w:rsidR="00E71815">
        <w:trPr>
          <w:trHeight w:val="339"/>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39"/>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326"/>
        </w:trPr>
        <w:tc>
          <w:tcPr>
            <w:tcW w:w="129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E71815" w:rsidRDefault="00E71815">
            <w:pPr>
              <w:jc w:val="center"/>
              <w:rPr>
                <w:rFonts w:cs="宋体" w:hint="default"/>
                <w:b/>
                <w:color w:val="000000"/>
                <w:sz w:val="20"/>
                <w:szCs w:val="20"/>
              </w:rPr>
            </w:pPr>
          </w:p>
        </w:tc>
      </w:tr>
      <w:tr w:rsidR="00E71815">
        <w:trPr>
          <w:trHeight w:val="611"/>
        </w:trPr>
        <w:tc>
          <w:tcPr>
            <w:tcW w:w="490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71815" w:rsidRDefault="00A950AC">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w:t>
            </w:r>
            <w:r>
              <w:rPr>
                <w:rFonts w:ascii="Times New Roman" w:hAnsi="Times New Roman"/>
                <w:b/>
                <w:color w:val="000000"/>
                <w:sz w:val="20"/>
              </w:rPr>
              <w:t xml:space="preserve"> </w:t>
            </w:r>
          </w:p>
        </w:tc>
      </w:tr>
      <w:tr w:rsidR="00E71815">
        <w:trPr>
          <w:trHeight w:val="488"/>
        </w:trPr>
        <w:tc>
          <w:tcPr>
            <w:tcW w:w="1293"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E71815" w:rsidRDefault="00E71815">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 </w:t>
            </w:r>
          </w:p>
        </w:tc>
        <w:tc>
          <w:tcPr>
            <w:tcW w:w="3463" w:type="dxa"/>
            <w:tcBorders>
              <w:top w:val="nil"/>
              <w:left w:val="nil"/>
              <w:bottom w:val="single" w:sz="4" w:space="0" w:color="000000"/>
              <w:right w:val="single" w:sz="4" w:space="0" w:color="000000"/>
            </w:tcBorders>
            <w:noWrap/>
            <w:tcMar>
              <w:top w:w="15" w:type="dxa"/>
              <w:left w:w="15" w:type="dxa"/>
              <w:right w:w="15" w:type="dxa"/>
            </w:tcMar>
            <w:vAlign w:val="center"/>
          </w:tcPr>
          <w:p w:rsidR="00E71815" w:rsidRDefault="00E71815">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E71815" w:rsidRDefault="00A950AC">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 </w:t>
            </w:r>
          </w:p>
        </w:tc>
      </w:tr>
    </w:tbl>
    <w:p w:rsidR="00E71815" w:rsidRDefault="00A950AC">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E71815" w:rsidRDefault="00A950AC">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E71815">
        <w:trPr>
          <w:trHeight w:val="343"/>
        </w:trPr>
        <w:tc>
          <w:tcPr>
            <w:tcW w:w="14130" w:type="dxa"/>
            <w:gridSpan w:val="5"/>
            <w:noWrap/>
            <w:tcMar>
              <w:top w:w="15" w:type="dxa"/>
              <w:left w:w="15" w:type="dxa"/>
              <w:right w:w="15" w:type="dxa"/>
            </w:tcMar>
            <w:vAlign w:val="bottom"/>
          </w:tcPr>
          <w:p w:rsidR="00E71815" w:rsidRDefault="00A950AC">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E71815">
        <w:trPr>
          <w:trHeight w:val="244"/>
        </w:trPr>
        <w:tc>
          <w:tcPr>
            <w:tcW w:w="3176" w:type="dxa"/>
            <w:noWrap/>
            <w:tcMar>
              <w:top w:w="15" w:type="dxa"/>
              <w:left w:w="15" w:type="dxa"/>
              <w:right w:w="15" w:type="dxa"/>
            </w:tcMar>
            <w:vAlign w:val="bottom"/>
          </w:tcPr>
          <w:p w:rsidR="00E71815" w:rsidRDefault="00E71815">
            <w:pPr>
              <w:spacing w:line="280" w:lineRule="exact"/>
              <w:rPr>
                <w:rFonts w:cs="宋体" w:hint="default"/>
                <w:color w:val="000000"/>
                <w:kern w:val="2"/>
                <w:sz w:val="20"/>
                <w:szCs w:val="20"/>
              </w:rPr>
            </w:pPr>
          </w:p>
        </w:tc>
        <w:tc>
          <w:tcPr>
            <w:tcW w:w="2416" w:type="dxa"/>
            <w:noWrap/>
            <w:tcMar>
              <w:top w:w="15" w:type="dxa"/>
              <w:left w:w="15" w:type="dxa"/>
              <w:right w:w="15" w:type="dxa"/>
            </w:tcMar>
            <w:vAlign w:val="bottom"/>
          </w:tcPr>
          <w:p w:rsidR="00E71815" w:rsidRDefault="00E71815">
            <w:pPr>
              <w:spacing w:line="280" w:lineRule="exact"/>
              <w:jc w:val="center"/>
              <w:rPr>
                <w:rFonts w:cs="宋体" w:hint="default"/>
                <w:color w:val="000000"/>
                <w:kern w:val="2"/>
                <w:sz w:val="20"/>
                <w:szCs w:val="20"/>
              </w:rPr>
            </w:pPr>
          </w:p>
        </w:tc>
        <w:tc>
          <w:tcPr>
            <w:tcW w:w="2374" w:type="dxa"/>
            <w:noWrap/>
            <w:tcMar>
              <w:top w:w="15" w:type="dxa"/>
              <w:left w:w="15" w:type="dxa"/>
              <w:right w:w="15" w:type="dxa"/>
            </w:tcMar>
            <w:vAlign w:val="bottom"/>
          </w:tcPr>
          <w:p w:rsidR="00E71815" w:rsidRDefault="00E71815">
            <w:pPr>
              <w:spacing w:line="280" w:lineRule="exact"/>
              <w:jc w:val="right"/>
              <w:rPr>
                <w:rFonts w:cs="宋体" w:hint="default"/>
                <w:color w:val="000000"/>
                <w:kern w:val="2"/>
                <w:sz w:val="20"/>
                <w:szCs w:val="20"/>
              </w:rPr>
            </w:pPr>
          </w:p>
        </w:tc>
        <w:tc>
          <w:tcPr>
            <w:tcW w:w="3671" w:type="dxa"/>
            <w:noWrap/>
            <w:tcMar>
              <w:top w:w="15" w:type="dxa"/>
              <w:left w:w="15" w:type="dxa"/>
              <w:right w:w="15" w:type="dxa"/>
            </w:tcMar>
            <w:vAlign w:val="bottom"/>
          </w:tcPr>
          <w:p w:rsidR="00E71815" w:rsidRDefault="00E71815">
            <w:pPr>
              <w:spacing w:line="280" w:lineRule="exact"/>
              <w:rPr>
                <w:rFonts w:cs="宋体" w:hint="default"/>
                <w:color w:val="000000"/>
                <w:kern w:val="2"/>
                <w:sz w:val="20"/>
                <w:szCs w:val="20"/>
              </w:rPr>
            </w:pPr>
          </w:p>
        </w:tc>
        <w:tc>
          <w:tcPr>
            <w:tcW w:w="2493" w:type="dxa"/>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71815">
        <w:trPr>
          <w:trHeight w:val="244"/>
        </w:trPr>
        <w:tc>
          <w:tcPr>
            <w:tcW w:w="5592" w:type="dxa"/>
            <w:gridSpan w:val="2"/>
            <w:tcBorders>
              <w:top w:val="nil"/>
              <w:left w:val="nil"/>
              <w:bottom w:val="single" w:sz="4" w:space="0" w:color="auto"/>
              <w:right w:val="nil"/>
            </w:tcBorders>
            <w:noWrap/>
            <w:tcMar>
              <w:top w:w="15" w:type="dxa"/>
              <w:left w:w="15" w:type="dxa"/>
              <w:right w:w="15" w:type="dxa"/>
            </w:tcMar>
            <w:vAlign w:val="bottom"/>
          </w:tcPr>
          <w:p w:rsidR="00E71815" w:rsidRDefault="00A950AC">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重庆科学城走马小学校</w:t>
            </w:r>
          </w:p>
        </w:tc>
        <w:tc>
          <w:tcPr>
            <w:tcW w:w="2374" w:type="dxa"/>
            <w:tcBorders>
              <w:top w:val="nil"/>
              <w:left w:val="nil"/>
              <w:bottom w:val="single" w:sz="4" w:space="0" w:color="auto"/>
              <w:right w:val="nil"/>
            </w:tcBorders>
            <w:noWrap/>
            <w:tcMar>
              <w:top w:w="15" w:type="dxa"/>
              <w:left w:w="15" w:type="dxa"/>
              <w:right w:w="15" w:type="dxa"/>
            </w:tcMar>
            <w:vAlign w:val="bottom"/>
          </w:tcPr>
          <w:p w:rsidR="00E71815" w:rsidRDefault="00E71815">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noWrap/>
            <w:tcMar>
              <w:top w:w="15" w:type="dxa"/>
              <w:left w:w="15" w:type="dxa"/>
              <w:right w:w="15" w:type="dxa"/>
            </w:tcMar>
            <w:vAlign w:val="bottom"/>
          </w:tcPr>
          <w:p w:rsidR="00E71815" w:rsidRDefault="00E71815">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noWrap/>
            <w:tcMar>
              <w:top w:w="15" w:type="dxa"/>
              <w:left w:w="15" w:type="dxa"/>
              <w:right w:w="15" w:type="dxa"/>
            </w:tcMar>
            <w:vAlign w:val="bottom"/>
          </w:tcPr>
          <w:p w:rsidR="00E71815" w:rsidRDefault="00A950AC">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E71815">
        <w:trPr>
          <w:trHeight w:val="28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E71815">
        <w:trPr>
          <w:trHeight w:val="28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92"/>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71815">
        <w:trPr>
          <w:trHeight w:val="286"/>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E71815">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E71815">
            <w:pPr>
              <w:spacing w:line="280" w:lineRule="exact"/>
              <w:jc w:val="right"/>
              <w:rPr>
                <w:rFonts w:cs="宋体" w:hint="default"/>
                <w:color w:val="000000"/>
                <w:kern w:val="2"/>
                <w:sz w:val="16"/>
                <w:szCs w:val="16"/>
              </w:rPr>
            </w:pPr>
          </w:p>
        </w:tc>
      </w:tr>
      <w:tr w:rsidR="00E71815">
        <w:trPr>
          <w:trHeight w:val="389"/>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6.98</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E71815">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E71815">
            <w:pPr>
              <w:spacing w:line="280" w:lineRule="exact"/>
              <w:jc w:val="right"/>
              <w:rPr>
                <w:rFonts w:cs="宋体" w:hint="default"/>
                <w:color w:val="000000"/>
                <w:kern w:val="2"/>
                <w:sz w:val="16"/>
                <w:szCs w:val="16"/>
              </w:rPr>
            </w:pPr>
          </w:p>
        </w:tc>
      </w:tr>
      <w:tr w:rsidR="00E71815">
        <w:trPr>
          <w:trHeight w:val="389"/>
        </w:trPr>
        <w:tc>
          <w:tcPr>
            <w:tcW w:w="317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A950AC">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A950AC">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8.79</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71815" w:rsidRDefault="00E71815">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bottom"/>
          </w:tcPr>
          <w:p w:rsidR="00E71815" w:rsidRDefault="00E71815">
            <w:pPr>
              <w:spacing w:line="280" w:lineRule="exact"/>
              <w:jc w:val="right"/>
              <w:rPr>
                <w:rFonts w:cs="宋体" w:hint="default"/>
                <w:color w:val="000000"/>
                <w:sz w:val="16"/>
                <w:szCs w:val="16"/>
              </w:rPr>
            </w:pPr>
          </w:p>
        </w:tc>
      </w:tr>
    </w:tbl>
    <w:p w:rsidR="00E71815" w:rsidRDefault="00A950A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E71815">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555" w:rsidRDefault="00F33555">
      <w:pPr>
        <w:rPr>
          <w:rFonts w:hint="default"/>
        </w:rPr>
      </w:pPr>
      <w:r>
        <w:separator/>
      </w:r>
    </w:p>
  </w:endnote>
  <w:endnote w:type="continuationSeparator" w:id="0">
    <w:p w:rsidR="00F33555" w:rsidRDefault="00F3355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AC" w:rsidRDefault="00A950AC">
    <w:pPr>
      <w:pStyle w:val="a6"/>
      <w:rPr>
        <w:rFonts w:hint="default"/>
      </w:rPr>
    </w:pPr>
    <w:r>
      <w:rPr>
        <w:rFonts w:hint="default"/>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950AC" w:rsidRDefault="00A950AC">
                          <w:pPr>
                            <w:pStyle w:val="a6"/>
                            <w:rPr>
                              <w:rFonts w:hint="default"/>
                            </w:rPr>
                          </w:pPr>
                          <w:r>
                            <w:fldChar w:fldCharType="begin"/>
                          </w:r>
                          <w:r>
                            <w:instrText xml:space="preserve"> PAGE  \* MERGEFORMAT </w:instrText>
                          </w:r>
                          <w:r>
                            <w:fldChar w:fldCharType="separate"/>
                          </w:r>
                          <w:r w:rsidR="00AE3B1A">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A950AC" w:rsidRDefault="00A950AC">
                    <w:pPr>
                      <w:pStyle w:val="a6"/>
                      <w:rPr>
                        <w:rFonts w:hint="default"/>
                      </w:rPr>
                    </w:pPr>
                    <w:r>
                      <w:fldChar w:fldCharType="begin"/>
                    </w:r>
                    <w:r>
                      <w:instrText xml:space="preserve"> PAGE  \* MERGEFORMAT </w:instrText>
                    </w:r>
                    <w:r>
                      <w:fldChar w:fldCharType="separate"/>
                    </w:r>
                    <w:r w:rsidR="00AE3B1A">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AC" w:rsidRDefault="00A950AC">
    <w:pPr>
      <w:pStyle w:val="a6"/>
      <w:jc w:val="both"/>
      <w:rPr>
        <w:rFonts w:hint="default"/>
      </w:rPr>
    </w:pP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950AC" w:rsidRDefault="00A950AC">
                          <w:pPr>
                            <w:pStyle w:val="a6"/>
                            <w:rPr>
                              <w:rFonts w:hint="default"/>
                            </w:rPr>
                          </w:pPr>
                          <w:r>
                            <w:t xml:space="preserve"> </w:t>
                          </w:r>
                          <w:r>
                            <w:fldChar w:fldCharType="begin"/>
                          </w:r>
                          <w:r>
                            <w:instrText>PAGE   \* MERGEFORMAT</w:instrText>
                          </w:r>
                          <w:r>
                            <w:fldChar w:fldCharType="separate"/>
                          </w:r>
                          <w:r w:rsidR="00AE3B1A" w:rsidRPr="00AE3B1A">
                            <w:rPr>
                              <w:rFonts w:hint="default"/>
                              <w:noProof/>
                              <w:lang w:val="zh-CN"/>
                            </w:rPr>
                            <w:t>-</w:t>
                          </w:r>
                          <w:r w:rsidR="00AE3B1A">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A950AC" w:rsidRDefault="00A950AC">
                    <w:pPr>
                      <w:pStyle w:val="a6"/>
                      <w:rPr>
                        <w:rFonts w:hint="default"/>
                      </w:rPr>
                    </w:pPr>
                    <w:r>
                      <w:t xml:space="preserve"> </w:t>
                    </w:r>
                    <w:r>
                      <w:fldChar w:fldCharType="begin"/>
                    </w:r>
                    <w:r>
                      <w:instrText>PAGE   \* MERGEFORMAT</w:instrText>
                    </w:r>
                    <w:r>
                      <w:fldChar w:fldCharType="separate"/>
                    </w:r>
                    <w:r w:rsidR="00AE3B1A" w:rsidRPr="00AE3B1A">
                      <w:rPr>
                        <w:rFonts w:hint="default"/>
                        <w:noProof/>
                        <w:lang w:val="zh-CN"/>
                      </w:rPr>
                      <w:t>-</w:t>
                    </w:r>
                    <w:r w:rsidR="00AE3B1A">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A950AC" w:rsidRDefault="00A950AC">
                          <w:pPr>
                            <w:pStyle w:val="a6"/>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555" w:rsidRDefault="00F33555">
      <w:pPr>
        <w:rPr>
          <w:rFonts w:hint="default"/>
        </w:rPr>
      </w:pPr>
      <w:r>
        <w:separator/>
      </w:r>
    </w:p>
  </w:footnote>
  <w:footnote w:type="continuationSeparator" w:id="0">
    <w:p w:rsidR="00F33555" w:rsidRDefault="00F33555">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AC" w:rsidRDefault="00A950AC">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53BE7"/>
    <w:rsid w:val="0009148E"/>
    <w:rsid w:val="000B30AD"/>
    <w:rsid w:val="001374BF"/>
    <w:rsid w:val="00180707"/>
    <w:rsid w:val="00182B44"/>
    <w:rsid w:val="001D3BB7"/>
    <w:rsid w:val="001F1543"/>
    <w:rsid w:val="0027311A"/>
    <w:rsid w:val="002A1CE2"/>
    <w:rsid w:val="002A3D6B"/>
    <w:rsid w:val="002B254B"/>
    <w:rsid w:val="002F4F24"/>
    <w:rsid w:val="0034050A"/>
    <w:rsid w:val="003C4634"/>
    <w:rsid w:val="0044504F"/>
    <w:rsid w:val="00466C9B"/>
    <w:rsid w:val="00486CFC"/>
    <w:rsid w:val="00491DDD"/>
    <w:rsid w:val="004E594E"/>
    <w:rsid w:val="004F02E6"/>
    <w:rsid w:val="00550ABE"/>
    <w:rsid w:val="00594C63"/>
    <w:rsid w:val="005E7A18"/>
    <w:rsid w:val="00620D80"/>
    <w:rsid w:val="00623A85"/>
    <w:rsid w:val="00657974"/>
    <w:rsid w:val="0067401A"/>
    <w:rsid w:val="006E68F8"/>
    <w:rsid w:val="007237F3"/>
    <w:rsid w:val="00753E86"/>
    <w:rsid w:val="00770383"/>
    <w:rsid w:val="007819D4"/>
    <w:rsid w:val="007B419D"/>
    <w:rsid w:val="007B7C4B"/>
    <w:rsid w:val="007D3D39"/>
    <w:rsid w:val="007E1D13"/>
    <w:rsid w:val="00804C4E"/>
    <w:rsid w:val="00873D0E"/>
    <w:rsid w:val="008C4AFF"/>
    <w:rsid w:val="00984C6A"/>
    <w:rsid w:val="00994AF7"/>
    <w:rsid w:val="009B67B8"/>
    <w:rsid w:val="009C14C9"/>
    <w:rsid w:val="009D2B67"/>
    <w:rsid w:val="009E1452"/>
    <w:rsid w:val="00A566F9"/>
    <w:rsid w:val="00A74F46"/>
    <w:rsid w:val="00A950AC"/>
    <w:rsid w:val="00AE3B1A"/>
    <w:rsid w:val="00AF2751"/>
    <w:rsid w:val="00B03CCD"/>
    <w:rsid w:val="00B10111"/>
    <w:rsid w:val="00B21BB2"/>
    <w:rsid w:val="00B96C58"/>
    <w:rsid w:val="00BE2B89"/>
    <w:rsid w:val="00BF0D89"/>
    <w:rsid w:val="00C10E9E"/>
    <w:rsid w:val="00C20C3E"/>
    <w:rsid w:val="00C5163E"/>
    <w:rsid w:val="00C92467"/>
    <w:rsid w:val="00CD23EE"/>
    <w:rsid w:val="00CF2ACF"/>
    <w:rsid w:val="00D03AAF"/>
    <w:rsid w:val="00D3005C"/>
    <w:rsid w:val="00D74682"/>
    <w:rsid w:val="00DD0539"/>
    <w:rsid w:val="00E07662"/>
    <w:rsid w:val="00E368E9"/>
    <w:rsid w:val="00E63060"/>
    <w:rsid w:val="00E71815"/>
    <w:rsid w:val="00EA3FAF"/>
    <w:rsid w:val="00EE1E33"/>
    <w:rsid w:val="00F33555"/>
    <w:rsid w:val="00F7365A"/>
    <w:rsid w:val="00F73F90"/>
    <w:rsid w:val="00FB4B3B"/>
    <w:rsid w:val="01474EBF"/>
    <w:rsid w:val="01F3521E"/>
    <w:rsid w:val="02CA2BB0"/>
    <w:rsid w:val="03B87EA0"/>
    <w:rsid w:val="03E3214F"/>
    <w:rsid w:val="044C50BA"/>
    <w:rsid w:val="04C557D2"/>
    <w:rsid w:val="05BC6D49"/>
    <w:rsid w:val="06194FF1"/>
    <w:rsid w:val="06A2550B"/>
    <w:rsid w:val="06A3058A"/>
    <w:rsid w:val="06F80EE2"/>
    <w:rsid w:val="07001CCA"/>
    <w:rsid w:val="07322C5F"/>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A804B5"/>
    <w:rsid w:val="0BF2311A"/>
    <w:rsid w:val="0C7927C4"/>
    <w:rsid w:val="0C9B098C"/>
    <w:rsid w:val="0CB67135"/>
    <w:rsid w:val="0D673E11"/>
    <w:rsid w:val="0D904766"/>
    <w:rsid w:val="0DDA54E4"/>
    <w:rsid w:val="0E3A5F83"/>
    <w:rsid w:val="0F836721"/>
    <w:rsid w:val="0FA25D96"/>
    <w:rsid w:val="100C714D"/>
    <w:rsid w:val="107B59E5"/>
    <w:rsid w:val="10B90F1F"/>
    <w:rsid w:val="10CC488F"/>
    <w:rsid w:val="10EC0126"/>
    <w:rsid w:val="10F70B9A"/>
    <w:rsid w:val="111445C7"/>
    <w:rsid w:val="114278C6"/>
    <w:rsid w:val="1158083A"/>
    <w:rsid w:val="11643A4B"/>
    <w:rsid w:val="11ED0F98"/>
    <w:rsid w:val="11F03528"/>
    <w:rsid w:val="12C921C4"/>
    <w:rsid w:val="12E614AA"/>
    <w:rsid w:val="13871C70"/>
    <w:rsid w:val="13A71CB4"/>
    <w:rsid w:val="13AF1D43"/>
    <w:rsid w:val="13CE1647"/>
    <w:rsid w:val="13FD55AB"/>
    <w:rsid w:val="14200702"/>
    <w:rsid w:val="1429086F"/>
    <w:rsid w:val="14370EA1"/>
    <w:rsid w:val="145F5D44"/>
    <w:rsid w:val="15E16F83"/>
    <w:rsid w:val="163A6CEE"/>
    <w:rsid w:val="173708E3"/>
    <w:rsid w:val="17C374FC"/>
    <w:rsid w:val="17DA2998"/>
    <w:rsid w:val="182E4AB6"/>
    <w:rsid w:val="189079DC"/>
    <w:rsid w:val="189B0D0B"/>
    <w:rsid w:val="18B43F7C"/>
    <w:rsid w:val="191C433B"/>
    <w:rsid w:val="194A1770"/>
    <w:rsid w:val="19B906A4"/>
    <w:rsid w:val="1B6F15B6"/>
    <w:rsid w:val="1BAA2EDC"/>
    <w:rsid w:val="1C9E0A58"/>
    <w:rsid w:val="1CA55E64"/>
    <w:rsid w:val="1CC47E21"/>
    <w:rsid w:val="1D014A01"/>
    <w:rsid w:val="1D022362"/>
    <w:rsid w:val="1D1B04B0"/>
    <w:rsid w:val="1DA52501"/>
    <w:rsid w:val="1DBD6767"/>
    <w:rsid w:val="1DC52125"/>
    <w:rsid w:val="1DD26311"/>
    <w:rsid w:val="1E374ACB"/>
    <w:rsid w:val="1E676C24"/>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67E1101"/>
    <w:rsid w:val="27167136"/>
    <w:rsid w:val="271B442C"/>
    <w:rsid w:val="276F4985"/>
    <w:rsid w:val="27B23302"/>
    <w:rsid w:val="29310A5F"/>
    <w:rsid w:val="29C37A35"/>
    <w:rsid w:val="2A076083"/>
    <w:rsid w:val="2A73162E"/>
    <w:rsid w:val="2AD433C0"/>
    <w:rsid w:val="2B167953"/>
    <w:rsid w:val="2B200583"/>
    <w:rsid w:val="2B2729C0"/>
    <w:rsid w:val="2B8209DE"/>
    <w:rsid w:val="2B821C91"/>
    <w:rsid w:val="2BB52A91"/>
    <w:rsid w:val="2BF81A22"/>
    <w:rsid w:val="2C49208D"/>
    <w:rsid w:val="2C636760"/>
    <w:rsid w:val="2C6762A3"/>
    <w:rsid w:val="2DA20521"/>
    <w:rsid w:val="2DBD5517"/>
    <w:rsid w:val="2E3206F3"/>
    <w:rsid w:val="2FCA4B37"/>
    <w:rsid w:val="2FE029D7"/>
    <w:rsid w:val="2FF06E00"/>
    <w:rsid w:val="3019745A"/>
    <w:rsid w:val="30586FEC"/>
    <w:rsid w:val="315F0B22"/>
    <w:rsid w:val="31A15828"/>
    <w:rsid w:val="31A65345"/>
    <w:rsid w:val="31D84415"/>
    <w:rsid w:val="32285F6F"/>
    <w:rsid w:val="32770556"/>
    <w:rsid w:val="329C0913"/>
    <w:rsid w:val="32AA0460"/>
    <w:rsid w:val="3337290D"/>
    <w:rsid w:val="33E31118"/>
    <w:rsid w:val="33EF7674"/>
    <w:rsid w:val="342D7BC6"/>
    <w:rsid w:val="34F15B5C"/>
    <w:rsid w:val="352930DB"/>
    <w:rsid w:val="35573069"/>
    <w:rsid w:val="355F6038"/>
    <w:rsid w:val="358C217E"/>
    <w:rsid w:val="36C9128A"/>
    <w:rsid w:val="37295715"/>
    <w:rsid w:val="37841E99"/>
    <w:rsid w:val="37BF1123"/>
    <w:rsid w:val="383C3F15"/>
    <w:rsid w:val="38BE4696"/>
    <w:rsid w:val="3939115E"/>
    <w:rsid w:val="39B82A39"/>
    <w:rsid w:val="39C42CA8"/>
    <w:rsid w:val="39DC4FD6"/>
    <w:rsid w:val="39F03D7A"/>
    <w:rsid w:val="39F33306"/>
    <w:rsid w:val="3A2C1C67"/>
    <w:rsid w:val="3A575A39"/>
    <w:rsid w:val="3A6A77C9"/>
    <w:rsid w:val="3A903E3F"/>
    <w:rsid w:val="3ADD7F09"/>
    <w:rsid w:val="3B1705E5"/>
    <w:rsid w:val="3B18334B"/>
    <w:rsid w:val="3B36794F"/>
    <w:rsid w:val="3B6F6EE0"/>
    <w:rsid w:val="3C566AD6"/>
    <w:rsid w:val="3C594871"/>
    <w:rsid w:val="3C6A5B02"/>
    <w:rsid w:val="3CB714A4"/>
    <w:rsid w:val="3D083B3A"/>
    <w:rsid w:val="3D2757A1"/>
    <w:rsid w:val="3D3D4FC4"/>
    <w:rsid w:val="3DDF3AB1"/>
    <w:rsid w:val="3E1D0952"/>
    <w:rsid w:val="3E42660A"/>
    <w:rsid w:val="3E7555B1"/>
    <w:rsid w:val="3E787ED9"/>
    <w:rsid w:val="3EDE1DDE"/>
    <w:rsid w:val="3F032E93"/>
    <w:rsid w:val="3F0527E5"/>
    <w:rsid w:val="3F4C52C6"/>
    <w:rsid w:val="3F694D83"/>
    <w:rsid w:val="3F885DCC"/>
    <w:rsid w:val="3FCD675E"/>
    <w:rsid w:val="4004000C"/>
    <w:rsid w:val="40760DD1"/>
    <w:rsid w:val="40930E48"/>
    <w:rsid w:val="40BD5482"/>
    <w:rsid w:val="40E321C8"/>
    <w:rsid w:val="411B6CE5"/>
    <w:rsid w:val="412070D7"/>
    <w:rsid w:val="41314E40"/>
    <w:rsid w:val="41D70F83"/>
    <w:rsid w:val="41E0734B"/>
    <w:rsid w:val="41FF7808"/>
    <w:rsid w:val="426C1EA8"/>
    <w:rsid w:val="42736402"/>
    <w:rsid w:val="428547FC"/>
    <w:rsid w:val="42E86A87"/>
    <w:rsid w:val="43307B09"/>
    <w:rsid w:val="439A3EB9"/>
    <w:rsid w:val="43BA7BB2"/>
    <w:rsid w:val="43BB152F"/>
    <w:rsid w:val="44C37687"/>
    <w:rsid w:val="45862436"/>
    <w:rsid w:val="45CB699A"/>
    <w:rsid w:val="46423C66"/>
    <w:rsid w:val="465B470D"/>
    <w:rsid w:val="469D6AD4"/>
    <w:rsid w:val="471E6C84"/>
    <w:rsid w:val="472E72DB"/>
    <w:rsid w:val="4748792B"/>
    <w:rsid w:val="475D719D"/>
    <w:rsid w:val="47674801"/>
    <w:rsid w:val="48225EF7"/>
    <w:rsid w:val="488F422B"/>
    <w:rsid w:val="48E36915"/>
    <w:rsid w:val="48EB6572"/>
    <w:rsid w:val="495C4A24"/>
    <w:rsid w:val="497135DF"/>
    <w:rsid w:val="49F44C5D"/>
    <w:rsid w:val="4A263DF2"/>
    <w:rsid w:val="4A2F278B"/>
    <w:rsid w:val="4A6F6675"/>
    <w:rsid w:val="4AE8007B"/>
    <w:rsid w:val="4B135857"/>
    <w:rsid w:val="4B7951CB"/>
    <w:rsid w:val="4B7C315C"/>
    <w:rsid w:val="4D1F53CA"/>
    <w:rsid w:val="4DAC4ACA"/>
    <w:rsid w:val="4DBE01D2"/>
    <w:rsid w:val="4EFD467F"/>
    <w:rsid w:val="4F0C6BA3"/>
    <w:rsid w:val="4F186D58"/>
    <w:rsid w:val="4F2218CB"/>
    <w:rsid w:val="4F4C0F2D"/>
    <w:rsid w:val="4FFE7F08"/>
    <w:rsid w:val="502D3C09"/>
    <w:rsid w:val="50484693"/>
    <w:rsid w:val="504B6EAA"/>
    <w:rsid w:val="50F06B6E"/>
    <w:rsid w:val="51064DCD"/>
    <w:rsid w:val="51D21804"/>
    <w:rsid w:val="52234D33"/>
    <w:rsid w:val="52256C58"/>
    <w:rsid w:val="522F6E0C"/>
    <w:rsid w:val="52463BA1"/>
    <w:rsid w:val="52F163D4"/>
    <w:rsid w:val="531A2DB4"/>
    <w:rsid w:val="53C0244D"/>
    <w:rsid w:val="53C42FC5"/>
    <w:rsid w:val="53DD4D4E"/>
    <w:rsid w:val="53E578CE"/>
    <w:rsid w:val="541330F0"/>
    <w:rsid w:val="54272666"/>
    <w:rsid w:val="543B029D"/>
    <w:rsid w:val="54861779"/>
    <w:rsid w:val="54D839F6"/>
    <w:rsid w:val="55084A4C"/>
    <w:rsid w:val="552256E1"/>
    <w:rsid w:val="554E5773"/>
    <w:rsid w:val="555829E0"/>
    <w:rsid w:val="555A3CBC"/>
    <w:rsid w:val="5582012B"/>
    <w:rsid w:val="558E4E05"/>
    <w:rsid w:val="55BE2E85"/>
    <w:rsid w:val="56530F5D"/>
    <w:rsid w:val="567700D3"/>
    <w:rsid w:val="5698025D"/>
    <w:rsid w:val="56FF7E9E"/>
    <w:rsid w:val="577848CC"/>
    <w:rsid w:val="578867FC"/>
    <w:rsid w:val="580A3393"/>
    <w:rsid w:val="5842572D"/>
    <w:rsid w:val="58DB42F7"/>
    <w:rsid w:val="5A270741"/>
    <w:rsid w:val="5A3B59D6"/>
    <w:rsid w:val="5AD134D8"/>
    <w:rsid w:val="5B30137B"/>
    <w:rsid w:val="5BF41F67"/>
    <w:rsid w:val="5C263CE4"/>
    <w:rsid w:val="5C5D2777"/>
    <w:rsid w:val="5CED61D0"/>
    <w:rsid w:val="5CF66BF3"/>
    <w:rsid w:val="5D290C69"/>
    <w:rsid w:val="5D81321F"/>
    <w:rsid w:val="5DA80C2C"/>
    <w:rsid w:val="5F2D4A41"/>
    <w:rsid w:val="5F5A2D7A"/>
    <w:rsid w:val="60864B2C"/>
    <w:rsid w:val="60C74F6C"/>
    <w:rsid w:val="61015958"/>
    <w:rsid w:val="61025A59"/>
    <w:rsid w:val="61211ABC"/>
    <w:rsid w:val="613D5BBC"/>
    <w:rsid w:val="61536C39"/>
    <w:rsid w:val="61A50312"/>
    <w:rsid w:val="61B51452"/>
    <w:rsid w:val="61FA21A7"/>
    <w:rsid w:val="62944DD7"/>
    <w:rsid w:val="6319381F"/>
    <w:rsid w:val="63C25DC5"/>
    <w:rsid w:val="63C62057"/>
    <w:rsid w:val="64571EF5"/>
    <w:rsid w:val="64FB113D"/>
    <w:rsid w:val="65580D77"/>
    <w:rsid w:val="656152C6"/>
    <w:rsid w:val="6587477F"/>
    <w:rsid w:val="658C3A08"/>
    <w:rsid w:val="65C031CA"/>
    <w:rsid w:val="65CE6852"/>
    <w:rsid w:val="66267C04"/>
    <w:rsid w:val="66337D31"/>
    <w:rsid w:val="663F505A"/>
    <w:rsid w:val="66441226"/>
    <w:rsid w:val="666C2D2F"/>
    <w:rsid w:val="66AF5D7C"/>
    <w:rsid w:val="66EE5541"/>
    <w:rsid w:val="67924660"/>
    <w:rsid w:val="67DF3BC2"/>
    <w:rsid w:val="68085D50"/>
    <w:rsid w:val="68407834"/>
    <w:rsid w:val="6883293E"/>
    <w:rsid w:val="688412AD"/>
    <w:rsid w:val="68EB1B71"/>
    <w:rsid w:val="696C0310"/>
    <w:rsid w:val="6A0F2B5F"/>
    <w:rsid w:val="6A3E0D2A"/>
    <w:rsid w:val="6A6C7940"/>
    <w:rsid w:val="6A8479F8"/>
    <w:rsid w:val="6A9F1565"/>
    <w:rsid w:val="6AAD2300"/>
    <w:rsid w:val="6B474EF5"/>
    <w:rsid w:val="6B4F3CA9"/>
    <w:rsid w:val="6BC938E5"/>
    <w:rsid w:val="6C0A5AC5"/>
    <w:rsid w:val="6C560CAE"/>
    <w:rsid w:val="6C576495"/>
    <w:rsid w:val="6D903FF5"/>
    <w:rsid w:val="6DA955B8"/>
    <w:rsid w:val="6DE346AB"/>
    <w:rsid w:val="6DE5391A"/>
    <w:rsid w:val="6EFD1324"/>
    <w:rsid w:val="6F41231C"/>
    <w:rsid w:val="6F5A53AC"/>
    <w:rsid w:val="6FAC003D"/>
    <w:rsid w:val="6FD926BF"/>
    <w:rsid w:val="6FE55E12"/>
    <w:rsid w:val="6FF32E05"/>
    <w:rsid w:val="6FFB2E76"/>
    <w:rsid w:val="70237187"/>
    <w:rsid w:val="708F6F7F"/>
    <w:rsid w:val="70D94BD3"/>
    <w:rsid w:val="71574775"/>
    <w:rsid w:val="71C34D91"/>
    <w:rsid w:val="71CC6D04"/>
    <w:rsid w:val="72D466F0"/>
    <w:rsid w:val="72DB435C"/>
    <w:rsid w:val="72E2613A"/>
    <w:rsid w:val="72F771F4"/>
    <w:rsid w:val="731B0858"/>
    <w:rsid w:val="73934AD2"/>
    <w:rsid w:val="73B12CD9"/>
    <w:rsid w:val="746F6492"/>
    <w:rsid w:val="750837F0"/>
    <w:rsid w:val="754758CF"/>
    <w:rsid w:val="75595ECD"/>
    <w:rsid w:val="75FD1BD2"/>
    <w:rsid w:val="764F62AB"/>
    <w:rsid w:val="765C45EC"/>
    <w:rsid w:val="768A7619"/>
    <w:rsid w:val="76974B9D"/>
    <w:rsid w:val="76BD23AB"/>
    <w:rsid w:val="77162120"/>
    <w:rsid w:val="772E1EBA"/>
    <w:rsid w:val="774140F6"/>
    <w:rsid w:val="77444BE6"/>
    <w:rsid w:val="77F6687E"/>
    <w:rsid w:val="781926BC"/>
    <w:rsid w:val="78DF7D46"/>
    <w:rsid w:val="796D60A4"/>
    <w:rsid w:val="79A031D5"/>
    <w:rsid w:val="79B47FDF"/>
    <w:rsid w:val="79E569A9"/>
    <w:rsid w:val="7A1525F7"/>
    <w:rsid w:val="7B420052"/>
    <w:rsid w:val="7BCB336F"/>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 w:type="paragraph" w:customStyle="1" w:styleId="11">
    <w:name w:val="普通(网站)1"/>
    <w:basedOn w:val="a"/>
    <w:qFormat/>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10">
    <w:name w:val="列表段落1"/>
    <w:basedOn w:val="a"/>
    <w:uiPriority w:val="99"/>
    <w:qFormat/>
    <w:pPr>
      <w:ind w:firstLineChars="200" w:firstLine="420"/>
    </w:pPr>
  </w:style>
  <w:style w:type="paragraph" w:customStyle="1" w:styleId="11">
    <w:name w:val="普通(网站)1"/>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2034</Words>
  <Characters>11597</Characters>
  <Application>Microsoft Office Word</Application>
  <DocSecurity>0</DocSecurity>
  <Lines>96</Lines>
  <Paragraphs>27</Paragraphs>
  <ScaleCrop>false</ScaleCrop>
  <Company>Microsoft</Company>
  <LinksUpToDate>false</LinksUpToDate>
  <CharactersWithSpaces>13604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44</cp:revision>
  <dcterms:created xsi:type="dcterms:W3CDTF">2024-07-11T02:00:00Z</dcterms:created>
  <dcterms:modified xsi:type="dcterms:W3CDTF">2025-11-03T07:19:00Z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CC9E504AF2DF46499278CD6DE21E6BBC</vt:lpwstr>
  </property>
</Properties>
</file>