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1E5" w:rsidRDefault="002C11E5">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rPr>
      </w:pPr>
    </w:p>
    <w:p w:rsidR="002C11E5" w:rsidRDefault="00861A06">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重庆科学城新凤小学校</w:t>
      </w:r>
    </w:p>
    <w:p w:rsidR="002C11E5" w:rsidRDefault="00861A06">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2C11E5" w:rsidRDefault="002C11E5">
      <w:pPr>
        <w:pStyle w:val="a8"/>
        <w:widowControl w:val="0"/>
        <w:spacing w:before="0" w:beforeAutospacing="0" w:after="0" w:afterAutospacing="0" w:line="600" w:lineRule="exact"/>
        <w:jc w:val="center"/>
        <w:rPr>
          <w:rFonts w:ascii="方正小标宋_GBK" w:eastAsia="方正小标宋_GBK" w:hAnsi="方正小标宋_GBK" w:cs="方正小标宋_GBK" w:hint="default"/>
          <w:sz w:val="44"/>
          <w:szCs w:val="44"/>
          <w:shd w:val="clear" w:color="auto" w:fill="FFFFFF"/>
        </w:rPr>
      </w:pP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一、单位基本情况</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（一）职能职责</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eastAsia="方正仿宋_GBK"/>
          <w:sz w:val="32"/>
          <w:szCs w:val="32"/>
        </w:rPr>
        <w:t>我校现行的职能职责：实施普通小学义务教育，促进学生全面发展。开展教育教学工作；开展学校德育工作；开展学校体育、卫生、艺术工作；负责学校行政管理工作；开展对外交流工作；维护校园安全，提供后勤保障服务及按政策规定开展学前教育。</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（二）机构设置</w:t>
      </w:r>
    </w:p>
    <w:p w:rsidR="002C11E5" w:rsidRDefault="00861A06">
      <w:pPr>
        <w:widowControl w:val="0"/>
        <w:spacing w:line="600" w:lineRule="exact"/>
        <w:ind w:firstLineChars="200" w:firstLine="640"/>
        <w:rPr>
          <w:rFonts w:ascii="方正仿宋_GBK" w:eastAsia="方正仿宋_GBK" w:cs="宋体" w:hint="default"/>
          <w:sz w:val="32"/>
          <w:szCs w:val="32"/>
        </w:rPr>
      </w:pPr>
      <w:r>
        <w:rPr>
          <w:rFonts w:eastAsia="方正仿宋_GBK"/>
          <w:sz w:val="32"/>
          <w:szCs w:val="32"/>
        </w:rPr>
        <w:t>我校为独立核算的全额财政拨款事业单位。本部门下设机构</w:t>
      </w:r>
      <w:r>
        <w:rPr>
          <w:rFonts w:eastAsia="方正仿宋_GBK"/>
          <w:sz w:val="32"/>
          <w:szCs w:val="32"/>
        </w:rPr>
        <w:t>有</w:t>
      </w:r>
      <w:r>
        <w:rPr>
          <w:rFonts w:eastAsia="方正仿宋_GBK"/>
          <w:sz w:val="32"/>
          <w:szCs w:val="32"/>
        </w:rPr>
        <w:t>教导处</w:t>
      </w:r>
      <w:r>
        <w:rPr>
          <w:rFonts w:eastAsia="方正仿宋_GBK"/>
          <w:sz w:val="32"/>
          <w:szCs w:val="32"/>
        </w:rPr>
        <w:t>、</w:t>
      </w:r>
      <w:r>
        <w:rPr>
          <w:rFonts w:eastAsia="方正仿宋_GBK"/>
          <w:sz w:val="32"/>
          <w:szCs w:val="32"/>
        </w:rPr>
        <w:t>教科室、德育处、少队部、后勤处、办公室、</w:t>
      </w:r>
      <w:r>
        <w:rPr>
          <w:rFonts w:eastAsia="方正仿宋_GBK"/>
          <w:sz w:val="32"/>
          <w:szCs w:val="32"/>
        </w:rPr>
        <w:t>财务室、</w:t>
      </w:r>
      <w:r>
        <w:rPr>
          <w:rFonts w:eastAsia="方正仿宋_GBK"/>
          <w:sz w:val="32"/>
          <w:szCs w:val="32"/>
        </w:rPr>
        <w:t>幼儿园，无二级单位。</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二、单位决算收支情况说明</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（一）收入支出决算总体情况说明</w:t>
      </w:r>
    </w:p>
    <w:p w:rsidR="002C11E5" w:rsidRDefault="00861A06">
      <w:pPr>
        <w:pStyle w:val="a8"/>
        <w:widowControl w:val="0"/>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2925.49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587.12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年教职工社保工资调标、增加运动操场维修、体育项目经费增加等</w:t>
      </w:r>
      <w:r>
        <w:rPr>
          <w:rFonts w:eastAsia="方正仿宋_GBK"/>
          <w:sz w:val="32"/>
          <w:szCs w:val="32"/>
        </w:rPr>
        <w:t>所致。</w:t>
      </w:r>
    </w:p>
    <w:p w:rsidR="002C11E5" w:rsidRDefault="00861A06" w:rsidP="0015398C">
      <w:pPr>
        <w:pStyle w:val="a8"/>
        <w:widowControl w:val="0"/>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2925.49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lastRenderedPageBreak/>
        <w:t>度相比，增加</w:t>
      </w:r>
      <w:r>
        <w:rPr>
          <w:rFonts w:ascii="Times New Roman" w:eastAsia="方正仿宋_GBK" w:hAnsi="Times New Roman" w:hint="default"/>
          <w:sz w:val="32"/>
          <w:szCs w:val="32"/>
          <w:shd w:val="clear" w:color="auto" w:fill="FFFFFF"/>
        </w:rPr>
        <w:t>587.12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年教职工社保工资调标、增加运动操场维修、体育项目经费增加等</w:t>
      </w:r>
      <w:r>
        <w:rPr>
          <w:rFonts w:eastAsia="方正仿宋_GBK"/>
          <w:sz w:val="32"/>
          <w:szCs w:val="32"/>
        </w:rPr>
        <w:t>所致。</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2836.07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96.9%</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89.43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2C11E5" w:rsidRDefault="00861A06" w:rsidP="0015398C">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2925.49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587.12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25.1%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年教职工社保工资调标、增加运动操场维修、体育项目经费增加等</w:t>
      </w:r>
      <w:r>
        <w:rPr>
          <w:rFonts w:eastAsia="方正仿宋_GBK"/>
          <w:sz w:val="32"/>
          <w:szCs w:val="32"/>
        </w:rPr>
        <w:t>所致。</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2563.13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87.6%</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362.36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12.4%</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2C11E5" w:rsidRDefault="00861A06" w:rsidP="0015398C">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eastAsia="方正仿宋_GBK"/>
          <w:sz w:val="32"/>
          <w:szCs w:val="32"/>
        </w:rPr>
        <w:t>2024</w:t>
      </w:r>
      <w:r>
        <w:rPr>
          <w:rFonts w:eastAsia="方正仿宋_GBK"/>
          <w:sz w:val="32"/>
          <w:szCs w:val="32"/>
        </w:rPr>
        <w:t>年度年末结转和结余无结余情况</w:t>
      </w:r>
      <w:r>
        <w:rPr>
          <w:rFonts w:eastAsia="方正仿宋_GBK"/>
          <w:sz w:val="32"/>
          <w:szCs w:val="32"/>
        </w:rPr>
        <w:t>。</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（二）财政拨款收入支出决算总体情况说明</w:t>
      </w:r>
    </w:p>
    <w:p w:rsidR="002C11E5" w:rsidRDefault="00861A06">
      <w:pPr>
        <w:pStyle w:val="a8"/>
        <w:widowControl w:val="0"/>
        <w:snapToGrid w:val="0"/>
        <w:spacing w:before="0" w:beforeAutospacing="0" w:after="0" w:afterAutospacing="0" w:line="600" w:lineRule="exact"/>
        <w:ind w:firstLineChars="200" w:firstLine="640"/>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2836.07</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560.5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24.6%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年教职工社保工资调标、增加运动操场维修、体育项目经费增加等</w:t>
      </w:r>
      <w:r>
        <w:rPr>
          <w:rFonts w:eastAsia="方正仿宋_GBK"/>
          <w:sz w:val="32"/>
          <w:szCs w:val="32"/>
        </w:rPr>
        <w:t>所致</w:t>
      </w:r>
      <w:r>
        <w:rPr>
          <w:rFonts w:eastAsia="方正仿宋_GBK"/>
          <w:sz w:val="32"/>
          <w:szCs w:val="32"/>
        </w:rPr>
        <w:t>。</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（三）一般公共预算财政拨款收入支出决算情况说明</w:t>
      </w:r>
    </w:p>
    <w:p w:rsidR="002C11E5" w:rsidRDefault="00861A06" w:rsidP="0015398C">
      <w:pPr>
        <w:pStyle w:val="a8"/>
        <w:widowControl w:val="0"/>
        <w:snapToGrid w:val="0"/>
        <w:spacing w:before="0" w:beforeAutospacing="0" w:after="0" w:afterAutospacing="0" w:line="600" w:lineRule="exact"/>
        <w:ind w:firstLineChars="200" w:firstLine="643"/>
        <w:rPr>
          <w:rFonts w:ascii="方正仿宋_GBK" w:eastAsia="方正仿宋_GBK" w:hAnsi="方正仿宋_GBK" w:cs="方正仿宋_GBK" w:hint="default"/>
          <w:sz w:val="32"/>
          <w:szCs w:val="32"/>
        </w:rPr>
      </w:pPr>
      <w:r>
        <w:rPr>
          <w:rStyle w:val="aa"/>
          <w:rFonts w:ascii="Times New Roman" w:eastAsia="方正仿宋_GBK" w:hAnsi="Times New Roman" w:hint="default"/>
          <w:sz w:val="32"/>
          <w:szCs w:val="32"/>
          <w:shd w:val="clear" w:color="auto" w:fill="FFFFFF"/>
        </w:rPr>
        <w:lastRenderedPageBreak/>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2761.08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489.51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21.6%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年教职工社保工资调标、增加运动操场维修、体育项目经费增加等</w:t>
      </w:r>
      <w:r>
        <w:rPr>
          <w:rFonts w:eastAsia="方正仿宋_GBK"/>
          <w:sz w:val="32"/>
          <w:szCs w:val="32"/>
        </w:rPr>
        <w:t>所致。</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1127.3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年中获得上级补助资金预算</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此外，年初财政拨款结转和结余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2C11E5" w:rsidRDefault="00861A06" w:rsidP="0015398C">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rPr>
      </w:pPr>
      <w:r>
        <w:rPr>
          <w:rStyle w:val="aa"/>
          <w:rFonts w:ascii="Times New Roman" w:eastAsia="方正仿宋_GBK" w:hAnsi="Times New Roman"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2761.08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489.51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21.6%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年教职工社保工资调标、增加运动操场维修、体育项目经费增加等</w:t>
      </w:r>
      <w:r>
        <w:rPr>
          <w:rFonts w:eastAsia="方正仿宋_GBK"/>
          <w:sz w:val="32"/>
          <w:szCs w:val="32"/>
        </w:rPr>
        <w:t>所致</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1127.30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69%</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rPr>
        <w:t>年中获得上级补助资金预算。</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）教育支出</w:t>
      </w:r>
      <w:r>
        <w:rPr>
          <w:rFonts w:ascii="Times New Roman" w:eastAsia="方正仿宋_GBK" w:hAnsi="Times New Roman" w:hint="default"/>
          <w:sz w:val="32"/>
          <w:szCs w:val="32"/>
          <w:shd w:val="clear" w:color="auto" w:fill="FFFFFF"/>
        </w:rPr>
        <w:t>2211.55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80.1%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1058.54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91.8%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年中获得上级补助资金预算。</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398.87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14.5%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68.46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20.7%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年在编教职工调高了社保缴费基数所致。</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78.02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0.81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年有教师退休所致。</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72.64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w:t>
      </w:r>
      <w:r>
        <w:rPr>
          <w:rFonts w:ascii="Times New Roman" w:eastAsia="方正仿宋_GBK" w:hAnsi="Times New Roman" w:hint="default"/>
          <w:sz w:val="32"/>
          <w:szCs w:val="32"/>
          <w:shd w:val="clear" w:color="auto" w:fill="FFFFFF"/>
        </w:rPr>
        <w:lastRenderedPageBreak/>
        <w:t>加</w:t>
      </w:r>
      <w:r>
        <w:rPr>
          <w:rFonts w:ascii="Times New Roman" w:eastAsia="方正仿宋_GBK" w:hAnsi="Times New Roman" w:hint="default"/>
          <w:sz w:val="32"/>
          <w:szCs w:val="32"/>
          <w:shd w:val="clear" w:color="auto" w:fill="FFFFFF"/>
        </w:rPr>
        <w:t>1.11</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年有教师退休所致。</w:t>
      </w:r>
    </w:p>
    <w:p w:rsidR="002C11E5" w:rsidRDefault="00861A06" w:rsidP="0015398C">
      <w:pPr>
        <w:pStyle w:val="a8"/>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无结转结余。</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（四）一般公共预算财政拨款基本支出决算情况说明</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2473.7</w:t>
      </w:r>
      <w:r>
        <w:rPr>
          <w:rFonts w:ascii="方正仿宋_GBK" w:eastAsia="方正仿宋_GBK" w:hAnsi="方正仿宋_GBK" w:cs="方正仿宋_GBK"/>
          <w:sz w:val="32"/>
          <w:szCs w:val="32"/>
          <w:shd w:val="clear" w:color="auto" w:fill="FFFFFF"/>
        </w:rPr>
        <w:t>万元。其中：</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2133.78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423.14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24.7%</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年教职工社保工资调标</w:t>
      </w:r>
      <w:r>
        <w:rPr>
          <w:rFonts w:ascii="方正仿宋_GBK" w:eastAsia="方正仿宋_GBK" w:hAnsi="方正仿宋_GBK" w:cs="方正仿宋_GBK"/>
          <w:sz w:val="32"/>
          <w:szCs w:val="32"/>
          <w:shd w:val="clear" w:color="auto" w:fill="FFFFFF"/>
        </w:rPr>
        <w:t>所致。</w:t>
      </w:r>
      <w:r>
        <w:rPr>
          <w:rFonts w:ascii="方正仿宋_GBK" w:eastAsia="方正仿宋_GBK" w:hAnsi="方正仿宋_GBK" w:cs="方正仿宋_GBK"/>
          <w:sz w:val="32"/>
          <w:szCs w:val="32"/>
          <w:shd w:val="clear" w:color="auto" w:fill="FFFFFF"/>
        </w:rPr>
        <w:t>人员经费用途主要包括</w:t>
      </w:r>
      <w:r>
        <w:rPr>
          <w:rFonts w:ascii="方正仿宋_GBK" w:eastAsia="方正仿宋_GBK" w:hAnsi="方正仿宋_GBK" w:cs="方正仿宋_GBK"/>
          <w:sz w:val="32"/>
          <w:szCs w:val="32"/>
          <w:shd w:val="clear" w:color="auto" w:fill="FFFFFF"/>
        </w:rPr>
        <w:t>基本工资、津贴补贴、</w:t>
      </w:r>
      <w:r>
        <w:rPr>
          <w:rFonts w:ascii="方正仿宋_GBK" w:eastAsia="方正仿宋_GBK" w:hAnsi="方正仿宋_GBK" w:cs="方正仿宋_GBK"/>
          <w:sz w:val="32"/>
          <w:szCs w:val="32"/>
          <w:shd w:val="clear" w:color="auto" w:fill="FFFFFF"/>
        </w:rPr>
        <w:t>绩效工资、社保缴费、住房公积金、退休人员生活补助等。</w:t>
      </w: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339.92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1.98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0.6%</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学生桌椅更新所致</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公用经费用途主要包括</w:t>
      </w:r>
      <w:r>
        <w:rPr>
          <w:rFonts w:ascii="方正仿宋_GBK" w:eastAsia="方正仿宋_GBK" w:hAnsi="方正仿宋_GBK" w:cs="方正仿宋_GBK"/>
          <w:sz w:val="32"/>
          <w:szCs w:val="32"/>
          <w:shd w:val="clear" w:color="auto" w:fill="FFFFFF"/>
        </w:rPr>
        <w:t>办公费、水电费、物业管理费、维修（护）费、专用材料费、劳务费、工会经费、福利费、办公设备购置等。</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（五）政府性基金预算收支决算情况说明</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74.98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70.98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1774.5%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年新</w:t>
      </w:r>
      <w:r>
        <w:rPr>
          <w:rFonts w:ascii="方正仿宋_GBK" w:eastAsia="方正仿宋_GBK" w:hAnsi="方正仿宋_GBK" w:cs="方正仿宋_GBK"/>
          <w:sz w:val="32"/>
          <w:szCs w:val="32"/>
          <w:shd w:val="clear" w:color="auto" w:fill="FFFFFF"/>
        </w:rPr>
        <w:t>增加运动操场维修、体育项目经费增加</w:t>
      </w:r>
      <w:r>
        <w:rPr>
          <w:rFonts w:ascii="方正仿宋_GBK" w:eastAsia="方正仿宋_GBK" w:hAnsi="方正仿宋_GBK" w:cs="方正仿宋_GBK"/>
          <w:sz w:val="32"/>
          <w:szCs w:val="32"/>
          <w:shd w:val="clear" w:color="auto" w:fill="FFFFFF"/>
        </w:rPr>
        <w:t>所致。</w:t>
      </w:r>
      <w:r>
        <w:rPr>
          <w:rFonts w:ascii="方正仿宋_GBK" w:eastAsia="方正仿宋_GBK" w:hAnsi="方正仿宋_GBK" w:cs="方正仿宋_GBK"/>
          <w:sz w:val="32"/>
          <w:szCs w:val="32"/>
          <w:shd w:val="clear" w:color="auto" w:fill="FFFFFF"/>
        </w:rPr>
        <w:t>本年支出</w:t>
      </w:r>
      <w:r>
        <w:rPr>
          <w:rFonts w:ascii="Times New Roman" w:eastAsia="方正仿宋_GBK" w:hAnsi="Times New Roman" w:hint="default"/>
          <w:sz w:val="32"/>
          <w:szCs w:val="32"/>
          <w:shd w:val="clear" w:color="auto" w:fill="FFFFFF"/>
        </w:rPr>
        <w:t>74.98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70.98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1774.5%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年新</w:t>
      </w:r>
      <w:r>
        <w:rPr>
          <w:rFonts w:ascii="方正仿宋_GBK" w:eastAsia="方正仿宋_GBK" w:hAnsi="方正仿宋_GBK" w:cs="方正仿宋_GBK"/>
          <w:sz w:val="32"/>
          <w:szCs w:val="32"/>
          <w:shd w:val="clear" w:color="auto" w:fill="FFFFFF"/>
        </w:rPr>
        <w:t>增加运动操场维修、体育项目经费增加</w:t>
      </w:r>
      <w:r>
        <w:rPr>
          <w:rFonts w:ascii="方正仿宋_GBK" w:eastAsia="方正仿宋_GBK" w:hAnsi="方正仿宋_GBK" w:cs="方正仿宋_GBK"/>
          <w:sz w:val="32"/>
          <w:szCs w:val="32"/>
          <w:shd w:val="clear" w:color="auto" w:fill="FFFFFF"/>
        </w:rPr>
        <w:t>所致。</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lastRenderedPageBreak/>
        <w:t>（六）国有资本经营预算财政拨款支出决算情况说明</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年度国有资本经营预算财政拨款支出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万元，基本支出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万元，项目支出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p>
    <w:p w:rsidR="002C11E5" w:rsidRDefault="00861A06">
      <w:pPr>
        <w:pStyle w:val="a8"/>
        <w:widowControl w:val="0"/>
        <w:snapToGrid w:val="0"/>
        <w:spacing w:before="0" w:beforeAutospacing="0" w:after="0" w:afterAutospacing="0" w:line="600" w:lineRule="exact"/>
        <w:ind w:firstLineChars="200" w:firstLine="640"/>
        <w:jc w:val="both"/>
        <w:rPr>
          <w:rStyle w:val="aa"/>
          <w:rFonts w:ascii="黑体" w:eastAsia="黑体" w:hAnsi="黑体" w:cs="黑体" w:hint="default"/>
          <w:sz w:val="32"/>
          <w:szCs w:val="32"/>
          <w:shd w:val="clear" w:color="auto" w:fill="FFFFFF"/>
        </w:rPr>
      </w:pPr>
      <w:r>
        <w:rPr>
          <w:rStyle w:val="aa"/>
          <w:rFonts w:ascii="方正仿宋_GBK" w:eastAsia="方正仿宋_GBK" w:hAnsi="方正仿宋_GBK" w:cs="方正仿宋_GBK"/>
          <w:b w:val="0"/>
          <w:bCs/>
          <w:sz w:val="32"/>
          <w:szCs w:val="32"/>
        </w:rPr>
        <w:t>本单位</w:t>
      </w:r>
      <w:r>
        <w:rPr>
          <w:rStyle w:val="aa"/>
          <w:rFonts w:ascii="Times New Roman" w:eastAsia="方正仿宋_GBK" w:hAnsi="Times New Roman" w:hint="default"/>
          <w:b w:val="0"/>
          <w:bCs/>
          <w:sz w:val="32"/>
          <w:szCs w:val="32"/>
        </w:rPr>
        <w:t>2024</w:t>
      </w:r>
      <w:r>
        <w:rPr>
          <w:rStyle w:val="aa"/>
          <w:rFonts w:ascii="方正仿宋_GBK" w:eastAsia="方正仿宋_GBK" w:hAnsi="方正仿宋_GBK" w:cs="方正仿宋_GBK"/>
          <w:b w:val="0"/>
          <w:bCs/>
          <w:sz w:val="32"/>
          <w:szCs w:val="32"/>
        </w:rPr>
        <w:t>年度无国有资本经营预算财政拨款支出。</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三、财政拨款“三公”经费情况说明</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（一）“三公”经费支出总体情况说明</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三公</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经费支出共计</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年度和</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年度均无</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三公</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经费预算</w:t>
      </w:r>
      <w:r>
        <w:rPr>
          <w:rFonts w:ascii="方正仿宋_GBK" w:eastAsia="方正仿宋_GBK" w:hAnsi="方正仿宋_GBK" w:cs="方正仿宋_GBK" w:hint="default"/>
          <w:sz w:val="32"/>
          <w:szCs w:val="32"/>
          <w:shd w:val="clear" w:color="auto" w:fill="FFFFFF"/>
        </w:rPr>
        <w:t>。</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（二）“三公”经费分项支出情况</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年度本单位因公出国（境）费用</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公务用车购置费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公务用车运行维护费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公务接待费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lastRenderedPageBreak/>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我单位属于全额拨款事业单位，未使用财政资金保障“三公”经费。</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（三）“三公”经费实物量情况</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四、其他需要说明的事项</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（一）财政拨款会议费、培训费和差旅费情况说明</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主要是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年度未使用财政资金保障会议费；</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29.16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2.84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10.8%</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年度增加了教师培训项目；</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0.49</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2.31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82.5%</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年度公务出差控制、非必要不出差，能</w:t>
      </w:r>
      <w:proofErr w:type="gramStart"/>
      <w:r>
        <w:rPr>
          <w:rFonts w:ascii="方正仿宋_GBK" w:eastAsia="方正仿宋_GBK" w:hAnsi="方正仿宋_GBK" w:cs="方正仿宋_GBK"/>
          <w:sz w:val="32"/>
          <w:szCs w:val="32"/>
          <w:shd w:val="clear" w:color="auto" w:fill="FFFFFF"/>
        </w:rPr>
        <w:t>网上办</w:t>
      </w:r>
      <w:proofErr w:type="gramEnd"/>
      <w:r>
        <w:rPr>
          <w:rFonts w:ascii="方正仿宋_GBK" w:eastAsia="方正仿宋_GBK" w:hAnsi="方正仿宋_GBK" w:cs="方正仿宋_GBK"/>
          <w:sz w:val="32"/>
          <w:szCs w:val="32"/>
          <w:shd w:val="clear" w:color="auto" w:fill="FFFFFF"/>
        </w:rPr>
        <w:t>的网上办。</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（二）机关运行经费情况说明</w:t>
      </w:r>
    </w:p>
    <w:p w:rsidR="002C11E5" w:rsidRDefault="00861A06">
      <w:pPr>
        <w:pStyle w:val="a8"/>
        <w:widowControl w:val="0"/>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highlight w:val="yellow"/>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年度本单位机关运行经费支出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万元，机关运行经费</w:t>
      </w:r>
      <w:r>
        <w:rPr>
          <w:rFonts w:ascii="Times New Roman" w:eastAsia="方正仿宋_GBK" w:hAnsi="Times New Roman" w:hint="default"/>
          <w:sz w:val="32"/>
          <w:szCs w:val="32"/>
          <w:shd w:val="clear" w:color="auto" w:fill="FFFFFF"/>
        </w:rPr>
        <w:t>较上年</w:t>
      </w:r>
      <w:proofErr w:type="gramStart"/>
      <w:r>
        <w:rPr>
          <w:rFonts w:ascii="Times New Roman" w:eastAsia="方正仿宋_GBK" w:hAnsi="Times New Roman" w:hint="default"/>
          <w:sz w:val="32"/>
          <w:szCs w:val="32"/>
          <w:shd w:val="clear" w:color="auto" w:fill="FFFFFF"/>
        </w:rPr>
        <w:t>支出数无增</w:t>
      </w:r>
      <w:r>
        <w:rPr>
          <w:rFonts w:ascii="Times New Roman" w:eastAsia="方正仿宋_GBK" w:hAnsi="Times New Roman" w:hint="default"/>
          <w:sz w:val="32"/>
          <w:szCs w:val="32"/>
        </w:rPr>
        <w:t>减</w:t>
      </w:r>
      <w:proofErr w:type="gramEnd"/>
      <w:r>
        <w:rPr>
          <w:rFonts w:ascii="Times New Roman" w:eastAsia="方正仿宋_GBK" w:hAnsi="Times New Roman"/>
          <w:sz w:val="32"/>
          <w:szCs w:val="32"/>
        </w:rPr>
        <w:t>。</w:t>
      </w:r>
      <w:r>
        <w:rPr>
          <w:rFonts w:ascii="方正仿宋_GBK" w:eastAsia="方正仿宋_GBK" w:cs="宋体"/>
          <w:sz w:val="32"/>
          <w:szCs w:val="32"/>
        </w:rPr>
        <w:t>按照部门决算</w:t>
      </w:r>
      <w:r>
        <w:rPr>
          <w:rFonts w:ascii="方正仿宋_GBK" w:eastAsia="方正仿宋_GBK" w:cs="宋体"/>
          <w:sz w:val="32"/>
          <w:szCs w:val="32"/>
        </w:rPr>
        <w:t>列报</w:t>
      </w:r>
      <w:r>
        <w:rPr>
          <w:rFonts w:ascii="方正仿宋_GBK" w:eastAsia="方正仿宋_GBK" w:cs="宋体"/>
          <w:sz w:val="32"/>
          <w:szCs w:val="32"/>
        </w:rPr>
        <w:t>口径，我单位不在机关运行经费统计范围之内。</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lastRenderedPageBreak/>
        <w:t>（三）国有资产占用情况说明</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（四）政府采购支出情况说明</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年度本单位政府采购支出总额</w:t>
      </w:r>
      <w:r>
        <w:rPr>
          <w:rFonts w:ascii="Times New Roman" w:eastAsia="方正仿宋_GBK" w:hAnsi="Times New Roman" w:hint="default"/>
          <w:sz w:val="32"/>
          <w:szCs w:val="32"/>
          <w:shd w:val="clear" w:color="auto" w:fill="FFFFFF"/>
        </w:rPr>
        <w:t>2.1</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2.1</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2.1</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2.1</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。主要用于采购</w:t>
      </w:r>
      <w:r>
        <w:rPr>
          <w:rFonts w:ascii="方正仿宋_GBK" w:eastAsia="方正仿宋_GBK" w:hAnsi="方正仿宋_GBK" w:cs="方正仿宋_GBK"/>
          <w:sz w:val="32"/>
          <w:szCs w:val="32"/>
          <w:shd w:val="clear" w:color="auto" w:fill="FFFFFF"/>
        </w:rPr>
        <w:t>办公用品等。</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五、</w:t>
      </w:r>
      <w:r>
        <w:rPr>
          <w:rStyle w:val="aa"/>
          <w:rFonts w:ascii="方正黑体_GBK" w:eastAsia="方正黑体_GBK" w:hAnsi="方正黑体_GBK" w:cs="方正黑体_GBK"/>
          <w:b w:val="0"/>
          <w:bCs/>
          <w:sz w:val="32"/>
          <w:szCs w:val="32"/>
          <w:shd w:val="clear" w:color="auto" w:fill="FFFFFF"/>
        </w:rPr>
        <w:t>2024</w:t>
      </w:r>
      <w:r>
        <w:rPr>
          <w:rStyle w:val="aa"/>
          <w:rFonts w:ascii="方正黑体_GBK" w:eastAsia="方正黑体_GBK" w:hAnsi="方正黑体_GBK" w:cs="方正黑体_GBK"/>
          <w:b w:val="0"/>
          <w:bCs/>
          <w:sz w:val="32"/>
          <w:szCs w:val="32"/>
          <w:shd w:val="clear" w:color="auto" w:fill="FFFFFF"/>
        </w:rPr>
        <w:t>年度预算绩效管理情况说明</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（一）单位自评情况</w:t>
      </w:r>
    </w:p>
    <w:p w:rsidR="002C11E5" w:rsidRDefault="00861A06">
      <w:pPr>
        <w:pStyle w:val="a8"/>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根据预算绩效管理要求，我单位对</w:t>
      </w:r>
      <w:r>
        <w:rPr>
          <w:rFonts w:ascii="方正仿宋_GBK" w:eastAsia="方正仿宋_GBK" w:hAnsi="方正仿宋_GBK" w:cs="方正仿宋_GBK"/>
          <w:sz w:val="32"/>
          <w:szCs w:val="32"/>
          <w:shd w:val="clear" w:color="auto" w:fill="FFFFFF"/>
        </w:rPr>
        <w:t>11</w:t>
      </w:r>
      <w:r>
        <w:rPr>
          <w:rFonts w:ascii="方正仿宋_GBK" w:eastAsia="方正仿宋_GBK" w:hAnsi="方正仿宋_GBK" w:cs="方正仿宋_GBK"/>
          <w:sz w:val="32"/>
          <w:szCs w:val="32"/>
          <w:shd w:val="clear" w:color="auto" w:fill="FFFFFF"/>
        </w:rPr>
        <w:t>个二级项目开展了绩效自评，涉及财政拨款项目支出资金</w:t>
      </w:r>
      <w:r>
        <w:rPr>
          <w:rFonts w:ascii="方正仿宋_GBK" w:eastAsia="方正仿宋_GBK" w:hAnsi="方正仿宋_GBK" w:cs="方正仿宋_GBK"/>
          <w:sz w:val="32"/>
          <w:szCs w:val="32"/>
          <w:shd w:val="clear" w:color="auto" w:fill="FFFFFF"/>
        </w:rPr>
        <w:t>362.36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项目支出绩效自评表（二级项目）详见附件</w:t>
      </w:r>
      <w:r>
        <w:rPr>
          <w:rFonts w:ascii="方正仿宋_GBK" w:eastAsia="方正仿宋_GBK" w:hAnsi="方正仿宋_GBK" w:cs="方正仿宋_GBK"/>
          <w:sz w:val="32"/>
          <w:szCs w:val="32"/>
          <w:shd w:val="clear" w:color="auto" w:fill="FFFFFF"/>
        </w:rPr>
        <w:t>。</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（二）单位绩效评价情况</w:t>
      </w:r>
    </w:p>
    <w:p w:rsidR="002C11E5" w:rsidRDefault="00861A06">
      <w:pPr>
        <w:pStyle w:val="10"/>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我</w:t>
      </w:r>
      <w:r>
        <w:rPr>
          <w:rFonts w:eastAsia="方正仿宋_GBK"/>
          <w:bCs/>
          <w:sz w:val="32"/>
          <w:szCs w:val="32"/>
        </w:rPr>
        <w:t>单位</w:t>
      </w:r>
      <w:r>
        <w:rPr>
          <w:rFonts w:ascii="Times New Roman" w:eastAsia="方正仿宋_GBK" w:hAnsi="Times New Roman" w:hint="default"/>
          <w:bCs/>
          <w:sz w:val="32"/>
          <w:szCs w:val="32"/>
        </w:rPr>
        <w:t>未组织开展绩效评价。</w:t>
      </w:r>
    </w:p>
    <w:p w:rsidR="002C11E5" w:rsidRDefault="00861A06">
      <w:pPr>
        <w:pStyle w:val="a8"/>
        <w:widowControl w:val="0"/>
        <w:shd w:val="clear" w:color="auto" w:fill="FFFFFF"/>
        <w:spacing w:before="0" w:beforeAutospacing="0" w:after="0" w:afterAutospacing="0" w:line="600"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（三）财政绩效评价情况</w:t>
      </w:r>
    </w:p>
    <w:p w:rsidR="002C11E5" w:rsidRDefault="00861A06">
      <w:pPr>
        <w:pStyle w:val="10"/>
        <w:widowControl w:val="0"/>
        <w:tabs>
          <w:tab w:val="center" w:pos="4153"/>
          <w:tab w:val="left" w:pos="7275"/>
        </w:tabs>
        <w:spacing w:line="600" w:lineRule="exact"/>
        <w:ind w:firstLine="640"/>
        <w:rPr>
          <w:rFonts w:ascii="Times New Roman" w:eastAsia="方正仿宋_GBK" w:hAnsi="Times New Roman" w:hint="default"/>
          <w:bCs/>
          <w:sz w:val="32"/>
          <w:szCs w:val="32"/>
        </w:rPr>
      </w:pPr>
      <w:r>
        <w:rPr>
          <w:rFonts w:ascii="Times New Roman" w:eastAsia="方正仿宋_GBK" w:hAnsi="Times New Roman"/>
          <w:bCs/>
          <w:sz w:val="32"/>
          <w:szCs w:val="32"/>
        </w:rPr>
        <w:t>重庆高新</w:t>
      </w:r>
      <w:r>
        <w:rPr>
          <w:rFonts w:ascii="Times New Roman" w:eastAsia="方正仿宋_GBK" w:hAnsi="Times New Roman" w:hint="default"/>
          <w:bCs/>
          <w:sz w:val="32"/>
          <w:szCs w:val="32"/>
        </w:rPr>
        <w:t>区财政局未委托第三方对我</w:t>
      </w:r>
      <w:r>
        <w:rPr>
          <w:rFonts w:eastAsia="方正仿宋_GBK"/>
          <w:bCs/>
          <w:sz w:val="32"/>
          <w:szCs w:val="32"/>
        </w:rPr>
        <w:t>单位</w:t>
      </w:r>
      <w:r>
        <w:rPr>
          <w:rFonts w:ascii="Times New Roman" w:eastAsia="方正仿宋_GBK" w:hAnsi="Times New Roman" w:hint="default"/>
          <w:bCs/>
          <w:sz w:val="32"/>
          <w:szCs w:val="32"/>
        </w:rPr>
        <w:t>开展绩效评价。</w:t>
      </w:r>
    </w:p>
    <w:p w:rsidR="002C11E5" w:rsidRDefault="00861A06">
      <w:pPr>
        <w:pStyle w:val="Char0"/>
        <w:widowControl w:val="0"/>
        <w:spacing w:before="0" w:beforeAutospacing="0" w:after="0" w:afterAutospacing="0" w:line="600" w:lineRule="exact"/>
        <w:rPr>
          <w:rStyle w:val="aa"/>
          <w:rFonts w:ascii="方正黑体_GBK" w:eastAsia="方正黑体_GBK" w:hAnsi="方正黑体_GBK" w:cs="方正黑体_GBK"/>
          <w:b w:val="0"/>
          <w:bCs/>
          <w:sz w:val="32"/>
          <w:szCs w:val="32"/>
          <w:shd w:val="clear" w:color="auto" w:fill="FFFFFF"/>
        </w:rPr>
      </w:pPr>
      <w:r>
        <w:rPr>
          <w:rStyle w:val="21"/>
          <w:rFonts w:ascii="方正仿宋_GBK" w:eastAsia="方正仿宋_GBK" w:hAnsi="方正仿宋_GBK" w:cs="方正仿宋_GBK" w:hint="eastAsia"/>
          <w:sz w:val="32"/>
          <w:szCs w:val="32"/>
          <w:shd w:val="clear" w:color="auto" w:fill="FFFFFF"/>
        </w:rPr>
        <w:lastRenderedPageBreak/>
        <w:t xml:space="preserve">   </w:t>
      </w:r>
      <w:r>
        <w:rPr>
          <w:rStyle w:val="aa"/>
          <w:rFonts w:ascii="黑体" w:eastAsia="黑体" w:hAnsi="黑体" w:cs="黑体" w:hint="eastAsia"/>
          <w:sz w:val="32"/>
          <w:szCs w:val="32"/>
          <w:shd w:val="clear" w:color="auto" w:fill="FFFFFF"/>
        </w:rPr>
        <w:t xml:space="preserve"> </w:t>
      </w:r>
      <w:r>
        <w:rPr>
          <w:rStyle w:val="aa"/>
          <w:rFonts w:ascii="方正黑体_GBK" w:eastAsia="方正黑体_GBK" w:hAnsi="方正黑体_GBK" w:cs="方正黑体_GBK" w:hint="eastAsia"/>
          <w:b w:val="0"/>
          <w:bCs/>
          <w:sz w:val="32"/>
          <w:szCs w:val="32"/>
          <w:shd w:val="clear" w:color="auto" w:fill="FFFFFF"/>
        </w:rPr>
        <w:t>六、专业名词解释</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w:t>
      </w:r>
      <w:r>
        <w:rPr>
          <w:rFonts w:ascii="方正仿宋_GBK" w:eastAsia="方正仿宋_GBK" w:hAnsi="方正仿宋_GBK" w:cs="方正仿宋_GBK" w:hint="eastAsia"/>
          <w:sz w:val="32"/>
          <w:szCs w:val="32"/>
          <w:shd w:val="clear" w:color="auto" w:fill="FFFFFF"/>
        </w:rPr>
        <w:t>年度积累的非财政拨款结余弥补本年度收支缺口的资金。</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lastRenderedPageBreak/>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w:t>
      </w:r>
      <w:r>
        <w:rPr>
          <w:rFonts w:ascii="方正仿宋_GBK" w:eastAsia="方正仿宋_GBK" w:hAnsi="方正仿宋_GBK" w:cs="方正仿宋_GBK" w:hint="eastAsia"/>
          <w:sz w:val="32"/>
          <w:szCs w:val="32"/>
          <w:shd w:val="clear" w:color="auto" w:fill="FFFFFF"/>
        </w:rPr>
        <w:t>府收支分类经济科目中除“工资福利支出”和“对个人和家庭的补助”外的其他支出。</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lastRenderedPageBreak/>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w:t>
      </w:r>
      <w:r>
        <w:rPr>
          <w:rFonts w:ascii="方正仿宋_GBK" w:eastAsia="方正仿宋_GBK" w:hAnsi="方正仿宋_GBK" w:cs="方正仿宋_GBK" w:hint="eastAsia"/>
          <w:sz w:val="32"/>
          <w:szCs w:val="32"/>
          <w:shd w:val="clear" w:color="auto" w:fill="FFFFFF"/>
        </w:rPr>
        <w:t>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r>
        <w:rPr>
          <w:rFonts w:ascii="方正仿宋_GBK" w:eastAsia="方正仿宋_GBK" w:hAnsi="方正仿宋_GBK" w:cs="方正仿宋_GBK" w:hint="eastAsia"/>
          <w:sz w:val="32"/>
          <w:szCs w:val="32"/>
          <w:shd w:val="clear" w:color="auto" w:fill="FFFFFF"/>
        </w:rPr>
        <w:t>。</w:t>
      </w:r>
    </w:p>
    <w:p w:rsidR="002C11E5" w:rsidRDefault="00861A06">
      <w:pPr>
        <w:pStyle w:val="Char0"/>
        <w:widowControl w:val="0"/>
        <w:spacing w:before="0" w:beforeAutospacing="0" w:after="0" w:afterAutospacing="0" w:line="600" w:lineRule="exact"/>
        <w:ind w:firstLineChars="200" w:firstLine="640"/>
        <w:rPr>
          <w:rFonts w:ascii="方正仿宋_GBK" w:eastAsia="方正仿宋_GBK" w:hAnsi="方正仿宋_GBK" w:cs="方正仿宋_GBK"/>
          <w:sz w:val="32"/>
          <w:szCs w:val="32"/>
        </w:rPr>
      </w:pPr>
      <w:r>
        <w:rPr>
          <w:rStyle w:val="aa"/>
          <w:rFonts w:ascii="方正黑体_GBK" w:eastAsia="方正黑体_GBK" w:hAnsi="方正黑体_GBK" w:cs="方正黑体_GBK" w:hint="eastAsia"/>
          <w:b w:val="0"/>
          <w:bCs/>
          <w:sz w:val="32"/>
          <w:szCs w:val="32"/>
          <w:shd w:val="clear" w:color="auto" w:fill="FFFFFF"/>
        </w:rPr>
        <w:t>七、决算公开联系方式及信息反馈渠道</w:t>
      </w:r>
    </w:p>
    <w:p w:rsidR="002C11E5" w:rsidRDefault="00861A06" w:rsidP="0015398C">
      <w:pPr>
        <w:pStyle w:val="Char0"/>
        <w:widowControl w:val="0"/>
        <w:spacing w:before="0" w:beforeAutospacing="0" w:after="0" w:afterAutospacing="0" w:line="600" w:lineRule="exact"/>
        <w:rPr>
          <w:rStyle w:val="aa"/>
          <w:rFonts w:ascii="方正仿宋_GBK" w:eastAsia="方正仿宋_GBK" w:hAnsi="方正仿宋_GBK" w:cs="方正仿宋_GBK"/>
          <w:sz w:val="32"/>
          <w:szCs w:val="32"/>
          <w:shd w:val="clear" w:color="auto" w:fill="FFFF00"/>
        </w:rPr>
        <w:sectPr w:rsidR="002C11E5" w:rsidSect="0015398C">
          <w:footerReference w:type="default" r:id="rId8"/>
          <w:pgSz w:w="11915" w:h="16840"/>
          <w:pgMar w:top="2098" w:right="1531" w:bottom="1985" w:left="1531" w:header="851" w:footer="992" w:gutter="0"/>
          <w:pgNumType w:fmt="numberInDash"/>
          <w:cols w:space="720"/>
          <w:docGrid w:type="lines" w:linePitch="326"/>
        </w:sectPr>
      </w:pPr>
      <w:r>
        <w:rPr>
          <w:rFonts w:ascii="方正仿宋_GBK" w:eastAsia="方正仿宋_GBK" w:hAnsi="方正仿宋_GBK" w:cs="方正仿宋_GBK" w:hint="eastAsia"/>
          <w:sz w:val="32"/>
          <w:szCs w:val="32"/>
          <w:shd w:val="clear" w:color="auto" w:fill="FFFFFF"/>
        </w:rPr>
        <w:t>本单位决算公开信息反馈和联系方式：</w:t>
      </w:r>
      <w:r>
        <w:rPr>
          <w:rFonts w:ascii="方正仿宋_GBK" w:eastAsia="方正仿宋_GBK" w:hAnsi="方正仿宋_GBK" w:cs="方正仿宋_GBK" w:hint="eastAsia"/>
          <w:sz w:val="32"/>
          <w:szCs w:val="32"/>
          <w:shd w:val="clear" w:color="auto" w:fill="FFFFFF"/>
        </w:rPr>
        <w:t>练志伟</w:t>
      </w:r>
      <w:r w:rsidR="0015398C">
        <w:rPr>
          <w:rFonts w:ascii="方正仿宋_GBK" w:eastAsia="方正仿宋_GBK" w:hAnsi="方正仿宋_GBK" w:cs="方正仿宋_GBK" w:hint="eastAsia"/>
          <w:sz w:val="32"/>
          <w:szCs w:val="32"/>
          <w:shd w:val="clear" w:color="auto" w:fill="FFFFFF"/>
        </w:rPr>
        <w:t>，</w:t>
      </w:r>
      <w:bookmarkStart w:id="0" w:name="_GoBack"/>
      <w:bookmarkEnd w:id="0"/>
      <w:r>
        <w:rPr>
          <w:rFonts w:ascii="方正仿宋_GBK" w:eastAsia="方正仿宋_GBK" w:hAnsi="方正仿宋_GBK" w:cs="方正仿宋_GBK" w:hint="eastAsia"/>
          <w:sz w:val="32"/>
          <w:szCs w:val="32"/>
          <w:shd w:val="clear" w:color="auto" w:fill="FFFFFF"/>
        </w:rPr>
        <w:t>023-</w:t>
      </w:r>
      <w:r>
        <w:rPr>
          <w:rFonts w:ascii="方正仿宋_GBK" w:eastAsia="方正仿宋_GBK" w:hAnsi="方正仿宋_GBK" w:cs="方正仿宋_GBK" w:hint="eastAsia"/>
          <w:sz w:val="32"/>
          <w:szCs w:val="32"/>
          <w:shd w:val="clear" w:color="auto" w:fill="FFFFFF"/>
        </w:rPr>
        <w:t>65741282</w:t>
      </w: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2C11E5">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2C11E5">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2C11E5" w:rsidRDefault="002C11E5">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2C11E5">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80" w:lineRule="exact"/>
              <w:rPr>
                <w:rFonts w:ascii="Arial" w:hAnsi="Arial" w:cs="Arial" w:hint="default"/>
                <w:color w:val="000000"/>
                <w:sz w:val="22"/>
                <w:szCs w:val="22"/>
              </w:rPr>
            </w:pPr>
            <w:r>
              <w:rPr>
                <w:rFonts w:cs="宋体"/>
                <w:sz w:val="20"/>
                <w:szCs w:val="20"/>
              </w:rPr>
              <w:t>单位：</w:t>
            </w:r>
            <w:r>
              <w:rPr>
                <w:sz w:val="20"/>
              </w:rPr>
              <w:t>重庆科学城新凤小学校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C11E5">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2,761.08</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74.98</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89.43</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2,300.98</w:t>
            </w: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398.87</w:t>
            </w: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78.02</w:t>
            </w: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72.64</w:t>
            </w: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74.98</w:t>
            </w: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2,925.49</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2,925.49</w:t>
            </w: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2C11E5">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2,925.49</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2C11E5" w:rsidRDefault="00861A06">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2,925.49</w:t>
            </w:r>
            <w:r>
              <w:rPr>
                <w:rFonts w:ascii="Times New Roman" w:hAnsi="Times New Roman"/>
                <w:color w:val="000000"/>
                <w:sz w:val="20"/>
              </w:rPr>
              <w:t xml:space="preserve"> </w:t>
            </w:r>
          </w:p>
        </w:tc>
      </w:tr>
    </w:tbl>
    <w:p w:rsidR="002C11E5" w:rsidRDefault="002C11E5">
      <w:pPr>
        <w:rPr>
          <w:rFonts w:cs="宋体" w:hint="default"/>
          <w:sz w:val="21"/>
          <w:szCs w:val="21"/>
        </w:rPr>
      </w:pPr>
    </w:p>
    <w:p w:rsidR="002C11E5" w:rsidRDefault="00861A06">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2C11E5">
        <w:trPr>
          <w:trHeight w:val="641"/>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rsidR="002C11E5" w:rsidRDefault="00861A06">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2C11E5">
        <w:trPr>
          <w:trHeight w:val="328"/>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rsidR="002C11E5" w:rsidRDefault="00861A06">
            <w:pPr>
              <w:spacing w:line="280" w:lineRule="exact"/>
              <w:rPr>
                <w:rFonts w:cs="宋体" w:hint="default"/>
                <w:color w:val="000000"/>
                <w:sz w:val="20"/>
                <w:szCs w:val="20"/>
              </w:rPr>
            </w:pPr>
            <w:r>
              <w:rPr>
                <w:rFonts w:cs="宋体"/>
                <w:sz w:val="20"/>
                <w:szCs w:val="20"/>
              </w:rPr>
              <w:t>单位：</w:t>
            </w:r>
            <w:r>
              <w:rPr>
                <w:sz w:val="20"/>
              </w:rPr>
              <w:t>重庆科学城新凤小学校</w:t>
            </w:r>
          </w:p>
        </w:tc>
        <w:tc>
          <w:tcPr>
            <w:tcW w:w="1448"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2C11E5">
        <w:trPr>
          <w:trHeight w:val="328"/>
        </w:trPr>
        <w:tc>
          <w:tcPr>
            <w:tcW w:w="5928" w:type="dxa"/>
            <w:gridSpan w:val="3"/>
            <w:vMerge/>
            <w:tcBorders>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C11E5">
        <w:trPr>
          <w:trHeight w:val="431"/>
        </w:trPr>
        <w:tc>
          <w:tcPr>
            <w:tcW w:w="4347"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2C11E5" w:rsidRDefault="00861A06">
            <w:pPr>
              <w:jc w:val="center"/>
              <w:textAlignment w:val="bottom"/>
              <w:rPr>
                <w:rFonts w:cs="宋体" w:hint="default"/>
                <w:b/>
                <w:color w:val="000000"/>
                <w:sz w:val="20"/>
                <w:szCs w:val="20"/>
              </w:rPr>
            </w:pPr>
            <w:r>
              <w:rPr>
                <w:rFonts w:cs="宋体"/>
                <w:b/>
                <w:color w:val="000000"/>
                <w:sz w:val="20"/>
                <w:szCs w:val="20"/>
              </w:rPr>
              <w:t>项目</w:t>
            </w:r>
          </w:p>
        </w:tc>
        <w:tc>
          <w:tcPr>
            <w:tcW w:w="158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本年收入合计</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上级补助收入</w:t>
            </w:r>
          </w:p>
        </w:tc>
        <w:tc>
          <w:tcPr>
            <w:tcW w:w="289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861A06">
            <w:pPr>
              <w:jc w:val="center"/>
              <w:textAlignment w:val="bottom"/>
              <w:rPr>
                <w:rFonts w:cs="宋体" w:hint="default"/>
                <w:b/>
                <w:color w:val="000000"/>
                <w:sz w:val="20"/>
                <w:szCs w:val="20"/>
              </w:rPr>
            </w:pPr>
            <w:r>
              <w:rPr>
                <w:rFonts w:cs="宋体"/>
                <w:b/>
                <w:color w:val="000000"/>
                <w:sz w:val="20"/>
                <w:szCs w:val="20"/>
              </w:rPr>
              <w:t>事业收入</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经营收入</w:t>
            </w: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附属单位上缴收入</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其他收入</w:t>
            </w:r>
          </w:p>
        </w:tc>
      </w:tr>
      <w:tr w:rsidR="002C11E5">
        <w:trPr>
          <w:trHeight w:val="334"/>
        </w:trPr>
        <w:tc>
          <w:tcPr>
            <w:tcW w:w="142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小计</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其中：教育收费</w:t>
            </w: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r>
      <w:tr w:rsidR="002C11E5">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2C11E5" w:rsidRDefault="002C11E5">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r>
      <w:tr w:rsidR="002C11E5">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2C11E5" w:rsidRDefault="002C11E5">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r>
      <w:tr w:rsidR="002C11E5">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2C11E5" w:rsidRDefault="002C11E5">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r>
      <w:tr w:rsidR="002C11E5">
        <w:trPr>
          <w:trHeight w:hRule="exact" w:val="283"/>
        </w:trPr>
        <w:tc>
          <w:tcPr>
            <w:tcW w:w="434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合计</w:t>
            </w:r>
          </w:p>
        </w:tc>
        <w:tc>
          <w:tcPr>
            <w:tcW w:w="15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2,925.49</w:t>
            </w:r>
            <w:r>
              <w:rPr>
                <w:rFonts w:ascii="Times New Roman" w:hAnsi="Times New Roman"/>
                <w:b/>
                <w:color w:val="000000"/>
                <w:sz w:val="20"/>
              </w:rPr>
              <w:t xml:space="preserve"> </w:t>
            </w:r>
          </w:p>
        </w:tc>
        <w:tc>
          <w:tcPr>
            <w:tcW w:w="14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2,836.07</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89.43</w:t>
            </w:r>
            <w:r>
              <w:rPr>
                <w:rFonts w:ascii="Times New Roman" w:hAnsi="Times New Roman"/>
                <w:b/>
                <w:color w:val="000000"/>
                <w:sz w:val="20"/>
              </w:rPr>
              <w:t xml:space="preserve"> </w:t>
            </w:r>
          </w:p>
        </w:tc>
        <w:tc>
          <w:tcPr>
            <w:tcW w:w="14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教育支出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2,300.98</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2,211.55</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89.43</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20502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普通教育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2,300.98</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2,211.55</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89.43</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2050201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学前教育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9.26</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9.26</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2050202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小学教育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2,291.72</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2,202.29</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89.43</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208</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社会保障和就业支出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398.87</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398.87</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20805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行政事业单位养老支出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391.28</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391.28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2080505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机关事业单位基本养老保险缴费支出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133.58</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133.58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2080506</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机关事业单位职业年金缴费支出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66.76</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66.76</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2080599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其他行政事业单位养老支出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190.94</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190.94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20808</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抚恤</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7.59</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7.59</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2080801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死亡抚恤</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7.59</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7.59</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210</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卫生健康支出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78.02</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21011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行政事业单位医疗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78.02</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2101102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49.98</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49.98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2101199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其他行政事业单位医疗支出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28.04</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221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住房保障支出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72.64</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72.64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22102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住房改革支出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72.64</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72.64</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2210201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住房公积金</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72.64</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72.64</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229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其他支出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74.98</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74.98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22960</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彩票公益金安排的支出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74.98</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74.98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2296003</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用于体育事业的彩票公益金支出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66.98</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2296004</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用于教育事业的彩票公益金支出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C11E5" w:rsidRDefault="00861A06">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p>
    <w:p w:rsidR="002C11E5" w:rsidRDefault="00861A06">
      <w:pPr>
        <w:rPr>
          <w:rFonts w:cs="宋体" w:hint="default"/>
          <w:sz w:val="20"/>
          <w:szCs w:val="20"/>
        </w:rPr>
      </w:pPr>
      <w:r>
        <w:rPr>
          <w:rFonts w:cs="宋体"/>
          <w:sz w:val="20"/>
          <w:szCs w:val="20"/>
        </w:rPr>
        <w:br w:type="page"/>
      </w:r>
    </w:p>
    <w:tbl>
      <w:tblPr>
        <w:tblW w:w="15322" w:type="dxa"/>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2C11E5">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2C11E5" w:rsidRDefault="00861A06">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2C11E5">
        <w:trPr>
          <w:trHeight w:val="342"/>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rsidR="002C11E5" w:rsidRDefault="00861A06">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重庆科学城新凤小学校</w:t>
            </w:r>
            <w:r>
              <w:rPr>
                <w:color w:val="000000"/>
                <w:sz w:val="20"/>
              </w:rPr>
              <w:t xml:space="preserve"> </w:t>
            </w:r>
          </w:p>
        </w:tc>
        <w:tc>
          <w:tcPr>
            <w:tcW w:w="1762"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2C11E5">
        <w:trPr>
          <w:trHeight w:val="342"/>
        </w:trPr>
        <w:tc>
          <w:tcPr>
            <w:tcW w:w="6732" w:type="dxa"/>
            <w:gridSpan w:val="3"/>
            <w:vMerge/>
            <w:tcBorders>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C11E5">
        <w:trPr>
          <w:trHeight w:val="362"/>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861A06">
            <w:pPr>
              <w:jc w:val="center"/>
              <w:textAlignment w:val="bottom"/>
              <w:rPr>
                <w:rFonts w:cs="宋体" w:hint="default"/>
                <w:b/>
                <w:color w:val="000000"/>
                <w:sz w:val="20"/>
                <w:szCs w:val="20"/>
              </w:rPr>
            </w:pPr>
            <w:r>
              <w:rPr>
                <w:rFonts w:cs="宋体"/>
                <w:b/>
                <w:color w:val="000000"/>
                <w:sz w:val="20"/>
                <w:szCs w:val="20"/>
              </w:rPr>
              <w:t>项目</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本年支出合计</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基本支出</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经营支出</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对附属单位补助支出</w:t>
            </w:r>
          </w:p>
        </w:tc>
      </w:tr>
      <w:tr w:rsidR="002C11E5">
        <w:trPr>
          <w:trHeight w:val="338"/>
        </w:trPr>
        <w:tc>
          <w:tcPr>
            <w:tcW w:w="128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r>
      <w:tr w:rsidR="002C11E5">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2C11E5" w:rsidRDefault="002C11E5">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r>
      <w:tr w:rsidR="002C11E5">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2C11E5" w:rsidRDefault="002C11E5">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r>
      <w:tr w:rsidR="002C11E5">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2C11E5" w:rsidRDefault="002C11E5">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r>
      <w:tr w:rsidR="002C11E5">
        <w:trPr>
          <w:trHeight w:hRule="exact" w:val="283"/>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合计</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2,925.49</w:t>
            </w:r>
            <w:r>
              <w:rPr>
                <w:rFonts w:ascii="Times New Roman" w:hAnsi="Times New Roman"/>
                <w:b/>
                <w:color w:val="000000"/>
                <w:sz w:val="20"/>
              </w:rPr>
              <w:t xml:space="preserve"> </w:t>
            </w:r>
          </w:p>
        </w:tc>
        <w:tc>
          <w:tcPr>
            <w:tcW w:w="17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2,563.13</w:t>
            </w:r>
            <w:r>
              <w:rPr>
                <w:rFonts w:ascii="Times New Roman" w:hAnsi="Times New Roman"/>
                <w:b/>
                <w:color w:val="000000"/>
                <w:sz w:val="20"/>
              </w:rPr>
              <w:t xml:space="preserve"> </w:t>
            </w:r>
          </w:p>
        </w:tc>
        <w:tc>
          <w:tcPr>
            <w:tcW w:w="16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362.36</w:t>
            </w:r>
            <w:r>
              <w:rPr>
                <w:rFonts w:ascii="Times New Roman" w:hAnsi="Times New Roman"/>
                <w:b/>
                <w:color w:val="000000"/>
                <w:sz w:val="20"/>
              </w:rPr>
              <w:t xml:space="preserve"> </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教育支出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2,300.98</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2,013.60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287.38</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20502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普通教育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2,300.98</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2,013.60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287.38</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2050201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学前教育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9.26</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2.46</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2050202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小学教育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2,291.72</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2,011.14</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280.58</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208</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社会保障和就业支出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398.87</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398.87</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20805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行政事业单位养老支出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391.28</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391.28</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2080505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机关事业单位基本养老保险缴费支出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133.58</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133.58</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2080506</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机关事业单位职业年金缴费支出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66.76</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66.76</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2080599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其他行政事业单位养老支出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190.94</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190.94</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20808</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抚恤</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7.59</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7.59</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2080801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死亡抚恤</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7.59</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7.59</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210</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卫生健康支出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78.02</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78.02</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21011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行政事业单位医疗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78.02</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78.02</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2101102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49.98</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49.98</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2101199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其他行政事业单位医疗支出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28.04</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28.04</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221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住房保障支出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72.64</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72.64</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22102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住房改革支出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72.64</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72.64</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2210201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住房公积金</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72.64</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72.64</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229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其他支出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74.98</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74.98</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22960</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彩票公益金安排的支出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74.98</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74.98</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2296003</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用于体育事业的彩票公益金支出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66.98</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66.98</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hRule="exact" w:val="283"/>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2296004</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用于教育事业的彩票公益金支出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C11E5" w:rsidRDefault="00861A06">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p>
    <w:p w:rsidR="002C11E5" w:rsidRDefault="00861A06">
      <w:pPr>
        <w:rPr>
          <w:rFonts w:cs="宋体" w:hint="default"/>
          <w:sz w:val="21"/>
          <w:szCs w:val="21"/>
        </w:rPr>
      </w:pPr>
      <w:r>
        <w:rPr>
          <w:rFonts w:cs="宋体"/>
          <w:sz w:val="21"/>
          <w:szCs w:val="21"/>
        </w:rPr>
        <w:br w:type="page"/>
      </w:r>
    </w:p>
    <w:p w:rsidR="002C11E5" w:rsidRDefault="002C11E5">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2C11E5">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2C11E5">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2C11E5" w:rsidRDefault="00861A06">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重庆科学城新凤小学校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2C11E5">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C11E5">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2C11E5">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2C11E5">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2,761.08</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74.98</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2,211.55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2,211.55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398.87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398.87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78.02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78.02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72.64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72.64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74.98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74.98</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2,836.07</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2,836.07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2,761.08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74.98</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200" w:lineRule="exact"/>
              <w:rPr>
                <w:rFonts w:ascii="Times New Roman" w:hAnsi="Times New Roman" w:hint="default"/>
                <w:color w:val="000000"/>
                <w:sz w:val="18"/>
                <w:szCs w:val="18"/>
              </w:rPr>
            </w:pP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200" w:lineRule="exact"/>
              <w:jc w:val="right"/>
              <w:rPr>
                <w:rFonts w:ascii="Times New Roman" w:hAnsi="Times New Roman" w:hint="default"/>
                <w:color w:val="000000"/>
                <w:sz w:val="18"/>
                <w:szCs w:val="18"/>
              </w:rPr>
            </w:pPr>
          </w:p>
        </w:tc>
      </w:tr>
      <w:tr w:rsidR="002C11E5">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2,836.07</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2,836.07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2,761.08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74.98</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2C11E5" w:rsidRDefault="00861A06">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2C11E5">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2C11E5" w:rsidRDefault="00861A06">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2C11E5">
        <w:trPr>
          <w:trHeight w:val="255"/>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rsidR="002C11E5" w:rsidRDefault="00861A06">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重庆科学城新凤小学校</w:t>
            </w:r>
          </w:p>
        </w:tc>
        <w:tc>
          <w:tcPr>
            <w:tcW w:w="3297"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2C11E5">
        <w:trPr>
          <w:trHeight w:val="285"/>
        </w:trPr>
        <w:tc>
          <w:tcPr>
            <w:tcW w:w="8685" w:type="dxa"/>
            <w:gridSpan w:val="3"/>
            <w:vMerge/>
            <w:tcBorders>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C11E5">
        <w:trPr>
          <w:trHeight w:val="308"/>
        </w:trPr>
        <w:tc>
          <w:tcPr>
            <w:tcW w:w="537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项目</w:t>
            </w:r>
          </w:p>
        </w:tc>
        <w:tc>
          <w:tcPr>
            <w:tcW w:w="9943"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本年支出</w:t>
            </w:r>
          </w:p>
        </w:tc>
      </w:tr>
      <w:tr w:rsidR="002C11E5">
        <w:trPr>
          <w:trHeight w:val="326"/>
        </w:trPr>
        <w:tc>
          <w:tcPr>
            <w:tcW w:w="130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基本支出</w:t>
            </w:r>
          </w:p>
        </w:tc>
        <w:tc>
          <w:tcPr>
            <w:tcW w:w="33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项目支出</w:t>
            </w:r>
          </w:p>
        </w:tc>
      </w:tr>
      <w:tr w:rsidR="002C11E5">
        <w:trPr>
          <w:trHeight w:val="326"/>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r>
      <w:tr w:rsidR="002C11E5">
        <w:trPr>
          <w:trHeight w:val="615"/>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r>
      <w:tr w:rsidR="002C11E5">
        <w:trPr>
          <w:trHeight w:val="308"/>
        </w:trPr>
        <w:tc>
          <w:tcPr>
            <w:tcW w:w="537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2,761.08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2,473.70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287.38</w:t>
            </w:r>
            <w:r>
              <w:rPr>
                <w:rFonts w:ascii="Times New Roman" w:hAnsi="Times New Roman"/>
                <w:b/>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教育支出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2,211.55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1,924.17</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287.38</w:t>
            </w:r>
            <w:r>
              <w:rPr>
                <w:rFonts w:ascii="Times New Roman" w:hAnsi="Times New Roman"/>
                <w:b/>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20502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普通教育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2,211.55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1,924.17</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287.38</w:t>
            </w:r>
            <w:r>
              <w:rPr>
                <w:rFonts w:ascii="Times New Roman" w:hAnsi="Times New Roman"/>
                <w:b/>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2050201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学前教育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9.26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2.46</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6.80</w:t>
            </w:r>
            <w:r>
              <w:rPr>
                <w:rFonts w:ascii="Times New Roman" w:hAnsi="Times New Roman"/>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2050202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小学教育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2,202.29</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1,921.71</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280.58</w:t>
            </w:r>
            <w:r>
              <w:rPr>
                <w:rFonts w:ascii="Times New Roman" w:hAnsi="Times New Roman"/>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398.87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398.87</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391.28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391.28</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133.58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133.58</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66.76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66.76</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2080599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190.94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190.94</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20808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抚恤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7.59</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7.59</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2080801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死亡抚恤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7.59</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7.59</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78.02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78.02</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78.02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78.02</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49.98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49.98</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28.04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28.04</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72.64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72.64</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72.64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72.64</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72.64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72.64</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C11E5" w:rsidRDefault="00861A06">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2C11E5">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2C11E5">
        <w:trPr>
          <w:trHeight w:val="334"/>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rsidR="002C11E5" w:rsidRDefault="00861A06">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重庆科学城新凤小学校</w:t>
            </w:r>
          </w:p>
        </w:tc>
        <w:tc>
          <w:tcPr>
            <w:tcW w:w="1417" w:type="dxa"/>
            <w:tcBorders>
              <w:top w:val="nil"/>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2C11E5">
        <w:trPr>
          <w:trHeight w:val="520"/>
        </w:trPr>
        <w:tc>
          <w:tcPr>
            <w:tcW w:w="8056" w:type="dxa"/>
            <w:gridSpan w:val="5"/>
            <w:vMerge/>
            <w:tcBorders>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cs="宋体" w:hint="default"/>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2C11E5" w:rsidRDefault="002C11E5">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C11E5">
        <w:trPr>
          <w:trHeight w:val="9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2C11E5">
        <w:trPr>
          <w:trHeight w:val="312"/>
        </w:trPr>
        <w:tc>
          <w:tcPr>
            <w:tcW w:w="80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2C11E5">
        <w:trPr>
          <w:trHeight w:val="312"/>
        </w:trPr>
        <w:tc>
          <w:tcPr>
            <w:tcW w:w="80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spacing w:line="192" w:lineRule="exact"/>
              <w:jc w:val="center"/>
              <w:rPr>
                <w:rFonts w:cs="宋体" w:hint="default"/>
                <w:b/>
                <w:color w:val="000000"/>
                <w:sz w:val="18"/>
                <w:szCs w:val="18"/>
              </w:rPr>
            </w:pPr>
          </w:p>
        </w:tc>
        <w:tc>
          <w:tcPr>
            <w:tcW w:w="28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spacing w:line="192" w:lineRule="exact"/>
              <w:jc w:val="center"/>
              <w:rPr>
                <w:rFonts w:cs="宋体" w:hint="default"/>
                <w:b/>
                <w:color w:val="000000"/>
                <w:sz w:val="18"/>
                <w:szCs w:val="18"/>
              </w:rPr>
            </w:pPr>
          </w:p>
        </w:tc>
        <w:tc>
          <w:tcPr>
            <w:tcW w:w="15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spacing w:line="192" w:lineRule="exact"/>
              <w:jc w:val="center"/>
              <w:rPr>
                <w:rFonts w:cs="宋体" w:hint="default"/>
                <w:b/>
                <w:color w:val="000000"/>
                <w:sz w:val="18"/>
                <w:szCs w:val="18"/>
              </w:rPr>
            </w:pPr>
          </w:p>
        </w:tc>
        <w:tc>
          <w:tcPr>
            <w:tcW w:w="14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spacing w:line="192" w:lineRule="exact"/>
              <w:jc w:val="center"/>
              <w:rPr>
                <w:rFonts w:cs="宋体" w:hint="default"/>
                <w:b/>
                <w:color w:val="000000"/>
                <w:sz w:val="18"/>
                <w:szCs w:val="18"/>
              </w:rPr>
            </w:pPr>
          </w:p>
        </w:tc>
        <w:tc>
          <w:tcPr>
            <w:tcW w:w="3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spacing w:line="192" w:lineRule="exact"/>
              <w:jc w:val="center"/>
              <w:rPr>
                <w:rFonts w:cs="宋体" w:hint="default"/>
                <w:b/>
                <w:color w:val="000000"/>
                <w:sz w:val="18"/>
                <w:szCs w:val="18"/>
              </w:rPr>
            </w:pPr>
          </w:p>
        </w:tc>
        <w:tc>
          <w:tcPr>
            <w:tcW w:w="14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spacing w:line="192" w:lineRule="exact"/>
              <w:jc w:val="center"/>
              <w:rPr>
                <w:rFonts w:cs="宋体" w:hint="default"/>
                <w:b/>
                <w:color w:val="000000"/>
                <w:sz w:val="18"/>
                <w:szCs w:val="18"/>
              </w:rPr>
            </w:pP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b/>
                <w:bCs/>
                <w:color w:val="000000"/>
                <w:sz w:val="18"/>
                <w:szCs w:val="18"/>
              </w:rPr>
            </w:pPr>
            <w:r>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1,932.78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332.11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7.81</w:t>
            </w: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334.72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35.10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45.24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15.65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7.81</w:t>
            </w: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1,198.06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9.81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133.58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15.84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66.76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49.98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12.58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72.64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19.22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46.80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b/>
                <w:bCs/>
                <w:color w:val="000000"/>
                <w:sz w:val="18"/>
                <w:szCs w:val="18"/>
              </w:rPr>
            </w:pPr>
            <w:r>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201.00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29.16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35.47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7.59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181.61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27.56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26.23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17.98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36.76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jc w:val="right"/>
              <w:rPr>
                <w:rFonts w:ascii="Times New Roman" w:hAnsi="Times New Roman" w:hint="default"/>
                <w:color w:val="000000"/>
                <w:sz w:val="18"/>
                <w:szCs w:val="18"/>
              </w:rPr>
            </w:pPr>
          </w:p>
        </w:tc>
      </w:tr>
      <w:tr w:rsidR="002C11E5">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jc w:val="right"/>
              <w:rPr>
                <w:rFonts w:ascii="Times New Roman" w:hAnsi="Times New Roman" w:hint="default"/>
                <w:color w:val="000000"/>
                <w:sz w:val="18"/>
                <w:szCs w:val="18"/>
              </w:rPr>
            </w:pPr>
          </w:p>
        </w:tc>
      </w:tr>
      <w:tr w:rsidR="002C11E5">
        <w:trPr>
          <w:trHeight w:val="155"/>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2C11E5">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spacing w:line="192" w:lineRule="exact"/>
              <w:jc w:val="right"/>
              <w:rPr>
                <w:rFonts w:ascii="Times New Roman" w:hAnsi="Times New Roman" w:hint="default"/>
                <w:color w:val="000000"/>
                <w:sz w:val="18"/>
                <w:szCs w:val="18"/>
              </w:rPr>
            </w:pPr>
          </w:p>
        </w:tc>
      </w:tr>
      <w:tr w:rsidR="002C11E5">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861A06">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2,133.78</w:t>
            </w:r>
            <w:r>
              <w:rPr>
                <w:rFonts w:ascii="Times New Roman" w:hAnsi="Times New Roman"/>
                <w:color w:val="000000"/>
                <w:sz w:val="18"/>
              </w:rPr>
              <w:t xml:space="preserve"> </w:t>
            </w:r>
          </w:p>
        </w:tc>
        <w:tc>
          <w:tcPr>
            <w:tcW w:w="865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339.92</w:t>
            </w:r>
            <w:r>
              <w:rPr>
                <w:rFonts w:ascii="Times New Roman" w:hAnsi="Times New Roman"/>
                <w:color w:val="000000"/>
                <w:sz w:val="18"/>
              </w:rPr>
              <w:t xml:space="preserve"> </w:t>
            </w:r>
          </w:p>
        </w:tc>
      </w:tr>
    </w:tbl>
    <w:p w:rsidR="002C11E5" w:rsidRDefault="00861A06">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2C11E5">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2C11E5" w:rsidRDefault="00861A06">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2C11E5">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2C11E5" w:rsidRDefault="00861A06">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重庆科学城新凤小学校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2C11E5">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C11E5">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年末结转和结余</w:t>
            </w:r>
          </w:p>
        </w:tc>
      </w:tr>
      <w:tr w:rsidR="002C11E5">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r>
      <w:tr w:rsidR="002C11E5">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r>
      <w:tr w:rsidR="002C11E5">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r>
      <w:tr w:rsidR="002C11E5">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74.98</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74.98</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74.98</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C11E5">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jc w:val="both"/>
              <w:textAlignment w:val="center"/>
              <w:rPr>
                <w:rFonts w:cs="宋体" w:hint="default"/>
                <w:color w:val="000000"/>
                <w:sz w:val="20"/>
                <w:szCs w:val="20"/>
              </w:rPr>
            </w:pPr>
            <w:r>
              <w:rPr>
                <w:rFonts w:cs="宋体"/>
                <w:b/>
                <w:color w:val="000000"/>
                <w:sz w:val="20"/>
                <w:szCs w:val="20"/>
              </w:rPr>
              <w:t>229</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jc w:val="both"/>
              <w:textAlignment w:val="center"/>
              <w:rPr>
                <w:rFonts w:cs="宋体" w:hint="default"/>
                <w:color w:val="000000"/>
                <w:sz w:val="20"/>
                <w:szCs w:val="20"/>
              </w:rPr>
            </w:pPr>
            <w:r>
              <w:rPr>
                <w:rFonts w:cs="宋体"/>
                <w:b/>
                <w:color w:val="000000"/>
                <w:sz w:val="20"/>
                <w:szCs w:val="20"/>
              </w:rPr>
              <w:t>其他支出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74.98</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74.98</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74.98</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jc w:val="both"/>
              <w:textAlignment w:val="center"/>
              <w:rPr>
                <w:rFonts w:cs="宋体" w:hint="default"/>
                <w:color w:val="000000"/>
                <w:sz w:val="20"/>
                <w:szCs w:val="20"/>
              </w:rPr>
            </w:pPr>
            <w:r>
              <w:rPr>
                <w:rFonts w:cs="宋体"/>
                <w:b/>
                <w:color w:val="000000"/>
                <w:sz w:val="20"/>
                <w:szCs w:val="20"/>
              </w:rPr>
              <w:t>22960</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jc w:val="both"/>
              <w:textAlignment w:val="center"/>
              <w:rPr>
                <w:rFonts w:cs="宋体" w:hint="default"/>
                <w:color w:val="000000"/>
                <w:sz w:val="20"/>
                <w:szCs w:val="20"/>
              </w:rPr>
            </w:pPr>
            <w:r>
              <w:rPr>
                <w:rFonts w:cs="宋体"/>
                <w:b/>
                <w:color w:val="000000"/>
                <w:sz w:val="20"/>
                <w:szCs w:val="20"/>
              </w:rPr>
              <w:t>彩票公益金安排的支出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74.98</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74.98</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74.98</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2C11E5">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jc w:val="both"/>
              <w:textAlignment w:val="center"/>
              <w:rPr>
                <w:rFonts w:cs="宋体" w:hint="default"/>
                <w:color w:val="000000"/>
                <w:sz w:val="20"/>
                <w:szCs w:val="20"/>
              </w:rPr>
            </w:pPr>
            <w:r>
              <w:rPr>
                <w:rFonts w:cs="宋体"/>
                <w:color w:val="000000"/>
                <w:sz w:val="20"/>
                <w:szCs w:val="20"/>
              </w:rPr>
              <w:t>2296003</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jc w:val="both"/>
              <w:textAlignment w:val="center"/>
              <w:rPr>
                <w:rFonts w:cs="宋体" w:hint="default"/>
                <w:color w:val="000000"/>
                <w:sz w:val="20"/>
                <w:szCs w:val="20"/>
              </w:rPr>
            </w:pPr>
            <w:r>
              <w:rPr>
                <w:rFonts w:cs="宋体"/>
                <w:color w:val="000000"/>
                <w:sz w:val="20"/>
                <w:szCs w:val="20"/>
              </w:rPr>
              <w:t>用于体育事业的彩票公益金支出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66.98</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66.98</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66.98</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2C11E5">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jc w:val="both"/>
              <w:textAlignment w:val="center"/>
              <w:rPr>
                <w:rFonts w:cs="宋体" w:hint="default"/>
                <w:color w:val="000000"/>
                <w:sz w:val="20"/>
                <w:szCs w:val="20"/>
              </w:rPr>
            </w:pPr>
            <w:r>
              <w:rPr>
                <w:rFonts w:cs="宋体"/>
                <w:color w:val="000000"/>
                <w:sz w:val="20"/>
                <w:szCs w:val="20"/>
              </w:rPr>
              <w:t>2296004</w:t>
            </w: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jc w:val="both"/>
              <w:textAlignment w:val="center"/>
              <w:rPr>
                <w:rFonts w:cs="宋体" w:hint="default"/>
                <w:color w:val="000000"/>
                <w:sz w:val="20"/>
                <w:szCs w:val="20"/>
              </w:rPr>
            </w:pPr>
            <w:r>
              <w:rPr>
                <w:rFonts w:cs="宋体"/>
                <w:color w:val="000000"/>
                <w:sz w:val="20"/>
                <w:szCs w:val="20"/>
              </w:rPr>
              <w:t>用于教育事业的彩票公益金支出</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2C11E5" w:rsidRDefault="00861A06">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本表反映单位本年度政府性基金预算财政拨款收入支出及结转和结余情况。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2C11E5" w:rsidRDefault="00861A06">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2C11E5">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2C11E5" w:rsidRDefault="00861A06">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2C11E5">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2C11E5" w:rsidRDefault="00861A06">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重庆科学城新凤小学校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2C11E5">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2C11E5" w:rsidRDefault="002C11E5">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2C11E5" w:rsidRDefault="00861A06">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2C11E5">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861A06">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2C11E5" w:rsidRDefault="00861A06">
            <w:pPr>
              <w:jc w:val="center"/>
              <w:textAlignment w:val="bottom"/>
              <w:rPr>
                <w:rFonts w:cs="宋体" w:hint="default"/>
                <w:b/>
                <w:color w:val="000000"/>
                <w:sz w:val="20"/>
                <w:szCs w:val="20"/>
              </w:rPr>
            </w:pPr>
            <w:r>
              <w:rPr>
                <w:rFonts w:cs="宋体"/>
                <w:b/>
                <w:color w:val="000000"/>
                <w:sz w:val="20"/>
                <w:szCs w:val="20"/>
              </w:rPr>
              <w:t>本年支出</w:t>
            </w:r>
          </w:p>
        </w:tc>
      </w:tr>
      <w:tr w:rsidR="002C11E5">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项目支出</w:t>
            </w:r>
          </w:p>
        </w:tc>
      </w:tr>
      <w:tr w:rsidR="002C11E5">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r>
      <w:tr w:rsidR="002C11E5">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r>
      <w:tr w:rsidR="002C11E5">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2C11E5" w:rsidRDefault="002C11E5">
            <w:pPr>
              <w:jc w:val="center"/>
              <w:rPr>
                <w:rFonts w:cs="宋体" w:hint="default"/>
                <w:b/>
                <w:color w:val="000000"/>
                <w:sz w:val="20"/>
                <w:szCs w:val="20"/>
              </w:rPr>
            </w:pPr>
          </w:p>
        </w:tc>
      </w:tr>
      <w:tr w:rsidR="002C11E5">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C11E5" w:rsidRDefault="00861A06">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2C11E5">
        <w:trPr>
          <w:trHeight w:val="488"/>
        </w:trPr>
        <w:tc>
          <w:tcPr>
            <w:tcW w:w="129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2C11E5">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2C11E5" w:rsidRDefault="00861A06">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2C11E5" w:rsidRDefault="00861A06">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2C11E5" w:rsidRDefault="00861A06">
      <w:pPr>
        <w:rPr>
          <w:rFonts w:cs="宋体" w:hint="default"/>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2C11E5">
        <w:trPr>
          <w:trHeight w:val="343"/>
        </w:trPr>
        <w:tc>
          <w:tcPr>
            <w:tcW w:w="14130" w:type="dxa"/>
            <w:gridSpan w:val="5"/>
            <w:shd w:val="clear" w:color="auto" w:fill="auto"/>
            <w:noWrap/>
            <w:tcMar>
              <w:top w:w="15" w:type="dxa"/>
              <w:left w:w="15" w:type="dxa"/>
              <w:right w:w="15" w:type="dxa"/>
            </w:tcMar>
            <w:vAlign w:val="bottom"/>
          </w:tcPr>
          <w:p w:rsidR="002C11E5" w:rsidRDefault="00861A06">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2C11E5">
        <w:trPr>
          <w:trHeight w:val="244"/>
        </w:trPr>
        <w:tc>
          <w:tcPr>
            <w:tcW w:w="3176" w:type="dxa"/>
            <w:shd w:val="clear" w:color="auto" w:fill="auto"/>
            <w:noWrap/>
            <w:tcMar>
              <w:top w:w="15" w:type="dxa"/>
              <w:left w:w="15" w:type="dxa"/>
              <w:right w:w="15" w:type="dxa"/>
            </w:tcMar>
            <w:vAlign w:val="bottom"/>
          </w:tcPr>
          <w:p w:rsidR="002C11E5" w:rsidRDefault="002C11E5">
            <w:pPr>
              <w:spacing w:line="280" w:lineRule="exact"/>
              <w:rPr>
                <w:rFonts w:cs="宋体" w:hint="default"/>
                <w:color w:val="000000"/>
                <w:kern w:val="2"/>
                <w:sz w:val="20"/>
                <w:szCs w:val="20"/>
              </w:rPr>
            </w:pPr>
          </w:p>
        </w:tc>
        <w:tc>
          <w:tcPr>
            <w:tcW w:w="2416" w:type="dxa"/>
            <w:shd w:val="clear" w:color="auto" w:fill="auto"/>
            <w:noWrap/>
            <w:tcMar>
              <w:top w:w="15" w:type="dxa"/>
              <w:left w:w="15" w:type="dxa"/>
              <w:right w:w="15" w:type="dxa"/>
            </w:tcMar>
            <w:vAlign w:val="bottom"/>
          </w:tcPr>
          <w:p w:rsidR="002C11E5" w:rsidRDefault="002C11E5">
            <w:pPr>
              <w:spacing w:line="280" w:lineRule="exact"/>
              <w:jc w:val="center"/>
              <w:rPr>
                <w:rFonts w:cs="宋体" w:hint="default"/>
                <w:color w:val="000000"/>
                <w:kern w:val="2"/>
                <w:sz w:val="20"/>
                <w:szCs w:val="20"/>
              </w:rPr>
            </w:pPr>
          </w:p>
        </w:tc>
        <w:tc>
          <w:tcPr>
            <w:tcW w:w="2374" w:type="dxa"/>
            <w:shd w:val="clear" w:color="auto" w:fill="auto"/>
            <w:noWrap/>
            <w:tcMar>
              <w:top w:w="15" w:type="dxa"/>
              <w:left w:w="15" w:type="dxa"/>
              <w:right w:w="15" w:type="dxa"/>
            </w:tcMar>
            <w:vAlign w:val="bottom"/>
          </w:tcPr>
          <w:p w:rsidR="002C11E5" w:rsidRDefault="002C11E5">
            <w:pPr>
              <w:spacing w:line="280" w:lineRule="exact"/>
              <w:jc w:val="right"/>
              <w:rPr>
                <w:rFonts w:cs="宋体" w:hint="default"/>
                <w:color w:val="000000"/>
                <w:kern w:val="2"/>
                <w:sz w:val="20"/>
                <w:szCs w:val="20"/>
              </w:rPr>
            </w:pPr>
          </w:p>
        </w:tc>
        <w:tc>
          <w:tcPr>
            <w:tcW w:w="3671" w:type="dxa"/>
            <w:shd w:val="clear" w:color="auto" w:fill="auto"/>
            <w:noWrap/>
            <w:tcMar>
              <w:top w:w="15" w:type="dxa"/>
              <w:left w:w="15" w:type="dxa"/>
              <w:right w:w="15" w:type="dxa"/>
            </w:tcMar>
            <w:vAlign w:val="bottom"/>
          </w:tcPr>
          <w:p w:rsidR="002C11E5" w:rsidRDefault="002C11E5">
            <w:pPr>
              <w:spacing w:line="280" w:lineRule="exact"/>
              <w:rPr>
                <w:rFonts w:cs="宋体" w:hint="default"/>
                <w:color w:val="000000"/>
                <w:kern w:val="2"/>
                <w:sz w:val="20"/>
                <w:szCs w:val="20"/>
              </w:rPr>
            </w:pPr>
          </w:p>
        </w:tc>
        <w:tc>
          <w:tcPr>
            <w:tcW w:w="2493" w:type="dxa"/>
            <w:shd w:val="clear" w:color="auto" w:fill="auto"/>
            <w:noWrap/>
            <w:tcMar>
              <w:top w:w="15" w:type="dxa"/>
              <w:left w:w="15" w:type="dxa"/>
              <w:right w:w="15" w:type="dxa"/>
            </w:tcMar>
            <w:vAlign w:val="bottom"/>
          </w:tcPr>
          <w:p w:rsidR="002C11E5" w:rsidRDefault="00861A06">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2C11E5">
        <w:trPr>
          <w:trHeight w:val="244"/>
        </w:trPr>
        <w:tc>
          <w:tcPr>
            <w:tcW w:w="5592"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2C11E5" w:rsidRDefault="00861A06">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重庆科学城新凤小学校</w:t>
            </w:r>
          </w:p>
        </w:tc>
        <w:tc>
          <w:tcPr>
            <w:tcW w:w="2374" w:type="dxa"/>
            <w:tcBorders>
              <w:top w:val="nil"/>
              <w:left w:val="nil"/>
              <w:bottom w:val="single" w:sz="4" w:space="0" w:color="auto"/>
              <w:right w:val="nil"/>
            </w:tcBorders>
            <w:shd w:val="clear" w:color="auto" w:fill="auto"/>
            <w:noWrap/>
            <w:tcMar>
              <w:top w:w="15" w:type="dxa"/>
              <w:left w:w="15" w:type="dxa"/>
              <w:right w:w="15" w:type="dxa"/>
            </w:tcMar>
            <w:vAlign w:val="bottom"/>
          </w:tcPr>
          <w:p w:rsidR="002C11E5" w:rsidRDefault="002C11E5">
            <w:pPr>
              <w:spacing w:line="280" w:lineRule="exact"/>
              <w:jc w:val="right"/>
              <w:rPr>
                <w:rFonts w:cs="宋体" w:hint="default"/>
                <w:color w:val="000000"/>
                <w:kern w:val="2"/>
                <w:sz w:val="20"/>
                <w:szCs w:val="20"/>
              </w:rPr>
            </w:pPr>
          </w:p>
        </w:tc>
        <w:tc>
          <w:tcPr>
            <w:tcW w:w="3671" w:type="dxa"/>
            <w:tcBorders>
              <w:top w:val="nil"/>
              <w:left w:val="nil"/>
              <w:bottom w:val="single" w:sz="4" w:space="0" w:color="auto"/>
              <w:right w:val="nil"/>
            </w:tcBorders>
            <w:shd w:val="clear" w:color="auto" w:fill="auto"/>
            <w:noWrap/>
            <w:tcMar>
              <w:top w:w="15" w:type="dxa"/>
              <w:left w:w="15" w:type="dxa"/>
              <w:right w:w="15" w:type="dxa"/>
            </w:tcMar>
            <w:vAlign w:val="bottom"/>
          </w:tcPr>
          <w:p w:rsidR="002C11E5" w:rsidRDefault="002C11E5">
            <w:pPr>
              <w:spacing w:line="280" w:lineRule="exact"/>
              <w:rPr>
                <w:rFonts w:cs="宋体" w:hint="default"/>
                <w:color w:val="000000"/>
                <w:kern w:val="2"/>
                <w:sz w:val="20"/>
                <w:szCs w:val="20"/>
              </w:rPr>
            </w:pPr>
          </w:p>
        </w:tc>
        <w:tc>
          <w:tcPr>
            <w:tcW w:w="2493" w:type="dxa"/>
            <w:tcBorders>
              <w:top w:val="nil"/>
              <w:left w:val="nil"/>
              <w:bottom w:val="single" w:sz="4" w:space="0" w:color="auto"/>
              <w:right w:val="nil"/>
            </w:tcBorders>
            <w:shd w:val="clear" w:color="auto" w:fill="auto"/>
            <w:noWrap/>
            <w:tcMar>
              <w:top w:w="15" w:type="dxa"/>
              <w:left w:w="15" w:type="dxa"/>
              <w:right w:w="15" w:type="dxa"/>
            </w:tcMar>
            <w:vAlign w:val="bottom"/>
          </w:tcPr>
          <w:p w:rsidR="002C11E5" w:rsidRDefault="00861A06">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2C11E5">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2C11E5">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2.10</w:t>
            </w: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2.10</w:t>
            </w: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2.10</w:t>
            </w:r>
            <w:r>
              <w:rPr>
                <w:rFonts w:ascii="Times New Roman" w:hAnsi="Times New Roman"/>
                <w:color w:val="000000"/>
                <w:sz w:val="18"/>
              </w:rPr>
              <w:t xml:space="preserve"> </w:t>
            </w:r>
          </w:p>
        </w:tc>
      </w:tr>
      <w:tr w:rsidR="002C11E5">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2.10</w:t>
            </w:r>
            <w:r>
              <w:rPr>
                <w:rFonts w:ascii="Times New Roman" w:hAnsi="Times New Roman"/>
                <w:color w:val="000000"/>
                <w:sz w:val="18"/>
              </w:rPr>
              <w:t xml:space="preserve"> </w:t>
            </w:r>
          </w:p>
        </w:tc>
      </w:tr>
      <w:tr w:rsidR="002C11E5">
        <w:trPr>
          <w:trHeight w:val="286"/>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2C11E5">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2C11E5">
            <w:pPr>
              <w:spacing w:line="280" w:lineRule="exact"/>
              <w:jc w:val="right"/>
              <w:rPr>
                <w:rFonts w:cs="宋体" w:hint="default"/>
                <w:color w:val="000000"/>
                <w:kern w:val="2"/>
                <w:sz w:val="16"/>
                <w:szCs w:val="16"/>
              </w:rPr>
            </w:pPr>
          </w:p>
        </w:tc>
      </w:tr>
      <w:tr w:rsidR="002C11E5">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29.16</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2C11E5">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2C11E5">
            <w:pPr>
              <w:spacing w:line="280" w:lineRule="exact"/>
              <w:jc w:val="right"/>
              <w:rPr>
                <w:rFonts w:cs="宋体" w:hint="default"/>
                <w:color w:val="000000"/>
                <w:kern w:val="2"/>
                <w:sz w:val="16"/>
                <w:szCs w:val="16"/>
              </w:rPr>
            </w:pPr>
          </w:p>
        </w:tc>
      </w:tr>
      <w:tr w:rsidR="002C11E5">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861A06">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861A06">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0.49</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2C11E5" w:rsidRDefault="002C11E5">
            <w:pPr>
              <w:spacing w:line="280" w:lineRule="exact"/>
              <w:rPr>
                <w:rFonts w:cs="宋体" w:hint="default"/>
                <w:color w:val="000000"/>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2C11E5" w:rsidRDefault="002C11E5">
            <w:pPr>
              <w:spacing w:line="280" w:lineRule="exact"/>
              <w:jc w:val="right"/>
              <w:rPr>
                <w:rFonts w:cs="宋体" w:hint="default"/>
                <w:color w:val="000000"/>
                <w:sz w:val="16"/>
                <w:szCs w:val="16"/>
              </w:rPr>
            </w:pPr>
          </w:p>
        </w:tc>
      </w:tr>
    </w:tbl>
    <w:p w:rsidR="002C11E5" w:rsidRDefault="00861A06">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2C11E5">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A06" w:rsidRDefault="00861A06">
      <w:pPr>
        <w:rPr>
          <w:rFonts w:hint="default"/>
        </w:rPr>
      </w:pPr>
      <w:r>
        <w:separator/>
      </w:r>
    </w:p>
  </w:endnote>
  <w:endnote w:type="continuationSeparator" w:id="0">
    <w:p w:rsidR="00861A06" w:rsidRDefault="00861A0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1E5" w:rsidRDefault="00861A06">
    <w:pPr>
      <w:pStyle w:val="a5"/>
      <w:rPr>
        <w:rFonts w:hint="default"/>
      </w:rPr>
    </w:pPr>
    <w:r>
      <w:rPr>
        <w:rFonts w:hint="default"/>
        <w:noProof/>
      </w:rPr>
      <mc:AlternateContent>
        <mc:Choice Requires="wps">
          <w:drawing>
            <wp:anchor distT="0" distB="0" distL="114300" distR="114300" simplePos="0" relativeHeight="251659264" behindDoc="0" locked="0" layoutInCell="1" allowOverlap="1" wp14:anchorId="03AF42A0" wp14:editId="759BA26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C11E5" w:rsidRDefault="00861A06">
                          <w:pPr>
                            <w:pStyle w:val="a5"/>
                            <w:rPr>
                              <w:rFonts w:hint="default"/>
                            </w:rPr>
                          </w:pPr>
                          <w:r>
                            <w:fldChar w:fldCharType="begin"/>
                          </w:r>
                          <w:r>
                            <w:instrText xml:space="preserve"> PAGE  \* MERGEFORMAT </w:instrText>
                          </w:r>
                          <w:r>
                            <w:fldChar w:fldCharType="separate"/>
                          </w:r>
                          <w:r w:rsidR="0015398C">
                            <w:rPr>
                              <w:rFonts w:hint="default"/>
                              <w:noProof/>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2C11E5" w:rsidRDefault="00861A06">
                    <w:pPr>
                      <w:pStyle w:val="a5"/>
                      <w:rPr>
                        <w:rFonts w:hint="default"/>
                      </w:rPr>
                    </w:pPr>
                    <w:r>
                      <w:fldChar w:fldCharType="begin"/>
                    </w:r>
                    <w:r>
                      <w:instrText xml:space="preserve"> PAGE  \* MERGEFORMAT </w:instrText>
                    </w:r>
                    <w:r>
                      <w:fldChar w:fldCharType="separate"/>
                    </w:r>
                    <w:r w:rsidR="0015398C">
                      <w:rPr>
                        <w:rFonts w:hint="default"/>
                        <w:noProof/>
                      </w:rPr>
                      <w:t>- 10 -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1E5" w:rsidRDefault="00861A06">
    <w:pPr>
      <w:pStyle w:val="a5"/>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2C11E5" w:rsidRDefault="00861A06">
                          <w:pPr>
                            <w:pStyle w:val="a5"/>
                            <w:rPr>
                              <w:rFonts w:hint="default"/>
                            </w:rPr>
                          </w:pPr>
                          <w:r>
                            <w:t xml:space="preserve"> </w:t>
                          </w:r>
                          <w:r>
                            <w:fldChar w:fldCharType="begin"/>
                          </w:r>
                          <w:r>
                            <w:instrText>PAGE   \* MERGEFORMAT</w:instrText>
                          </w:r>
                          <w:r>
                            <w:fldChar w:fldCharType="separate"/>
                          </w:r>
                          <w:r w:rsidR="0015398C" w:rsidRPr="0015398C">
                            <w:rPr>
                              <w:rFonts w:hint="default"/>
                              <w:noProof/>
                              <w:lang w:val="zh-CN"/>
                            </w:rPr>
                            <w:t>-</w:t>
                          </w:r>
                          <w:r w:rsidR="0015398C">
                            <w:rPr>
                              <w:rFonts w:hint="default"/>
                              <w:noProof/>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2C11E5" w:rsidRDefault="00861A06">
                    <w:pPr>
                      <w:pStyle w:val="a5"/>
                      <w:rPr>
                        <w:rFonts w:hint="default"/>
                      </w:rPr>
                    </w:pPr>
                    <w:r>
                      <w:t xml:space="preserve"> </w:t>
                    </w:r>
                    <w:r>
                      <w:fldChar w:fldCharType="begin"/>
                    </w:r>
                    <w:r>
                      <w:instrText>PAGE   \* MERGEFORMAT</w:instrText>
                    </w:r>
                    <w:r>
                      <w:fldChar w:fldCharType="separate"/>
                    </w:r>
                    <w:r w:rsidR="0015398C" w:rsidRPr="0015398C">
                      <w:rPr>
                        <w:rFonts w:hint="default"/>
                        <w:noProof/>
                        <w:lang w:val="zh-CN"/>
                      </w:rPr>
                      <w:t>-</w:t>
                    </w:r>
                    <w:r w:rsidR="0015398C">
                      <w:rPr>
                        <w:rFonts w:hint="default"/>
                        <w:noProof/>
                      </w:rPr>
                      <w:t xml:space="preserve"> 11 -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2C11E5" w:rsidRDefault="00861A06">
                          <w:pPr>
                            <w:pStyle w:val="a5"/>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11AD3BE">
                    <w:pPr>
                      <w:pStyle w:val="5"/>
                      <w:jc w:val="both"/>
                      <w:rPr>
                        <w:rFonts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A06" w:rsidRDefault="00861A06">
      <w:pPr>
        <w:rPr>
          <w:rFonts w:hint="default"/>
        </w:rPr>
      </w:pPr>
      <w:r>
        <w:separator/>
      </w:r>
    </w:p>
  </w:footnote>
  <w:footnote w:type="continuationSeparator" w:id="0">
    <w:p w:rsidR="00861A06" w:rsidRDefault="00861A06">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1E5" w:rsidRDefault="002C11E5">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5398C"/>
    <w:rsid w:val="001D3BB7"/>
    <w:rsid w:val="002B254B"/>
    <w:rsid w:val="002C11E5"/>
    <w:rsid w:val="0034050A"/>
    <w:rsid w:val="0044504F"/>
    <w:rsid w:val="00466C9B"/>
    <w:rsid w:val="00486CFC"/>
    <w:rsid w:val="00491DDD"/>
    <w:rsid w:val="00550ABE"/>
    <w:rsid w:val="00620D80"/>
    <w:rsid w:val="00623A85"/>
    <w:rsid w:val="007237F3"/>
    <w:rsid w:val="0076401A"/>
    <w:rsid w:val="00770383"/>
    <w:rsid w:val="007819D4"/>
    <w:rsid w:val="007B419D"/>
    <w:rsid w:val="007B7C4B"/>
    <w:rsid w:val="007D3D39"/>
    <w:rsid w:val="00861A06"/>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8B0D14"/>
    <w:rsid w:val="0310484C"/>
    <w:rsid w:val="03B87EA0"/>
    <w:rsid w:val="03E3214F"/>
    <w:rsid w:val="044C50BA"/>
    <w:rsid w:val="05713D1E"/>
    <w:rsid w:val="05BC6D49"/>
    <w:rsid w:val="05CF2938"/>
    <w:rsid w:val="06194FF1"/>
    <w:rsid w:val="069A5A82"/>
    <w:rsid w:val="06A2550B"/>
    <w:rsid w:val="06F80EE2"/>
    <w:rsid w:val="07001CCA"/>
    <w:rsid w:val="075678DB"/>
    <w:rsid w:val="0761520D"/>
    <w:rsid w:val="077B465F"/>
    <w:rsid w:val="079D7CC7"/>
    <w:rsid w:val="08051BCA"/>
    <w:rsid w:val="084426AF"/>
    <w:rsid w:val="086C12F4"/>
    <w:rsid w:val="08705944"/>
    <w:rsid w:val="08B87EE3"/>
    <w:rsid w:val="08BA052C"/>
    <w:rsid w:val="08D162D5"/>
    <w:rsid w:val="08DB07BA"/>
    <w:rsid w:val="09055F84"/>
    <w:rsid w:val="095716F1"/>
    <w:rsid w:val="0969353F"/>
    <w:rsid w:val="098305D0"/>
    <w:rsid w:val="09B1218B"/>
    <w:rsid w:val="0A3317EA"/>
    <w:rsid w:val="0A5C4B69"/>
    <w:rsid w:val="0A7C5A9D"/>
    <w:rsid w:val="0A86124A"/>
    <w:rsid w:val="0AB54CC0"/>
    <w:rsid w:val="0B9335CE"/>
    <w:rsid w:val="0BC84F12"/>
    <w:rsid w:val="0BF2311A"/>
    <w:rsid w:val="0C7927C4"/>
    <w:rsid w:val="0C9B098C"/>
    <w:rsid w:val="0D142B60"/>
    <w:rsid w:val="0D673E11"/>
    <w:rsid w:val="0DDA54E4"/>
    <w:rsid w:val="0E3A5F83"/>
    <w:rsid w:val="0EB91C80"/>
    <w:rsid w:val="0F836721"/>
    <w:rsid w:val="0FA25D96"/>
    <w:rsid w:val="107B59E5"/>
    <w:rsid w:val="10EC0126"/>
    <w:rsid w:val="10F70B9A"/>
    <w:rsid w:val="111445C7"/>
    <w:rsid w:val="114278C6"/>
    <w:rsid w:val="1158083A"/>
    <w:rsid w:val="11643A4B"/>
    <w:rsid w:val="11ED0F98"/>
    <w:rsid w:val="11F03528"/>
    <w:rsid w:val="12C921C4"/>
    <w:rsid w:val="13166E69"/>
    <w:rsid w:val="13871C70"/>
    <w:rsid w:val="13957EA7"/>
    <w:rsid w:val="13A71CB4"/>
    <w:rsid w:val="13AF1D43"/>
    <w:rsid w:val="13CE1647"/>
    <w:rsid w:val="13F31A1F"/>
    <w:rsid w:val="13FD55AB"/>
    <w:rsid w:val="14200702"/>
    <w:rsid w:val="1429086F"/>
    <w:rsid w:val="14370EA1"/>
    <w:rsid w:val="15E16F83"/>
    <w:rsid w:val="163A6CEE"/>
    <w:rsid w:val="173708E3"/>
    <w:rsid w:val="17A71748"/>
    <w:rsid w:val="17AE720B"/>
    <w:rsid w:val="17C374FC"/>
    <w:rsid w:val="182E4AB6"/>
    <w:rsid w:val="189079DC"/>
    <w:rsid w:val="189B0D0B"/>
    <w:rsid w:val="18B43F7C"/>
    <w:rsid w:val="191C433B"/>
    <w:rsid w:val="194A1770"/>
    <w:rsid w:val="19571B56"/>
    <w:rsid w:val="19AF3E5B"/>
    <w:rsid w:val="19B906A4"/>
    <w:rsid w:val="1B6F15B6"/>
    <w:rsid w:val="1BAA2EDC"/>
    <w:rsid w:val="1C0C2C82"/>
    <w:rsid w:val="1CA55E64"/>
    <w:rsid w:val="1CDF113A"/>
    <w:rsid w:val="1D014A01"/>
    <w:rsid w:val="1D022362"/>
    <w:rsid w:val="1D0A5755"/>
    <w:rsid w:val="1D1B04B0"/>
    <w:rsid w:val="1D1D1E10"/>
    <w:rsid w:val="1DA52501"/>
    <w:rsid w:val="1DBD6767"/>
    <w:rsid w:val="1DC52125"/>
    <w:rsid w:val="1DD26311"/>
    <w:rsid w:val="1DD86FB2"/>
    <w:rsid w:val="1E374ACB"/>
    <w:rsid w:val="1ECF0A66"/>
    <w:rsid w:val="1EF67CA4"/>
    <w:rsid w:val="1F020D3A"/>
    <w:rsid w:val="1F050AA0"/>
    <w:rsid w:val="1F2C5189"/>
    <w:rsid w:val="1F4B0B02"/>
    <w:rsid w:val="1F99587F"/>
    <w:rsid w:val="1FBB35CD"/>
    <w:rsid w:val="1FCD26AF"/>
    <w:rsid w:val="201B536B"/>
    <w:rsid w:val="20642787"/>
    <w:rsid w:val="20A974A7"/>
    <w:rsid w:val="20F85E75"/>
    <w:rsid w:val="21556F04"/>
    <w:rsid w:val="21867A05"/>
    <w:rsid w:val="22403BD3"/>
    <w:rsid w:val="22AD3177"/>
    <w:rsid w:val="235417B6"/>
    <w:rsid w:val="23670060"/>
    <w:rsid w:val="23A22D26"/>
    <w:rsid w:val="24B92327"/>
    <w:rsid w:val="24C14514"/>
    <w:rsid w:val="25024B26"/>
    <w:rsid w:val="2533755C"/>
    <w:rsid w:val="25791755"/>
    <w:rsid w:val="25CB6ACF"/>
    <w:rsid w:val="26396DF4"/>
    <w:rsid w:val="263F224F"/>
    <w:rsid w:val="26552372"/>
    <w:rsid w:val="26D42D9D"/>
    <w:rsid w:val="26DE256D"/>
    <w:rsid w:val="27167136"/>
    <w:rsid w:val="271B442C"/>
    <w:rsid w:val="27B23302"/>
    <w:rsid w:val="285D089C"/>
    <w:rsid w:val="28D0778C"/>
    <w:rsid w:val="29310A5F"/>
    <w:rsid w:val="295003D5"/>
    <w:rsid w:val="29C37A35"/>
    <w:rsid w:val="2A076083"/>
    <w:rsid w:val="2A73162E"/>
    <w:rsid w:val="2AEF72B0"/>
    <w:rsid w:val="2B167953"/>
    <w:rsid w:val="2B200583"/>
    <w:rsid w:val="2B2729C0"/>
    <w:rsid w:val="2B704C27"/>
    <w:rsid w:val="2B8209DE"/>
    <w:rsid w:val="2B821C91"/>
    <w:rsid w:val="2BF81A22"/>
    <w:rsid w:val="2C636760"/>
    <w:rsid w:val="2C6762A3"/>
    <w:rsid w:val="2DBD5517"/>
    <w:rsid w:val="2DBE40ED"/>
    <w:rsid w:val="2E3142CA"/>
    <w:rsid w:val="2E9A409E"/>
    <w:rsid w:val="2F354826"/>
    <w:rsid w:val="2F374B8C"/>
    <w:rsid w:val="2FCA4B37"/>
    <w:rsid w:val="2FE029D7"/>
    <w:rsid w:val="2FF06E00"/>
    <w:rsid w:val="302A67E3"/>
    <w:rsid w:val="30586FEC"/>
    <w:rsid w:val="3082583C"/>
    <w:rsid w:val="315F0B22"/>
    <w:rsid w:val="319D391F"/>
    <w:rsid w:val="31A15828"/>
    <w:rsid w:val="31D84415"/>
    <w:rsid w:val="320F3452"/>
    <w:rsid w:val="32285F6F"/>
    <w:rsid w:val="32691F91"/>
    <w:rsid w:val="32770556"/>
    <w:rsid w:val="329C0913"/>
    <w:rsid w:val="32AA0460"/>
    <w:rsid w:val="332972BD"/>
    <w:rsid w:val="3337290D"/>
    <w:rsid w:val="33E31118"/>
    <w:rsid w:val="33EF7674"/>
    <w:rsid w:val="342D7BC6"/>
    <w:rsid w:val="352428FD"/>
    <w:rsid w:val="352930DB"/>
    <w:rsid w:val="35573069"/>
    <w:rsid w:val="355F6038"/>
    <w:rsid w:val="358C217E"/>
    <w:rsid w:val="36221B43"/>
    <w:rsid w:val="367C33B9"/>
    <w:rsid w:val="36AB5A33"/>
    <w:rsid w:val="36C9128A"/>
    <w:rsid w:val="36D21E81"/>
    <w:rsid w:val="37841E99"/>
    <w:rsid w:val="37BF1123"/>
    <w:rsid w:val="37D43062"/>
    <w:rsid w:val="383C3F15"/>
    <w:rsid w:val="388A78ED"/>
    <w:rsid w:val="38BE4696"/>
    <w:rsid w:val="3939115E"/>
    <w:rsid w:val="39B82A39"/>
    <w:rsid w:val="39C42CA8"/>
    <w:rsid w:val="39DC4FD6"/>
    <w:rsid w:val="39F03D7A"/>
    <w:rsid w:val="39F33306"/>
    <w:rsid w:val="3A2C1C67"/>
    <w:rsid w:val="3A6A77C9"/>
    <w:rsid w:val="3ADD7F09"/>
    <w:rsid w:val="3AFE1B6E"/>
    <w:rsid w:val="3B1705E5"/>
    <w:rsid w:val="3B18334B"/>
    <w:rsid w:val="3B36794F"/>
    <w:rsid w:val="3B6F6EE0"/>
    <w:rsid w:val="3C566AD6"/>
    <w:rsid w:val="3C594871"/>
    <w:rsid w:val="3C6A5B02"/>
    <w:rsid w:val="3C9E5CBF"/>
    <w:rsid w:val="3D083B3A"/>
    <w:rsid w:val="3D2757A1"/>
    <w:rsid w:val="3D33321C"/>
    <w:rsid w:val="3D3D4FC4"/>
    <w:rsid w:val="3D611E8B"/>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CF107E"/>
    <w:rsid w:val="41E0734B"/>
    <w:rsid w:val="426C1EA8"/>
    <w:rsid w:val="42736402"/>
    <w:rsid w:val="42BC3806"/>
    <w:rsid w:val="42E86A87"/>
    <w:rsid w:val="43307B09"/>
    <w:rsid w:val="439A3EB9"/>
    <w:rsid w:val="43BA7BB2"/>
    <w:rsid w:val="43BB152F"/>
    <w:rsid w:val="44C37687"/>
    <w:rsid w:val="45B83BFF"/>
    <w:rsid w:val="45CB699A"/>
    <w:rsid w:val="46423C66"/>
    <w:rsid w:val="465379F7"/>
    <w:rsid w:val="465B470D"/>
    <w:rsid w:val="469D6AD4"/>
    <w:rsid w:val="471E6C84"/>
    <w:rsid w:val="4748792B"/>
    <w:rsid w:val="47555B68"/>
    <w:rsid w:val="475D719D"/>
    <w:rsid w:val="47674801"/>
    <w:rsid w:val="48225EF7"/>
    <w:rsid w:val="48643B59"/>
    <w:rsid w:val="488F422B"/>
    <w:rsid w:val="48E36915"/>
    <w:rsid w:val="48EB6572"/>
    <w:rsid w:val="495C4A24"/>
    <w:rsid w:val="497135DF"/>
    <w:rsid w:val="49EE026C"/>
    <w:rsid w:val="49F44C5D"/>
    <w:rsid w:val="4A263DF2"/>
    <w:rsid w:val="4A2D63C1"/>
    <w:rsid w:val="4A2F278B"/>
    <w:rsid w:val="4A6F6675"/>
    <w:rsid w:val="4B135857"/>
    <w:rsid w:val="4B7951CB"/>
    <w:rsid w:val="4B7C315C"/>
    <w:rsid w:val="4BDA6C27"/>
    <w:rsid w:val="4C83200B"/>
    <w:rsid w:val="4D1F53CA"/>
    <w:rsid w:val="4DAC4ACA"/>
    <w:rsid w:val="4DBE01D2"/>
    <w:rsid w:val="4E1E2146"/>
    <w:rsid w:val="4EFD467F"/>
    <w:rsid w:val="4F0C6BA3"/>
    <w:rsid w:val="4F186D58"/>
    <w:rsid w:val="4F4C0F2D"/>
    <w:rsid w:val="4FB17F61"/>
    <w:rsid w:val="4FFE7F08"/>
    <w:rsid w:val="50043104"/>
    <w:rsid w:val="504B6EAA"/>
    <w:rsid w:val="50962713"/>
    <w:rsid w:val="50F06B6E"/>
    <w:rsid w:val="51064DCD"/>
    <w:rsid w:val="516879B9"/>
    <w:rsid w:val="51732E6C"/>
    <w:rsid w:val="517A0F87"/>
    <w:rsid w:val="51D21804"/>
    <w:rsid w:val="52066375"/>
    <w:rsid w:val="52234D33"/>
    <w:rsid w:val="522F6E0C"/>
    <w:rsid w:val="52463BA1"/>
    <w:rsid w:val="52F163D4"/>
    <w:rsid w:val="531A2DB4"/>
    <w:rsid w:val="53C0244D"/>
    <w:rsid w:val="53DD4D4E"/>
    <w:rsid w:val="53E578CE"/>
    <w:rsid w:val="541330F0"/>
    <w:rsid w:val="54272666"/>
    <w:rsid w:val="543B029D"/>
    <w:rsid w:val="548211F2"/>
    <w:rsid w:val="54861779"/>
    <w:rsid w:val="54F149AC"/>
    <w:rsid w:val="55084A4C"/>
    <w:rsid w:val="552256E1"/>
    <w:rsid w:val="554E5773"/>
    <w:rsid w:val="555829E0"/>
    <w:rsid w:val="555A3CBC"/>
    <w:rsid w:val="5582012B"/>
    <w:rsid w:val="558E4E05"/>
    <w:rsid w:val="55BE2E85"/>
    <w:rsid w:val="56530F5D"/>
    <w:rsid w:val="567700D3"/>
    <w:rsid w:val="56A872F4"/>
    <w:rsid w:val="56C01226"/>
    <w:rsid w:val="56C33D11"/>
    <w:rsid w:val="56FF7E9E"/>
    <w:rsid w:val="578867FC"/>
    <w:rsid w:val="580A3393"/>
    <w:rsid w:val="5842572D"/>
    <w:rsid w:val="5858503F"/>
    <w:rsid w:val="58A81ADA"/>
    <w:rsid w:val="5A3B59D6"/>
    <w:rsid w:val="5AD134D8"/>
    <w:rsid w:val="5BC576DF"/>
    <w:rsid w:val="5BF41F67"/>
    <w:rsid w:val="5C263CE4"/>
    <w:rsid w:val="5C5D2777"/>
    <w:rsid w:val="5CED61D0"/>
    <w:rsid w:val="5CF66BF3"/>
    <w:rsid w:val="5D290C69"/>
    <w:rsid w:val="5D81321F"/>
    <w:rsid w:val="5DA80C2C"/>
    <w:rsid w:val="5E594BF3"/>
    <w:rsid w:val="5E8F1CFC"/>
    <w:rsid w:val="5F2D4A41"/>
    <w:rsid w:val="5F4B780D"/>
    <w:rsid w:val="6053332F"/>
    <w:rsid w:val="60A81999"/>
    <w:rsid w:val="60C74F6C"/>
    <w:rsid w:val="61015958"/>
    <w:rsid w:val="61025A59"/>
    <w:rsid w:val="613D5BBC"/>
    <w:rsid w:val="61536C39"/>
    <w:rsid w:val="616E06A8"/>
    <w:rsid w:val="628A689A"/>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992A2E"/>
    <w:rsid w:val="67DF3BC2"/>
    <w:rsid w:val="68407834"/>
    <w:rsid w:val="6883293E"/>
    <w:rsid w:val="688412AD"/>
    <w:rsid w:val="68EB1B71"/>
    <w:rsid w:val="696C0310"/>
    <w:rsid w:val="69FE2C82"/>
    <w:rsid w:val="6A6C7940"/>
    <w:rsid w:val="6A934DCD"/>
    <w:rsid w:val="6A9F1565"/>
    <w:rsid w:val="6AAD2300"/>
    <w:rsid w:val="6B1A5A3C"/>
    <w:rsid w:val="6B474EF5"/>
    <w:rsid w:val="6BC938E5"/>
    <w:rsid w:val="6C0A5AC5"/>
    <w:rsid w:val="6C560CAE"/>
    <w:rsid w:val="6C576495"/>
    <w:rsid w:val="6CC17CE0"/>
    <w:rsid w:val="6D85757B"/>
    <w:rsid w:val="6D903FF5"/>
    <w:rsid w:val="6DA955B8"/>
    <w:rsid w:val="6DE346AB"/>
    <w:rsid w:val="6DE5391A"/>
    <w:rsid w:val="6EFD1324"/>
    <w:rsid w:val="6F5A53AC"/>
    <w:rsid w:val="6FAC003D"/>
    <w:rsid w:val="6FCA36D3"/>
    <w:rsid w:val="6FD926BF"/>
    <w:rsid w:val="6FE55E12"/>
    <w:rsid w:val="6FFB2E76"/>
    <w:rsid w:val="70237187"/>
    <w:rsid w:val="708F6F7F"/>
    <w:rsid w:val="70D94BD3"/>
    <w:rsid w:val="71574775"/>
    <w:rsid w:val="71BB16BF"/>
    <w:rsid w:val="71C34D91"/>
    <w:rsid w:val="72D466F0"/>
    <w:rsid w:val="72DB435C"/>
    <w:rsid w:val="72E2613A"/>
    <w:rsid w:val="72F771F4"/>
    <w:rsid w:val="73494DB9"/>
    <w:rsid w:val="73934AD2"/>
    <w:rsid w:val="73B12CD9"/>
    <w:rsid w:val="73EE092A"/>
    <w:rsid w:val="742A5177"/>
    <w:rsid w:val="746F6492"/>
    <w:rsid w:val="74A72338"/>
    <w:rsid w:val="750837F0"/>
    <w:rsid w:val="754758CF"/>
    <w:rsid w:val="75595ECD"/>
    <w:rsid w:val="76423A3F"/>
    <w:rsid w:val="764F62AB"/>
    <w:rsid w:val="765C45EC"/>
    <w:rsid w:val="768A7619"/>
    <w:rsid w:val="76974B9D"/>
    <w:rsid w:val="76BD23AB"/>
    <w:rsid w:val="772E1EBA"/>
    <w:rsid w:val="77F6687E"/>
    <w:rsid w:val="77FD20CF"/>
    <w:rsid w:val="781926BC"/>
    <w:rsid w:val="781955DF"/>
    <w:rsid w:val="791C3B40"/>
    <w:rsid w:val="791C5EB5"/>
    <w:rsid w:val="796D60A4"/>
    <w:rsid w:val="79A031D5"/>
    <w:rsid w:val="79A13D30"/>
    <w:rsid w:val="79B47FDF"/>
    <w:rsid w:val="79E15123"/>
    <w:rsid w:val="79E569A9"/>
    <w:rsid w:val="7A1525F7"/>
    <w:rsid w:val="7AFC5A8B"/>
    <w:rsid w:val="7B420052"/>
    <w:rsid w:val="7BD06A28"/>
    <w:rsid w:val="7C3A7C0B"/>
    <w:rsid w:val="7C5248E4"/>
    <w:rsid w:val="7C566698"/>
    <w:rsid w:val="7C5866A3"/>
    <w:rsid w:val="7CC156CD"/>
    <w:rsid w:val="7CDC67C9"/>
    <w:rsid w:val="7CEB71AE"/>
    <w:rsid w:val="7D222059"/>
    <w:rsid w:val="7D5F2892"/>
    <w:rsid w:val="7D7406BB"/>
    <w:rsid w:val="7DC916B5"/>
    <w:rsid w:val="7DE94331"/>
    <w:rsid w:val="7E2B111A"/>
    <w:rsid w:val="7EA6011F"/>
    <w:rsid w:val="7F446A19"/>
    <w:rsid w:val="7F7452B9"/>
    <w:rsid w:val="7F905763"/>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a7">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4"/>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a7">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4"/>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2212</Words>
  <Characters>12611</Characters>
  <Application>Microsoft Office Word</Application>
  <DocSecurity>0</DocSecurity>
  <Lines>105</Lines>
  <Paragraphs>29</Paragraphs>
  <ScaleCrop>false</ScaleCrop>
  <Company>Microsoft</Company>
  <LinksUpToDate>false</LinksUpToDate>
  <CharactersWithSpaces>14794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23</cp:revision>
  <dcterms:created xsi:type="dcterms:W3CDTF">2024-07-11T02:00:00Z</dcterms:created>
  <dcterms:modified xsi:type="dcterms:W3CDTF">2025-11-03T06:52:00Z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eyJoZGlkIjoiMGU4YjFhZjI0MTZmOTBhNDllZGMxNTU1YTEzZjkxNzUiLCJ1c2VySWQiOiI0NTg1NjgwNzIifQ==</vt:lpwstr>
  </property>
</Properties>
</file>