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napToGrid w:val="0"/>
        <w:spacing w:line="600" w:lineRule="exact"/>
        <w:ind w:left="0" w:leftChars="0" w:firstLine="0" w:firstLineChars="0"/>
        <w:jc w:val="center"/>
        <w:textAlignment w:val="auto"/>
        <w:rPr>
          <w:rFonts w:hint="default" w:ascii="Times New Roman" w:hAnsi="Times New Roman" w:eastAsia="方正小标宋_GBK" w:cs="Times New Roman"/>
          <w:bCs/>
          <w:sz w:val="44"/>
          <w:szCs w:val="44"/>
          <w:shd w:val="clear" w:color="auto" w:fill="FFFFFF"/>
        </w:rPr>
      </w:pPr>
      <w:r>
        <w:rPr>
          <w:rFonts w:hint="default" w:ascii="Times New Roman" w:hAnsi="Times New Roman" w:eastAsia="方正小标宋_GBK" w:cs="Times New Roman"/>
          <w:bCs/>
          <w:sz w:val="44"/>
          <w:szCs w:val="44"/>
          <w:shd w:val="clear" w:color="auto" w:fill="FFFFFF"/>
        </w:rPr>
        <w:t>重庆科学城新凤小学校</w:t>
      </w:r>
    </w:p>
    <w:p>
      <w:pPr>
        <w:keepNext w:val="0"/>
        <w:keepLines w:val="0"/>
        <w:pageBreakBefore w:val="0"/>
        <w:widowControl/>
        <w:kinsoku/>
        <w:wordWrap/>
        <w:overflowPunct/>
        <w:topLinePunct w:val="0"/>
        <w:autoSpaceDN/>
        <w:bidi w:val="0"/>
        <w:snapToGrid w:val="0"/>
        <w:spacing w:line="600" w:lineRule="exact"/>
        <w:ind w:left="0" w:leftChars="0" w:firstLine="0" w:firstLineChars="0"/>
        <w:jc w:val="center"/>
        <w:textAlignment w:val="auto"/>
        <w:rPr>
          <w:rFonts w:hint="default" w:ascii="Times New Roman" w:hAnsi="Times New Roman" w:eastAsia="方正小标宋_GBK" w:cs="Times New Roman"/>
          <w:bCs/>
          <w:sz w:val="44"/>
          <w:szCs w:val="44"/>
          <w:shd w:val="clear" w:color="auto" w:fill="FFFFFF"/>
        </w:rPr>
      </w:pPr>
      <w:r>
        <w:rPr>
          <w:rFonts w:hint="default" w:ascii="Times New Roman" w:hAnsi="Times New Roman" w:eastAsia="方正小标宋_GBK" w:cs="Times New Roman"/>
          <w:bCs/>
          <w:sz w:val="44"/>
          <w:szCs w:val="44"/>
          <w:shd w:val="clear" w:color="auto" w:fill="FFFFFF"/>
        </w:rPr>
        <w:t>2023年度决算公开说明</w:t>
      </w:r>
    </w:p>
    <w:p>
      <w:pPr>
        <w:pStyle w:val="2"/>
        <w:ind w:left="0" w:leftChars="0" w:firstLine="0" w:firstLineChars="0"/>
        <w:jc w:val="center"/>
        <w:rPr>
          <w:rFonts w:hint="default" w:ascii="Times New Roman" w:hAnsi="Times New Roman" w:cs="Times New Roman"/>
        </w:rPr>
      </w:pP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校现行的职能职责：实施普通小学义务教育，促进学生全面发展。开展教育教学工作；开展学校德育工作；学校体育、卫生、艺术工作；负责学校行政管理工作；开展对外交流工作；维护校园安全；按政策规定开展学前教育。</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我校主要由教学、德育、后勤、财务、人事部门组成。</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2023年度收入总计2338.37万元，支出总计</w:t>
      </w:r>
      <w:r>
        <w:rPr>
          <w:rFonts w:hint="default" w:ascii="Times New Roman" w:hAnsi="Times New Roman" w:eastAsia="方正仿宋_GBK" w:cs="Times New Roman"/>
          <w:sz w:val="32"/>
          <w:szCs w:val="32"/>
        </w:rPr>
        <w:t>2338.37</w:t>
      </w:r>
      <w:r>
        <w:rPr>
          <w:rFonts w:hint="default" w:ascii="Times New Roman" w:hAnsi="Times New Roman" w:eastAsia="方正仿宋_GBK" w:cs="Times New Roman"/>
          <w:sz w:val="32"/>
          <w:szCs w:val="32"/>
          <w:shd w:val="clear" w:color="auto" w:fill="FFFFFF"/>
        </w:rPr>
        <w:t>万元。收支较上年决算数减少214.72万元，下降8.41%，主要原因是</w:t>
      </w:r>
      <w:bookmarkStart w:id="0" w:name="_Hlk178511256"/>
      <w:r>
        <w:rPr>
          <w:rFonts w:hint="default" w:ascii="Times New Roman" w:hAnsi="Times New Roman" w:eastAsia="方正仿宋_GBK" w:cs="Times New Roman"/>
          <w:sz w:val="32"/>
          <w:szCs w:val="32"/>
          <w:shd w:val="clear" w:color="auto" w:fill="FFFFFF"/>
          <w:lang w:eastAsia="zh-CN"/>
        </w:rPr>
        <w:t>人员减少导致相关经费减少</w:t>
      </w:r>
      <w:r>
        <w:rPr>
          <w:rFonts w:hint="default" w:ascii="Times New Roman" w:hAnsi="Times New Roman" w:eastAsia="方正仿宋_GBK" w:cs="Times New Roman"/>
          <w:sz w:val="32"/>
          <w:szCs w:val="32"/>
          <w:shd w:val="clear" w:color="auto" w:fill="FFFFFF"/>
        </w:rPr>
        <w:t>。</w:t>
      </w:r>
      <w:bookmarkEnd w:id="0"/>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2023年度收入合计2338.37万元，较上年决算数减少214.72万元，下降8.41%，主要原因是</w:t>
      </w:r>
      <w:r>
        <w:rPr>
          <w:rFonts w:hint="default" w:ascii="Times New Roman" w:hAnsi="Times New Roman" w:eastAsia="方正仿宋_GBK" w:cs="Times New Roman"/>
          <w:sz w:val="32"/>
          <w:szCs w:val="32"/>
          <w:shd w:val="clear" w:color="auto" w:fill="FFFFFF"/>
          <w:lang w:eastAsia="zh-CN"/>
        </w:rPr>
        <w:t>人员减少导致相关经费减少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2275.57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97.31</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62.80</w:t>
      </w:r>
      <w:r>
        <w:rPr>
          <w:rFonts w:hint="default" w:ascii="Times New Roman" w:hAnsi="Times New Roman" w:eastAsia="方正仿宋_GBK" w:cs="Times New Roman"/>
          <w:sz w:val="32"/>
          <w:szCs w:val="32"/>
          <w:shd w:val="clear" w:color="auto" w:fill="FFFFFF"/>
        </w:rPr>
        <w:t>万元，占2.69%；经营收入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2338.37</w:t>
      </w:r>
      <w:r>
        <w:rPr>
          <w:rFonts w:hint="default" w:ascii="Times New Roman" w:hAnsi="Times New Roman" w:eastAsia="方正仿宋_GBK" w:cs="Times New Roman"/>
          <w:sz w:val="32"/>
          <w:szCs w:val="32"/>
          <w:shd w:val="clear" w:color="auto" w:fill="FFFFFF"/>
        </w:rPr>
        <w:t>万元，较上年决算数减少214.72万元，下降8.41%，主要原因是</w:t>
      </w:r>
      <w:r>
        <w:rPr>
          <w:rFonts w:hint="default" w:ascii="Times New Roman" w:hAnsi="Times New Roman" w:eastAsia="方正仿宋_GBK" w:cs="Times New Roman"/>
          <w:sz w:val="32"/>
          <w:szCs w:val="32"/>
          <w:shd w:val="clear" w:color="auto" w:fill="FFFFFF"/>
          <w:lang w:eastAsia="zh-CN"/>
        </w:rPr>
        <w:t>人员减少导致相关经费减少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2111.38</w:t>
      </w:r>
      <w:r>
        <w:rPr>
          <w:rFonts w:hint="default" w:ascii="Times New Roman" w:hAnsi="Times New Roman" w:eastAsia="方正仿宋_GBK" w:cs="Times New Roman"/>
          <w:sz w:val="32"/>
          <w:szCs w:val="32"/>
          <w:shd w:val="clear" w:color="auto" w:fill="FFFFFF"/>
        </w:rPr>
        <w:t>万元，占90.29%；项目支出</w:t>
      </w:r>
      <w:r>
        <w:rPr>
          <w:rFonts w:hint="default" w:ascii="Times New Roman" w:hAnsi="Times New Roman" w:eastAsia="方正仿宋_GBK" w:cs="Times New Roman"/>
          <w:sz w:val="32"/>
          <w:szCs w:val="32"/>
        </w:rPr>
        <w:t>226.99</w:t>
      </w:r>
      <w:r>
        <w:rPr>
          <w:rFonts w:hint="default" w:ascii="Times New Roman" w:hAnsi="Times New Roman" w:eastAsia="方正仿宋_GBK" w:cs="Times New Roman"/>
          <w:sz w:val="32"/>
          <w:szCs w:val="32"/>
          <w:shd w:val="clear" w:color="auto" w:fill="FFFFFF"/>
        </w:rPr>
        <w:t>万元，占9.71%；经营支出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2023年度财政拨款收、支总计2275.57万元。与2022年相比，财政拨款收、支总计各减少191.02万元，下降7.74%。主要原因是</w:t>
      </w:r>
      <w:r>
        <w:rPr>
          <w:rFonts w:hint="default" w:ascii="Times New Roman" w:hAnsi="Times New Roman" w:eastAsia="方正仿宋_GBK" w:cs="Times New Roman"/>
          <w:sz w:val="32"/>
          <w:szCs w:val="32"/>
          <w:shd w:val="clear" w:color="auto" w:fill="FFFFFF"/>
          <w:lang w:eastAsia="zh-CN"/>
        </w:rPr>
        <w:t>人员减少导致相关经费减少</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2271.57</w:t>
      </w:r>
      <w:r>
        <w:rPr>
          <w:rFonts w:hint="default" w:ascii="Times New Roman" w:hAnsi="Times New Roman" w:eastAsia="方正仿宋_GBK" w:cs="Times New Roman"/>
          <w:sz w:val="32"/>
          <w:szCs w:val="32"/>
          <w:shd w:val="clear" w:color="auto" w:fill="FFFFFF"/>
        </w:rPr>
        <w:t>万元，较上年决算数减少193.02万元，下降7.83%。主要原因是</w:t>
      </w:r>
      <w:r>
        <w:rPr>
          <w:rFonts w:hint="default" w:ascii="Times New Roman" w:hAnsi="Times New Roman" w:eastAsia="方正仿宋_GBK" w:cs="Times New Roman"/>
          <w:sz w:val="32"/>
          <w:szCs w:val="32"/>
          <w:shd w:val="clear" w:color="auto" w:fill="FFFFFF"/>
          <w:lang w:eastAsia="zh-CN"/>
        </w:rPr>
        <w:t>人员减少导致相关经费减少</w:t>
      </w:r>
      <w:r>
        <w:rPr>
          <w:rFonts w:hint="default" w:ascii="Times New Roman" w:hAnsi="Times New Roman" w:eastAsia="方正仿宋_GBK" w:cs="Times New Roman"/>
          <w:sz w:val="32"/>
          <w:szCs w:val="32"/>
          <w:shd w:val="clear" w:color="auto" w:fill="FFFFFF"/>
        </w:rPr>
        <w:t>。较年初预算数增加656.35万元，增长40.64%。主要原因是</w:t>
      </w:r>
      <w:r>
        <w:rPr>
          <w:rFonts w:hint="default" w:ascii="Times New Roman" w:hAnsi="Times New Roman" w:eastAsia="方正仿宋_GBK" w:cs="Times New Roman"/>
          <w:sz w:val="32"/>
          <w:szCs w:val="32"/>
          <w:shd w:val="clear" w:color="auto" w:fill="FFFFFF"/>
          <w:lang w:eastAsia="zh-CN"/>
        </w:rPr>
        <w:t>年中获得上级预算资金预算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2271.57</w:t>
      </w:r>
      <w:r>
        <w:rPr>
          <w:rFonts w:hint="default" w:ascii="Times New Roman" w:hAnsi="Times New Roman" w:eastAsia="方正仿宋_GBK" w:cs="Times New Roman"/>
          <w:sz w:val="32"/>
          <w:szCs w:val="32"/>
          <w:shd w:val="clear" w:color="auto" w:fill="FFFFFF"/>
        </w:rPr>
        <w:t>万元，较上年决算数减少193.02万元，下降7.83%。主要原因是项目经费减少。较年初预算数增加656.35万元，增长40.64%。主要原因是</w:t>
      </w:r>
      <w:r>
        <w:rPr>
          <w:rFonts w:hint="default" w:ascii="Times New Roman" w:hAnsi="Times New Roman" w:eastAsia="方正仿宋_GBK" w:cs="Times New Roman"/>
          <w:sz w:val="32"/>
          <w:szCs w:val="32"/>
          <w:shd w:val="clear" w:color="auto" w:fill="FFFFFF"/>
          <w:lang w:eastAsia="zh-CN"/>
        </w:rPr>
        <w:t>年中获得上级预算资金预算</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kinsoku/>
        <w:wordWrap/>
        <w:overflowPunct/>
        <w:topLinePunct w:val="0"/>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万元，较上年决算数无增减，主要原因是无结转结余。</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1786.93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78.66</w:t>
      </w:r>
      <w:r>
        <w:rPr>
          <w:rFonts w:hint="default" w:ascii="Times New Roman" w:hAnsi="Times New Roman" w:eastAsia="方正仿宋_GBK" w:cs="Times New Roman"/>
          <w:sz w:val="32"/>
          <w:szCs w:val="32"/>
          <w:shd w:val="clear" w:color="auto" w:fill="FFFFFF"/>
        </w:rPr>
        <w:t>%，较年初预算数增加659.27万元，增长58.46%，主要原因是</w:t>
      </w:r>
      <w:r>
        <w:rPr>
          <w:rFonts w:hint="default" w:ascii="Times New Roman" w:hAnsi="Times New Roman" w:eastAsia="方正仿宋_GBK" w:cs="Times New Roman"/>
          <w:sz w:val="32"/>
          <w:szCs w:val="32"/>
          <w:shd w:val="clear" w:color="auto" w:fill="FFFFFF"/>
          <w:lang w:eastAsia="zh-CN"/>
        </w:rPr>
        <w:t>年中获得上级预算资金预算</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331.32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14.59</w:t>
      </w:r>
      <w:r>
        <w:rPr>
          <w:rFonts w:hint="default" w:ascii="Times New Roman" w:hAnsi="Times New Roman" w:eastAsia="方正仿宋_GBK" w:cs="Times New Roman"/>
          <w:sz w:val="32"/>
          <w:szCs w:val="32"/>
          <w:shd w:val="clear" w:color="auto" w:fill="FFFFFF"/>
        </w:rPr>
        <w:t>%，较年初预算数增加5.62万元，增长1.73%，主要原因是教师岗位等调资。</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79.72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3.51</w:t>
      </w:r>
      <w:r>
        <w:rPr>
          <w:rFonts w:hint="default" w:ascii="Times New Roman" w:hAnsi="Times New Roman" w:eastAsia="方正仿宋_GBK" w:cs="Times New Roman"/>
          <w:sz w:val="32"/>
          <w:szCs w:val="32"/>
          <w:shd w:val="clear" w:color="auto" w:fill="FFFFFF"/>
        </w:rPr>
        <w:t>%，较年初预算数减少5.59万元，下降6.55%，主要原因是人员退休引起的变化。</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住房保障支出73.60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3.24</w:t>
      </w:r>
      <w:r>
        <w:rPr>
          <w:rFonts w:hint="default" w:ascii="Times New Roman" w:hAnsi="Times New Roman" w:eastAsia="方正仿宋_GBK" w:cs="Times New Roman"/>
          <w:sz w:val="32"/>
          <w:szCs w:val="32"/>
          <w:shd w:val="clear" w:color="auto" w:fill="FFFFFF"/>
        </w:rPr>
        <w:t>%，较年初预算数减少2.95万元，下降3.85%，主要原因是人员退休引起的变化。</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2048.58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1710.64</w:t>
      </w:r>
      <w:r>
        <w:rPr>
          <w:rFonts w:hint="default" w:ascii="Times New Roman" w:hAnsi="Times New Roman" w:eastAsia="方正仿宋_GBK" w:cs="Times New Roman"/>
          <w:sz w:val="32"/>
          <w:szCs w:val="32"/>
          <w:shd w:val="clear" w:color="auto" w:fill="FFFFFF"/>
        </w:rPr>
        <w:t>万元，较上年决算数减少61.31万元，下降3.46%，主要原因是人员减少</w:t>
      </w:r>
      <w:r>
        <w:rPr>
          <w:rFonts w:hint="default" w:ascii="Times New Roman" w:hAnsi="Times New Roman" w:eastAsia="方正仿宋_GBK" w:cs="Times New Roman"/>
          <w:sz w:val="32"/>
          <w:szCs w:val="32"/>
          <w:shd w:val="clear" w:color="auto" w:fill="FFFFFF"/>
          <w:lang w:eastAsia="zh-CN"/>
        </w:rPr>
        <w:t>导致相关经费减少</w:t>
      </w:r>
      <w:r>
        <w:rPr>
          <w:rFonts w:hint="default" w:ascii="Times New Roman" w:hAnsi="Times New Roman" w:eastAsia="方正仿宋_GBK" w:cs="Times New Roman"/>
          <w:sz w:val="32"/>
          <w:szCs w:val="32"/>
          <w:shd w:val="clear" w:color="auto" w:fill="FFFFFF"/>
        </w:rPr>
        <w:t>。人员经费用途主要包括基本工资、津贴补贴、绩效、社会保障缴费。公用经费</w:t>
      </w:r>
      <w:r>
        <w:rPr>
          <w:rFonts w:hint="default" w:ascii="Times New Roman" w:hAnsi="Times New Roman" w:eastAsia="方正仿宋_GBK" w:cs="Times New Roman"/>
          <w:sz w:val="32"/>
          <w:szCs w:val="32"/>
        </w:rPr>
        <w:t>337.94</w:t>
      </w:r>
      <w:r>
        <w:rPr>
          <w:rFonts w:hint="default" w:ascii="Times New Roman" w:hAnsi="Times New Roman" w:eastAsia="方正仿宋_GBK" w:cs="Times New Roman"/>
          <w:sz w:val="32"/>
          <w:szCs w:val="32"/>
          <w:shd w:val="clear" w:color="auto" w:fill="FFFFFF"/>
        </w:rPr>
        <w:t>万元，较上年决算数减少47.30万元，下降12.28%，主要原因是项目经费减少，公用经费用途主要包括办公费、印刷费、咨询费、劳务费、手续费等。</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万元，较上年决算数增加2.00万元，增长100.00%，主要原因是本年我校评为乡村少年宫学校二等奖。本年支出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万元，较上年决算数增加2.00万元，增长100.00%，主要原因是本年我校评为乡村少年宫学校二等奖。</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我单位2023年度无“三公”经费支出。</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我单位2023年度无“三公”经费支出。</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万元，较上年决算数无增减，主要原因是无会议支出。本年度培训费支出</w:t>
      </w:r>
      <w:r>
        <w:rPr>
          <w:rFonts w:hint="default" w:ascii="Times New Roman" w:hAnsi="Times New Roman" w:eastAsia="方正仿宋_GBK" w:cs="Times New Roman"/>
          <w:sz w:val="32"/>
          <w:szCs w:val="32"/>
        </w:rPr>
        <w:t>26.32</w:t>
      </w:r>
      <w:r>
        <w:rPr>
          <w:rFonts w:hint="default" w:ascii="Times New Roman" w:hAnsi="Times New Roman" w:eastAsia="方正仿宋_GBK" w:cs="Times New Roman"/>
          <w:sz w:val="32"/>
          <w:szCs w:val="32"/>
          <w:shd w:val="clear" w:color="auto" w:fill="FFFFFF"/>
        </w:rPr>
        <w:t>万元，较上年决算数增加14.93万元，增长131.08%，主要原因是疫情恢复后，增加线下培训。</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根据预算绩效管理要求，我单位对11个二级项目开展了绩效自评，涉及财政拨款项目支出资金226.99万元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5"/>
        <w:keepNext w:val="0"/>
        <w:keepLines w:val="0"/>
        <w:pageBreakBefore w:val="0"/>
        <w:widowControl/>
        <w:kinsoku/>
        <w:wordWrap/>
        <w:overflowPunct/>
        <w:topLinePunct w:val="0"/>
        <w:autoSpaceDE w:val="0"/>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2023年竞技体育后备人才训练基地经费开展了绩效评价，涉及财政拨款项目资金19.99万元，评价得分100分，绩效评价没有发现问题；对2022年乡村学校少年宫项目及运行补助资金开展了绩效评价，涉及财政拨款项目资金4万元，评价得分100分，绩效评价没有发现问题。</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 六、专业名词解释</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val="0"/>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 七、决算公开联系方式及信息反馈渠道</w:t>
      </w:r>
    </w:p>
    <w:p>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bookmarkStart w:id="1" w:name="_GoBack"/>
      <w:bookmarkEnd w:id="1"/>
      <w:r>
        <w:rPr>
          <w:rFonts w:hint="default" w:ascii="Times New Roman" w:hAnsi="Times New Roman" w:eastAsia="方正仿宋_GBK" w:cs="Times New Roman"/>
          <w:sz w:val="32"/>
          <w:szCs w:val="32"/>
          <w:shd w:val="clear" w:color="auto" w:fill="FFFFFF"/>
        </w:rPr>
        <w:t>023-65741282</w:t>
      </w:r>
    </w:p>
    <w:p>
      <w:pPr>
        <w:pStyle w:val="12"/>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重庆科学城新凤小学校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2,271.57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62.80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1,849.72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331.32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79.72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2,338.37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2,338.37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2,338.37</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2,338.37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重庆科学城新凤小学校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2,338.37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2,275.57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62.80</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62.80</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1,786.93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62.80</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62.80</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1,774.38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1,774.38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重庆科学城新凤小学校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2,338.37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2,111.38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226.99</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1,627.81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1,627.81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1,774.38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1,558.62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215.76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318.71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318.71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2,271.57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1,786.93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1,786.93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79.72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79.72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2,275.57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2,271.57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2,271.57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2,048.58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222.99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1,786.93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1,565.02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1,786.93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1,565.02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1,774.38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1,558.62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215.76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331.32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318.71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318.71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79.72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79.72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79.72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79.72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1,498.15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315.52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22.42</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22.42</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844.69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212.49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1,710.64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337.94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重庆科学城新凤小学校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2EF5"/>
    <w:rsid w:val="000C0D76"/>
    <w:rsid w:val="00197E13"/>
    <w:rsid w:val="001D3BB7"/>
    <w:rsid w:val="001F6980"/>
    <w:rsid w:val="00200D15"/>
    <w:rsid w:val="0022556A"/>
    <w:rsid w:val="00225C21"/>
    <w:rsid w:val="00247800"/>
    <w:rsid w:val="00297D08"/>
    <w:rsid w:val="002B254B"/>
    <w:rsid w:val="00412B25"/>
    <w:rsid w:val="00441B12"/>
    <w:rsid w:val="00466C9B"/>
    <w:rsid w:val="004C39DE"/>
    <w:rsid w:val="004C6E65"/>
    <w:rsid w:val="004D7AE8"/>
    <w:rsid w:val="00550ABE"/>
    <w:rsid w:val="005C209D"/>
    <w:rsid w:val="0066321D"/>
    <w:rsid w:val="006B2AEC"/>
    <w:rsid w:val="006B6518"/>
    <w:rsid w:val="006D7F19"/>
    <w:rsid w:val="00710956"/>
    <w:rsid w:val="0072197D"/>
    <w:rsid w:val="00770383"/>
    <w:rsid w:val="007819D4"/>
    <w:rsid w:val="007B295A"/>
    <w:rsid w:val="007B419D"/>
    <w:rsid w:val="007B7C4B"/>
    <w:rsid w:val="007D3D39"/>
    <w:rsid w:val="00836A93"/>
    <w:rsid w:val="00841D51"/>
    <w:rsid w:val="008B769D"/>
    <w:rsid w:val="00994AF7"/>
    <w:rsid w:val="009B67B8"/>
    <w:rsid w:val="009D2B67"/>
    <w:rsid w:val="00A566F9"/>
    <w:rsid w:val="00A665FC"/>
    <w:rsid w:val="00A97E2D"/>
    <w:rsid w:val="00AB37EA"/>
    <w:rsid w:val="00AB752A"/>
    <w:rsid w:val="00AF2751"/>
    <w:rsid w:val="00B00D84"/>
    <w:rsid w:val="00B03CCD"/>
    <w:rsid w:val="00B12389"/>
    <w:rsid w:val="00B460C0"/>
    <w:rsid w:val="00BD05A7"/>
    <w:rsid w:val="00BE2B89"/>
    <w:rsid w:val="00C04A56"/>
    <w:rsid w:val="00C10E9E"/>
    <w:rsid w:val="00C20C3E"/>
    <w:rsid w:val="00C3100C"/>
    <w:rsid w:val="00C72743"/>
    <w:rsid w:val="00D703B1"/>
    <w:rsid w:val="00DB5FE9"/>
    <w:rsid w:val="00DC22FD"/>
    <w:rsid w:val="00DE4988"/>
    <w:rsid w:val="00E81785"/>
    <w:rsid w:val="00EE682B"/>
    <w:rsid w:val="00EF4A43"/>
    <w:rsid w:val="00F10E1E"/>
    <w:rsid w:val="00F3104A"/>
    <w:rsid w:val="00F73F90"/>
    <w:rsid w:val="00F86AC0"/>
    <w:rsid w:val="00FA00E5"/>
    <w:rsid w:val="00FB08E1"/>
    <w:rsid w:val="00FB192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6B2E68"/>
    <w:rsid w:val="0C7927C4"/>
    <w:rsid w:val="0C9B098C"/>
    <w:rsid w:val="0CE16C80"/>
    <w:rsid w:val="0D673E11"/>
    <w:rsid w:val="0DDA54E4"/>
    <w:rsid w:val="0E3A5F83"/>
    <w:rsid w:val="0F836721"/>
    <w:rsid w:val="0FA25D96"/>
    <w:rsid w:val="1001694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185B90"/>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D6552"/>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C77262"/>
    <w:rsid w:val="39DC4FD6"/>
    <w:rsid w:val="39F03D7A"/>
    <w:rsid w:val="39F33306"/>
    <w:rsid w:val="39FB4E21"/>
    <w:rsid w:val="3A2C1C67"/>
    <w:rsid w:val="3A87422D"/>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D95423"/>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061A6"/>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F139F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6008E"/>
    <w:rsid w:val="708F6F7F"/>
    <w:rsid w:val="70D94BD3"/>
    <w:rsid w:val="71C34D91"/>
    <w:rsid w:val="72DB435C"/>
    <w:rsid w:val="72E2613A"/>
    <w:rsid w:val="72F771F4"/>
    <w:rsid w:val="73934AD2"/>
    <w:rsid w:val="750837F0"/>
    <w:rsid w:val="754758CF"/>
    <w:rsid w:val="764F62AB"/>
    <w:rsid w:val="765C45EC"/>
    <w:rsid w:val="768A7619"/>
    <w:rsid w:val="772E1EBA"/>
    <w:rsid w:val="77687A2F"/>
    <w:rsid w:val="781926BC"/>
    <w:rsid w:val="796D60A4"/>
    <w:rsid w:val="79A031D5"/>
    <w:rsid w:val="79B674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1956</Words>
  <Characters>11154</Characters>
  <Lines>92</Lines>
  <Paragraphs>26</Paragraphs>
  <TotalTime>7</TotalTime>
  <ScaleCrop>false</ScaleCrop>
  <LinksUpToDate>false</LinksUpToDate>
  <CharactersWithSpaces>13084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2024-10-11T03:01:00Z</cp:lastPrinted>
  <dcterms:modified xsi:type="dcterms:W3CDTF">2024-10-16T07:13:27Z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C4F796F092214E60B1FFD7B05A35EF03_13</vt:lpwstr>
  </property>
</Properties>
</file>