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重庆科学城驿都实验学校</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firstLine="0" w:firstLineChars="0"/>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2023年度决算公开说明</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720" w:firstLineChars="200"/>
        <w:jc w:val="both"/>
        <w:textAlignment w:val="auto"/>
        <w:rPr>
          <w:rFonts w:hint="default" w:ascii="Times New Roman" w:hAnsi="Times New Roman" w:eastAsia="方正小标宋_GBK" w:cs="Times New Roman"/>
          <w:sz w:val="36"/>
          <w:szCs w:val="36"/>
          <w:shd w:val="clear" w:color="auto" w:fill="FFFFFF"/>
        </w:rPr>
      </w:pP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Fonts w:hint="default" w:ascii="Times New Roman" w:hAnsi="Times New Roman" w:eastAsia="方正黑体_GBK" w:cs="Times New Roman"/>
          <w:sz w:val="32"/>
          <w:szCs w:val="32"/>
        </w:rPr>
      </w:pPr>
      <w:r>
        <w:rPr>
          <w:rStyle w:val="9"/>
          <w:rFonts w:hint="default" w:ascii="Times New Roman" w:hAnsi="Times New Roman" w:eastAsia="方正黑体_GBK" w:cs="Times New Roman"/>
          <w:sz w:val="32"/>
          <w:szCs w:val="32"/>
          <w:shd w:val="clear" w:color="auto" w:fill="FFFFFF"/>
        </w:rPr>
        <w:t>一、单位基本情况</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w:t>
      </w:r>
      <w:r>
        <w:rPr>
          <w:rStyle w:val="9"/>
          <w:rFonts w:hint="default" w:ascii="Times New Roman" w:hAnsi="Times New Roman" w:eastAsia="方正楷体_GBK" w:cs="Times New Roman"/>
          <w:sz w:val="32"/>
          <w:szCs w:val="32"/>
          <w:shd w:val="clear" w:color="auto" w:fill="FFFFFF"/>
          <w:lang w:eastAsia="zh-CN"/>
        </w:rPr>
        <w:t>一</w:t>
      </w:r>
      <w:r>
        <w:rPr>
          <w:rStyle w:val="9"/>
          <w:rFonts w:hint="default" w:ascii="Times New Roman" w:hAnsi="Times New Roman" w:eastAsia="方正楷体_GBK" w:cs="Times New Roman"/>
          <w:sz w:val="32"/>
          <w:szCs w:val="32"/>
          <w:shd w:val="clear" w:color="auto" w:fill="FFFFFF"/>
        </w:rPr>
        <w:t>）职能职责</w:t>
      </w:r>
    </w:p>
    <w:p>
      <w:pPr>
        <w:pStyle w:val="17"/>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sz w:val="32"/>
          <w:szCs w:val="32"/>
          <w:shd w:val="clear" w:color="auto" w:fill="FFFFFF"/>
        </w:rPr>
        <w:t>实施普通小学和初中义务教育，促进学生全面发展，开展教育教学工作；开展学校德育工作；开展学校体育、卫生、艺术工作；负责学校行政管理工作；开展对外交流工作；维护校园安全，提供后勤保障服务；按政策规定开展学前教育。</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（二）机构设置</w:t>
      </w:r>
    </w:p>
    <w:p>
      <w:pPr>
        <w:pStyle w:val="17"/>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b w:val="0"/>
          <w:sz w:val="32"/>
          <w:szCs w:val="32"/>
          <w:shd w:val="clear" w:color="auto" w:fill="FFFFFF"/>
        </w:rPr>
      </w:pPr>
      <w:r>
        <w:rPr>
          <w:rFonts w:hint="default" w:ascii="Times New Roman" w:hAnsi="Times New Roman" w:eastAsia="方正仿宋_GBK" w:cs="Times New Roman"/>
          <w:b w:val="0"/>
          <w:sz w:val="32"/>
          <w:szCs w:val="32"/>
          <w:shd w:val="clear" w:color="auto" w:fill="FFFFFF"/>
        </w:rPr>
        <w:t>重庆科学城驿都实验学校内设教导处、德育处、安全稳定办公室、后勤处、教科室、财务室、党政办公室。</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rPr>
      </w:pPr>
      <w:r>
        <w:rPr>
          <w:rStyle w:val="9"/>
          <w:rFonts w:hint="default" w:ascii="Times New Roman" w:hAnsi="Times New Roman" w:eastAsia="方正黑体_GBK" w:cs="Times New Roman"/>
          <w:sz w:val="32"/>
          <w:szCs w:val="32"/>
          <w:shd w:val="clear" w:color="auto" w:fill="FFFFFF"/>
        </w:rPr>
        <w:t>二、单位决算情况说明</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（一）收入支出决算总体情况说明。</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2023年度收入总计5305.84万元，支出总计</w:t>
      </w:r>
      <w:r>
        <w:rPr>
          <w:rFonts w:hint="default" w:ascii="Times New Roman" w:hAnsi="Times New Roman" w:eastAsia="方正仿宋_GBK" w:cs="Times New Roman"/>
          <w:sz w:val="32"/>
          <w:szCs w:val="32"/>
        </w:rPr>
        <w:t>5305.84</w:t>
      </w:r>
      <w:r>
        <w:rPr>
          <w:rFonts w:hint="default" w:ascii="Times New Roman" w:hAnsi="Times New Roman" w:eastAsia="方正仿宋_GBK" w:cs="Times New Roman"/>
          <w:sz w:val="32"/>
          <w:szCs w:val="32"/>
          <w:shd w:val="clear" w:color="auto" w:fill="FFFFFF"/>
        </w:rPr>
        <w:t>万元。收支较上年决算数减少166.05万元，下降3.03%，主要原因是</w:t>
      </w:r>
      <w:r>
        <w:rPr>
          <w:rFonts w:hint="default" w:ascii="Times New Roman" w:hAnsi="Times New Roman" w:eastAsia="方正仿宋_GBK" w:cs="Times New Roman"/>
          <w:sz w:val="32"/>
          <w:szCs w:val="32"/>
          <w:shd w:val="clear" w:color="auto" w:fill="FFFFFF"/>
          <w:lang w:eastAsia="zh-CN"/>
        </w:rPr>
        <w:t>学生人数减少对应生均公用经费减少</w:t>
      </w:r>
      <w:r>
        <w:rPr>
          <w:rFonts w:hint="default" w:ascii="Times New Roman" w:hAnsi="Times New Roman" w:eastAsia="方正仿宋_GBK" w:cs="Times New Roman"/>
          <w:color w:val="FF0000"/>
          <w:sz w:val="32"/>
          <w:szCs w:val="32"/>
          <w:shd w:val="clear" w:color="auto" w:fill="FFFFFF"/>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2023年度收入合计5305.84万元，较上年决算数减少166.05万元，下降3.03%，主要原因是</w:t>
      </w:r>
      <w:r>
        <w:rPr>
          <w:rFonts w:hint="default" w:ascii="Times New Roman" w:hAnsi="Times New Roman" w:eastAsia="方正仿宋_GBK" w:cs="Times New Roman"/>
          <w:sz w:val="32"/>
          <w:szCs w:val="32"/>
          <w:shd w:val="clear" w:color="auto" w:fill="FFFFFF"/>
          <w:lang w:eastAsia="zh-CN"/>
        </w:rPr>
        <w:t>学生人数减少对应生均公用经费减少</w:t>
      </w:r>
      <w:r>
        <w:rPr>
          <w:rFonts w:hint="default" w:ascii="Times New Roman" w:hAnsi="Times New Roman" w:eastAsia="方正仿宋_GBK" w:cs="Times New Roman"/>
          <w:color w:val="FF0000"/>
          <w:sz w:val="32"/>
          <w:szCs w:val="32"/>
          <w:shd w:val="clear" w:color="auto" w:fill="FFFFFF"/>
        </w:rPr>
        <w:t>。</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5296.21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99.82</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9.63</w:t>
      </w:r>
      <w:r>
        <w:rPr>
          <w:rFonts w:hint="default" w:ascii="Times New Roman" w:hAnsi="Times New Roman" w:eastAsia="方正仿宋_GBK" w:cs="Times New Roman"/>
          <w:sz w:val="32"/>
          <w:szCs w:val="32"/>
          <w:shd w:val="clear" w:color="auto" w:fill="FFFFFF"/>
        </w:rPr>
        <w:t>万元，占0.18%；经营收入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万元，占0.00%。此外，没有使用非财政拨款结余和专用结余，年初结转和结余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5305.84</w:t>
      </w:r>
      <w:r>
        <w:rPr>
          <w:rFonts w:hint="default" w:ascii="Times New Roman" w:hAnsi="Times New Roman" w:eastAsia="方正仿宋_GBK" w:cs="Times New Roman"/>
          <w:sz w:val="32"/>
          <w:szCs w:val="32"/>
          <w:shd w:val="clear" w:color="auto" w:fill="FFFFFF"/>
        </w:rPr>
        <w:t>万元，较上年决算数减少166.05万元，下降3.03%，主要原因是</w:t>
      </w:r>
      <w:r>
        <w:rPr>
          <w:rFonts w:hint="default" w:ascii="Times New Roman" w:hAnsi="Times New Roman" w:eastAsia="方正仿宋_GBK" w:cs="Times New Roman"/>
          <w:sz w:val="32"/>
          <w:szCs w:val="32"/>
          <w:shd w:val="clear" w:color="auto" w:fill="FFFFFF"/>
          <w:lang w:eastAsia="zh-CN"/>
        </w:rPr>
        <w:t>学生人数减少对应生均公用经费减少</w:t>
      </w:r>
      <w:r>
        <w:rPr>
          <w:rFonts w:hint="default" w:ascii="Times New Roman" w:hAnsi="Times New Roman" w:eastAsia="方正仿宋_GBK" w:cs="Times New Roman"/>
          <w:color w:val="FF0000"/>
          <w:sz w:val="32"/>
          <w:szCs w:val="32"/>
          <w:shd w:val="clear" w:color="auto" w:fill="FFFFFF"/>
        </w:rPr>
        <w:t>。</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5020.51</w:t>
      </w:r>
      <w:r>
        <w:rPr>
          <w:rFonts w:hint="default" w:ascii="Times New Roman" w:hAnsi="Times New Roman" w:eastAsia="方正仿宋_GBK" w:cs="Times New Roman"/>
          <w:sz w:val="32"/>
          <w:szCs w:val="32"/>
          <w:shd w:val="clear" w:color="auto" w:fill="FFFFFF"/>
        </w:rPr>
        <w:t>万元，占94.62%；项目支出</w:t>
      </w:r>
      <w:r>
        <w:rPr>
          <w:rFonts w:hint="default" w:ascii="Times New Roman" w:hAnsi="Times New Roman" w:eastAsia="方正仿宋_GBK" w:cs="Times New Roman"/>
          <w:sz w:val="32"/>
          <w:szCs w:val="32"/>
        </w:rPr>
        <w:t>285.33</w:t>
      </w:r>
      <w:r>
        <w:rPr>
          <w:rFonts w:hint="default" w:ascii="Times New Roman" w:hAnsi="Times New Roman" w:eastAsia="方正仿宋_GBK" w:cs="Times New Roman"/>
          <w:sz w:val="32"/>
          <w:szCs w:val="32"/>
          <w:shd w:val="clear" w:color="auto" w:fill="FFFFFF"/>
        </w:rPr>
        <w:t>万元，占5.38%；经营支出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万元，占0.00%。此外，无结余分配。</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（二）财政拨款收入支出决算总体情况说明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2023年度财政拨款收、支总计5296.21万元。与2022年相比，财政拨款收、支总计各减少163.68万元，下降3.00%。主要原因是</w:t>
      </w:r>
      <w:r>
        <w:rPr>
          <w:rFonts w:hint="default" w:ascii="Times New Roman" w:hAnsi="Times New Roman" w:eastAsia="方正仿宋_GBK" w:cs="Times New Roman"/>
          <w:sz w:val="32"/>
          <w:szCs w:val="32"/>
          <w:shd w:val="clear" w:color="auto" w:fill="FFFFFF"/>
          <w:lang w:eastAsia="zh-CN"/>
        </w:rPr>
        <w:t>学生人数减少对应生均公用经费减少</w:t>
      </w:r>
      <w:r>
        <w:rPr>
          <w:rFonts w:hint="default" w:ascii="Times New Roman" w:hAnsi="Times New Roman" w:eastAsia="方正仿宋_GBK" w:cs="Times New Roman"/>
          <w:color w:val="FF0000"/>
          <w:sz w:val="32"/>
          <w:szCs w:val="32"/>
          <w:shd w:val="clear" w:color="auto" w:fill="FFFFFF"/>
        </w:rPr>
        <w:t>。</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（三）一般公共预算财政拨款收入支出决算情况说明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5292.21</w:t>
      </w:r>
      <w:r>
        <w:rPr>
          <w:rFonts w:hint="default" w:ascii="Times New Roman" w:hAnsi="Times New Roman" w:eastAsia="方正仿宋_GBK" w:cs="Times New Roman"/>
          <w:sz w:val="32"/>
          <w:szCs w:val="32"/>
          <w:shd w:val="clear" w:color="auto" w:fill="FFFFFF"/>
        </w:rPr>
        <w:t>万元，较上年决算数减少165.68万元，下降3.04%。主要原因是</w:t>
      </w:r>
      <w:r>
        <w:rPr>
          <w:rFonts w:hint="default" w:ascii="Times New Roman" w:hAnsi="Times New Roman" w:eastAsia="方正仿宋_GBK" w:cs="Times New Roman"/>
          <w:sz w:val="32"/>
          <w:szCs w:val="32"/>
          <w:shd w:val="clear" w:color="auto" w:fill="FFFFFF"/>
          <w:lang w:eastAsia="zh-CN"/>
        </w:rPr>
        <w:t>学生人数减少对应生均公用经费减少</w:t>
      </w:r>
      <w:r>
        <w:rPr>
          <w:rFonts w:hint="default" w:ascii="Times New Roman" w:hAnsi="Times New Roman" w:eastAsia="方正仿宋_GBK" w:cs="Times New Roman"/>
          <w:color w:val="FF0000"/>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较年初预算数增加2156.66万元，增长68.78%。主要原因是年中获得上级补助资金预算。此外，年初财政拨款无结转和结余。</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5292.21</w:t>
      </w:r>
      <w:r>
        <w:rPr>
          <w:rFonts w:hint="default" w:ascii="Times New Roman" w:hAnsi="Times New Roman" w:eastAsia="方正仿宋_GBK" w:cs="Times New Roman"/>
          <w:sz w:val="32"/>
          <w:szCs w:val="32"/>
          <w:shd w:val="clear" w:color="auto" w:fill="FFFFFF"/>
        </w:rPr>
        <w:t>万元，较上年决算数减少165.68万元，下降3.04%。主要原因是</w:t>
      </w:r>
      <w:r>
        <w:rPr>
          <w:rFonts w:hint="default" w:ascii="Times New Roman" w:hAnsi="Times New Roman" w:eastAsia="方正仿宋_GBK" w:cs="Times New Roman"/>
          <w:sz w:val="32"/>
          <w:szCs w:val="32"/>
          <w:shd w:val="clear" w:color="auto" w:fill="FFFFFF"/>
          <w:lang w:eastAsia="zh-CN"/>
        </w:rPr>
        <w:t>学生人数减少对应生均公用经费减少</w:t>
      </w:r>
      <w:r>
        <w:rPr>
          <w:rFonts w:hint="default" w:ascii="Times New Roman" w:hAnsi="Times New Roman" w:eastAsia="方正仿宋_GBK" w:cs="Times New Roman"/>
          <w:sz w:val="32"/>
          <w:szCs w:val="32"/>
          <w:shd w:val="clear" w:color="auto" w:fill="FFFFFF"/>
        </w:rPr>
        <w:t>。较年初预算数增加2156.66万元，增长68.78%。主要原因是年中获得上级补助资金预算。</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2023年度年末一般公共预算财政拨款无结转和结余。</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（1）教育支出</w:t>
      </w:r>
      <w:r>
        <w:rPr>
          <w:rFonts w:hint="default" w:ascii="Times New Roman" w:hAnsi="Times New Roman" w:eastAsia="方正仿宋_GBK" w:cs="Times New Roman"/>
          <w:sz w:val="32"/>
          <w:szCs w:val="32"/>
        </w:rPr>
        <w:t>4366.85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82.51</w:t>
      </w:r>
      <w:r>
        <w:rPr>
          <w:rFonts w:hint="default" w:ascii="Times New Roman" w:hAnsi="Times New Roman" w:eastAsia="方正仿宋_GBK" w:cs="Times New Roman"/>
          <w:sz w:val="32"/>
          <w:szCs w:val="32"/>
          <w:shd w:val="clear" w:color="auto" w:fill="FFFFFF"/>
        </w:rPr>
        <w:t>%，较年初预算数增加2121.76万元，增长94.51%，主要原因是年中获得上级补助资金预算。</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（2）文化旅游体育与传媒支出</w:t>
      </w:r>
      <w:r>
        <w:rPr>
          <w:rFonts w:hint="default" w:ascii="Times New Roman" w:hAnsi="Times New Roman" w:eastAsia="方正仿宋_GBK" w:cs="Times New Roman"/>
          <w:sz w:val="32"/>
          <w:szCs w:val="32"/>
        </w:rPr>
        <w:t>10.00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0.19</w:t>
      </w:r>
      <w:r>
        <w:rPr>
          <w:rFonts w:hint="default" w:ascii="Times New Roman" w:hAnsi="Times New Roman" w:eastAsia="方正仿宋_GBK" w:cs="Times New Roman"/>
          <w:sz w:val="32"/>
          <w:szCs w:val="32"/>
          <w:shd w:val="clear" w:color="auto" w:fill="FFFFFF"/>
        </w:rPr>
        <w:t>%，较年初预算数增加10.00万元，增长100.00%，主要原因是年中获得上级补助资金预算。</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（3）社会保障与就业支出</w:t>
      </w:r>
      <w:r>
        <w:rPr>
          <w:rFonts w:hint="default" w:ascii="Times New Roman" w:hAnsi="Times New Roman" w:eastAsia="方正仿宋_GBK" w:cs="Times New Roman"/>
          <w:sz w:val="32"/>
          <w:szCs w:val="32"/>
        </w:rPr>
        <w:t>559.70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10.58</w:t>
      </w:r>
      <w:r>
        <w:rPr>
          <w:rFonts w:hint="default" w:ascii="Times New Roman" w:hAnsi="Times New Roman" w:eastAsia="方正仿宋_GBK" w:cs="Times New Roman"/>
          <w:sz w:val="32"/>
          <w:szCs w:val="32"/>
          <w:shd w:val="clear" w:color="auto" w:fill="FFFFFF"/>
        </w:rPr>
        <w:t>%，较年初预算数增加35.77万元，增长6.83%，主要原因是年中追加抚恤费导致的保障经费增加。</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（4）卫生健康支出</w:t>
      </w:r>
      <w:r>
        <w:rPr>
          <w:rFonts w:hint="default" w:ascii="Times New Roman" w:hAnsi="Times New Roman" w:eastAsia="方正仿宋_GBK" w:cs="Times New Roman"/>
          <w:sz w:val="32"/>
          <w:szCs w:val="32"/>
        </w:rPr>
        <w:t>174.71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3.30</w:t>
      </w:r>
      <w:r>
        <w:rPr>
          <w:rFonts w:hint="default" w:ascii="Times New Roman" w:hAnsi="Times New Roman" w:eastAsia="方正仿宋_GBK" w:cs="Times New Roman"/>
          <w:sz w:val="32"/>
          <w:szCs w:val="32"/>
          <w:shd w:val="clear" w:color="auto" w:fill="FFFFFF"/>
        </w:rPr>
        <w:t>%，较年初预算数减少10.88万元，下降5.86%，主要原因是</w:t>
      </w:r>
      <w:r>
        <w:rPr>
          <w:rFonts w:hint="default" w:ascii="Times New Roman" w:hAnsi="Times New Roman" w:eastAsia="方正仿宋_GBK" w:cs="Times New Roman"/>
          <w:sz w:val="32"/>
          <w:szCs w:val="32"/>
          <w:shd w:val="clear" w:color="auto" w:fill="FFFFFF"/>
          <w:lang w:eastAsia="zh-CN"/>
        </w:rPr>
        <w:t>人员减少</w:t>
      </w:r>
      <w:r>
        <w:rPr>
          <w:rFonts w:hint="default" w:ascii="Times New Roman" w:hAnsi="Times New Roman" w:eastAsia="方正仿宋_GBK" w:cs="Times New Roman"/>
          <w:sz w:val="32"/>
          <w:szCs w:val="32"/>
          <w:shd w:val="clear" w:color="auto" w:fill="FFFFFF"/>
        </w:rPr>
        <w:t>。</w:t>
      </w:r>
    </w:p>
    <w:p>
      <w:pPr>
        <w:keepNext w:val="0"/>
        <w:keepLines w:val="0"/>
        <w:pageBreakBefore w:val="0"/>
        <w:widowControl/>
        <w:kinsoku/>
        <w:wordWrap/>
        <w:overflowPunct/>
        <w:topLinePunct w:val="0"/>
        <w:autoSpaceDN/>
        <w:bidi w:val="0"/>
        <w:adjustRightInd/>
        <w:spacing w:beforeAutospacing="0" w:afterAutospacing="0" w:line="600" w:lineRule="exact"/>
        <w:ind w:left="0"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（5）</w:t>
      </w:r>
      <w:r>
        <w:rPr>
          <w:rFonts w:hint="default" w:ascii="Times New Roman" w:hAnsi="Times New Roman" w:eastAsia="方正仿宋_GBK" w:cs="Times New Roman"/>
          <w:sz w:val="32"/>
          <w:szCs w:val="32"/>
        </w:rPr>
        <w:t>住房保障支出180.94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3.42</w:t>
      </w:r>
      <w:r>
        <w:rPr>
          <w:rFonts w:hint="default" w:ascii="Times New Roman" w:hAnsi="Times New Roman" w:eastAsia="方正仿宋_GBK" w:cs="Times New Roman"/>
          <w:sz w:val="32"/>
          <w:szCs w:val="32"/>
          <w:shd w:val="clear" w:color="auto" w:fill="FFFFFF"/>
        </w:rPr>
        <w:t>%，较年初预算数无增减。</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（四）一般公共预算财政拨款基本支出决算情况说明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2023年度一般公共预算财政拨款基本支出</w:t>
      </w:r>
      <w:r>
        <w:rPr>
          <w:rFonts w:hint="default" w:ascii="Times New Roman" w:hAnsi="Times New Roman" w:eastAsia="方正仿宋_GBK" w:cs="Times New Roman"/>
          <w:sz w:val="32"/>
          <w:szCs w:val="32"/>
        </w:rPr>
        <w:t>5010.87</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4397.25</w:t>
      </w:r>
      <w:r>
        <w:rPr>
          <w:rFonts w:hint="default" w:ascii="Times New Roman" w:hAnsi="Times New Roman" w:eastAsia="方正仿宋_GBK" w:cs="Times New Roman"/>
          <w:sz w:val="32"/>
          <w:szCs w:val="32"/>
          <w:shd w:val="clear" w:color="auto" w:fill="FFFFFF"/>
        </w:rPr>
        <w:t>万元，较上年决算数增加173.33万元，增长4.10%，主要原因是</w:t>
      </w:r>
      <w:r>
        <w:rPr>
          <w:rFonts w:hint="default" w:ascii="Times New Roman" w:hAnsi="Times New Roman" w:eastAsia="方正仿宋_GBK" w:cs="Times New Roman"/>
          <w:sz w:val="32"/>
          <w:szCs w:val="32"/>
          <w:shd w:val="clear" w:color="auto" w:fill="FFFFFF"/>
          <w:lang w:eastAsia="zh-CN"/>
        </w:rPr>
        <w:t>上半年代管其他学校部分人员经费。</w:t>
      </w:r>
      <w:r>
        <w:rPr>
          <w:rFonts w:hint="default" w:ascii="Times New Roman" w:hAnsi="Times New Roman" w:eastAsia="方正仿宋_GBK" w:cs="Times New Roman"/>
          <w:sz w:val="32"/>
          <w:szCs w:val="32"/>
          <w:shd w:val="clear" w:color="auto" w:fill="FFFFFF"/>
        </w:rPr>
        <w:t>人员经费用途主要包括基本工资、津贴、规范性津贴等。公用经费</w:t>
      </w:r>
      <w:r>
        <w:rPr>
          <w:rFonts w:hint="default" w:ascii="Times New Roman" w:hAnsi="Times New Roman" w:eastAsia="方正仿宋_GBK" w:cs="Times New Roman"/>
          <w:sz w:val="32"/>
          <w:szCs w:val="32"/>
        </w:rPr>
        <w:t>613.62</w:t>
      </w:r>
      <w:r>
        <w:rPr>
          <w:rFonts w:hint="default" w:ascii="Times New Roman" w:hAnsi="Times New Roman" w:eastAsia="方正仿宋_GBK" w:cs="Times New Roman"/>
          <w:sz w:val="32"/>
          <w:szCs w:val="32"/>
          <w:shd w:val="clear" w:color="auto" w:fill="FFFFFF"/>
        </w:rPr>
        <w:t>万元，较上年决算数减少361.83万元，下降37.09%，主要原因是学校学前经费减少。公用经费用途主要包括日常办公、印刷、差旅、维修、专用材料等。</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（五）政府性基金预算收支决算情况说明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2023年度政府性基金预算财政拨款年初无结转结余，年末无结转结余。本年收入</w:t>
      </w:r>
      <w:r>
        <w:rPr>
          <w:rFonts w:hint="default" w:ascii="Times New Roman" w:hAnsi="Times New Roman" w:eastAsia="方正仿宋_GBK" w:cs="Times New Roman"/>
          <w:sz w:val="32"/>
          <w:szCs w:val="32"/>
        </w:rPr>
        <w:t>4.00</w:t>
      </w:r>
      <w:r>
        <w:rPr>
          <w:rFonts w:hint="default" w:ascii="Times New Roman" w:hAnsi="Times New Roman" w:eastAsia="方正仿宋_GBK" w:cs="Times New Roman"/>
          <w:sz w:val="32"/>
          <w:szCs w:val="32"/>
          <w:shd w:val="clear" w:color="auto" w:fill="FFFFFF"/>
        </w:rPr>
        <w:t>万元，较上年决算数增加2.00万元，增长100.00%，主要原因是追加预算用于提高乡村少年宫活动项目</w:t>
      </w:r>
      <w:r>
        <w:rPr>
          <w:rFonts w:hint="default" w:ascii="Times New Roman" w:hAnsi="Times New Roman" w:eastAsia="方正仿宋_GBK" w:cs="Times New Roman"/>
          <w:color w:val="FF0000"/>
          <w:sz w:val="32"/>
          <w:szCs w:val="32"/>
          <w:shd w:val="clear" w:color="auto" w:fill="FFFFFF"/>
        </w:rPr>
        <w:t>。</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4.00</w:t>
      </w:r>
      <w:r>
        <w:rPr>
          <w:rFonts w:hint="default" w:ascii="Times New Roman" w:hAnsi="Times New Roman" w:eastAsia="方正仿宋_GBK" w:cs="Times New Roman"/>
          <w:sz w:val="32"/>
          <w:szCs w:val="32"/>
          <w:shd w:val="clear" w:color="auto" w:fill="FFFFFF"/>
        </w:rPr>
        <w:t>万元，较上年决算数增加2.00万元，增长100.00%，主要原因是追加支出用于提高乡村少年宫活动项目</w:t>
      </w:r>
      <w:r>
        <w:rPr>
          <w:rFonts w:hint="default" w:ascii="Times New Roman" w:hAnsi="Times New Roman" w:eastAsia="方正仿宋_GBK" w:cs="Times New Roman"/>
          <w:color w:val="FF0000"/>
          <w:sz w:val="32"/>
          <w:szCs w:val="32"/>
          <w:shd w:val="clear" w:color="auto" w:fill="FFFFFF"/>
        </w:rPr>
        <w:t>。</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（六）国有资本经营预算财政拨款支出决算情况说明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2023年度本单位2023年度无国有资本经营预算财政拨款支出。</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rPr>
      </w:pPr>
      <w:r>
        <w:rPr>
          <w:rStyle w:val="9"/>
          <w:rFonts w:hint="default" w:ascii="Times New Roman" w:hAnsi="Times New Roman" w:eastAsia="方正黑体_GBK" w:cs="Times New Roman"/>
          <w:sz w:val="32"/>
          <w:szCs w:val="32"/>
          <w:shd w:val="clear" w:color="auto" w:fill="FFFFFF"/>
        </w:rPr>
        <w:t>三、“三公”经费情况说明</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（一）“三公”经费支出情况</w:t>
      </w:r>
    </w:p>
    <w:p>
      <w:pPr>
        <w:keepNext w:val="0"/>
        <w:keepLines w:val="0"/>
        <w:pageBreakBefore w:val="0"/>
        <w:widowControl/>
        <w:kinsoku/>
        <w:wordWrap/>
        <w:overflowPunct/>
        <w:topLinePunct w:val="0"/>
        <w:autoSpaceDN/>
        <w:bidi w:val="0"/>
        <w:adjustRightInd/>
        <w:spacing w:beforeAutospacing="0" w:afterAutospacing="0" w:line="600" w:lineRule="exact"/>
        <w:ind w:lef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sz w:val="32"/>
          <w:szCs w:val="32"/>
        </w:rPr>
        <w:t>本部门2023年度无三公经费支出</w:t>
      </w:r>
      <w:r>
        <w:rPr>
          <w:rFonts w:hint="default" w:ascii="Times New Roman" w:hAnsi="Times New Roman" w:eastAsia="方正仿宋_GBK" w:cs="Times New Roman"/>
          <w:kern w:val="2"/>
          <w:sz w:val="32"/>
          <w:szCs w:val="32"/>
        </w:rPr>
        <w:t>。</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（二）“三公”经费实物量情况</w:t>
      </w:r>
    </w:p>
    <w:p>
      <w:pPr>
        <w:keepNext w:val="0"/>
        <w:keepLines w:val="0"/>
        <w:pageBreakBefore w:val="0"/>
        <w:widowControl/>
        <w:kinsoku/>
        <w:wordWrap/>
        <w:overflowPunct/>
        <w:topLinePunct w:val="0"/>
        <w:autoSpaceDN/>
        <w:bidi w:val="0"/>
        <w:adjustRightInd/>
        <w:spacing w:beforeAutospacing="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本部门2023年度无“三公”实物量情况。</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rPr>
      </w:pPr>
      <w:r>
        <w:rPr>
          <w:rStyle w:val="9"/>
          <w:rFonts w:hint="default" w:ascii="Times New Roman" w:hAnsi="Times New Roman" w:eastAsia="方正黑体_GBK" w:cs="Times New Roman"/>
          <w:sz w:val="32"/>
          <w:szCs w:val="32"/>
          <w:shd w:val="clear" w:color="auto" w:fill="FFFFFF"/>
        </w:rPr>
        <w:t>四、其他需要说明的事项</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（一）财政拨款会议费和培训费情况说明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万元，较上年决算数无增减，主要原因是没有安排会议费预算。本年度培训费支出</w:t>
      </w:r>
      <w:r>
        <w:rPr>
          <w:rFonts w:hint="default" w:ascii="Times New Roman" w:hAnsi="Times New Roman" w:eastAsia="方正仿宋_GBK" w:cs="Times New Roman"/>
          <w:sz w:val="32"/>
          <w:szCs w:val="32"/>
        </w:rPr>
        <w:t>30.14</w:t>
      </w:r>
      <w:r>
        <w:rPr>
          <w:rFonts w:hint="default" w:ascii="Times New Roman" w:hAnsi="Times New Roman" w:eastAsia="方正仿宋_GBK" w:cs="Times New Roman"/>
          <w:sz w:val="32"/>
          <w:szCs w:val="32"/>
          <w:shd w:val="clear" w:color="auto" w:fill="FFFFFF"/>
        </w:rPr>
        <w:t>万元，较上年决算数减少3.59万元，下降10.64%，主要原因是控制外出培训人员数量。</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（二）机关运行经费情况说明</w:t>
      </w:r>
    </w:p>
    <w:p>
      <w:pPr>
        <w:keepNext w:val="0"/>
        <w:keepLines w:val="0"/>
        <w:pageBreakBefore w:val="0"/>
        <w:widowControl/>
        <w:kinsoku/>
        <w:wordWrap/>
        <w:overflowPunct/>
        <w:topLinePunct w:val="0"/>
        <w:autoSpaceDN/>
        <w:bidi w:val="0"/>
        <w:adjustRightInd/>
        <w:spacing w:beforeAutospacing="0" w:afterAutospacing="0" w:line="600" w:lineRule="exact"/>
        <w:ind w:left="0" w:firstLine="640" w:firstLineChars="200"/>
        <w:jc w:val="both"/>
        <w:textAlignment w:val="auto"/>
        <w:rPr>
          <w:rFonts w:hint="default" w:ascii="Times New Roman" w:hAnsi="Times New Roman" w:cs="Times New Roman"/>
        </w:rPr>
      </w:pPr>
      <w:r>
        <w:rPr>
          <w:rFonts w:hint="default" w:ascii="Times New Roman" w:hAnsi="Times New Roman" w:eastAsia="方正仿宋_GBK" w:cs="Times New Roman"/>
          <w:sz w:val="32"/>
          <w:szCs w:val="32"/>
        </w:rPr>
        <w:t>按照部门决算列报口径，我单位不在机关运行经费统计范围之内。</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（三）国有资产占用情况说明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（四）政府采购支出情况说明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2023年度本单位政府采购支出总额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rPr>
      </w:pPr>
      <w:r>
        <w:rPr>
          <w:rStyle w:val="9"/>
          <w:rFonts w:hint="default" w:ascii="Times New Roman" w:hAnsi="Times New Roman" w:eastAsia="方正黑体_GBK" w:cs="Times New Roman"/>
          <w:sz w:val="32"/>
          <w:szCs w:val="32"/>
          <w:shd w:val="clear" w:color="auto" w:fill="FFFFFF"/>
          <w:lang w:eastAsia="zh-CN"/>
        </w:rPr>
        <w:t>五、</w:t>
      </w:r>
      <w:r>
        <w:rPr>
          <w:rStyle w:val="9"/>
          <w:rFonts w:hint="default" w:ascii="Times New Roman" w:hAnsi="Times New Roman" w:eastAsia="方正黑体_GBK" w:cs="Times New Roman"/>
          <w:sz w:val="32"/>
          <w:szCs w:val="32"/>
          <w:shd w:val="clear" w:color="auto" w:fill="FFFFFF"/>
        </w:rPr>
        <w:t>预算绩效管理情况说明</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（一）单位自评情况</w:t>
      </w:r>
    </w:p>
    <w:p>
      <w:pPr>
        <w:pStyle w:val="13"/>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根据预算绩效管理要求，我单位</w:t>
      </w:r>
      <w:r>
        <w:rPr>
          <w:rFonts w:hint="eastAsia" w:ascii="Times New Roman" w:hAnsi="Times New Roman" w:eastAsia="方正仿宋_GBK" w:cs="Times New Roman"/>
          <w:sz w:val="32"/>
          <w:szCs w:val="32"/>
          <w:shd w:val="clear" w:color="auto" w:fill="FFFFFF"/>
          <w:lang w:val="en-US" w:eastAsia="zh-CN"/>
        </w:rPr>
        <w:t>12</w:t>
      </w:r>
      <w:bookmarkStart w:id="0" w:name="_GoBack"/>
      <w:bookmarkEnd w:id="0"/>
      <w:r>
        <w:rPr>
          <w:rFonts w:hint="default" w:ascii="Times New Roman" w:hAnsi="Times New Roman" w:eastAsia="方正仿宋_GBK" w:cs="Times New Roman"/>
          <w:sz w:val="32"/>
          <w:szCs w:val="32"/>
          <w:shd w:val="clear" w:color="auto" w:fill="FFFFFF"/>
        </w:rPr>
        <w:t>个二级项目开展了绩效自评，涉及财政拨款项目支出资金</w:t>
      </w:r>
      <w:r>
        <w:rPr>
          <w:rFonts w:hint="eastAsia" w:ascii="Times New Roman" w:hAnsi="Times New Roman" w:eastAsia="方正仿宋_GBK" w:cs="Times New Roman"/>
          <w:sz w:val="32"/>
          <w:szCs w:val="32"/>
          <w:shd w:val="clear" w:color="auto" w:fill="FFFFFF"/>
          <w:lang w:val="en-US" w:eastAsia="zh-CN"/>
        </w:rPr>
        <w:t>285.33</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项目支出绩效自评表（二级项目）详见附件。</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（二）单位绩效评价情况</w:t>
      </w:r>
    </w:p>
    <w:p>
      <w:pPr>
        <w:pStyle w:val="15"/>
        <w:keepNext w:val="0"/>
        <w:keepLines w:val="0"/>
        <w:pageBreakBefore w:val="0"/>
        <w:widowControl/>
        <w:kinsoku/>
        <w:wordWrap/>
        <w:overflowPunct/>
        <w:topLinePunct w:val="0"/>
        <w:autoSpaceDE w:val="0"/>
        <w:autoSpaceDN/>
        <w:bidi w:val="0"/>
        <w:adjustRightInd/>
        <w:spacing w:beforeAutospacing="0" w:afterAutospacing="0" w:line="600" w:lineRule="exact"/>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我单位未组织开展绩效评价。</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（三）财政绩效评价情况</w:t>
      </w:r>
    </w:p>
    <w:p>
      <w:pPr>
        <w:pStyle w:val="15"/>
        <w:keepNext w:val="0"/>
        <w:keepLines w:val="0"/>
        <w:pageBreakBefore w:val="0"/>
        <w:widowControl/>
        <w:kinsoku/>
        <w:wordWrap/>
        <w:overflowPunct/>
        <w:topLinePunct w:val="0"/>
        <w:autoSpaceDE w:val="0"/>
        <w:autoSpaceDN/>
        <w:bidi w:val="0"/>
        <w:adjustRightInd/>
        <w:spacing w:beforeAutospacing="0" w:afterAutospacing="0" w:line="600" w:lineRule="exact"/>
        <w:ind w:left="0"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eastAsia="zh-CN"/>
        </w:rPr>
        <w:t>重庆高新区财政局未委托第三方对我单位开展绩效评价。</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lang w:eastAsia="zh-CN"/>
        </w:rPr>
      </w:pPr>
      <w:r>
        <w:rPr>
          <w:rStyle w:val="9"/>
          <w:rFonts w:hint="default" w:ascii="Times New Roman" w:hAnsi="Times New Roman" w:eastAsia="方正黑体_GBK" w:cs="Times New Roman"/>
          <w:sz w:val="32"/>
          <w:szCs w:val="32"/>
          <w:shd w:val="clear" w:color="auto" w:fill="FFFFFF"/>
          <w:lang w:eastAsia="zh-CN"/>
        </w:rPr>
        <w:t> 六、专业名词解释</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lang w:eastAsia="zh-CN"/>
        </w:rPr>
      </w:pPr>
      <w:r>
        <w:rPr>
          <w:rStyle w:val="9"/>
          <w:rFonts w:hint="default" w:ascii="Times New Roman" w:hAnsi="Times New Roman" w:eastAsia="方正黑体_GBK" w:cs="Times New Roman"/>
          <w:sz w:val="32"/>
          <w:szCs w:val="32"/>
          <w:shd w:val="clear" w:color="auto" w:fill="FFFFFF"/>
          <w:lang w:eastAsia="zh-CN"/>
        </w:rPr>
        <w:t>七、决算公开联系方式及信息反馈渠道</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left="0" w:firstLine="640" w:firstLineChars="200"/>
        <w:jc w:val="both"/>
        <w:textAlignment w:val="auto"/>
        <w:rPr>
          <w:rStyle w:val="9"/>
          <w:rFonts w:hint="default" w:ascii="Times New Roman" w:hAnsi="Times New Roman" w:eastAsia="方正仿宋_GBK" w:cs="Times New Roman"/>
          <w:sz w:val="32"/>
          <w:szCs w:val="32"/>
          <w:shd w:val="clear" w:color="auto" w:fill="FFFF00"/>
        </w:rPr>
        <w:sectPr>
          <w:footerReference r:id="rId3" w:type="default"/>
          <w:pgSz w:w="11915" w:h="16840"/>
          <w:pgMar w:top="2098" w:right="1531" w:bottom="1984" w:left="1531" w:header="851" w:footer="992" w:gutter="0"/>
          <w:pgNumType w:fmt="numberInDash"/>
          <w:cols w:space="0" w:num="1"/>
          <w:rtlGutter w:val="0"/>
          <w:docGrid w:type="lines" w:linePitch="327" w:charSpace="0"/>
        </w:sectPr>
      </w:pPr>
      <w:r>
        <w:rPr>
          <w:rFonts w:hint="default" w:ascii="Times New Roman" w:hAnsi="Times New Roman" w:eastAsia="方正仿宋_GBK" w:cs="Times New Roman"/>
          <w:sz w:val="32"/>
          <w:szCs w:val="32"/>
          <w:shd w:val="clear" w:color="auto" w:fill="FFFFFF"/>
        </w:rPr>
        <w:t>本单位决算公开信息反馈和联系方式：023-65703779</w:t>
      </w:r>
    </w:p>
    <w:p>
      <w:pPr>
        <w:rPr>
          <w:rFonts w:hint="default" w:cs="宋体"/>
          <w:sz w:val="21"/>
          <w:szCs w:val="21"/>
        </w:rPr>
      </w:pPr>
    </w:p>
    <w:tbl>
      <w:tblPr>
        <w:tblStyle w:val="10"/>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rPr>
              <w:t>重庆科学城驿都实验学校</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5,292.21</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4.00</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9.63</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4,376.49</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559.70</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174.71</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180.94</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4.00</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5,305.84</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5,305.84</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5,305.84</w:t>
            </w:r>
            <w:r>
              <w:rPr>
                <w:color w:val="000000"/>
                <w:sz w:val="20"/>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5,305.84</w:t>
            </w:r>
            <w:r>
              <w:rPr>
                <w:color w:val="000000"/>
                <w:sz w:val="20"/>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重庆科学城驿都实验学校</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5,305.84</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5,296.21</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9.63</w:t>
            </w:r>
            <w:r>
              <w:rPr>
                <w:b/>
                <w:color w:val="000000"/>
                <w:sz w:val="20"/>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4,376.49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4,366.85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9.63</w:t>
            </w:r>
            <w:r>
              <w:rPr>
                <w:b/>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4,376.49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4,366.85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9.63</w:t>
            </w:r>
            <w:r>
              <w:rPr>
                <w:b/>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111.23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101.60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9.63</w:t>
            </w: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1,699.55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1,699.55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初中教育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2,565.71</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2,565.71</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体育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其他体育支出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559.70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559.70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508.94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508.94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228.92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228.92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114.21</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114.21</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165.81</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165.81</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33.93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33.93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33.93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33.93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14.68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14.68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其他社会福利支出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14.68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14.68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174.71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174.71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174.71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174.71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143.07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143.07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31.64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31.64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180.94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180.94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180.94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180.94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180.94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180.94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用于教育事业的彩票公益金支出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15378" w:type="dxa"/>
        <w:tblInd w:w="0" w:type="dxa"/>
        <w:tblLayout w:type="fixed"/>
        <w:tblCellMar>
          <w:top w:w="0" w:type="dxa"/>
          <w:left w:w="0" w:type="dxa"/>
          <w:bottom w:w="0" w:type="dxa"/>
          <w:right w:w="0" w:type="dxa"/>
        </w:tblCellMar>
      </w:tblPr>
      <w:tblGrid>
        <w:gridCol w:w="1791"/>
        <w:gridCol w:w="3430"/>
        <w:gridCol w:w="1690"/>
        <w:gridCol w:w="1690"/>
        <w:gridCol w:w="1690"/>
        <w:gridCol w:w="1675"/>
        <w:gridCol w:w="1675"/>
        <w:gridCol w:w="173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911"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重庆科学城驿都实验学校 </w:t>
            </w:r>
          </w:p>
        </w:tc>
        <w:tc>
          <w:tcPr>
            <w:tcW w:w="169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3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91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3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221"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7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7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3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79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430"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3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79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430"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3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79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430"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3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79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430"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3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221"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5,305.84</w:t>
            </w:r>
            <w:r>
              <w:rPr>
                <w:b/>
                <w:color w:val="000000"/>
                <w:sz w:val="20"/>
              </w:rPr>
              <w:t xml:space="preserve"> </w:t>
            </w:r>
          </w:p>
        </w:tc>
        <w:tc>
          <w:tcPr>
            <w:tcW w:w="1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5,020.51</w:t>
            </w:r>
            <w:r>
              <w:rPr>
                <w:b/>
                <w:color w:val="000000"/>
                <w:sz w:val="20"/>
              </w:rPr>
              <w:t xml:space="preserve"> </w:t>
            </w:r>
          </w:p>
        </w:tc>
        <w:tc>
          <w:tcPr>
            <w:tcW w:w="1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285.33</w:t>
            </w:r>
            <w:r>
              <w:rPr>
                <w:b/>
                <w:color w:val="000000"/>
                <w:sz w:val="20"/>
              </w:rPr>
              <w:t xml:space="preserve"> </w:t>
            </w:r>
          </w:p>
        </w:tc>
        <w:tc>
          <w:tcPr>
            <w:tcW w:w="1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4,376.49</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4,109.66</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266.83</w:t>
            </w:r>
            <w:r>
              <w:rPr>
                <w:b/>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4,376.49</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4,109.66</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266.83</w:t>
            </w:r>
            <w:r>
              <w:rPr>
                <w:b/>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111.23</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110.54</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0.69</w:t>
            </w: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1,699.55</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1,452.52</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247.03</w:t>
            </w: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2050203</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初中教育</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2,565.71</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2,546.60</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19.11</w:t>
            </w: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20703</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体育</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2070399</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其他体育支出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559.70</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555.20</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4.50</w:t>
            </w:r>
            <w:r>
              <w:rPr>
                <w:b/>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2.15</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2.15</w:t>
            </w:r>
            <w:r>
              <w:rPr>
                <w:b/>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2.15</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2.15</w:t>
            </w: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508.94</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508.94</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228.92</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228.92</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114.21</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114.21</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165.81</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165.81</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33.93</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33.93</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33.93</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33.93</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14.68</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12.32</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2.36</w:t>
            </w:r>
            <w:r>
              <w:rPr>
                <w:b/>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2081099</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其他社会福利支出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14.68</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12.32</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2.36</w:t>
            </w: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174.71</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174.71</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174.71</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174.71</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143.07</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143.07</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31.64</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31.64</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180.94</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180.94</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180.94</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180.94</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180.94</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180.94</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w:t>
            </w:r>
            <w:r>
              <w:rPr>
                <w:b/>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w:t>
            </w:r>
            <w:r>
              <w:rPr>
                <w:b/>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2296004</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用于教育事业的彩票公益金支出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重庆科学城驿都实验学校</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5,292.21</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4.00</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4,366.85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4,366.85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559.70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559.70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174.71</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174.71</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180.94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180.94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4.00</w:t>
            </w: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5,296.21</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5,296.21</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5,292.21</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4.00</w:t>
            </w: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5,296.21</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5,296.21</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5,292.21</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4.00</w:t>
            </w: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重庆科学城驿都实验学校</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5,292.21</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5,010.87</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281.33</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4,366.85</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4,100.02</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266.83</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4,366.85</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4,100.02</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266.83</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101.60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100.91</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0.69</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1,699.55</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1,452.52</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247.03</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初中教育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2,565.71</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2,546.60</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19.11</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体育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其他体育支出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559.70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555.20</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4.50</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2.15</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2.15</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2.15</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2.15</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508.94</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508.94</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228.92</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228.92</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114.21</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114.21</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165.81</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165.81</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33.93</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33.93</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33.93</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33.93</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14.68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12.32</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2.36</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其他社会福利支出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14.68</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12.32</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2.36</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174.71</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174.71</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174.71</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174.71</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143.07</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143.07</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31.64</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31.64</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180.94</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180.94</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180.94</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180.94</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180.94</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180.94</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重庆科学城驿都实验学校</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4,057.56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593.82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19.80</w:t>
            </w: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709.47</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143.16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108.46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19.80</w:t>
            </w: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2,509.83</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228.92</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16.82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114.21</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119.07</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26.00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40.15</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10.53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180.94</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46.50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54.13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339.69</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25.14</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14.56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33.93</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294.35</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150.54</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11.41</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32.16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23.00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83.61</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4,397.25</w:t>
            </w:r>
            <w:r>
              <w:rPr>
                <w:color w:val="000000"/>
                <w:sz w:val="18"/>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613.62</w:t>
            </w:r>
            <w:r>
              <w:rPr>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重庆科学城驿都实验学校</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4.00</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4.00</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4.00</w:t>
            </w: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4.00</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4.00</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4.00</w:t>
            </w: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4.00</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4.00</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4.00</w:t>
            </w: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2296004</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用于教育事业的彩票公益金支出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4.00</w:t>
            </w: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4.00</w:t>
            </w: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4.00</w:t>
            </w:r>
            <w:r>
              <w:rPr>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重庆科学城驿都实验学校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10"/>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重庆科学城驿都实验学校</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30.14</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43535" cy="147955"/>
              <wp:effectExtent l="0" t="0" r="0" b="0"/>
              <wp:wrapNone/>
              <wp:docPr id="4" name="Text Box 2"/>
              <wp:cNvGraphicFramePr/>
              <a:graphic xmlns:a="http://schemas.openxmlformats.org/drawingml/2006/main">
                <a:graphicData uri="http://schemas.microsoft.com/office/word/2010/wordprocessingShape">
                  <wps:wsp>
                    <wps:cNvSpPr txBox="1">
                      <a:spLocks noChangeArrowheads="1"/>
                    </wps:cNvSpPr>
                    <wps:spPr bwMode="auto">
                      <a:xfrm>
                        <a:off x="0" y="0"/>
                        <a:ext cx="343535" cy="147955"/>
                      </a:xfrm>
                      <a:prstGeom prst="rect">
                        <a:avLst/>
                      </a:prstGeom>
                      <a:noFill/>
                      <a:ln>
                        <a:noFill/>
                      </a:ln>
                    </wps:spPr>
                    <wps:txbx>
                      <w:txbxContent>
                        <w:p>
                          <w:pPr>
                            <w:pStyle w:val="4"/>
                            <w:rPr>
                              <w:rFonts w:hint="default"/>
                            </w:rPr>
                          </w:pPr>
                          <w:r>
                            <w:fldChar w:fldCharType="begin"/>
                          </w:r>
                          <w:r>
                            <w:instrText xml:space="preserve"> PAGE  \* MERGEFORMAT </w:instrText>
                          </w:r>
                          <w:r>
                            <w:fldChar w:fldCharType="separate"/>
                          </w:r>
                          <w:r>
                            <w:rPr>
                              <w:rFonts w:hint="default"/>
                            </w:rPr>
                            <w:t>- 8 -</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1.65pt;width:27.05pt;mso-position-horizontal:center;mso-position-horizontal-relative:margin;mso-wrap-style:none;z-index:251661312;mso-width-relative:page;mso-height-relative:page;" filled="f" stroked="f" coordsize="21600,21600" o:gfxdata="UEsDBAoAAAAAAIdO4kAAAAAAAAAAAAAAAAAEAAAAZHJzL1BLAwQUAAAACACHTuJAJtupU9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jw8liKOC1XoNsqnl&#10;f/bmG1BLAwQUAAAACACHTuJAUGjkCN8BAACzAwAADgAAAGRycy9lMm9Eb2MueG1srVPLjtswDLwX&#10;6D8IujfOsw8jzmK7ixQFtg9gtx9Ay3Is1BYFSomdfn0pOU637a3oRaApajgcjrc3Q9eKkyZv0BZy&#10;MZtLoa3CythDIb897V+9lcIHsBW0aHUhz9rLm93LF9ve5XqJDbaVJsEg1ue9K2QTgsuzzKtGd+Bn&#10;6LTlyxqpg8CfdMgqgp7RuzZbzuevsx6pcoRKe8/Z+/FS7hJ+XWsVvtS110G0hWRuIZ2UzjKe2W4L&#10;+YHANUZdaMA/sOjAWG56hbqHAOJI5i+ozihCj3WYKewyrGujdJqBp1nM/5jmsQGn0ywsjndXmfz/&#10;g1WfT19JmKqQayksdLyiJz0E8R4HsYzq9M7nXPTouCwMnOYtp0m9e0D13QuLdw3Yg74lwr7RUDG7&#10;RXyZPXs64vgIUvafsOI2cAyYgIaauigdiyEYnbd0vm4mUlGcXK1Xm9VGCsVXi/Wbd5tN6gD59NiR&#10;Dx80diIGhSRefAKH04MPkQzkU0nsZXFv2jYtv7W/JbgwZhL5yHdkHoZyuIhRYnXmMQhHL7H3OWiQ&#10;fkjRs48KadnoUrQfLQsRLTcFNAXlFIBV/LCQQYoxvAujNY+OzKFh3EnqWxZrb9IgUdWRw4UlOyPN&#10;d3FxtN7z71T161/b/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m26lT0gAAAAMBAAAPAAAAAAAA&#10;AAEAIAAAACIAAABkcnMvZG93bnJldi54bWxQSwECFAAUAAAACACHTuJAUGjkCN8BAACzAwAADgAA&#10;AAAAAAABACAAAAAhAQAAZHJzL2Uyb0RvYy54bWxQSwUGAAAAAAYABgBZAQAAcgUAAAAA&#10;">
              <v:fill on="f" focussize="0,0"/>
              <v:stroke on="f"/>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- 8 -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400685" cy="147955"/>
              <wp:effectExtent l="0" t="0" r="0" b="0"/>
              <wp:wrapNone/>
              <wp:docPr id="2" name="Text Box 4"/>
              <wp:cNvGraphicFramePr/>
              <a:graphic xmlns:a="http://schemas.openxmlformats.org/drawingml/2006/main">
                <a:graphicData uri="http://schemas.microsoft.com/office/word/2010/wordprocessingShape">
                  <wps:wsp>
                    <wps:cNvSpPr txBox="1">
                      <a:spLocks noChangeArrowheads="1"/>
                    </wps:cNvSpPr>
                    <wps:spPr bwMode="auto">
                      <a:xfrm>
                        <a:off x="0" y="0"/>
                        <a:ext cx="400685" cy="147955"/>
                      </a:xfrm>
                      <a:prstGeom prst="rect">
                        <a:avLst/>
                      </a:prstGeom>
                      <a:noFill/>
                      <a:ln>
                        <a:noFill/>
                      </a:ln>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10 -</w:t>
                          </w:r>
                          <w:r>
                            <w:fldChar w:fldCharType="end"/>
                          </w:r>
                          <w:r>
                            <w:t xml:space="preserve"> </w:t>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1.65pt;width:31.55pt;mso-position-horizontal:center;mso-position-horizontal-relative:margin;mso-wrap-style:none;z-index:251660288;mso-width-relative:page;mso-height-relative:page;" filled="f" stroked="f" coordsize="21600,21600" o:allowoverlap="f" o:gfxdata="UEsDBAoAAAAAAIdO4kAAAAAAAAAAAAAAAAAEAAAAZHJzL1BLAwQUAAAACACHTuJAGUOo8t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3eripBnBVsqwpk28j/&#10;7O03UEsDBBQAAAAIAIdO4kAFcejs3wEAALMDAAAOAAAAZHJzL2Uyb0RvYy54bWytU8Fu2zAMvQ/Y&#10;Pwi6L06CZOuMOEXXIsOAbh3Q9gNoWY6F2aJAKbGzrx8lx1m33oZdBJqiHh8fnzfXQ9eKoyZv0BZy&#10;MZtLoa3Cyth9IZ+fdu+upPABbAUtWl3Ik/byevv2zaZ3uV5ig22lSTCI9XnvCtmE4PIs86rRHfgZ&#10;Om35skbqIPAn7bOKoGf0rs2W8/n7rEeqHKHS3nP2bryU24Rf11qFh7r2Ooi2kMwtpJPSWcYz224g&#10;3xO4xqgzDfgHFh0Yy00vUHcQQBzIvILqjCL0WIeZwi7DujZKpxl4msX8r2keG3A6zcLieHeRyf8/&#10;WPXt+J2EqQq5lMJCxyt60kMQn3AQq6hO73zORY+Oy8LAad5ymtS7e1Q/vLB424Dd6xsi7BsNFbNb&#10;xJfZi6cjjo8gZf8VK24Dh4AJaKipi9KxGILReUuny2YiFcXJFa/6ai2F4qvF6sPH9Tp1gHx67MiH&#10;zxo7EYNCEi8+gcPx3odIBvKpJPayuDNtm5bf2j8SXBgziXzkOzIPQzmcxSixOvEYhKOX2PscNEg/&#10;pejZR4W0bHQp2i+WhYiWmwKagnIKwCp+WMggxRjehtGaB0dm3zDuJPUNi7UzaZCo6sjhzJKdkeY7&#10;uzha7+V3qvr9r21/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lDqPLRAAAAAwEAAA8AAAAAAAAA&#10;AQAgAAAAIgAAAGRycy9kb3ducmV2LnhtbFBLAQIUABQAAAAIAIdO4kAFcejs3wEAALMDAAAOAAAA&#10;AAAAAAEAIAAAACABAABkcnMvZTJvRG9jLnhtbFBLBQYAAAAABgAGAFkBAABxBQAAAAA=&#10;">
              <v:fill on="f" focussize="0,0"/>
              <v:stroke on="f"/>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572135" cy="220980"/>
              <wp:effectExtent l="0" t="1905" r="0"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572135" cy="220980"/>
                      </a:xfrm>
                      <a:prstGeom prst="rect">
                        <a:avLst/>
                      </a:prstGeom>
                      <a:noFill/>
                      <a:ln>
                        <a:noFill/>
                      </a:ln>
                    </wps:spPr>
                    <wps:txbx>
                      <w:txbxContent>
                        <w:p>
                          <w:pPr>
                            <w:pStyle w:val="4"/>
                            <w:jc w:val="both"/>
                            <w:rPr>
                              <w:rFonts w:hint="default" w:cs="宋体"/>
                            </w:rPr>
                          </w:pPr>
                          <w:r>
                            <w:rPr>
                              <w:rFonts w:cs="宋体"/>
                            </w:rPr>
                            <w:t>— 27.1 —</w:t>
                          </w:r>
                        </w:p>
                      </w:txbxContent>
                    </wps:txbx>
                    <wps:bodyPr rot="0" vert="horz" wrap="none" lIns="0" tIns="0" rIns="0" bIns="0" anchor="t" anchorCtr="0" upright="1">
                      <a:noAutofit/>
                    </wps:bodyPr>
                  </wps:wsp>
                </a:graphicData>
              </a:graphic>
            </wp:anchor>
          </w:drawing>
        </mc:Choice>
        <mc:Fallback>
          <w:pict>
            <v:shape id="Text Box 3" o:spid="_x0000_s1026" o:spt="202" type="#_x0000_t202" style="position:absolute;left:0pt;margin-top:1160.4pt;height:17.4pt;width:45.05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DJfoUNYAAAAJ&#10;AQAADwAAAGRycy9kb3ducmV2LnhtbE2PwU7DMAyG70i8Q2QkbixJ0aZRmu6A4MikjV24pY3Xdmuc&#10;qkm38vZ4Jzjav/X7+4rN7HtxwTF2gQzohQKBVAfXUWPg8PXxtAYRkyVn+0Bo4AcjbMr7u8LmLlxp&#10;h5d9agSXUMytgTalIZcy1i16GxdhQOLsGEZvE49jI91or1zue5kptZLedsQfWjvgW4v1eT95A8fP&#10;7fn0Pu3UqVFr/NYjzpXeGvP4oNUriIRz+juGGz6jQ8lMVZjIRdEbYJFkIHvOFBtw/qI0iOq2WS5X&#10;IMtC/jcofwFQSwMEFAAAAAgAh07iQI44ArHfAQAAswMAAA4AAABkcnMvZTJvRG9jLnhtbK1TwW7U&#10;MBC9I/EPlu9sslsVSrTZqrQqQioUqeUDHMdOLGKPNfZusnw9Y2ezFLghLtZkPPP85s3L9nqyAzso&#10;DAZczderkjPlJLTGdTX/9nz/5oqzEIVrxQBO1fyoAr/evX61HX2lNtDD0CpkBOJCNfqa9zH6qiiC&#10;7JUVYQVeObrUgFZE+sSuaFGMhG6HYlOWb4sRsPUIUoVA2bv5ku8yvtZKxketg4psqDlxi/nEfDbp&#10;LHZbUXUofG/kiYb4BxZWGEePnqHuRBRsj+YvKGskQgAdVxJsAVobqfIMNM26/GOap154lWchcYI/&#10;yxT+H6z8cviKzLS0O86csLSiZzVF9gEmdpHUGX2oqOjJU1mcKJ0q06TBP4D8HpiD2164Tt0gwtgr&#10;0RK7deosXrTOOCGBNONnaOkZsY+QgSaNNgGSGIzQaUvH82YSFUnJy3eb9cUlZ5KuNpvy/VXeXCGq&#10;pdljiB8VWJaCmiMtPoOLw0OIiYyolpL0loN7Mwx5+YP7LUGFKZPJJ74z8zg100mMBtojjYEwe4m8&#10;T0EP+IOzkXxUc0dG52z45EiIZLklwCVolkA4SY01j5zN4W2crbn3aLqecGepHdyQWNrkQZKqM4cT&#10;S3JGnu/k4mS9l9+56te/tvs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DJfoUNYAAAAJAQAADwAA&#10;AAAAAAABACAAAAAiAAAAZHJzL2Rvd25yZXYueG1sUEsBAhQAFAAAAAgAh07iQI44ArHfAQAAswMA&#10;AA4AAAAAAAAAAQAgAAAAJQEAAGRycy9lMm9Eb2MueG1sUEsFBgAAAAAGAAYAWQEAAHYFAAAAAA==&#10;">
              <v:fill on="f" focussize="0,0"/>
              <v:stroke on="f"/>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4"/>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97E13"/>
    <w:rsid w:val="001D3BB7"/>
    <w:rsid w:val="001F6980"/>
    <w:rsid w:val="00200D15"/>
    <w:rsid w:val="0022556A"/>
    <w:rsid w:val="00297D08"/>
    <w:rsid w:val="002B254B"/>
    <w:rsid w:val="004620FD"/>
    <w:rsid w:val="00466C9B"/>
    <w:rsid w:val="00550ABE"/>
    <w:rsid w:val="005C209D"/>
    <w:rsid w:val="0066321D"/>
    <w:rsid w:val="00693514"/>
    <w:rsid w:val="006B2AEC"/>
    <w:rsid w:val="006B6518"/>
    <w:rsid w:val="00710956"/>
    <w:rsid w:val="00770383"/>
    <w:rsid w:val="007819D4"/>
    <w:rsid w:val="007B419D"/>
    <w:rsid w:val="007B7C4B"/>
    <w:rsid w:val="007D3D39"/>
    <w:rsid w:val="00836A93"/>
    <w:rsid w:val="00841D51"/>
    <w:rsid w:val="00994AF7"/>
    <w:rsid w:val="009B67B8"/>
    <w:rsid w:val="009D2B67"/>
    <w:rsid w:val="00A566F9"/>
    <w:rsid w:val="00A665FC"/>
    <w:rsid w:val="00AA613B"/>
    <w:rsid w:val="00AF2751"/>
    <w:rsid w:val="00B03CCD"/>
    <w:rsid w:val="00B12389"/>
    <w:rsid w:val="00B460C0"/>
    <w:rsid w:val="00BE2B89"/>
    <w:rsid w:val="00C04A56"/>
    <w:rsid w:val="00C10E9E"/>
    <w:rsid w:val="00C20C3E"/>
    <w:rsid w:val="00E81785"/>
    <w:rsid w:val="00F73F90"/>
    <w:rsid w:val="00FA00E5"/>
    <w:rsid w:val="00FB08E1"/>
    <w:rsid w:val="01387571"/>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0FE853CD"/>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061C58"/>
    <w:rsid w:val="22403BD3"/>
    <w:rsid w:val="23A21328"/>
    <w:rsid w:val="24B92327"/>
    <w:rsid w:val="24C14514"/>
    <w:rsid w:val="2533755C"/>
    <w:rsid w:val="25791755"/>
    <w:rsid w:val="258B74D5"/>
    <w:rsid w:val="25F30880"/>
    <w:rsid w:val="26396DF4"/>
    <w:rsid w:val="27167136"/>
    <w:rsid w:val="271B442C"/>
    <w:rsid w:val="27B23302"/>
    <w:rsid w:val="29310A5F"/>
    <w:rsid w:val="29C37A35"/>
    <w:rsid w:val="2A076083"/>
    <w:rsid w:val="2A73162E"/>
    <w:rsid w:val="2B167953"/>
    <w:rsid w:val="2B200583"/>
    <w:rsid w:val="2B8209DE"/>
    <w:rsid w:val="2C636760"/>
    <w:rsid w:val="2C6762A3"/>
    <w:rsid w:val="2DDE5A72"/>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BE74D37"/>
    <w:rsid w:val="4DAC4ACA"/>
    <w:rsid w:val="4DBE01D2"/>
    <w:rsid w:val="4DD54624"/>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5FCD52E6"/>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semiHidden/>
    <w:unhideWhenUsed/>
    <w:qFormat/>
    <w:uiPriority w:val="0"/>
    <w:pPr>
      <w:spacing w:after="120" w:afterLines="0" w:afterAutospacing="0"/>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列出段落1"/>
    <w:basedOn w:val="1"/>
    <w:qFormat/>
    <w:uiPriority w:val="0"/>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0"/>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8"/>
    <w:link w:val="3"/>
    <w:qFormat/>
    <w:uiPriority w:val="0"/>
    <w:rPr>
      <w:rFonts w:ascii="宋体" w:hAnsi="宋体"/>
      <w:sz w:val="18"/>
      <w:szCs w:val="18"/>
    </w:rPr>
  </w:style>
  <w:style w:type="paragraph" w:customStyle="1" w:styleId="17">
    <w:name w:val="普通(网站) Char Char"/>
    <w:qFormat/>
    <w:uiPriority w:val="0"/>
    <w:pPr>
      <w:spacing w:before="100" w:beforeAutospacing="1" w:after="100" w:afterAutospacing="1"/>
    </w:pPr>
    <w:rPr>
      <w:rFonts w:ascii="宋体" w:hAnsi="Times New Roman" w:eastAsia="宋体" w:cs="宋体"/>
      <w:b/>
      <w:snapToGrid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8034</Words>
  <Characters>6066</Characters>
  <Lines>50</Lines>
  <Paragraphs>28</Paragraphs>
  <TotalTime>11</TotalTime>
  <ScaleCrop>false</ScaleCrop>
  <LinksUpToDate>false</LinksUpToDate>
  <CharactersWithSpaces>14072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2024-10-12T00:28:00Z</dcterms:created>
  <dc:creator>Administrator</dc:creator>
  <cp:lastModifiedBy>Administrator</cp:lastModifiedBy>
  <dcterms:modified xsi:type="dcterms:W3CDTF">2024-10-17T06:48:53Z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BB46EABDBB2749749395447164B066B3_12</vt:lpwstr>
  </property>
</Properties>
</file>