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val="en-US" w:eastAsia="zh-CN" w:bidi="ar-SA"/>
        </w:rPr>
        <w:t>重庆科学城石板中学校</w:t>
      </w:r>
    </w:p>
    <w:p>
      <w:pPr>
        <w:keepNext w:val="0"/>
        <w:keepLines w:val="0"/>
        <w:pageBreakBefore w:val="0"/>
        <w:widowControl/>
        <w:kinsoku/>
        <w:wordWrap/>
        <w:overflowPunct/>
        <w:topLinePunct w:val="0"/>
        <w:autoSpaceDN/>
        <w:bidi w:val="0"/>
        <w:adjustRightIn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ar-SA"/>
        </w:rPr>
      </w:pPr>
      <w:r>
        <w:rPr>
          <w:rFonts w:hint="default" w:ascii="Times New Roman" w:hAnsi="Times New Roman" w:eastAsia="方正小标宋_GBK" w:cs="Times New Roman"/>
          <w:sz w:val="44"/>
          <w:szCs w:val="44"/>
          <w:lang w:val="en-US" w:eastAsia="zh-CN" w:bidi="ar-SA"/>
        </w:rPr>
        <w:t>2023</w:t>
      </w:r>
      <w:r>
        <w:rPr>
          <w:rFonts w:hint="eastAsia" w:ascii="方正小标宋_GBK" w:hAnsi="方正小标宋_GBK" w:eastAsia="方正小标宋_GBK" w:cs="方正小标宋_GBK"/>
          <w:sz w:val="44"/>
          <w:szCs w:val="44"/>
          <w:lang w:val="en-US" w:eastAsia="zh-CN" w:bidi="ar-SA"/>
        </w:rPr>
        <w:t>年度决算公开说明</w:t>
      </w:r>
    </w:p>
    <w:p>
      <w:pPr>
        <w:pStyle w:val="2"/>
        <w:keepNext w:val="0"/>
        <w:keepLines w:val="0"/>
        <w:pageBreakBefore w:val="0"/>
        <w:widowControl/>
        <w:kinsoku/>
        <w:wordWrap/>
        <w:overflowPunct/>
        <w:topLinePunct w:val="0"/>
        <w:autoSpaceDN/>
        <w:bidi w:val="0"/>
        <w:adjustRightInd/>
        <w:spacing w:after="0" w:afterLines="0" w:line="600" w:lineRule="exact"/>
        <w:ind w:firstLine="480" w:firstLineChars="200"/>
        <w:jc w:val="both"/>
        <w:textAlignment w:val="auto"/>
        <w:rPr>
          <w:rFonts w:hint="default" w:ascii="Times New Roman" w:hAnsi="Times New Roman" w:cs="Times New Roman"/>
          <w:lang w:val="en-US" w:eastAsia="zh-CN"/>
        </w:rPr>
      </w:pP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sz w:val="32"/>
          <w:szCs w:val="32"/>
          <w:shd w:val="clear" w:color="auto" w:fill="FFFFFF"/>
        </w:rPr>
        <w:t>（一）职能职责</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实施普通中学义务教育，促进学生全面发展。开展教育教学工作；开展学校德育工作；开展学校体育、卫生、艺术工作；负责学校行政管理工作；开展对外交流工作；维护校园安全，提供后勤保障服务；按政策规定开展初中教育。</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0"/>
          <w:rFonts w:hint="default" w:ascii="方正楷体_GBK" w:hAnsi="方正楷体_GBK" w:eastAsia="方正楷体_GBK" w:cs="方正楷体_GBK"/>
          <w:sz w:val="32"/>
          <w:szCs w:val="32"/>
          <w:shd w:val="clear" w:color="auto" w:fill="FFFFFF"/>
        </w:rPr>
      </w:pPr>
      <w:r>
        <w:rPr>
          <w:rStyle w:val="10"/>
          <w:rFonts w:hint="default" w:ascii="方正楷体_GBK" w:hAnsi="方正楷体_GBK" w:eastAsia="方正楷体_GBK" w:cs="方正楷体_GBK"/>
          <w:sz w:val="32"/>
          <w:szCs w:val="32"/>
          <w:shd w:val="clear" w:color="auto" w:fill="FFFFFF"/>
        </w:rPr>
        <w:t>（二）机构设置</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学校下设内设机构6个：办公室、教导处、德育处、教科室、后勤处、团支部。</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rPr>
      </w:pPr>
      <w:r>
        <w:rPr>
          <w:rStyle w:val="10"/>
          <w:rFonts w:hint="default" w:ascii="方正黑体_GBK" w:hAnsi="方正黑体_GBK" w:eastAsia="方正黑体_GBK" w:cs="方正黑体_GBK"/>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2023年度收入总计970.35万元，支出总计</w:t>
      </w:r>
      <w:r>
        <w:rPr>
          <w:rFonts w:hint="eastAsia" w:ascii="方正仿宋_GBK" w:hAnsi="方正仿宋_GBK" w:eastAsia="方正仿宋_GBK" w:cs="方正仿宋_GBK"/>
          <w:sz w:val="32"/>
          <w:szCs w:val="32"/>
        </w:rPr>
        <w:t>970.35</w:t>
      </w:r>
      <w:r>
        <w:rPr>
          <w:rFonts w:hint="eastAsia" w:ascii="方正仿宋_GBK" w:hAnsi="方正仿宋_GBK" w:eastAsia="方正仿宋_GBK" w:cs="方正仿宋_GBK"/>
          <w:sz w:val="32"/>
          <w:szCs w:val="32"/>
          <w:shd w:val="clear" w:color="auto" w:fill="FFFFFF"/>
        </w:rPr>
        <w:t>万元。收支较上年决算数减少232.58万元，下降19.33%，主要原因是</w:t>
      </w:r>
      <w:r>
        <w:rPr>
          <w:rFonts w:hint="eastAsia" w:ascii="方正仿宋_GBK" w:hAnsi="方正仿宋_GBK" w:eastAsia="方正仿宋_GBK" w:cs="方正仿宋_GBK"/>
          <w:sz w:val="32"/>
          <w:szCs w:val="32"/>
          <w:shd w:val="clear" w:color="auto" w:fill="FFFFFF"/>
          <w:lang w:eastAsia="zh-CN"/>
        </w:rPr>
        <w:t>人员经费、公用经费和项目经费都减少。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2023年度收入合计970.35万元，较上年决算数减少232.58万元，下降19.33%，主要原因是</w:t>
      </w:r>
      <w:r>
        <w:rPr>
          <w:rFonts w:hint="eastAsia" w:ascii="方正仿宋_GBK" w:hAnsi="方正仿宋_GBK" w:eastAsia="方正仿宋_GBK" w:cs="方正仿宋_GBK"/>
          <w:sz w:val="32"/>
          <w:szCs w:val="32"/>
          <w:shd w:val="clear" w:color="auto" w:fill="FFFFFF"/>
          <w:lang w:eastAsia="zh-CN"/>
        </w:rPr>
        <w:t>人员经费、公用经费和项目经费都减少。</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970.35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万元，占0.00%；经营收入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万元，占0.00%；其他收入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万元，占0.00%。此外，使用非财政拨款结余和专用结余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rPr>
        <w:t>2023年度支出合计</w:t>
      </w:r>
      <w:r>
        <w:rPr>
          <w:rFonts w:hint="eastAsia" w:ascii="方正仿宋_GBK" w:hAnsi="方正仿宋_GBK" w:eastAsia="方正仿宋_GBK" w:cs="方正仿宋_GBK"/>
          <w:sz w:val="32"/>
          <w:szCs w:val="32"/>
        </w:rPr>
        <w:t>970.35</w:t>
      </w:r>
      <w:r>
        <w:rPr>
          <w:rFonts w:hint="eastAsia" w:ascii="方正仿宋_GBK" w:hAnsi="方正仿宋_GBK" w:eastAsia="方正仿宋_GBK" w:cs="方正仿宋_GBK"/>
          <w:sz w:val="32"/>
          <w:szCs w:val="32"/>
          <w:shd w:val="clear" w:color="auto" w:fill="FFFFFF"/>
        </w:rPr>
        <w:t>万元，较上年决算数减少232.58万元，下降19.33%，主要原因是</w:t>
      </w:r>
      <w:r>
        <w:rPr>
          <w:rFonts w:hint="eastAsia" w:ascii="方正仿宋_GBK" w:hAnsi="方正仿宋_GBK" w:eastAsia="方正仿宋_GBK" w:cs="方正仿宋_GBK"/>
          <w:sz w:val="32"/>
          <w:szCs w:val="32"/>
          <w:shd w:val="clear" w:color="auto" w:fill="FFFFFF"/>
          <w:lang w:eastAsia="zh-CN"/>
        </w:rPr>
        <w:t>人员经费、公用经费和项目经费都减少。</w:t>
      </w:r>
      <w:r>
        <w:rPr>
          <w:rFonts w:hint="eastAsia"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rPr>
        <w:t>930.82</w:t>
      </w:r>
      <w:r>
        <w:rPr>
          <w:rFonts w:hint="eastAsia" w:ascii="方正仿宋_GBK" w:hAnsi="方正仿宋_GBK" w:eastAsia="方正仿宋_GBK" w:cs="方正仿宋_GBK"/>
          <w:sz w:val="32"/>
          <w:szCs w:val="32"/>
          <w:shd w:val="clear" w:color="auto" w:fill="FFFFFF"/>
        </w:rPr>
        <w:t>万元，占95.93%；项目支出</w:t>
      </w:r>
      <w:r>
        <w:rPr>
          <w:rFonts w:hint="eastAsia" w:ascii="方正仿宋_GBK" w:hAnsi="方正仿宋_GBK" w:eastAsia="方正仿宋_GBK" w:cs="方正仿宋_GBK"/>
          <w:sz w:val="32"/>
          <w:szCs w:val="32"/>
        </w:rPr>
        <w:t>39.53</w:t>
      </w:r>
      <w:r>
        <w:rPr>
          <w:rFonts w:hint="eastAsia" w:ascii="方正仿宋_GBK" w:hAnsi="方正仿宋_GBK" w:eastAsia="方正仿宋_GBK" w:cs="方正仿宋_GBK"/>
          <w:sz w:val="32"/>
          <w:szCs w:val="32"/>
          <w:shd w:val="clear" w:color="auto" w:fill="FFFFFF"/>
        </w:rPr>
        <w:t>万元，占4.07%；经营支出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万元，占0.00%。此外，结余分配</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符合相关要求。</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2023年度财政拨款收、支总计970.35万元。与2022年相比，财政拨款收、支总计各减少232.58万元，下降19.33%。主要原因是</w:t>
      </w:r>
      <w:r>
        <w:rPr>
          <w:rFonts w:hint="default" w:ascii="Times New Roman" w:hAnsi="Times New Roman" w:eastAsia="方正仿宋_GBK" w:cs="Times New Roman"/>
          <w:sz w:val="32"/>
          <w:szCs w:val="32"/>
          <w:shd w:val="clear" w:color="auto" w:fill="FFFFFF"/>
          <w:lang w:eastAsia="zh-CN"/>
        </w:rPr>
        <w:t>人员经费、公用经费和项目经费都减少。</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970.35</w:t>
      </w:r>
      <w:r>
        <w:rPr>
          <w:rFonts w:hint="default" w:ascii="Times New Roman" w:hAnsi="Times New Roman" w:eastAsia="方正仿宋_GBK" w:cs="Times New Roman"/>
          <w:sz w:val="32"/>
          <w:szCs w:val="32"/>
          <w:shd w:val="clear" w:color="auto" w:fill="FFFFFF"/>
        </w:rPr>
        <w:t>万元，较上年决算数减少232.58万元，下降19.33%。主要原因是</w:t>
      </w:r>
      <w:r>
        <w:rPr>
          <w:rFonts w:hint="default" w:ascii="Times New Roman" w:hAnsi="Times New Roman" w:eastAsia="方正仿宋_GBK" w:cs="Times New Roman"/>
          <w:sz w:val="32"/>
          <w:szCs w:val="32"/>
          <w:shd w:val="clear" w:color="auto" w:fill="FFFFFF"/>
          <w:lang w:eastAsia="zh-CN"/>
        </w:rPr>
        <w:t>人员经费、公用经费和项目经费都减少。</w:t>
      </w:r>
      <w:r>
        <w:rPr>
          <w:rFonts w:hint="default" w:ascii="Times New Roman" w:hAnsi="Times New Roman" w:eastAsia="方正仿宋_GBK" w:cs="Times New Roman"/>
          <w:sz w:val="32"/>
          <w:szCs w:val="32"/>
          <w:shd w:val="clear" w:color="auto" w:fill="FFFFFF"/>
        </w:rPr>
        <w:t>较年初预算数增加399.29万元，增长69.92%。主要原因是</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获得上级补助预算资金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970.35</w:t>
      </w:r>
      <w:r>
        <w:rPr>
          <w:rFonts w:hint="default" w:ascii="Times New Roman" w:hAnsi="Times New Roman" w:eastAsia="方正仿宋_GBK" w:cs="Times New Roman"/>
          <w:sz w:val="32"/>
          <w:szCs w:val="32"/>
          <w:shd w:val="clear" w:color="auto" w:fill="FFFFFF"/>
        </w:rPr>
        <w:t>万元，较上年决算数减少232.58万元，下降19.33%。主要原因是</w:t>
      </w:r>
      <w:r>
        <w:rPr>
          <w:rFonts w:hint="default" w:ascii="Times New Roman" w:hAnsi="Times New Roman" w:eastAsia="方正仿宋_GBK" w:cs="Times New Roman"/>
          <w:sz w:val="32"/>
          <w:szCs w:val="32"/>
          <w:shd w:val="clear" w:color="auto" w:fill="FFFFFF"/>
          <w:lang w:eastAsia="zh-CN"/>
        </w:rPr>
        <w:t>在职教师人数减少、在校学生人数减少。</w:t>
      </w:r>
      <w:r>
        <w:rPr>
          <w:rFonts w:hint="default" w:ascii="Times New Roman" w:hAnsi="Times New Roman" w:eastAsia="方正仿宋_GBK" w:cs="Times New Roman"/>
          <w:sz w:val="32"/>
          <w:szCs w:val="32"/>
          <w:shd w:val="clear" w:color="auto" w:fill="FFFFFF"/>
        </w:rPr>
        <w:t>较年初预算数增加399.29万元，增长69.92%。主要原因是</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获得上级补助预算资金</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813.20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83.80</w:t>
      </w:r>
      <w:r>
        <w:rPr>
          <w:rFonts w:hint="default" w:ascii="Times New Roman" w:hAnsi="Times New Roman" w:eastAsia="方正仿宋_GBK" w:cs="Times New Roman"/>
          <w:sz w:val="32"/>
          <w:szCs w:val="32"/>
          <w:shd w:val="clear" w:color="auto" w:fill="FFFFFF"/>
        </w:rPr>
        <w:t>%，较年初预算数增加400.87万元，增长97.22%，主要原因是</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获得上级补助预算资金。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95.69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9.86</w:t>
      </w:r>
      <w:r>
        <w:rPr>
          <w:rFonts w:hint="default" w:ascii="Times New Roman" w:hAnsi="Times New Roman" w:eastAsia="方正仿宋_GBK" w:cs="Times New Roman"/>
          <w:sz w:val="32"/>
          <w:szCs w:val="32"/>
          <w:shd w:val="clear" w:color="auto" w:fill="FFFFFF"/>
        </w:rPr>
        <w:t>%，较年初预算数增加1.33万元，增长1.41%，主要原因是</w:t>
      </w:r>
      <w:r>
        <w:rPr>
          <w:rFonts w:hint="default" w:ascii="Times New Roman" w:hAnsi="Times New Roman" w:eastAsia="方正仿宋_GBK" w:cs="Times New Roman"/>
          <w:sz w:val="32"/>
          <w:szCs w:val="32"/>
          <w:shd w:val="clear" w:color="auto" w:fill="FFFFFF"/>
          <w:lang w:eastAsia="zh-CN"/>
        </w:rPr>
        <w:t>新调入两名教师，退休一名教师</w:t>
      </w:r>
      <w:r>
        <w:rPr>
          <w:rFonts w:hint="default" w:ascii="Times New Roman" w:hAnsi="Times New Roman" w:eastAsia="方正仿宋_GBK" w:cs="Times New Roman"/>
          <w:sz w:val="32"/>
          <w:szCs w:val="32"/>
          <w:shd w:val="clear" w:color="auto" w:fill="FFFFFF"/>
          <w:lang w:val="en-US"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29.62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%，较年初预算数减少2.92万元，下降8.97%，主要原因是</w:t>
      </w:r>
      <w:r>
        <w:rPr>
          <w:rFonts w:hint="default" w:ascii="Times New Roman" w:hAnsi="Times New Roman" w:eastAsia="方正仿宋_GBK" w:cs="Times New Roman"/>
          <w:sz w:val="32"/>
          <w:szCs w:val="32"/>
          <w:shd w:val="clear" w:color="auto" w:fill="FFFFFF"/>
          <w:lang w:val="en-US" w:eastAsia="zh-CN"/>
        </w:rPr>
        <w:t>2023年二季度有教职工退休。</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住房保障支出31.84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3.28</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930.82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796.95</w:t>
      </w:r>
      <w:r>
        <w:rPr>
          <w:rFonts w:hint="default" w:ascii="Times New Roman" w:hAnsi="Times New Roman" w:eastAsia="方正仿宋_GBK" w:cs="Times New Roman"/>
          <w:sz w:val="32"/>
          <w:szCs w:val="32"/>
          <w:shd w:val="clear" w:color="auto" w:fill="FFFFFF"/>
        </w:rPr>
        <w:t>万元，较上年决算数减少63.03万元，下降7.33%，主要原因是</w:t>
      </w:r>
      <w:r>
        <w:rPr>
          <w:rFonts w:hint="default" w:ascii="Times New Roman" w:hAnsi="Times New Roman" w:eastAsia="方正仿宋_GBK" w:cs="Times New Roman"/>
          <w:sz w:val="32"/>
          <w:szCs w:val="32"/>
          <w:shd w:val="clear" w:color="auto" w:fill="FFFFFF"/>
          <w:lang w:eastAsia="zh-CN"/>
        </w:rPr>
        <w:t>教职工减少等。</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教师基本工资、津贴补贴、社会保障缴费、住房公积金、退休一次性补贴、抚恤金等。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133.88</w:t>
      </w:r>
      <w:r>
        <w:rPr>
          <w:rFonts w:hint="default" w:ascii="Times New Roman" w:hAnsi="Times New Roman" w:eastAsia="方正仿宋_GBK" w:cs="Times New Roman"/>
          <w:sz w:val="32"/>
          <w:szCs w:val="32"/>
          <w:shd w:val="clear" w:color="auto" w:fill="FFFFFF"/>
        </w:rPr>
        <w:t>万元，较上年决算数减少12.04万元，下降8.25%，主要</w:t>
      </w:r>
      <w:r>
        <w:rPr>
          <w:rFonts w:hint="default" w:ascii="Times New Roman" w:hAnsi="Times New Roman" w:eastAsia="方正仿宋_GBK" w:cs="Times New Roman"/>
          <w:sz w:val="32"/>
          <w:szCs w:val="32"/>
          <w:shd w:val="clear" w:color="auto" w:fill="FFFFFF"/>
          <w:lang w:eastAsia="zh-CN"/>
        </w:rPr>
        <w:t>原因是学生人数减少</w:t>
      </w:r>
      <w:r>
        <w:rPr>
          <w:rFonts w:hint="default" w:ascii="Times New Roman" w:hAnsi="Times New Roman" w:eastAsia="方正仿宋_GBK" w:cs="Times New Roman"/>
          <w:sz w:val="32"/>
          <w:szCs w:val="32"/>
          <w:shd w:val="clear" w:color="auto" w:fill="FFFFFF"/>
          <w:lang w:val="en-US" w:eastAsia="zh-CN"/>
        </w:rPr>
        <w:t>37人，导致生均公用经费减少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kern w:val="2"/>
          <w:sz w:val="32"/>
          <w:szCs w:val="32"/>
        </w:rPr>
        <w:t>办公费、印刷费、咨询费、水费、电费</w:t>
      </w:r>
      <w:r>
        <w:rPr>
          <w:rFonts w:hint="default" w:ascii="Times New Roman" w:hAnsi="Times New Roman" w:eastAsia="方正仿宋_GBK" w:cs="Times New Roman"/>
          <w:b w:val="0"/>
          <w:kern w:val="2"/>
          <w:sz w:val="32"/>
          <w:szCs w:val="32"/>
          <w:lang w:eastAsia="zh-CN"/>
        </w:rPr>
        <w:t>、</w:t>
      </w:r>
      <w:r>
        <w:rPr>
          <w:rFonts w:hint="default" w:ascii="Times New Roman" w:hAnsi="Times New Roman" w:eastAsia="方正仿宋_GBK" w:cs="Times New Roman"/>
          <w:b w:val="0"/>
          <w:kern w:val="2"/>
          <w:sz w:val="32"/>
          <w:szCs w:val="32"/>
        </w:rPr>
        <w:t>邮电费、维修费、劳务费、差旅费、培训费、工会经费同、福利费、租赁费等。</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rPr>
      </w:pPr>
      <w:r>
        <w:rPr>
          <w:rStyle w:val="10"/>
          <w:rFonts w:hint="default" w:ascii="方正黑体_GBK" w:hAnsi="方正黑体_GBK" w:eastAsia="方正黑体_GBK" w:cs="方正黑体_GBK"/>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万元，较年初预算数无增减，主要原因是我单位属于</w:t>
      </w:r>
      <w:r>
        <w:rPr>
          <w:rFonts w:hint="default" w:ascii="Times New Roman" w:hAnsi="Times New Roman" w:eastAsia="方正仿宋_GBK" w:cs="Times New Roman"/>
          <w:sz w:val="32"/>
          <w:szCs w:val="32"/>
          <w:shd w:val="clear" w:color="auto" w:fill="FFFFFF"/>
          <w:lang w:eastAsia="zh-CN"/>
        </w:rPr>
        <w:t>财政全额拨款</w:t>
      </w:r>
      <w:r>
        <w:rPr>
          <w:rFonts w:hint="default" w:ascii="Times New Roman" w:hAnsi="Times New Roman" w:eastAsia="方正仿宋_GBK" w:cs="Times New Roman"/>
          <w:sz w:val="32"/>
          <w:szCs w:val="32"/>
          <w:shd w:val="clear" w:color="auto" w:fill="FFFFFF"/>
        </w:rPr>
        <w:t>，财政未保障我单位“三公”经费。较上年支出数无增减。</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年度无三公经费支出。</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rPr>
      </w:pPr>
      <w:r>
        <w:rPr>
          <w:rStyle w:val="10"/>
          <w:rFonts w:hint="default" w:ascii="方正黑体_GBK" w:hAnsi="方正黑体_GBK" w:eastAsia="方正黑体_GBK" w:cs="方正黑体_GBK"/>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b w:val="0"/>
          <w:kern w:val="2"/>
          <w:sz w:val="32"/>
          <w:szCs w:val="32"/>
        </w:rPr>
        <w:t>本单位202</w:t>
      </w:r>
      <w:r>
        <w:rPr>
          <w:rFonts w:hint="default" w:ascii="Times New Roman" w:hAnsi="Times New Roman" w:eastAsia="方正仿宋_GBK" w:cs="Times New Roman"/>
          <w:b w:val="0"/>
          <w:kern w:val="2"/>
          <w:sz w:val="32"/>
          <w:szCs w:val="32"/>
          <w:lang w:val="en-US" w:eastAsia="zh-CN"/>
        </w:rPr>
        <w:t>3</w:t>
      </w:r>
      <w:r>
        <w:rPr>
          <w:rFonts w:hint="default" w:ascii="Times New Roman" w:hAnsi="Times New Roman" w:eastAsia="方正仿宋_GBK" w:cs="Times New Roman"/>
          <w:b w:val="0"/>
          <w:kern w:val="2"/>
          <w:sz w:val="32"/>
          <w:szCs w:val="32"/>
        </w:rPr>
        <w:t>年度未发生</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9.09</w:t>
      </w:r>
      <w:r>
        <w:rPr>
          <w:rFonts w:hint="default" w:ascii="Times New Roman" w:hAnsi="Times New Roman" w:eastAsia="方正仿宋_GBK" w:cs="Times New Roman"/>
          <w:sz w:val="32"/>
          <w:szCs w:val="32"/>
          <w:shd w:val="clear" w:color="auto" w:fill="FFFFFF"/>
        </w:rPr>
        <w:t>万元，较上年决算数增加5.92万元，增长186.75%，主要原因是</w:t>
      </w:r>
      <w:r>
        <w:rPr>
          <w:rFonts w:hint="default" w:ascii="Times New Roman" w:hAnsi="Times New Roman" w:eastAsia="方正仿宋_GBK" w:cs="Times New Roman"/>
          <w:b w:val="0"/>
          <w:kern w:val="2"/>
          <w:sz w:val="32"/>
          <w:szCs w:val="32"/>
        </w:rPr>
        <w:t>根据实际工作需要，增加教师培训</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kern w:val="2"/>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r>
        <w:rPr>
          <w:rFonts w:hint="default" w:ascii="Times New Roman" w:hAnsi="Times New Roman" w:eastAsia="方正仿宋_GBK" w:cs="Times New Roman"/>
          <w:b w:val="0"/>
          <w:kern w:val="2"/>
          <w:sz w:val="32"/>
          <w:szCs w:val="32"/>
        </w:rPr>
        <w:t>学校无车辆和无单价50万元（含）以上通用设备原因。</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lang w:eastAsia="zh-CN"/>
        </w:rPr>
        <w:t>五、</w:t>
      </w:r>
      <w:r>
        <w:rPr>
          <w:rStyle w:val="10"/>
          <w:rFonts w:hint="default" w:ascii="方正黑体_GBK" w:hAnsi="方正黑体_GBK" w:eastAsia="方正黑体_GBK" w:cs="方正黑体_GBK"/>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楷体" w:cs="Times New Roman"/>
          <w:b/>
          <w:bCs/>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39.5</w:t>
      </w:r>
      <w:r>
        <w:rPr>
          <w:rFonts w:hint="eastAsia" w:ascii="Times New Roman" w:hAnsi="Times New Roman" w:eastAsia="方正仿宋_GBK" w:cs="Times New Roman"/>
          <w:sz w:val="32"/>
          <w:szCs w:val="32"/>
          <w:shd w:val="clear" w:color="auto" w:fill="FFFFFF"/>
          <w:lang w:val="en-US" w:eastAsia="zh-CN"/>
        </w:rPr>
        <w:t>3</w:t>
      </w:r>
      <w:bookmarkStart w:id="0" w:name="_GoBack"/>
      <w:bookmarkEnd w:id="0"/>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，项目支出绩效自评表详见附表，</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方正楷体_GBK" w:hAnsi="方正楷体_GBK" w:eastAsia="方正楷体_GBK" w:cs="方正楷体_GBK"/>
          <w:b/>
          <w:bCs/>
          <w:sz w:val="32"/>
          <w:szCs w:val="32"/>
          <w:shd w:val="clear" w:color="auto" w:fill="FFFFFF"/>
        </w:rPr>
      </w:pPr>
      <w:r>
        <w:rPr>
          <w:rFonts w:hint="default" w:ascii="方正楷体_GBK" w:hAnsi="方正楷体_GBK" w:eastAsia="方正楷体_GBK" w:cs="方正楷体_GBK"/>
          <w:b/>
          <w:bCs/>
          <w:sz w:val="32"/>
          <w:szCs w:val="32"/>
          <w:shd w:val="clear" w:color="auto" w:fill="FFFFFF"/>
        </w:rPr>
        <w:t>（二）单位绩效评价情况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lang w:eastAsia="zh-CN"/>
        </w:rPr>
      </w:pPr>
      <w:r>
        <w:rPr>
          <w:rStyle w:val="10"/>
          <w:rFonts w:hint="default" w:ascii="方正黑体_GBK" w:hAnsi="方正黑体_GBK" w:eastAsia="方正黑体_GBK" w:cs="方正黑体_GBK"/>
          <w:sz w:val="32"/>
          <w:szCs w:val="32"/>
          <w:shd w:val="clear" w:color="auto" w:fill="FFFFFF"/>
          <w:lang w:eastAsia="zh-CN"/>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sz w:val="32"/>
          <w:szCs w:val="32"/>
          <w:shd w:val="clear" w:color="auto" w:fill="FFFFFF"/>
        </w:rPr>
        <w:t> （十七）其他资本性支出（支出经济分类科目类级）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0"/>
          <w:rFonts w:hint="default" w:ascii="方正黑体_GBK" w:hAnsi="方正黑体_GBK" w:eastAsia="方正黑体_GBK" w:cs="方正黑体_GBK"/>
          <w:sz w:val="32"/>
          <w:szCs w:val="32"/>
          <w:shd w:val="clear" w:color="auto" w:fill="FFFFFF"/>
          <w:lang w:eastAsia="zh-CN"/>
        </w:rPr>
      </w:pPr>
      <w:r>
        <w:rPr>
          <w:rStyle w:val="10"/>
          <w:rFonts w:hint="default" w:ascii="方正黑体_GBK" w:hAnsi="方正黑体_GBK" w:eastAsia="方正黑体_GBK" w:cs="方正黑体_GBK"/>
          <w:sz w:val="32"/>
          <w:szCs w:val="32"/>
          <w:shd w:val="clear" w:color="auto" w:fill="FFFFFF"/>
          <w:lang w:eastAsia="zh-CN"/>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w:t>
      </w:r>
      <w:r>
        <w:rPr>
          <w:rFonts w:hint="default" w:ascii="Times New Roman" w:hAnsi="Times New Roman" w:eastAsia="方正仿宋_GBK" w:cs="Times New Roman"/>
          <w:sz w:val="32"/>
          <w:szCs w:val="32"/>
          <w:shd w:val="clear" w:color="auto" w:fill="FFFFFF"/>
          <w:lang w:val="en-US" w:eastAsia="zh-CN"/>
        </w:rPr>
        <w:t>65765233</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rPr>
          <w:rFonts w:ascii="方正仿宋_GBK" w:hAnsi="方正仿宋_GBK" w:eastAsia="方正仿宋_GBK" w:cs="方正仿宋_GBK"/>
          <w:sz w:val="32"/>
          <w:szCs w:val="32"/>
          <w:shd w:val="clear" w:color="auto" w:fill="FFFFFF"/>
        </w:rPr>
        <w:sectPr>
          <w:headerReference r:id="rId3" w:type="default"/>
          <w:footerReference r:id="rId4" w:type="default"/>
          <w:pgSz w:w="11907" w:h="16839"/>
          <w:pgMar w:top="2098" w:right="1531" w:bottom="1984" w:left="1531" w:header="0" w:footer="283" w:gutter="0"/>
          <w:pgNumType w:fmt="numberInDash"/>
          <w:cols w:space="0" w:num="1"/>
          <w:rtlGutter w:val="0"/>
          <w:docGrid w:type="lines" w:linePitch="327" w:charSpace="0"/>
        </w:sectPr>
      </w:pPr>
    </w:p>
    <w:p>
      <w:pPr>
        <w:rPr>
          <w:rFonts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重庆科学城石板中学校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970.35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813.20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95.69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29.62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31.84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970.35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970.35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970.35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970.35</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90"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重庆科学城石板中学校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230"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970.35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970.35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813.20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94.59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94.59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重庆科学城石板中学校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970.35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930.82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39.53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774.77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38.43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813.20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774.77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38.43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813.20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774.77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38.43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94.59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94.59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94.59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21.46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21.46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29.62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813.20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813.20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95.69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95.69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970.35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970.35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930.82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39.53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813.20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774.77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38.43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813.20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774.77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38.43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813.20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774.77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38.43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95.69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94.59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94.59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94.59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37.84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37.84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21.46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21.46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35.29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35.29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29.62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29.62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29.62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29.62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20.07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20.07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31.84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31.84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754.59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132.40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125.93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482.20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40.86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35.24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796.95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133.88</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重庆科学城石板中学校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9.09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9ZNEYAgAAFw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Gt9ZNEYAgAAFwQAAA4AAAAA&#10;AAAAAQAgAAAAHwEAAGRycy9lMm9Eb2MueG1sUEsFBgAAAAAGAAYAWQEAAK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CuDJ4pFwIAABYE&#10;AAAOAAAAAAAAAAEAIAAAACcBAABkcnMvZTJvRG9jLnhtbFBLBQYAAAAABgAGAFkBAACwBQAAAAA=&#10;">
              <v:fill on="f" focussize="0,0"/>
              <v:stroke on="f" weight="0.5pt"/>
              <v:imagedata o:title=""/>
              <o:lock v:ext="edit" aspectratio="f"/>
              <v:textbox inset="0mm,0mm,0mm,0mm">
                <w:txbxContent>
                  <w:p>
                    <w:pPr>
                      <w:pStyle w:val="5"/>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ZjFhZjk5MWYxYjM3YWZjNmEzMDVkNTNhOTY3MDc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1D2AE1"/>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D3379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4474C5"/>
    <w:rsid w:val="20642787"/>
    <w:rsid w:val="21556F04"/>
    <w:rsid w:val="22403BD3"/>
    <w:rsid w:val="23E86A5D"/>
    <w:rsid w:val="242F14DA"/>
    <w:rsid w:val="24B92327"/>
    <w:rsid w:val="24C14514"/>
    <w:rsid w:val="2533755C"/>
    <w:rsid w:val="25370872"/>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7E2AF7"/>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42EE0"/>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34781A"/>
    <w:rsid w:val="4A6F6675"/>
    <w:rsid w:val="4B135857"/>
    <w:rsid w:val="4B7951CB"/>
    <w:rsid w:val="4B7C315C"/>
    <w:rsid w:val="4C5D2498"/>
    <w:rsid w:val="4C972F3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7F274A"/>
    <w:rsid w:val="5F2D4A41"/>
    <w:rsid w:val="5F314F05"/>
    <w:rsid w:val="60C74F6C"/>
    <w:rsid w:val="61025A59"/>
    <w:rsid w:val="613D5BBC"/>
    <w:rsid w:val="61536C39"/>
    <w:rsid w:val="61E10BAC"/>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8733E"/>
    <w:rsid w:val="72DB435C"/>
    <w:rsid w:val="72E2613A"/>
    <w:rsid w:val="72F771F4"/>
    <w:rsid w:val="73934AD2"/>
    <w:rsid w:val="750837F0"/>
    <w:rsid w:val="751A4CDF"/>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655B48"/>
    <w:rsid w:val="7D7406BB"/>
    <w:rsid w:val="7DE94331"/>
    <w:rsid w:val="7F446A19"/>
    <w:rsid w:val="7F6173C4"/>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3"/>
    <w:qFormat/>
    <w:uiPriority w:val="0"/>
    <w:pPr>
      <w:keepNext w:val="0"/>
      <w:keepLines w:val="0"/>
      <w:widowControl/>
      <w:suppressLineNumbers w:val="0"/>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customStyle="1" w:styleId="3">
    <w:name w:val="msonormal"/>
    <w:basedOn w:val="1"/>
    <w:qFormat/>
    <w:uiPriority w:val="0"/>
    <w:pPr>
      <w:spacing w:beforeAutospacing="1" w:afterAutospacing="1"/>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9"/>
    <w:link w:val="4"/>
    <w:qFormat/>
    <w:uiPriority w:val="0"/>
    <w:rPr>
      <w:rFonts w:ascii="宋体" w:hAnsi="宋体"/>
      <w:sz w:val="18"/>
      <w:szCs w:val="18"/>
    </w:rPr>
  </w:style>
  <w:style w:type="paragraph" w:customStyle="1" w:styleId="18">
    <w:name w:val="普通(网站) Char Char"/>
    <w:basedOn w:val="3"/>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8065</Words>
  <Characters>9842</Characters>
  <Lines>191</Lines>
  <Paragraphs>53</Paragraphs>
  <TotalTime>27</TotalTime>
  <ScaleCrop>false</ScaleCrop>
  <LinksUpToDate>false</LinksUpToDate>
  <CharactersWithSpaces>10915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2024-10-17T06:40:41Z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