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N/>
        <w:bidi w:val="0"/>
        <w:adjustRightInd/>
        <w:spacing w:before="0" w:beforeAutospacing="0" w:after="0" w:afterAutospacing="0"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重庆科学城实验一小永祥小学校</w:t>
      </w:r>
    </w:p>
    <w:p>
      <w:pPr>
        <w:pStyle w:val="8"/>
        <w:keepNext w:val="0"/>
        <w:keepLines w:val="0"/>
        <w:pageBreakBefore w:val="0"/>
        <w:widowControl/>
        <w:kinsoku/>
        <w:wordWrap/>
        <w:overflowPunct/>
        <w:topLinePunct w:val="0"/>
        <w:autoSpaceDN/>
        <w:bidi w:val="0"/>
        <w:adjustRightInd/>
        <w:spacing w:before="0" w:beforeAutospacing="0" w:after="0" w:afterAutospacing="0" w:line="60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8"/>
        <w:keepNext w:val="0"/>
        <w:keepLines w:val="0"/>
        <w:pageBreakBefore w:val="0"/>
        <w:widowControl/>
        <w:kinsoku/>
        <w:wordWrap/>
        <w:overflowPunct/>
        <w:topLinePunct w:val="0"/>
        <w:autoSpaceDN/>
        <w:bidi w:val="0"/>
        <w:adjustRightInd/>
        <w:spacing w:before="0" w:beforeAutospacing="0" w:after="0" w:afterAutospacing="0" w:line="600" w:lineRule="exact"/>
        <w:jc w:val="both"/>
        <w:rPr>
          <w:rFonts w:hint="default" w:ascii="Times New Roman" w:hAnsi="Times New Roman" w:eastAsia="方正小标宋_GBK" w:cs="Times New Roman"/>
          <w:sz w:val="36"/>
          <w:szCs w:val="36"/>
          <w:shd w:val="clear" w:color="auto" w:fill="FFFFFF"/>
        </w:rPr>
      </w:pP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方正黑体_GBK" w:cs="Times New Roman"/>
          <w:sz w:val="32"/>
          <w:szCs w:val="32"/>
        </w:rPr>
      </w:pPr>
      <w:r>
        <w:rPr>
          <w:rStyle w:val="10"/>
          <w:rFonts w:hint="default" w:ascii="Times New Roman" w:hAnsi="Times New Roman" w:eastAsia="方正黑体_GBK" w:cs="Times New Roman"/>
          <w:sz w:val="32"/>
          <w:szCs w:val="32"/>
          <w:shd w:val="clear" w:color="auto" w:fill="FFFFFF"/>
        </w:rPr>
        <w:t>一、单位基本情况</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sz w:val="32"/>
          <w:szCs w:val="32"/>
        </w:rPr>
      </w:pPr>
      <w:r>
        <w:rPr>
          <w:rStyle w:val="10"/>
          <w:rFonts w:hint="default" w:ascii="Times New Roman" w:hAnsi="Times New Roman" w:eastAsia="方正楷体_GBK" w:cs="Times New Roman"/>
          <w:sz w:val="32"/>
          <w:szCs w:val="32"/>
          <w:shd w:val="clear" w:color="auto" w:fill="FFFFFF"/>
        </w:rPr>
        <w:t>（一）职能职责</w:t>
      </w:r>
    </w:p>
    <w:p>
      <w:pPr>
        <w:keepNext w:val="0"/>
        <w:keepLines w:val="0"/>
        <w:pageBreakBefore w:val="0"/>
        <w:widowControl/>
        <w:kinsoku/>
        <w:wordWrap/>
        <w:overflowPunct/>
        <w:topLinePunct w:val="0"/>
        <w:autoSpaceDN/>
        <w:bidi w:val="0"/>
        <w:adjustRightInd/>
        <w:spacing w:beforeAutospacing="0" w:afterAutospacing="0" w:line="600" w:lineRule="exact"/>
        <w:ind w:left="0" w:right="0" w:firstLine="640" w:firstLineChars="200"/>
        <w:jc w:val="both"/>
        <w:textAlignment w:val="auto"/>
        <w:rPr>
          <w:rStyle w:val="10"/>
          <w:rFonts w:hint="default" w:ascii="Times New Roman" w:hAnsi="Times New Roman" w:eastAsia="楷体" w:cs="Times New Roman"/>
          <w:sz w:val="32"/>
          <w:szCs w:val="32"/>
          <w:shd w:val="clear" w:color="auto" w:fill="FFFFFF"/>
        </w:rPr>
      </w:pPr>
      <w:r>
        <w:rPr>
          <w:rFonts w:hint="default" w:ascii="Times New Roman" w:hAnsi="Times New Roman" w:eastAsia="方正仿宋_GBK" w:cs="Times New Roman"/>
          <w:snapToGrid w:val="0"/>
          <w:color w:val="auto"/>
          <w:kern w:val="0"/>
          <w:sz w:val="32"/>
          <w:lang w:bidi="ar"/>
        </w:rPr>
        <w:t>我校现行的职能职责：实施普通</w:t>
      </w:r>
      <w:r>
        <w:rPr>
          <w:rFonts w:hint="default" w:ascii="Times New Roman" w:hAnsi="Times New Roman" w:eastAsia="方正仿宋_GBK" w:cs="Times New Roman"/>
          <w:snapToGrid w:val="0"/>
          <w:color w:val="auto"/>
          <w:kern w:val="0"/>
          <w:sz w:val="32"/>
          <w:lang w:eastAsia="zh-CN" w:bidi="ar"/>
        </w:rPr>
        <w:t>小学</w:t>
      </w:r>
      <w:r>
        <w:rPr>
          <w:rFonts w:hint="default" w:ascii="Times New Roman" w:hAnsi="Times New Roman" w:eastAsia="方正仿宋_GBK" w:cs="Times New Roman"/>
          <w:snapToGrid w:val="0"/>
          <w:color w:val="auto"/>
          <w:kern w:val="0"/>
          <w:sz w:val="32"/>
          <w:lang w:bidi="ar"/>
        </w:rPr>
        <w:t>义务教育，促进学生全面发展。开展教育教学工作；开展学校德育工作；负责学校行政管理工作；</w:t>
      </w:r>
      <w:r>
        <w:rPr>
          <w:rFonts w:hint="default" w:ascii="Times New Roman" w:hAnsi="Times New Roman" w:eastAsia="方正仿宋_GBK" w:cs="Times New Roman"/>
          <w:snapToGrid w:val="0"/>
          <w:color w:val="auto"/>
          <w:kern w:val="0"/>
          <w:sz w:val="32"/>
          <w:lang w:eastAsia="zh-CN" w:bidi="ar"/>
        </w:rPr>
        <w:t>开展预算、决算及支付工作；</w:t>
      </w:r>
      <w:r>
        <w:rPr>
          <w:rFonts w:hint="default" w:ascii="Times New Roman" w:hAnsi="Times New Roman" w:eastAsia="方正仿宋_GBK" w:cs="Times New Roman"/>
          <w:snapToGrid w:val="0"/>
          <w:color w:val="auto"/>
          <w:kern w:val="0"/>
          <w:sz w:val="32"/>
          <w:lang w:bidi="ar"/>
        </w:rPr>
        <w:t>开展学校体育、卫生工作</w:t>
      </w:r>
      <w:r>
        <w:rPr>
          <w:rFonts w:hint="default" w:ascii="Times New Roman" w:hAnsi="Times New Roman" w:eastAsia="方正仿宋_GBK" w:cs="Times New Roman"/>
          <w:snapToGrid w:val="0"/>
          <w:color w:val="auto"/>
          <w:kern w:val="0"/>
          <w:sz w:val="32"/>
          <w:lang w:eastAsia="zh-CN" w:bidi="ar"/>
        </w:rPr>
        <w:t>，</w:t>
      </w:r>
      <w:r>
        <w:rPr>
          <w:rFonts w:hint="default" w:ascii="Times New Roman" w:hAnsi="Times New Roman" w:eastAsia="方正仿宋_GBK" w:cs="Times New Roman"/>
          <w:snapToGrid w:val="0"/>
          <w:color w:val="auto"/>
          <w:kern w:val="0"/>
          <w:sz w:val="32"/>
          <w:lang w:bidi="ar"/>
        </w:rPr>
        <w:t>维护校园安全，提供后勤保障服务。</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default" w:ascii="Times New Roman" w:hAnsi="Times New Roman" w:eastAsia="方正楷体_GBK" w:cs="Times New Roman"/>
          <w:sz w:val="32"/>
          <w:szCs w:val="32"/>
          <w:shd w:val="clear" w:color="auto" w:fill="FFFFFF"/>
        </w:rPr>
      </w:pPr>
      <w:r>
        <w:rPr>
          <w:rStyle w:val="10"/>
          <w:rFonts w:hint="default" w:ascii="Times New Roman" w:hAnsi="Times New Roman" w:eastAsia="方正楷体_GBK" w:cs="Times New Roman"/>
          <w:sz w:val="32"/>
          <w:szCs w:val="32"/>
          <w:shd w:val="clear" w:color="auto" w:fill="FFFFFF"/>
        </w:rPr>
        <w:t>（二）机构设置</w:t>
      </w:r>
    </w:p>
    <w:p>
      <w:pPr>
        <w:keepNext w:val="0"/>
        <w:keepLines w:val="0"/>
        <w:pageBreakBefore w:val="0"/>
        <w:widowControl/>
        <w:kinsoku/>
        <w:wordWrap/>
        <w:overflowPunct/>
        <w:topLinePunct w:val="0"/>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snapToGrid w:val="0"/>
          <w:color w:val="auto"/>
          <w:kern w:val="0"/>
          <w:sz w:val="32"/>
          <w:lang w:bidi="ar"/>
        </w:rPr>
      </w:pPr>
      <w:r>
        <w:rPr>
          <w:rFonts w:hint="default" w:ascii="Times New Roman" w:hAnsi="Times New Roman" w:eastAsia="方正仿宋_GBK" w:cs="Times New Roman"/>
          <w:snapToGrid w:val="0"/>
          <w:color w:val="auto"/>
          <w:kern w:val="0"/>
          <w:sz w:val="32"/>
          <w:lang w:bidi="ar"/>
        </w:rPr>
        <w:t>我校为独立核算的全额财政拨款事业单位，是一所</w:t>
      </w:r>
      <w:r>
        <w:rPr>
          <w:rFonts w:hint="default" w:ascii="Times New Roman" w:hAnsi="Times New Roman" w:eastAsia="方正仿宋_GBK" w:cs="Times New Roman"/>
          <w:snapToGrid w:val="0"/>
          <w:color w:val="auto"/>
          <w:kern w:val="0"/>
          <w:sz w:val="32"/>
          <w:lang w:eastAsia="zh-CN" w:bidi="ar"/>
        </w:rPr>
        <w:t>公办小学校</w:t>
      </w:r>
      <w:r>
        <w:rPr>
          <w:rFonts w:hint="default" w:ascii="Times New Roman" w:hAnsi="Times New Roman" w:eastAsia="方正仿宋_GBK" w:cs="Times New Roman"/>
          <w:snapToGrid w:val="0"/>
          <w:color w:val="auto"/>
          <w:kern w:val="0"/>
          <w:sz w:val="32"/>
          <w:lang w:bidi="ar"/>
        </w:rPr>
        <w:t>，学校下设内设机构</w:t>
      </w:r>
      <w:r>
        <w:rPr>
          <w:rFonts w:hint="default" w:ascii="Times New Roman" w:hAnsi="Times New Roman" w:eastAsia="方正仿宋_GBK" w:cs="Times New Roman"/>
          <w:snapToGrid w:val="0"/>
          <w:color w:val="auto"/>
          <w:kern w:val="0"/>
          <w:sz w:val="32"/>
          <w:lang w:val="en-US" w:eastAsia="zh-CN" w:bidi="ar"/>
        </w:rPr>
        <w:t>5</w:t>
      </w:r>
      <w:r>
        <w:rPr>
          <w:rFonts w:hint="default" w:ascii="Times New Roman" w:hAnsi="Times New Roman" w:eastAsia="方正仿宋_GBK" w:cs="Times New Roman"/>
          <w:snapToGrid w:val="0"/>
          <w:color w:val="auto"/>
          <w:kern w:val="0"/>
          <w:sz w:val="32"/>
          <w:lang w:bidi="ar"/>
        </w:rPr>
        <w:t>个：</w:t>
      </w:r>
      <w:r>
        <w:rPr>
          <w:rFonts w:hint="default" w:ascii="Times New Roman" w:hAnsi="Times New Roman" w:eastAsia="方正仿宋_GBK" w:cs="Times New Roman"/>
          <w:snapToGrid w:val="0"/>
          <w:color w:val="auto"/>
          <w:kern w:val="0"/>
          <w:sz w:val="32"/>
          <w:lang w:eastAsia="zh-CN" w:bidi="ar"/>
        </w:rPr>
        <w:t>教务处</w:t>
      </w:r>
      <w:r>
        <w:rPr>
          <w:rFonts w:hint="default" w:ascii="Times New Roman" w:hAnsi="Times New Roman" w:eastAsia="方正仿宋_GBK" w:cs="Times New Roman"/>
          <w:snapToGrid w:val="0"/>
          <w:color w:val="auto"/>
          <w:kern w:val="0"/>
          <w:sz w:val="32"/>
          <w:lang w:bidi="ar"/>
        </w:rPr>
        <w:t>、</w:t>
      </w:r>
      <w:r>
        <w:rPr>
          <w:rFonts w:hint="default" w:ascii="Times New Roman" w:hAnsi="Times New Roman" w:eastAsia="方正仿宋_GBK" w:cs="Times New Roman"/>
          <w:snapToGrid w:val="0"/>
          <w:color w:val="auto"/>
          <w:kern w:val="0"/>
          <w:sz w:val="32"/>
          <w:lang w:eastAsia="zh-CN" w:bidi="ar"/>
        </w:rPr>
        <w:t>德育处</w:t>
      </w:r>
      <w:r>
        <w:rPr>
          <w:rFonts w:hint="default" w:ascii="Times New Roman" w:hAnsi="Times New Roman" w:eastAsia="方正仿宋_GBK" w:cs="Times New Roman"/>
          <w:snapToGrid w:val="0"/>
          <w:color w:val="auto"/>
          <w:kern w:val="0"/>
          <w:sz w:val="32"/>
          <w:lang w:bidi="ar"/>
        </w:rPr>
        <w:t>、办公室</w:t>
      </w:r>
      <w:r>
        <w:rPr>
          <w:rFonts w:hint="default" w:ascii="Times New Roman" w:hAnsi="Times New Roman" w:eastAsia="方正仿宋_GBK" w:cs="Times New Roman"/>
          <w:snapToGrid w:val="0"/>
          <w:color w:val="auto"/>
          <w:kern w:val="0"/>
          <w:sz w:val="32"/>
          <w:lang w:eastAsia="zh-CN" w:bidi="ar"/>
        </w:rPr>
        <w:t>、财务室、后勤</w:t>
      </w:r>
      <w:r>
        <w:rPr>
          <w:rFonts w:hint="default" w:ascii="Times New Roman" w:hAnsi="Times New Roman" w:eastAsia="方正仿宋_GBK" w:cs="Times New Roman"/>
          <w:snapToGrid w:val="0"/>
          <w:color w:val="auto"/>
          <w:kern w:val="0"/>
          <w:sz w:val="32"/>
          <w:lang w:bidi="ar"/>
        </w:rPr>
        <w:t>处。</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0"/>
          <w:rFonts w:hint="default" w:ascii="Times New Roman" w:hAnsi="Times New Roman" w:eastAsia="方正黑体_GBK" w:cs="Times New Roman"/>
          <w:sz w:val="32"/>
          <w:szCs w:val="32"/>
          <w:shd w:val="clear" w:color="auto" w:fill="FFFFFF"/>
        </w:rPr>
      </w:pPr>
      <w:r>
        <w:rPr>
          <w:rStyle w:val="10"/>
          <w:rFonts w:hint="default" w:ascii="Times New Roman" w:hAnsi="Times New Roman" w:eastAsia="方正黑体_GBK" w:cs="Times New Roman"/>
          <w:sz w:val="32"/>
          <w:szCs w:val="32"/>
          <w:shd w:val="clear" w:color="auto" w:fill="FFFFFF"/>
        </w:rPr>
        <w:t>二、单位决算情况说明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default" w:ascii="Times New Roman" w:hAnsi="Times New Roman" w:eastAsia="方正楷体_GBK" w:cs="Times New Roman"/>
          <w:sz w:val="32"/>
          <w:szCs w:val="32"/>
          <w:shd w:val="clear" w:color="auto" w:fill="FFFFFF"/>
        </w:rPr>
      </w:pPr>
      <w:r>
        <w:rPr>
          <w:rStyle w:val="10"/>
          <w:rFonts w:hint="default" w:ascii="Times New Roman" w:hAnsi="Times New Roman" w:eastAsia="方正楷体_GBK" w:cs="Times New Roman"/>
          <w:sz w:val="32"/>
          <w:szCs w:val="32"/>
          <w:shd w:val="clear" w:color="auto" w:fill="FFFFFF"/>
        </w:rPr>
        <w:t>（一）收入支出决算总体情况说明。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napToGrid w:val="0"/>
          <w:color w:val="auto"/>
          <w:kern w:val="0"/>
          <w:sz w:val="32"/>
          <w:szCs w:val="24"/>
          <w:lang w:val="en-US" w:eastAsia="zh-CN" w:bidi="ar"/>
        </w:rPr>
        <w:t>2023年度收入总计3342.94万元，支出总计3342.94万元。收支较上年决算数增加43.65万元，增长1.32%，主要原因是2023年度我校学生人数相比于2022年增加，生均经费增加，相应的支出增加。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napToGrid w:val="0"/>
          <w:color w:val="auto"/>
          <w:kern w:val="0"/>
          <w:sz w:val="32"/>
          <w:szCs w:val="24"/>
          <w:lang w:val="en-US" w:eastAsia="zh-CN" w:bidi="ar"/>
        </w:rPr>
        <w:t>2023年度收入合计3342.94万元，较上年决算数增加43.65万元，增长1.32%，主要原因是2023年度我校学生人数相比于2022年增加，生均经费增加，相应的收入增加。其中：财政拨款收入3342.94万元，占100.00%；事业收入0.00万元，占0.00%；经营收入0.00万元，占0.00%；其他收入0.00万元，占0.00%。此外，使用非财政拨款结余和专用结余0.00万元，年初结转和结余0.00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napToGrid w:val="0"/>
          <w:color w:val="auto"/>
          <w:kern w:val="0"/>
          <w:sz w:val="32"/>
          <w:szCs w:val="24"/>
          <w:lang w:val="en-US" w:eastAsia="zh-CN" w:bidi="ar"/>
        </w:rPr>
        <w:t>2023年度支出合计3342.94万元，较上年决算数增加43.65万元，增长1.32%，主要原因是2023年度我校学生人数相比于2022年增加，生均经费增加，相应的支出增加。其中：基本支出2347.77万元，占70.23%；项目支出995.17万元，占29.77%；经营支出0.00万元，占0.00%。此外，结余分配0.00万元。</w:t>
      </w:r>
    </w:p>
    <w:p>
      <w:pPr>
        <w:keepNext w:val="0"/>
        <w:keepLines w:val="0"/>
        <w:pageBreakBefore w:val="0"/>
        <w:widowControl/>
        <w:kinsoku/>
        <w:wordWrap/>
        <w:overflowPunct/>
        <w:topLinePunct w:val="0"/>
        <w:autoSpaceDN/>
        <w:bidi w:val="0"/>
        <w:adjustRightInd/>
        <w:spacing w:beforeAutospacing="0" w:afterAutospacing="0" w:line="600" w:lineRule="exact"/>
        <w:ind w:left="0" w:right="0" w:firstLine="643" w:firstLineChars="200"/>
        <w:jc w:val="both"/>
        <w:textAlignment w:val="auto"/>
        <w:rPr>
          <w:rFonts w:hint="default" w:ascii="Times New Roman" w:hAnsi="Times New Roman" w:eastAsia="方正仿宋_GBK" w:cs="Times New Roman"/>
          <w:snapToGrid w:val="0"/>
          <w:color w:val="auto"/>
          <w:kern w:val="0"/>
          <w:sz w:val="32"/>
          <w:lang w:bidi="ar"/>
        </w:rPr>
      </w:pPr>
      <w:r>
        <w:rPr>
          <w:rStyle w:val="10"/>
          <w:rFonts w:hint="default" w:ascii="Times New Roman" w:hAnsi="Times New Roman" w:eastAsia="方正仿宋_GBK" w:cs="Times New Roman"/>
          <w:sz w:val="32"/>
          <w:szCs w:val="32"/>
          <w:shd w:val="clear" w:color="auto" w:fill="FFFFFF"/>
          <w:lang w:val="en-US" w:eastAsia="zh-CN" w:bidi="ar-SA"/>
        </w:rPr>
        <w:t>4.结转结余情况。</w:t>
      </w:r>
      <w:r>
        <w:rPr>
          <w:rFonts w:hint="default" w:ascii="Times New Roman" w:hAnsi="Times New Roman" w:eastAsia="方正仿宋_GBK" w:cs="Times New Roman"/>
          <w:snapToGrid w:val="0"/>
          <w:color w:val="auto"/>
          <w:kern w:val="0"/>
          <w:sz w:val="32"/>
          <w:lang w:bidi="ar"/>
        </w:rPr>
        <w:t>202</w:t>
      </w:r>
      <w:r>
        <w:rPr>
          <w:rFonts w:hint="default" w:ascii="Times New Roman" w:hAnsi="Times New Roman" w:eastAsia="方正仿宋_GBK" w:cs="Times New Roman"/>
          <w:snapToGrid w:val="0"/>
          <w:color w:val="auto"/>
          <w:kern w:val="0"/>
          <w:sz w:val="32"/>
          <w:lang w:val="en-US" w:eastAsia="zh-CN" w:bidi="ar"/>
        </w:rPr>
        <w:t>3</w:t>
      </w:r>
      <w:r>
        <w:rPr>
          <w:rFonts w:hint="default" w:ascii="Times New Roman" w:hAnsi="Times New Roman" w:eastAsia="方正仿宋_GBK" w:cs="Times New Roman"/>
          <w:snapToGrid w:val="0"/>
          <w:color w:val="auto"/>
          <w:kern w:val="0"/>
          <w:sz w:val="32"/>
          <w:lang w:bidi="ar"/>
        </w:rPr>
        <w:t>年度年末</w:t>
      </w:r>
      <w:r>
        <w:rPr>
          <w:rFonts w:hint="default" w:ascii="Times New Roman" w:hAnsi="Times New Roman" w:eastAsia="方正仿宋_GBK" w:cs="Times New Roman"/>
          <w:snapToGrid w:val="0"/>
          <w:color w:val="auto"/>
          <w:kern w:val="0"/>
          <w:sz w:val="32"/>
          <w:lang w:eastAsia="zh-CN" w:bidi="ar"/>
        </w:rPr>
        <w:t>无结转和结余，与上年持平。</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default" w:ascii="Times New Roman" w:hAnsi="Times New Roman" w:eastAsia="方正楷体_GBK" w:cs="Times New Roman"/>
          <w:sz w:val="32"/>
          <w:szCs w:val="32"/>
          <w:shd w:val="clear" w:color="auto" w:fill="FFFFFF"/>
        </w:rPr>
      </w:pPr>
      <w:r>
        <w:rPr>
          <w:rStyle w:val="10"/>
          <w:rFonts w:hint="default" w:ascii="Times New Roman" w:hAnsi="Times New Roman" w:eastAsia="方正楷体_GBK" w:cs="Times New Roman"/>
          <w:sz w:val="32"/>
          <w:szCs w:val="32"/>
          <w:shd w:val="clear" w:color="auto" w:fill="FFFFFF"/>
        </w:rPr>
        <w:t>（二）财政拨款收入支出决算总体情况说明</w:t>
      </w:r>
    </w:p>
    <w:p>
      <w:pPr>
        <w:keepNext w:val="0"/>
        <w:keepLines w:val="0"/>
        <w:pageBreakBefore w:val="0"/>
        <w:widowControl/>
        <w:kinsoku/>
        <w:wordWrap/>
        <w:overflowPunct/>
        <w:topLinePunct w:val="0"/>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snapToGrid w:val="0"/>
          <w:color w:val="auto"/>
          <w:kern w:val="0"/>
          <w:sz w:val="32"/>
          <w:lang w:bidi="ar"/>
        </w:rPr>
      </w:pPr>
      <w:r>
        <w:rPr>
          <w:rFonts w:hint="default" w:ascii="Times New Roman" w:hAnsi="Times New Roman" w:eastAsia="方正仿宋_GBK" w:cs="Times New Roman"/>
          <w:snapToGrid w:val="0"/>
          <w:color w:val="auto"/>
          <w:kern w:val="0"/>
          <w:sz w:val="32"/>
          <w:lang w:bidi="ar"/>
        </w:rPr>
        <w:t>2023年度财政拨款收、支总计3342.94万元。与2022年相比，财政拨款收、支总计各增加43.65万元，增长1.32%。主要原因是</w:t>
      </w:r>
      <w:r>
        <w:rPr>
          <w:rFonts w:hint="default" w:ascii="Times New Roman" w:hAnsi="Times New Roman" w:eastAsia="方正仿宋_GBK" w:cs="Times New Roman"/>
          <w:snapToGrid w:val="0"/>
          <w:color w:val="auto"/>
          <w:kern w:val="0"/>
          <w:sz w:val="32"/>
          <w:lang w:val="en-US" w:eastAsia="zh-CN" w:bidi="ar"/>
        </w:rPr>
        <w:t>2023年度我校学生人数相比于2022年增加，生均经费增加，相应的支出增加。</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default" w:ascii="Times New Roman" w:hAnsi="Times New Roman" w:eastAsia="方正楷体_GBK" w:cs="Times New Roman"/>
          <w:sz w:val="32"/>
          <w:szCs w:val="32"/>
          <w:shd w:val="clear" w:color="auto" w:fill="FFFFFF"/>
        </w:rPr>
      </w:pPr>
      <w:r>
        <w:rPr>
          <w:rStyle w:val="10"/>
          <w:rFonts w:hint="default" w:ascii="Times New Roman" w:hAnsi="Times New Roman" w:eastAsia="方正楷体_GBK" w:cs="Times New Roman"/>
          <w:sz w:val="32"/>
          <w:szCs w:val="32"/>
          <w:shd w:val="clear" w:color="auto" w:fill="FFFFFF"/>
        </w:rPr>
        <w:t>（三）一般公共预算财政拨款收入支出决算情况说明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napToGrid w:val="0"/>
          <w:color w:val="auto"/>
          <w:kern w:val="0"/>
          <w:sz w:val="32"/>
          <w:szCs w:val="24"/>
          <w:lang w:val="en-US" w:eastAsia="zh-CN" w:bidi="ar"/>
        </w:rPr>
        <w:t>2023年度一般公共预算财政拨款收入3342.94万元，较上年决算数增加43.65万元，增长1.32%。主要原因是2023年度我校学生人数相比于2022年增加，生均经费增加，相应的收入增加。较年初预算数增加1011.45万元，增长43.38%。主要原因是2023年度我校学生人数相比于2022年增加，生均经费增加，相应的收入增加。此外，年初财政拨款结转和结余0.00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napToGrid w:val="0"/>
          <w:color w:val="auto"/>
          <w:kern w:val="0"/>
          <w:sz w:val="32"/>
          <w:szCs w:val="24"/>
          <w:lang w:val="en-US" w:eastAsia="zh-CN" w:bidi="ar"/>
        </w:rPr>
        <w:t>2023年度一般公共预算财政拨款支出3342.94万元，较上年决算数增加43.65万元，增长1.32%。主要原因是2023年度我校学生人数相比于2022年增加，生均经费增加，相应的支出增加。较年初预算数增加1011.45万元，增长43.38%。主要原因是2023年度我校学生人数相比于2022年增加，生均经费增加，相应的支出增加。</w:t>
      </w:r>
    </w:p>
    <w:p>
      <w:pPr>
        <w:keepNext w:val="0"/>
        <w:keepLines w:val="0"/>
        <w:pageBreakBefore w:val="0"/>
        <w:widowControl/>
        <w:kinsoku/>
        <w:wordWrap/>
        <w:overflowPunct/>
        <w:topLinePunct w:val="0"/>
        <w:autoSpaceDN/>
        <w:bidi w:val="0"/>
        <w:adjustRightInd/>
        <w:spacing w:beforeAutospacing="0" w:afterAutospacing="0" w:line="600" w:lineRule="exact"/>
        <w:ind w:left="0" w:right="0" w:firstLine="643" w:firstLineChars="200"/>
        <w:jc w:val="both"/>
        <w:textAlignment w:val="auto"/>
        <w:rPr>
          <w:rFonts w:hint="default" w:ascii="Times New Roman" w:hAnsi="Times New Roman" w:eastAsia="方正仿宋_GBK" w:cs="Times New Roman"/>
          <w:snapToGrid w:val="0"/>
          <w:color w:val="auto"/>
          <w:kern w:val="0"/>
          <w:sz w:val="32"/>
          <w:lang w:bidi="ar"/>
        </w:rPr>
      </w:pPr>
      <w:r>
        <w:rPr>
          <w:rStyle w:val="10"/>
          <w:rFonts w:hint="default" w:ascii="Times New Roman" w:hAnsi="Times New Roman" w:eastAsia="方正仿宋_GBK" w:cs="Times New Roman"/>
          <w:sz w:val="32"/>
          <w:szCs w:val="32"/>
          <w:shd w:val="clear" w:color="auto" w:fill="FFFFFF"/>
          <w:lang w:val="en-US" w:eastAsia="zh-CN" w:bidi="ar-SA"/>
        </w:rPr>
        <w:t>3.结转结余情况。</w:t>
      </w:r>
      <w:r>
        <w:rPr>
          <w:rFonts w:hint="default" w:ascii="Times New Roman" w:hAnsi="Times New Roman" w:eastAsia="方正仿宋_GBK" w:cs="Times New Roman"/>
          <w:snapToGrid w:val="0"/>
          <w:color w:val="auto"/>
          <w:kern w:val="0"/>
          <w:sz w:val="32"/>
          <w:lang w:val="en-US" w:eastAsia="zh-CN" w:bidi="ar"/>
        </w:rPr>
        <w:t>2023年度年末一般公共预算财政拨款无结转和结余，与上年持平。</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napToGrid w:val="0"/>
          <w:color w:val="auto"/>
          <w:kern w:val="0"/>
          <w:sz w:val="32"/>
          <w:szCs w:val="24"/>
          <w:lang w:val="en-US" w:eastAsia="zh-CN" w:bidi="ar"/>
        </w:rPr>
        <w:t>本单位2023年度一般公共预算财政拨款支出主要用于以下几个方面：</w:t>
      </w:r>
    </w:p>
    <w:p>
      <w:pPr>
        <w:keepNext w:val="0"/>
        <w:keepLines w:val="0"/>
        <w:pageBreakBefore w:val="0"/>
        <w:widowControl/>
        <w:kinsoku/>
        <w:wordWrap/>
        <w:overflowPunct/>
        <w:topLinePunct w:val="0"/>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snapToGrid w:val="0"/>
          <w:color w:val="auto"/>
          <w:kern w:val="0"/>
          <w:sz w:val="32"/>
          <w:lang w:val="en-US" w:eastAsia="zh-CN" w:bidi="ar"/>
        </w:rPr>
      </w:pPr>
      <w:r>
        <w:rPr>
          <w:rFonts w:hint="default" w:ascii="Times New Roman" w:hAnsi="Times New Roman" w:eastAsia="方正仿宋_GBK" w:cs="Times New Roman"/>
          <w:snapToGrid w:val="0"/>
          <w:color w:val="auto"/>
          <w:kern w:val="0"/>
          <w:sz w:val="32"/>
          <w:lang w:bidi="ar"/>
        </w:rPr>
        <w:t>（</w:t>
      </w:r>
      <w:r>
        <w:rPr>
          <w:rFonts w:hint="default" w:ascii="Times New Roman" w:hAnsi="Times New Roman" w:eastAsia="方正仿宋_GBK" w:cs="Times New Roman"/>
          <w:snapToGrid w:val="0"/>
          <w:color w:val="auto"/>
          <w:kern w:val="0"/>
          <w:sz w:val="32"/>
          <w:lang w:val="en-US" w:eastAsia="zh-CN" w:bidi="ar"/>
        </w:rPr>
        <w:t>1</w:t>
      </w:r>
      <w:r>
        <w:rPr>
          <w:rFonts w:hint="default" w:ascii="Times New Roman" w:hAnsi="Times New Roman" w:eastAsia="方正仿宋_GBK" w:cs="Times New Roman"/>
          <w:snapToGrid w:val="0"/>
          <w:color w:val="auto"/>
          <w:kern w:val="0"/>
          <w:sz w:val="32"/>
          <w:lang w:bidi="ar"/>
        </w:rPr>
        <w:t>）教育支出3061.05万元，占91.57%，较年初预算数增加1016.87万元，增长49.74%，主要原因</w:t>
      </w:r>
      <w:r>
        <w:rPr>
          <w:rFonts w:hint="default" w:ascii="Times New Roman" w:hAnsi="Times New Roman" w:eastAsia="方正仿宋_GBK" w:cs="Times New Roman"/>
          <w:snapToGrid w:val="0"/>
          <w:color w:val="auto"/>
          <w:kern w:val="0"/>
          <w:sz w:val="32"/>
          <w:lang w:eastAsia="zh-CN" w:bidi="ar"/>
        </w:rPr>
        <w:t>是</w:t>
      </w:r>
      <w:r>
        <w:rPr>
          <w:rFonts w:hint="default" w:ascii="Times New Roman" w:hAnsi="Times New Roman" w:eastAsia="方正仿宋_GBK" w:cs="Times New Roman"/>
          <w:snapToGrid w:val="0"/>
          <w:color w:val="auto"/>
          <w:kern w:val="0"/>
          <w:sz w:val="32"/>
          <w:lang w:val="en-US" w:eastAsia="zh-CN" w:bidi="ar"/>
        </w:rPr>
        <w:t>年中追加上级补助资金预算。</w:t>
      </w:r>
    </w:p>
    <w:p>
      <w:pPr>
        <w:keepNext w:val="0"/>
        <w:keepLines w:val="0"/>
        <w:pageBreakBefore w:val="0"/>
        <w:widowControl/>
        <w:kinsoku/>
        <w:wordWrap/>
        <w:overflowPunct/>
        <w:topLinePunct w:val="0"/>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snapToGrid w:val="0"/>
          <w:color w:val="auto"/>
          <w:kern w:val="0"/>
          <w:sz w:val="32"/>
          <w:lang w:eastAsia="zh-CN" w:bidi="ar"/>
        </w:rPr>
      </w:pPr>
      <w:r>
        <w:rPr>
          <w:rFonts w:hint="default" w:ascii="Times New Roman" w:hAnsi="Times New Roman" w:eastAsia="方正仿宋_GBK" w:cs="Times New Roman"/>
          <w:snapToGrid w:val="0"/>
          <w:color w:val="auto"/>
          <w:kern w:val="0"/>
          <w:sz w:val="32"/>
          <w:lang w:bidi="ar"/>
        </w:rPr>
        <w:t>（</w:t>
      </w:r>
      <w:r>
        <w:rPr>
          <w:rFonts w:hint="default" w:ascii="Times New Roman" w:hAnsi="Times New Roman" w:eastAsia="方正仿宋_GBK" w:cs="Times New Roman"/>
          <w:snapToGrid w:val="0"/>
          <w:color w:val="auto"/>
          <w:kern w:val="0"/>
          <w:sz w:val="32"/>
          <w:lang w:val="en-US" w:eastAsia="zh-CN" w:bidi="ar"/>
        </w:rPr>
        <w:t>2</w:t>
      </w:r>
      <w:r>
        <w:rPr>
          <w:rFonts w:hint="default" w:ascii="Times New Roman" w:hAnsi="Times New Roman" w:eastAsia="方正仿宋_GBK" w:cs="Times New Roman"/>
          <w:snapToGrid w:val="0"/>
          <w:color w:val="auto"/>
          <w:kern w:val="0"/>
          <w:sz w:val="32"/>
          <w:lang w:bidi="ar"/>
        </w:rPr>
        <w:t>）文化旅游体育与传媒支出10.00万元，占0.30%，较年初预算数增加10.00万元，增长100.00%，主要原因是</w:t>
      </w:r>
      <w:r>
        <w:rPr>
          <w:rFonts w:hint="default" w:ascii="Times New Roman" w:hAnsi="Times New Roman" w:eastAsia="方正仿宋_GBK" w:cs="Times New Roman"/>
          <w:snapToGrid w:val="0"/>
          <w:color w:val="auto"/>
          <w:kern w:val="0"/>
          <w:sz w:val="32"/>
          <w:lang w:eastAsia="zh-CN" w:bidi="ar"/>
        </w:rPr>
        <w:t>我校是高新区射击培训基地，增加体育培训专项经费。</w:t>
      </w:r>
    </w:p>
    <w:p>
      <w:pPr>
        <w:keepNext w:val="0"/>
        <w:keepLines w:val="0"/>
        <w:pageBreakBefore w:val="0"/>
        <w:widowControl/>
        <w:kinsoku/>
        <w:wordWrap/>
        <w:overflowPunct/>
        <w:topLinePunct w:val="0"/>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snapToGrid w:val="0"/>
          <w:color w:val="auto"/>
          <w:kern w:val="0"/>
          <w:sz w:val="32"/>
          <w:lang w:val="en-US" w:eastAsia="zh-CN" w:bidi="ar"/>
        </w:rPr>
      </w:pPr>
      <w:r>
        <w:rPr>
          <w:rFonts w:hint="default" w:ascii="Times New Roman" w:hAnsi="Times New Roman" w:eastAsia="方正仿宋_GBK" w:cs="Times New Roman"/>
          <w:snapToGrid w:val="0"/>
          <w:color w:val="auto"/>
          <w:kern w:val="0"/>
          <w:sz w:val="32"/>
          <w:lang w:bidi="ar"/>
        </w:rPr>
        <w:t>（</w:t>
      </w:r>
      <w:r>
        <w:rPr>
          <w:rFonts w:hint="default" w:ascii="Times New Roman" w:hAnsi="Times New Roman" w:eastAsia="方正仿宋_GBK" w:cs="Times New Roman"/>
          <w:snapToGrid w:val="0"/>
          <w:color w:val="auto"/>
          <w:kern w:val="0"/>
          <w:sz w:val="32"/>
          <w:lang w:val="en-US" w:eastAsia="zh-CN" w:bidi="ar"/>
        </w:rPr>
        <w:t>3</w:t>
      </w:r>
      <w:r>
        <w:rPr>
          <w:rFonts w:hint="default" w:ascii="Times New Roman" w:hAnsi="Times New Roman" w:eastAsia="方正仿宋_GBK" w:cs="Times New Roman"/>
          <w:snapToGrid w:val="0"/>
          <w:color w:val="auto"/>
          <w:kern w:val="0"/>
          <w:sz w:val="32"/>
          <w:lang w:bidi="ar"/>
        </w:rPr>
        <w:t>）社会保障与就业支出135.08万元，占4.04%，较年初预算数增加9.06万元，增长6.29%，主要原因是</w:t>
      </w:r>
      <w:r>
        <w:rPr>
          <w:rFonts w:hint="default" w:ascii="Times New Roman" w:hAnsi="Times New Roman" w:eastAsia="方正仿宋_GBK" w:cs="Times New Roman"/>
          <w:snapToGrid w:val="0"/>
          <w:color w:val="auto"/>
          <w:kern w:val="0"/>
          <w:sz w:val="32"/>
          <w:lang w:val="en-US" w:eastAsia="zh-CN" w:bidi="ar"/>
        </w:rPr>
        <w:t>2023年9月有部分新进教师，故增加预算。</w:t>
      </w:r>
    </w:p>
    <w:p>
      <w:pPr>
        <w:keepNext w:val="0"/>
        <w:keepLines w:val="0"/>
        <w:pageBreakBefore w:val="0"/>
        <w:widowControl/>
        <w:kinsoku/>
        <w:wordWrap/>
        <w:overflowPunct/>
        <w:topLinePunct w:val="0"/>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snapToGrid w:val="0"/>
          <w:color w:val="auto"/>
          <w:kern w:val="0"/>
          <w:sz w:val="32"/>
          <w:lang w:val="en-US" w:eastAsia="zh-CN" w:bidi="ar"/>
        </w:rPr>
      </w:pPr>
      <w:r>
        <w:rPr>
          <w:rFonts w:hint="default" w:ascii="Times New Roman" w:hAnsi="Times New Roman" w:eastAsia="方正仿宋_GBK" w:cs="Times New Roman"/>
          <w:snapToGrid w:val="0"/>
          <w:color w:val="auto"/>
          <w:kern w:val="0"/>
          <w:sz w:val="32"/>
          <w:lang w:bidi="ar"/>
        </w:rPr>
        <w:t>（</w:t>
      </w:r>
      <w:r>
        <w:rPr>
          <w:rFonts w:hint="default" w:ascii="Times New Roman" w:hAnsi="Times New Roman" w:eastAsia="方正仿宋_GBK" w:cs="Times New Roman"/>
          <w:snapToGrid w:val="0"/>
          <w:color w:val="auto"/>
          <w:kern w:val="0"/>
          <w:sz w:val="32"/>
          <w:lang w:val="en-US" w:eastAsia="zh-CN" w:bidi="ar"/>
        </w:rPr>
        <w:t>4</w:t>
      </w:r>
      <w:r>
        <w:rPr>
          <w:rFonts w:hint="default" w:ascii="Times New Roman" w:hAnsi="Times New Roman" w:eastAsia="方正仿宋_GBK" w:cs="Times New Roman"/>
          <w:snapToGrid w:val="0"/>
          <w:color w:val="auto"/>
          <w:kern w:val="0"/>
          <w:sz w:val="32"/>
          <w:lang w:bidi="ar"/>
        </w:rPr>
        <w:t>）卫生健康支出64.75万元，占1.94%，较年初预算数增加6.35万元，增长8.93%，主要原因是</w:t>
      </w:r>
      <w:r>
        <w:rPr>
          <w:rFonts w:hint="default" w:ascii="Times New Roman" w:hAnsi="Times New Roman" w:eastAsia="方正仿宋_GBK" w:cs="Times New Roman"/>
          <w:snapToGrid w:val="0"/>
          <w:color w:val="auto"/>
          <w:kern w:val="0"/>
          <w:sz w:val="32"/>
          <w:lang w:val="en-US" w:eastAsia="zh-CN" w:bidi="ar"/>
        </w:rPr>
        <w:t>2023年9月有部分新进教师，故增加预算。</w:t>
      </w:r>
    </w:p>
    <w:p>
      <w:pPr>
        <w:keepNext w:val="0"/>
        <w:keepLines w:val="0"/>
        <w:pageBreakBefore w:val="0"/>
        <w:widowControl/>
        <w:kinsoku/>
        <w:wordWrap/>
        <w:overflowPunct/>
        <w:topLinePunct w:val="0"/>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snapToGrid w:val="0"/>
          <w:color w:val="auto"/>
          <w:kern w:val="0"/>
          <w:sz w:val="32"/>
          <w:lang w:eastAsia="zh-CN" w:bidi="ar"/>
        </w:rPr>
      </w:pPr>
      <w:r>
        <w:rPr>
          <w:rFonts w:hint="default" w:ascii="Times New Roman" w:hAnsi="Times New Roman" w:eastAsia="方正仿宋_GBK" w:cs="Times New Roman"/>
          <w:snapToGrid w:val="0"/>
          <w:color w:val="auto"/>
          <w:kern w:val="0"/>
          <w:sz w:val="32"/>
          <w:lang w:bidi="ar"/>
        </w:rPr>
        <w:t>（</w:t>
      </w:r>
      <w:r>
        <w:rPr>
          <w:rFonts w:hint="default" w:ascii="Times New Roman" w:hAnsi="Times New Roman" w:eastAsia="方正仿宋_GBK" w:cs="Times New Roman"/>
          <w:snapToGrid w:val="0"/>
          <w:color w:val="auto"/>
          <w:kern w:val="0"/>
          <w:sz w:val="32"/>
          <w:lang w:val="en-US" w:eastAsia="zh-CN" w:bidi="ar"/>
        </w:rPr>
        <w:t>5</w:t>
      </w:r>
      <w:r>
        <w:rPr>
          <w:rFonts w:hint="default" w:ascii="Times New Roman" w:hAnsi="Times New Roman" w:eastAsia="方正仿宋_GBK" w:cs="Times New Roman"/>
          <w:snapToGrid w:val="0"/>
          <w:color w:val="auto"/>
          <w:kern w:val="0"/>
          <w:sz w:val="32"/>
          <w:lang w:bidi="ar"/>
        </w:rPr>
        <w:t>）住房保障支出72.07万元，占2.16%，较年初预算数无增减</w:t>
      </w:r>
      <w:r>
        <w:rPr>
          <w:rFonts w:hint="default" w:ascii="Times New Roman" w:hAnsi="Times New Roman" w:eastAsia="方正仿宋_GBK" w:cs="Times New Roman"/>
          <w:snapToGrid w:val="0"/>
          <w:color w:val="auto"/>
          <w:kern w:val="0"/>
          <w:sz w:val="32"/>
          <w:lang w:eastAsia="zh-CN" w:bidi="ar"/>
        </w:rPr>
        <w:t>。</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default" w:ascii="Times New Roman" w:hAnsi="Times New Roman" w:eastAsia="方正楷体_GBK" w:cs="Times New Roman"/>
          <w:sz w:val="32"/>
          <w:szCs w:val="32"/>
          <w:shd w:val="clear" w:color="auto" w:fill="FFFFFF"/>
        </w:rPr>
      </w:pPr>
      <w:r>
        <w:rPr>
          <w:rStyle w:val="10"/>
          <w:rFonts w:hint="default" w:ascii="Times New Roman" w:hAnsi="Times New Roman" w:eastAsia="方正楷体_GBK" w:cs="Times New Roman"/>
          <w:sz w:val="32"/>
          <w:szCs w:val="32"/>
          <w:shd w:val="clear" w:color="auto" w:fill="FFFFFF"/>
        </w:rPr>
        <w:t>（四）一般公共预算财政拨款基本支出决算情况说明</w:t>
      </w:r>
    </w:p>
    <w:p>
      <w:pPr>
        <w:keepNext w:val="0"/>
        <w:keepLines w:val="0"/>
        <w:pageBreakBefore w:val="0"/>
        <w:widowControl/>
        <w:kinsoku/>
        <w:wordWrap/>
        <w:overflowPunct/>
        <w:topLinePunct w:val="0"/>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snapToGrid w:val="0"/>
          <w:color w:val="auto"/>
          <w:kern w:val="0"/>
          <w:sz w:val="32"/>
          <w:lang w:bidi="ar"/>
        </w:rPr>
      </w:pPr>
      <w:r>
        <w:rPr>
          <w:rFonts w:hint="default" w:ascii="Times New Roman" w:hAnsi="Times New Roman" w:eastAsia="方正仿宋_GBK" w:cs="Times New Roman"/>
          <w:snapToGrid w:val="0"/>
          <w:color w:val="auto"/>
          <w:kern w:val="0"/>
          <w:sz w:val="32"/>
          <w:lang w:bidi="ar"/>
        </w:rPr>
        <w:t>2023年度一般公共预算财政拨款基本支出2347.77万元。其中：人员经费1676.01万元，较上年决算数增加115.09万元，增长7.37%，主要原因是</w:t>
      </w:r>
      <w:r>
        <w:rPr>
          <w:rFonts w:hint="default" w:ascii="Times New Roman" w:hAnsi="Times New Roman" w:eastAsia="方正仿宋_GBK" w:cs="Times New Roman"/>
          <w:snapToGrid w:val="0"/>
          <w:color w:val="auto"/>
          <w:kern w:val="0"/>
          <w:sz w:val="32"/>
          <w:lang w:val="en-US" w:eastAsia="zh-CN" w:bidi="ar"/>
        </w:rPr>
        <w:t>2023年9月有部分新进教师，故增加预算。</w:t>
      </w:r>
      <w:r>
        <w:rPr>
          <w:rFonts w:hint="default" w:ascii="Times New Roman" w:hAnsi="Times New Roman" w:eastAsia="方正仿宋_GBK" w:cs="Times New Roman"/>
          <w:snapToGrid w:val="0"/>
          <w:color w:val="auto"/>
          <w:kern w:val="0"/>
          <w:sz w:val="32"/>
          <w:lang w:bidi="ar"/>
        </w:rPr>
        <w:t>人员经费用途主要包括</w:t>
      </w:r>
      <w:r>
        <w:rPr>
          <w:rFonts w:hint="default" w:ascii="Times New Roman" w:hAnsi="Times New Roman" w:eastAsia="方正仿宋_GBK" w:cs="Times New Roman"/>
          <w:snapToGrid w:val="0"/>
          <w:color w:val="auto"/>
          <w:kern w:val="0"/>
          <w:sz w:val="32"/>
          <w:lang w:val="en-US" w:eastAsia="zh-CN" w:bidi="ar"/>
        </w:rPr>
        <w:t>教职工工资、绩效、临聘工人的工资、考核等。</w:t>
      </w:r>
      <w:r>
        <w:rPr>
          <w:rFonts w:hint="default" w:ascii="Times New Roman" w:hAnsi="Times New Roman" w:eastAsia="方正仿宋_GBK" w:cs="Times New Roman"/>
          <w:snapToGrid w:val="0"/>
          <w:color w:val="auto"/>
          <w:kern w:val="0"/>
          <w:sz w:val="32"/>
          <w:lang w:bidi="ar"/>
        </w:rPr>
        <w:t>公用经费671.76万元，较上年决算数减少440.14万元，下降39.58%，主要原因是</w:t>
      </w:r>
      <w:r>
        <w:rPr>
          <w:rFonts w:hint="default" w:ascii="Times New Roman" w:hAnsi="Times New Roman" w:eastAsia="方正仿宋_GBK" w:cs="Times New Roman"/>
          <w:snapToGrid w:val="0"/>
          <w:color w:val="auto"/>
          <w:kern w:val="0"/>
          <w:sz w:val="32"/>
          <w:lang w:val="en-US" w:eastAsia="zh-CN" w:bidi="ar"/>
        </w:rPr>
        <w:t>22年西丰小学由我校代账，但2023年西丰单独核算，故我校决算数减少。</w:t>
      </w:r>
      <w:r>
        <w:rPr>
          <w:rFonts w:hint="default" w:ascii="Times New Roman" w:hAnsi="Times New Roman" w:eastAsia="方正仿宋_GBK" w:cs="Times New Roman"/>
          <w:snapToGrid w:val="0"/>
          <w:color w:val="auto"/>
          <w:kern w:val="0"/>
          <w:sz w:val="32"/>
          <w:lang w:bidi="ar"/>
        </w:rPr>
        <w:t>公用经费用途主要包括</w:t>
      </w:r>
      <w:r>
        <w:rPr>
          <w:rFonts w:hint="default" w:ascii="Times New Roman" w:hAnsi="Times New Roman" w:eastAsia="方正仿宋_GBK" w:cs="Times New Roman"/>
          <w:snapToGrid w:val="0"/>
          <w:color w:val="auto"/>
          <w:kern w:val="0"/>
          <w:sz w:val="32"/>
          <w:lang w:val="en-US" w:eastAsia="zh-CN" w:bidi="ar"/>
        </w:rPr>
        <w:t>办公用品、水电费、商品服务费等。</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default" w:ascii="Times New Roman" w:hAnsi="Times New Roman" w:eastAsia="方正楷体_GBK" w:cs="Times New Roman"/>
          <w:sz w:val="32"/>
          <w:szCs w:val="32"/>
          <w:shd w:val="clear" w:color="auto" w:fill="FFFFFF"/>
        </w:rPr>
      </w:pPr>
      <w:r>
        <w:rPr>
          <w:rStyle w:val="10"/>
          <w:rFonts w:hint="default" w:ascii="Times New Roman" w:hAnsi="Times New Roman" w:eastAsia="方正楷体_GBK" w:cs="Times New Roman"/>
          <w:sz w:val="32"/>
          <w:szCs w:val="32"/>
          <w:shd w:val="clear" w:color="auto" w:fill="FFFFFF"/>
        </w:rPr>
        <w:t>（五）政府性基金预算收支决算情况说明</w:t>
      </w:r>
    </w:p>
    <w:p>
      <w:pPr>
        <w:keepNext w:val="0"/>
        <w:keepLines w:val="0"/>
        <w:pageBreakBefore w:val="0"/>
        <w:widowControl/>
        <w:kinsoku/>
        <w:wordWrap/>
        <w:overflowPunct/>
        <w:topLinePunct w:val="0"/>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snapToGrid w:val="0"/>
          <w:color w:val="auto"/>
          <w:kern w:val="0"/>
          <w:sz w:val="32"/>
          <w:lang w:bidi="ar"/>
        </w:rPr>
      </w:pPr>
      <w:r>
        <w:rPr>
          <w:rFonts w:hint="default" w:ascii="Times New Roman" w:hAnsi="Times New Roman" w:eastAsia="方正仿宋_GBK" w:cs="Times New Roman"/>
          <w:snapToGrid w:val="0"/>
          <w:color w:val="auto"/>
          <w:kern w:val="0"/>
          <w:sz w:val="32"/>
          <w:lang w:val="en-US" w:eastAsia="zh-CN" w:bidi="ar"/>
        </w:rPr>
        <w:t>本部门2023年度无政府性基金预算财政拨款支出。</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default" w:ascii="Times New Roman" w:hAnsi="Times New Roman" w:eastAsia="方正楷体_GBK" w:cs="Times New Roman"/>
          <w:sz w:val="32"/>
          <w:szCs w:val="32"/>
          <w:shd w:val="clear" w:color="auto" w:fill="FFFFFF"/>
        </w:rPr>
      </w:pPr>
      <w:r>
        <w:rPr>
          <w:rStyle w:val="10"/>
          <w:rFonts w:hint="default" w:ascii="Times New Roman" w:hAnsi="Times New Roman" w:eastAsia="方正楷体_GBK" w:cs="Times New Roman"/>
          <w:sz w:val="32"/>
          <w:szCs w:val="32"/>
          <w:shd w:val="clear" w:color="auto" w:fill="FFFFFF"/>
        </w:rPr>
        <w:t>国有资本经营预算财政拨款支出决算情况说明</w:t>
      </w:r>
    </w:p>
    <w:p>
      <w:pPr>
        <w:keepNext w:val="0"/>
        <w:keepLines w:val="0"/>
        <w:pageBreakBefore w:val="0"/>
        <w:widowControl/>
        <w:kinsoku/>
        <w:wordWrap/>
        <w:overflowPunct/>
        <w:topLinePunct w:val="0"/>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snapToGrid w:val="0"/>
          <w:color w:val="auto"/>
          <w:kern w:val="0"/>
          <w:sz w:val="32"/>
          <w:lang w:val="en-US" w:eastAsia="zh-CN" w:bidi="ar"/>
        </w:rPr>
        <w:t>本部门2023年度无国有资本经营预算财政拨款支出。</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0"/>
          <w:rFonts w:hint="default" w:ascii="Times New Roman" w:hAnsi="Times New Roman" w:eastAsia="方正黑体_GBK" w:cs="Times New Roman"/>
          <w:sz w:val="32"/>
          <w:szCs w:val="32"/>
          <w:shd w:val="clear" w:color="auto" w:fill="FFFFFF"/>
        </w:rPr>
      </w:pPr>
      <w:r>
        <w:rPr>
          <w:rStyle w:val="10"/>
          <w:rFonts w:hint="default" w:ascii="Times New Roman" w:hAnsi="Times New Roman" w:eastAsia="方正黑体_GBK" w:cs="Times New Roman"/>
          <w:sz w:val="32"/>
          <w:szCs w:val="32"/>
          <w:shd w:val="clear" w:color="auto" w:fill="FFFFFF"/>
          <w:lang w:eastAsia="zh-CN"/>
        </w:rPr>
        <w:t>三、</w:t>
      </w:r>
      <w:r>
        <w:rPr>
          <w:rStyle w:val="10"/>
          <w:rFonts w:hint="default" w:ascii="Times New Roman" w:hAnsi="Times New Roman" w:eastAsia="方正黑体_GBK" w:cs="Times New Roman"/>
          <w:sz w:val="32"/>
          <w:szCs w:val="32"/>
          <w:shd w:val="clear" w:color="auto" w:fill="FFFFFF"/>
        </w:rPr>
        <w:t>“三公”经费情况说明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default" w:ascii="Times New Roman" w:hAnsi="Times New Roman" w:eastAsia="方正楷体_GBK" w:cs="Times New Roman"/>
          <w:sz w:val="32"/>
          <w:szCs w:val="32"/>
          <w:shd w:val="clear" w:color="auto" w:fill="FFFFFF"/>
        </w:rPr>
      </w:pPr>
      <w:r>
        <w:rPr>
          <w:rStyle w:val="10"/>
          <w:rFonts w:hint="default" w:ascii="Times New Roman" w:hAnsi="Times New Roman" w:eastAsia="方正楷体_GBK" w:cs="Times New Roman"/>
          <w:sz w:val="32"/>
          <w:szCs w:val="32"/>
          <w:shd w:val="clear" w:color="auto" w:fill="FFFFFF"/>
        </w:rPr>
        <w:t>（一）“三公”经费支出总体情况说明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Fonts w:hint="default" w:ascii="Times New Roman" w:hAnsi="Times New Roman" w:eastAsia="方正仿宋_GBK" w:cs="Times New Roman"/>
          <w:snapToGrid w:val="0"/>
          <w:color w:val="auto"/>
          <w:kern w:val="0"/>
          <w:sz w:val="32"/>
          <w:szCs w:val="24"/>
          <w:lang w:val="en-US" w:eastAsia="zh-CN" w:bidi="ar"/>
        </w:rPr>
        <w:t>2023年度“三公”经费支出共计0.00万元，较年初预算数无增减；较上年支出数无增减。</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default" w:ascii="Times New Roman" w:hAnsi="Times New Roman" w:eastAsia="方正楷体_GBK" w:cs="Times New Roman"/>
          <w:sz w:val="32"/>
          <w:szCs w:val="32"/>
          <w:shd w:val="clear" w:color="auto" w:fill="FFFFFF"/>
        </w:rPr>
      </w:pPr>
      <w:r>
        <w:rPr>
          <w:rStyle w:val="10"/>
          <w:rFonts w:hint="default" w:ascii="Times New Roman" w:hAnsi="Times New Roman" w:eastAsia="方正楷体_GBK" w:cs="Times New Roman"/>
          <w:sz w:val="32"/>
          <w:szCs w:val="32"/>
          <w:shd w:val="clear" w:color="auto" w:fill="FFFFFF"/>
        </w:rPr>
        <w:t>（二）“三公”经费分项支出情况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Fonts w:hint="default" w:ascii="Times New Roman" w:hAnsi="Times New Roman" w:eastAsia="方正仿宋_GBK" w:cs="Times New Roman"/>
          <w:snapToGrid w:val="0"/>
          <w:color w:val="auto"/>
          <w:kern w:val="0"/>
          <w:sz w:val="32"/>
          <w:szCs w:val="24"/>
          <w:lang w:val="en-US" w:eastAsia="zh-CN" w:bidi="ar"/>
        </w:rPr>
        <w:t>2023年度本单位因公出国（境）费用0.00万元。费用支出较年初预算数无增减；较上年支出数无增减。公务车购置费0.00万元，主要原因是我单位未购置公务用车。费用支出较年初预算数无增减。公务车运行维护费0.00万元。费用支出较年初预算数无增减；较上年支出数无增减。公务接待费0.00万元。费用支出较年初预算数无增减；较上年支出数无增减，主要原因是我单位无公务接待费。</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default" w:ascii="Times New Roman" w:hAnsi="Times New Roman" w:eastAsia="方正楷体_GBK" w:cs="Times New Roman"/>
          <w:sz w:val="32"/>
          <w:szCs w:val="32"/>
          <w:shd w:val="clear" w:color="auto" w:fill="FFFFFF"/>
        </w:rPr>
      </w:pPr>
      <w:r>
        <w:rPr>
          <w:rStyle w:val="10"/>
          <w:rFonts w:hint="default" w:ascii="Times New Roman" w:hAnsi="Times New Roman" w:eastAsia="方正楷体_GBK" w:cs="Times New Roman"/>
          <w:sz w:val="32"/>
          <w:szCs w:val="32"/>
          <w:shd w:val="clear" w:color="auto" w:fill="FFFFFF"/>
        </w:rPr>
        <w:t>（三）“三公”经费实物量情况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Fonts w:hint="default" w:ascii="Times New Roman" w:hAnsi="Times New Roman" w:eastAsia="方正仿宋_GBK" w:cs="Times New Roman"/>
          <w:snapToGrid w:val="0"/>
          <w:color w:val="auto"/>
          <w:kern w:val="0"/>
          <w:sz w:val="32"/>
          <w:szCs w:val="24"/>
          <w:lang w:val="en-US" w:eastAsia="zh-CN" w:bidi="ar"/>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0"/>
          <w:rFonts w:hint="default" w:ascii="Times New Roman" w:hAnsi="Times New Roman" w:eastAsia="方正黑体_GBK" w:cs="Times New Roman"/>
          <w:sz w:val="32"/>
          <w:szCs w:val="32"/>
          <w:shd w:val="clear" w:color="auto" w:fill="FFFFFF"/>
          <w:lang w:eastAsia="zh-CN"/>
        </w:rPr>
      </w:pPr>
      <w:r>
        <w:rPr>
          <w:rStyle w:val="10"/>
          <w:rFonts w:hint="default" w:ascii="Times New Roman" w:hAnsi="Times New Roman" w:eastAsia="方正黑体_GBK" w:cs="Times New Roman"/>
          <w:sz w:val="32"/>
          <w:szCs w:val="32"/>
          <w:shd w:val="clear" w:color="auto" w:fill="FFFFFF"/>
          <w:lang w:eastAsia="zh-CN"/>
        </w:rPr>
        <w:t>四、其他需要说明的事项</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default" w:ascii="Times New Roman" w:hAnsi="Times New Roman" w:eastAsia="方正楷体_GBK" w:cs="Times New Roman"/>
          <w:sz w:val="32"/>
          <w:szCs w:val="32"/>
          <w:shd w:val="clear" w:color="auto" w:fill="FFFFFF"/>
        </w:rPr>
      </w:pPr>
      <w:r>
        <w:rPr>
          <w:rStyle w:val="10"/>
          <w:rFonts w:hint="default" w:ascii="Times New Roman" w:hAnsi="Times New Roman" w:eastAsia="方正楷体_GBK" w:cs="Times New Roman"/>
          <w:sz w:val="32"/>
          <w:szCs w:val="32"/>
          <w:shd w:val="clear" w:color="auto" w:fill="FFFFFF"/>
        </w:rPr>
        <w:t>（一）财政拨款会议费和培训费情况说明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Fonts w:hint="default" w:ascii="Times New Roman" w:hAnsi="Times New Roman" w:eastAsia="方正仿宋_GBK" w:cs="Times New Roman"/>
          <w:snapToGrid w:val="0"/>
          <w:color w:val="auto"/>
          <w:kern w:val="0"/>
          <w:sz w:val="32"/>
          <w:szCs w:val="24"/>
          <w:lang w:val="en-US" w:eastAsia="zh-CN" w:bidi="ar"/>
        </w:rPr>
        <w:t>本年度会议费支出0.00万元，较上年决算数无增减，主要原因是本年度我单位未承办大型会议，故未产生会议费支出。本年度培训费支出24.66万元，较上年决算数增加22.68万元，增长1145.45%，主要原因是根据学校教职工的发展需要，增加了一些培训项目。</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default" w:ascii="Times New Roman" w:hAnsi="Times New Roman" w:eastAsia="方正楷体_GBK" w:cs="Times New Roman"/>
          <w:sz w:val="32"/>
          <w:szCs w:val="32"/>
          <w:shd w:val="clear" w:color="auto" w:fill="FFFFFF"/>
        </w:rPr>
      </w:pPr>
      <w:r>
        <w:rPr>
          <w:rStyle w:val="10"/>
          <w:rFonts w:hint="default" w:ascii="Times New Roman" w:hAnsi="Times New Roman" w:eastAsia="方正楷体_GBK" w:cs="Times New Roman"/>
          <w:sz w:val="32"/>
          <w:szCs w:val="32"/>
          <w:shd w:val="clear" w:color="auto" w:fill="FFFFFF"/>
        </w:rPr>
        <w:t>（</w:t>
      </w:r>
      <w:r>
        <w:rPr>
          <w:rStyle w:val="10"/>
          <w:rFonts w:hint="default" w:ascii="Times New Roman" w:hAnsi="Times New Roman" w:eastAsia="方正楷体_GBK" w:cs="Times New Roman"/>
          <w:sz w:val="32"/>
          <w:szCs w:val="32"/>
          <w:shd w:val="clear" w:color="auto" w:fill="FFFFFF"/>
          <w:lang w:eastAsia="zh-CN"/>
        </w:rPr>
        <w:t>二</w:t>
      </w:r>
      <w:r>
        <w:rPr>
          <w:rStyle w:val="10"/>
          <w:rFonts w:hint="default" w:ascii="Times New Roman" w:hAnsi="Times New Roman" w:eastAsia="方正楷体_GBK" w:cs="Times New Roman"/>
          <w:sz w:val="32"/>
          <w:szCs w:val="32"/>
          <w:shd w:val="clear" w:color="auto" w:fill="FFFFFF"/>
        </w:rPr>
        <w:t>）机关运行经费情况说明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Fonts w:hint="default" w:ascii="Times New Roman" w:hAnsi="Times New Roman" w:eastAsia="方正仿宋_GBK" w:cs="Times New Roman"/>
          <w:snapToGrid w:val="0"/>
          <w:color w:val="auto"/>
          <w:kern w:val="0"/>
          <w:sz w:val="32"/>
          <w:szCs w:val="24"/>
          <w:lang w:val="en-US" w:eastAsia="zh-CN" w:bidi="ar"/>
        </w:rPr>
        <w:t>按照部门决算列报口径，我单位不在机关运行经费统计范围之内。</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default" w:ascii="Times New Roman" w:hAnsi="Times New Roman" w:eastAsia="方正楷体_GBK" w:cs="Times New Roman"/>
          <w:sz w:val="32"/>
          <w:szCs w:val="32"/>
          <w:shd w:val="clear" w:color="auto" w:fill="FFFFFF"/>
        </w:rPr>
      </w:pPr>
      <w:r>
        <w:rPr>
          <w:rStyle w:val="10"/>
          <w:rFonts w:hint="default" w:ascii="Times New Roman" w:hAnsi="Times New Roman" w:eastAsia="方正楷体_GBK" w:cs="Times New Roman"/>
          <w:sz w:val="32"/>
          <w:szCs w:val="32"/>
          <w:shd w:val="clear" w:color="auto" w:fill="FFFFFF"/>
        </w:rPr>
        <w:t>（三）国有资产占用情况说明</w:t>
      </w:r>
    </w:p>
    <w:p>
      <w:pPr>
        <w:keepNext w:val="0"/>
        <w:keepLines w:val="0"/>
        <w:pageBreakBefore w:val="0"/>
        <w:widowControl/>
        <w:kinsoku/>
        <w:wordWrap/>
        <w:overflowPunct/>
        <w:topLinePunct w:val="0"/>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snapToGrid w:val="0"/>
          <w:color w:val="auto"/>
          <w:kern w:val="0"/>
          <w:sz w:val="32"/>
          <w:szCs w:val="24"/>
          <w:lang w:val="en-US" w:eastAsia="zh-CN" w:bidi="ar"/>
        </w:rPr>
        <w:t>截至2023年12月31日，本部门共有车辆0辆。单价50万元（含）以上通用设备0台（套），单价100万元（含）以上专用设备0台（套）。</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default" w:ascii="Times New Roman" w:hAnsi="Times New Roman" w:eastAsia="方正楷体_GBK" w:cs="Times New Roman"/>
          <w:sz w:val="32"/>
          <w:szCs w:val="32"/>
          <w:shd w:val="clear" w:color="auto" w:fill="FFFFFF"/>
        </w:rPr>
      </w:pPr>
      <w:r>
        <w:rPr>
          <w:rStyle w:val="10"/>
          <w:rFonts w:hint="default" w:ascii="Times New Roman" w:hAnsi="Times New Roman" w:eastAsia="方正楷体_GBK" w:cs="Times New Roman"/>
          <w:sz w:val="32"/>
          <w:szCs w:val="32"/>
          <w:shd w:val="clear" w:color="auto" w:fill="FFFFFF"/>
        </w:rPr>
        <w:t>（四）政府采购支出情况说明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Fonts w:hint="default" w:ascii="Times New Roman" w:hAnsi="Times New Roman" w:eastAsia="方正仿宋_GBK" w:cs="Times New Roman"/>
          <w:snapToGrid w:val="0"/>
          <w:color w:val="auto"/>
          <w:kern w:val="0"/>
          <w:sz w:val="32"/>
          <w:szCs w:val="24"/>
          <w:lang w:val="en-US" w:eastAsia="zh-CN" w:bidi="ar"/>
        </w:rPr>
        <w:t>2023年度本单位政府采购支出总额27.78万元，其中：政府采购货物支出27.78万元、政府采购工程支出0.00万元、政府采购服务支出0.00万元。授予中小企业合同金额27.78万元，占政府采购支出总额的100.00%，其中：授予小微企业合同金额27.78万元，占政府采购支出总额的100.00%。主要用于采购录播教室的配套设备采购。</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0"/>
          <w:rFonts w:hint="default" w:ascii="Times New Roman" w:hAnsi="Times New Roman" w:eastAsia="方正黑体_GBK" w:cs="Times New Roman"/>
          <w:sz w:val="32"/>
          <w:szCs w:val="32"/>
          <w:shd w:val="clear" w:color="auto" w:fill="FFFFFF"/>
          <w:lang w:eastAsia="zh-CN"/>
        </w:rPr>
      </w:pPr>
      <w:r>
        <w:rPr>
          <w:rStyle w:val="10"/>
          <w:rFonts w:hint="eastAsia" w:ascii="Times New Roman" w:hAnsi="Times New Roman" w:eastAsia="方正黑体_GBK" w:cs="Times New Roman"/>
          <w:sz w:val="32"/>
          <w:szCs w:val="32"/>
          <w:shd w:val="clear" w:color="auto" w:fill="FFFFFF"/>
          <w:lang w:eastAsia="zh-CN"/>
        </w:rPr>
        <w:t>五</w:t>
      </w:r>
      <w:r>
        <w:rPr>
          <w:rStyle w:val="10"/>
          <w:rFonts w:hint="default" w:ascii="Times New Roman" w:hAnsi="Times New Roman" w:eastAsia="方正黑体_GBK" w:cs="Times New Roman"/>
          <w:sz w:val="32"/>
          <w:szCs w:val="32"/>
          <w:shd w:val="clear" w:color="auto" w:fill="FFFFFF"/>
          <w:lang w:eastAsia="zh-CN"/>
        </w:rPr>
        <w:t>、预算绩效管理情况说明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default" w:ascii="Times New Roman" w:hAnsi="Times New Roman" w:eastAsia="方正楷体_GBK" w:cs="Times New Roman"/>
          <w:sz w:val="32"/>
          <w:szCs w:val="32"/>
          <w:shd w:val="clear" w:color="auto" w:fill="FFFFFF"/>
        </w:rPr>
      </w:pPr>
      <w:r>
        <w:rPr>
          <w:rStyle w:val="10"/>
          <w:rFonts w:hint="default" w:ascii="Times New Roman" w:hAnsi="Times New Roman" w:eastAsia="方正楷体_GBK" w:cs="Times New Roman"/>
          <w:sz w:val="32"/>
          <w:szCs w:val="32"/>
          <w:shd w:val="clear" w:color="auto" w:fill="FFFFFF"/>
        </w:rPr>
        <w:t>（一）单位自评情况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Fonts w:hint="default" w:ascii="Times New Roman" w:hAnsi="Times New Roman" w:eastAsia="方正仿宋_GBK" w:cs="Times New Roman"/>
          <w:snapToGrid w:val="0"/>
          <w:color w:val="auto"/>
          <w:kern w:val="0"/>
          <w:sz w:val="32"/>
          <w:szCs w:val="24"/>
          <w:lang w:val="en-US" w:eastAsia="zh-CN" w:bidi="ar"/>
        </w:rPr>
        <w:t>根据预算绩效管理要求，我单位对6个二级项目开展了绩效自评，涉及财政拨款项目支出资金</w:t>
      </w:r>
      <w:r>
        <w:rPr>
          <w:rFonts w:hint="eastAsia" w:ascii="Times New Roman" w:hAnsi="Times New Roman" w:eastAsia="方正仿宋_GBK" w:cs="Times New Roman"/>
          <w:snapToGrid w:val="0"/>
          <w:color w:val="auto"/>
          <w:kern w:val="0"/>
          <w:sz w:val="32"/>
          <w:szCs w:val="24"/>
          <w:lang w:val="en-US" w:eastAsia="zh-CN" w:bidi="ar"/>
        </w:rPr>
        <w:t>995.17</w:t>
      </w:r>
      <w:bookmarkStart w:id="0" w:name="_GoBack"/>
      <w:bookmarkEnd w:id="0"/>
      <w:r>
        <w:rPr>
          <w:rFonts w:hint="default" w:ascii="Times New Roman" w:hAnsi="Times New Roman" w:eastAsia="方正仿宋_GBK" w:cs="Times New Roman"/>
          <w:snapToGrid w:val="0"/>
          <w:color w:val="auto"/>
          <w:kern w:val="0"/>
          <w:sz w:val="32"/>
          <w:szCs w:val="24"/>
          <w:lang w:val="en-US" w:eastAsia="zh-CN" w:bidi="ar"/>
        </w:rPr>
        <w:t>万元，项目支出绩效自评表详见附表。</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default" w:ascii="Times New Roman" w:hAnsi="Times New Roman" w:eastAsia="方正楷体_GBK" w:cs="Times New Roman"/>
          <w:sz w:val="32"/>
          <w:szCs w:val="32"/>
          <w:shd w:val="clear" w:color="auto" w:fill="FFFFFF"/>
        </w:rPr>
      </w:pPr>
      <w:r>
        <w:rPr>
          <w:rStyle w:val="10"/>
          <w:rFonts w:hint="default" w:ascii="Times New Roman" w:hAnsi="Times New Roman" w:eastAsia="方正楷体_GBK" w:cs="Times New Roman"/>
          <w:sz w:val="32"/>
          <w:szCs w:val="32"/>
          <w:shd w:val="clear" w:color="auto" w:fill="FFFFFF"/>
        </w:rPr>
        <w:t>（二）单位绩效评价情况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Fonts w:hint="default" w:ascii="Times New Roman" w:hAnsi="Times New Roman" w:eastAsia="方正仿宋_GBK" w:cs="Times New Roman"/>
          <w:snapToGrid w:val="0"/>
          <w:color w:val="auto"/>
          <w:kern w:val="0"/>
          <w:sz w:val="32"/>
          <w:szCs w:val="24"/>
          <w:lang w:val="en-US" w:eastAsia="zh-CN" w:bidi="ar"/>
        </w:rPr>
        <w:t>我单位未组织开展绩效评价。</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default" w:ascii="Times New Roman" w:hAnsi="Times New Roman" w:eastAsia="方正楷体_GBK" w:cs="Times New Roman"/>
          <w:sz w:val="32"/>
          <w:szCs w:val="32"/>
          <w:shd w:val="clear" w:color="auto" w:fill="FFFFFF"/>
        </w:rPr>
      </w:pPr>
      <w:r>
        <w:rPr>
          <w:rStyle w:val="10"/>
          <w:rFonts w:hint="default" w:ascii="Times New Roman" w:hAnsi="Times New Roman" w:eastAsia="方正楷体_GBK" w:cs="Times New Roman"/>
          <w:sz w:val="32"/>
          <w:szCs w:val="32"/>
          <w:shd w:val="clear" w:color="auto" w:fill="FFFFFF"/>
        </w:rPr>
        <w:t>（三）财政绩效评价情况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Fonts w:hint="default" w:ascii="Times New Roman" w:hAnsi="Times New Roman" w:eastAsia="方正仿宋_GBK" w:cs="Times New Roman"/>
          <w:snapToGrid w:val="0"/>
          <w:color w:val="auto"/>
          <w:kern w:val="0"/>
          <w:sz w:val="32"/>
          <w:szCs w:val="24"/>
          <w:lang w:val="en-US" w:eastAsia="zh-CN" w:bidi="ar"/>
        </w:rPr>
        <w:t>重庆高新区财政局未委托第三方对我单位开展绩效评价。</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0"/>
          <w:rFonts w:hint="default" w:ascii="Times New Roman" w:hAnsi="Times New Roman" w:eastAsia="方正黑体_GBK" w:cs="Times New Roman"/>
          <w:sz w:val="32"/>
          <w:szCs w:val="32"/>
          <w:shd w:val="clear" w:color="auto" w:fill="FFFFFF"/>
          <w:lang w:eastAsia="zh-CN"/>
        </w:rPr>
      </w:pPr>
      <w:r>
        <w:rPr>
          <w:rStyle w:val="10"/>
          <w:rFonts w:hint="default" w:ascii="Times New Roman" w:hAnsi="Times New Roman" w:eastAsia="方正黑体_GBK" w:cs="Times New Roman"/>
          <w:sz w:val="32"/>
          <w:szCs w:val="32"/>
          <w:shd w:val="clear" w:color="auto" w:fill="FFFFFF"/>
          <w:lang w:eastAsia="zh-CN"/>
        </w:rPr>
        <w:t>六、专业名词解释</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snapToGrid w:val="0"/>
          <w:color w:val="auto"/>
          <w:kern w:val="0"/>
          <w:sz w:val="32"/>
          <w:szCs w:val="24"/>
          <w:lang w:val="en-US" w:eastAsia="zh-CN" w:bidi="ar"/>
        </w:rPr>
        <w:t>指本年度从本级财政部门取得的财政拨款，包括一般公共预算财政拨款和政府性基金预算财政拨款。</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Style w:val="10"/>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snapToGrid w:val="0"/>
          <w:color w:val="auto"/>
          <w:kern w:val="0"/>
          <w:sz w:val="32"/>
          <w:szCs w:val="24"/>
          <w:lang w:val="en-US" w:eastAsia="zh-CN" w:bidi="ar"/>
        </w:rPr>
        <w:t>指事业单位开展专业业务活动及其辅助活动取得的现金流入；事业单位收到的财政专户实际核拨的教育收费等资金在此反映。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Style w:val="10"/>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方正仿宋_GBK" w:cs="Times New Roman"/>
          <w:snapToGrid w:val="0"/>
          <w:color w:val="auto"/>
          <w:kern w:val="0"/>
          <w:sz w:val="32"/>
          <w:szCs w:val="24"/>
          <w:lang w:val="en-US" w:eastAsia="zh-CN" w:bidi="ar"/>
        </w:rPr>
        <w:t>指事业单位在专业业务活动及其辅助活动之外开展非独立核算经营活动取得的现金流入。</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仿宋_GBK" w:cs="Times New Roman"/>
          <w:snapToGrid w:val="0"/>
          <w:color w:val="auto"/>
          <w:kern w:val="0"/>
          <w:sz w:val="32"/>
          <w:szCs w:val="24"/>
          <w:lang w:val="en-US" w:eastAsia="zh-CN" w:bidi="ar"/>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Style w:val="10"/>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仿宋_GBK" w:cs="Times New Roman"/>
          <w:snapToGrid w:val="0"/>
          <w:color w:val="auto"/>
          <w:kern w:val="0"/>
          <w:sz w:val="32"/>
          <w:szCs w:val="24"/>
          <w:lang w:val="en-US" w:eastAsia="zh-CN" w:bidi="ar"/>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方正仿宋_GBK" w:cs="Times New Roman"/>
          <w:snapToGrid w:val="0"/>
          <w:color w:val="auto"/>
          <w:kern w:val="0"/>
          <w:sz w:val="32"/>
          <w:szCs w:val="24"/>
          <w:lang w:val="en-US" w:eastAsia="zh-CN" w:bidi="ar"/>
        </w:rPr>
        <w:t>指单位上年结转本年使用的基本支出结转、项目支出结转和结余、经营结余。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方正仿宋_GBK" w:cs="Times New Roman"/>
          <w:snapToGrid w:val="0"/>
          <w:color w:val="auto"/>
          <w:kern w:val="0"/>
          <w:sz w:val="32"/>
          <w:szCs w:val="24"/>
          <w:lang w:val="en-US" w:eastAsia="zh-CN" w:bidi="ar"/>
        </w:rPr>
        <w:t>指单位按照国家有关规定，缴纳所得税、提取专用基金、转入非财政拨款结余等当年结余的分配情况。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Style w:val="10"/>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方正仿宋_GBK" w:cs="Times New Roman"/>
          <w:snapToGrid w:val="0"/>
          <w:color w:val="auto"/>
          <w:kern w:val="0"/>
          <w:sz w:val="32"/>
          <w:szCs w:val="24"/>
          <w:lang w:val="en-US" w:eastAsia="zh-CN" w:bidi="ar"/>
        </w:rPr>
        <w:t>指单位结转下年的基本支出结转、项目支出结转和结余、经营结余。</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Style w:val="10"/>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方正仿宋_GBK" w:cs="Times New Roman"/>
          <w:snapToGrid w:val="0"/>
          <w:color w:val="auto"/>
          <w:kern w:val="0"/>
          <w:sz w:val="32"/>
          <w:szCs w:val="24"/>
          <w:lang w:val="en-US" w:eastAsia="zh-CN"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Style w:val="10"/>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仿宋_GBK" w:cs="Times New Roman"/>
          <w:snapToGrid w:val="0"/>
          <w:color w:val="auto"/>
          <w:kern w:val="0"/>
          <w:sz w:val="32"/>
          <w:szCs w:val="24"/>
          <w:lang w:val="en-US" w:eastAsia="zh-CN" w:bidi="ar"/>
        </w:rPr>
        <w:t>指在基本支出之外为完成特定行政任务和事业发展目标所发生的支出。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sz w:val="32"/>
          <w:szCs w:val="32"/>
          <w:shd w:val="clear" w:color="auto" w:fill="FFFFFF"/>
        </w:rPr>
        <w:t>（十一）经营支出：</w:t>
      </w:r>
      <w:r>
        <w:rPr>
          <w:rFonts w:hint="default" w:ascii="Times New Roman" w:hAnsi="Times New Roman" w:eastAsia="方正仿宋_GBK" w:cs="Times New Roman"/>
          <w:snapToGrid w:val="0"/>
          <w:color w:val="auto"/>
          <w:kern w:val="0"/>
          <w:sz w:val="32"/>
          <w:szCs w:val="24"/>
          <w:lang w:val="en-US" w:eastAsia="zh-CN" w:bidi="ar"/>
        </w:rPr>
        <w:t>指事业单位在专业业务活动及其辅助活动之外开展非独立核算经营活动发生的支出。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Style w:val="10"/>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方正仿宋_GBK" w:cs="Times New Roman"/>
          <w:snapToGrid w:val="0"/>
          <w:color w:val="auto"/>
          <w:kern w:val="0"/>
          <w:sz w:val="32"/>
          <w:szCs w:val="24"/>
          <w:lang w:val="en-US" w:eastAsia="zh-CN" w:bidi="ar"/>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Style w:val="10"/>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仿宋_GBK" w:cs="Times New Roman"/>
          <w:snapToGrid w:val="0"/>
          <w:color w:val="auto"/>
          <w:kern w:val="0"/>
          <w:sz w:val="32"/>
          <w:szCs w:val="24"/>
          <w:lang w:val="en-US" w:eastAsia="zh-CN" w:bidi="ar"/>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Style w:val="10"/>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snapToGrid w:val="0"/>
          <w:color w:val="auto"/>
          <w:kern w:val="0"/>
          <w:sz w:val="32"/>
          <w:szCs w:val="24"/>
          <w:lang w:val="en-US" w:eastAsia="zh-CN" w:bidi="ar"/>
        </w:rPr>
        <w:t>反映单位开支的在职职工和编制外长期聘用人员的各类劳动报酬，以及为上述人员缴纳的各项社会保险费等。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Style w:val="10"/>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方正仿宋_GBK" w:cs="Times New Roman"/>
          <w:snapToGrid w:val="0"/>
          <w:color w:val="auto"/>
          <w:kern w:val="0"/>
          <w:sz w:val="32"/>
          <w:szCs w:val="24"/>
          <w:lang w:val="en-US" w:eastAsia="zh-CN" w:bidi="ar"/>
        </w:rPr>
        <w:t>反映单位购买商品和服务的支出（不包括用于购置固定资产的支出、战略性和应急储备支出）。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napToGrid w:val="0"/>
          <w:color w:val="auto"/>
          <w:kern w:val="0"/>
          <w:sz w:val="32"/>
          <w:szCs w:val="24"/>
          <w:lang w:val="en-US" w:eastAsia="zh-CN" w:bidi="ar"/>
        </w:rPr>
        <w:t>反映用于对个人和家庭的补助支出。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Style w:val="10"/>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napToGrid w:val="0"/>
          <w:color w:val="auto"/>
          <w:kern w:val="0"/>
          <w:sz w:val="32"/>
          <w:szCs w:val="24"/>
          <w:lang w:val="en-US" w:eastAsia="zh-CN" w:bidi="ar"/>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0"/>
          <w:rFonts w:hint="default" w:ascii="Times New Roman" w:hAnsi="Times New Roman" w:eastAsia="方正黑体_GBK" w:cs="Times New Roman"/>
          <w:sz w:val="32"/>
          <w:szCs w:val="32"/>
          <w:shd w:val="clear" w:color="auto" w:fill="FFFFFF"/>
          <w:lang w:eastAsia="zh-CN"/>
        </w:rPr>
      </w:pPr>
      <w:r>
        <w:rPr>
          <w:rStyle w:val="10"/>
          <w:rFonts w:hint="default" w:ascii="Times New Roman" w:hAnsi="Times New Roman" w:eastAsia="方正黑体_GBK" w:cs="Times New Roman"/>
          <w:sz w:val="32"/>
          <w:szCs w:val="32"/>
          <w:shd w:val="clear" w:color="auto" w:fill="FFFFFF"/>
          <w:lang w:eastAsia="zh-CN"/>
        </w:rPr>
        <w:t>七、决算公开联系方式及信息反馈渠道</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napToGrid w:val="0"/>
          <w:color w:val="auto"/>
          <w:kern w:val="0"/>
          <w:sz w:val="32"/>
          <w:szCs w:val="24"/>
          <w:lang w:val="en-US" w:eastAsia="zh-CN" w:bidi="ar"/>
        </w:rPr>
      </w:pPr>
      <w:r>
        <w:rPr>
          <w:rFonts w:hint="default" w:ascii="Times New Roman" w:hAnsi="Times New Roman" w:eastAsia="方正仿宋_GBK" w:cs="Times New Roman"/>
          <w:snapToGrid w:val="0"/>
          <w:color w:val="auto"/>
          <w:kern w:val="0"/>
          <w:sz w:val="32"/>
          <w:szCs w:val="24"/>
          <w:lang w:val="en-US" w:eastAsia="zh-CN" w:bidi="ar"/>
        </w:rPr>
        <w:t>本单位决算公开信息反馈和联系方式：65801259</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kinsoku/>
        <w:wordWrap/>
        <w:overflowPunct/>
        <w:topLinePunct w:val="0"/>
        <w:autoSpaceDE w:val="0"/>
        <w:autoSpaceDN/>
        <w:bidi w:val="0"/>
        <w:adjustRightInd/>
        <w:spacing w:line="600" w:lineRule="exact"/>
        <w:ind w:firstLine="643" w:firstLineChars="200"/>
        <w:jc w:val="both"/>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2098" w:right="1531" w:bottom="1984" w:left="1531" w:header="851" w:footer="992" w:gutter="0"/>
          <w:pgNumType w:fmt="numberInDash"/>
          <w:cols w:space="0" w:num="1"/>
          <w:rtlGutter w:val="0"/>
          <w:docGrid w:type="lines" w:linePitch="327" w:charSpace="0"/>
        </w:sectPr>
      </w:pPr>
    </w:p>
    <w:p>
      <w:pPr>
        <w:rPr>
          <w:rFonts w:cs="宋体"/>
          <w:sz w:val="21"/>
          <w:szCs w:val="21"/>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重庆科学城实验一小永祥小学校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3,342.94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3,061.05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135.08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64.75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72.07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3,342.94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3,342.94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3,342.94</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3,342.94</w:t>
            </w:r>
            <w:r>
              <w:rPr>
                <w:color w:val="000000"/>
                <w:sz w:val="20"/>
                <w:u w:color="auto"/>
              </w:rPr>
              <w:t xml:space="preserve"> </w:t>
            </w:r>
          </w:p>
        </w:tc>
      </w:tr>
    </w:tbl>
    <w:p>
      <w:pPr>
        <w:spacing w:line="240" w:lineRule="exact"/>
        <w:rPr>
          <w:rFonts w:hint="eastAsia" w:eastAsia="宋体" w:cs="宋体"/>
          <w:sz w:val="20"/>
          <w:szCs w:val="20"/>
          <w:lang w:eastAsia="zh-CN"/>
        </w:rPr>
      </w:pPr>
      <w:r>
        <w:rPr>
          <w:rFonts w:cs="宋体"/>
          <w:sz w:val="20"/>
          <w:szCs w:val="20"/>
        </w:rPr>
        <w:t>备注：1.本表反映单位本年度的总收支和年末结转结余情况。</w:t>
      </w:r>
    </w:p>
    <w:p>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40" w:lineRule="exact"/>
        <w:rPr>
          <w:rFonts w:hint="eastAsia" w:eastAsia="宋体" w:cs="宋体"/>
          <w:sz w:val="20"/>
          <w:szCs w:val="20"/>
          <w:lang w:eastAsia="zh-CN"/>
        </w:rPr>
      </w:pPr>
    </w:p>
    <w:p>
      <w:pPr>
        <w:spacing w:line="240" w:lineRule="exact"/>
        <w:rPr>
          <w:rFonts w:hint="eastAsia" w:eastAsia="宋体" w:cs="宋体"/>
          <w:sz w:val="20"/>
          <w:szCs w:val="20"/>
          <w:lang w:eastAsia="zh-CN"/>
        </w:rPr>
      </w:pP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sz w:val="20"/>
                <w:u w:color="auto"/>
              </w:rPr>
              <w:t>重庆科学城实验一小永祥小学校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3,342.94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3,342.94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3,061.05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3,061.05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3,061.05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3,061.05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3,058.35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3,058.35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其他普通教育支出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体育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2070399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其他体育支出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135.08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135.08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135.08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135.08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90.02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90.02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45.06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45.06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64.75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64.75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64.75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64.75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56.69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56.69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72.07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72.07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72.07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72.07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72.07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72.07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ind w:left="600" w:hanging="600" w:hangingChars="300"/>
        <w:rPr>
          <w:rFonts w:hint="eastAsia" w:eastAsia="宋体" w:cs="宋体"/>
          <w:sz w:val="20"/>
          <w:szCs w:val="20"/>
          <w:lang w:eastAsia="zh-CN"/>
        </w:rPr>
      </w:pPr>
      <w:r>
        <w:rPr>
          <w:rFonts w:cs="宋体"/>
          <w:sz w:val="20"/>
          <w:szCs w:val="20"/>
        </w:rPr>
        <w:t>备注：1.本表反映单位本年度取得的各项收入情况。</w:t>
      </w:r>
    </w:p>
    <w:p>
      <w:pPr>
        <w:ind w:left="600" w:hanging="600" w:hangingChars="300"/>
        <w:rPr>
          <w:rFonts w:hint="eastAsia" w:eastAsia="宋体" w:cs="宋体"/>
          <w:sz w:val="20"/>
          <w:szCs w:val="20"/>
          <w:lang w:eastAsia="zh-CN"/>
        </w:rPr>
      </w:pPr>
      <w:r>
        <w:rPr>
          <w:rFonts w:cs="宋体"/>
          <w:sz w:val="20"/>
          <w:szCs w:val="20"/>
        </w:rPr>
        <w:t>2.本套报表金额单位转换时可能存在尾数误差。</w:t>
      </w:r>
    </w:p>
    <w:p>
      <w:pPr>
        <w:ind w:left="600" w:hanging="600" w:hangingChars="300"/>
        <w:rPr>
          <w:rFonts w:hint="eastAsia" w:eastAsia="宋体" w:cs="宋体"/>
          <w:sz w:val="20"/>
          <w:szCs w:val="20"/>
          <w:lang w:eastAsia="zh-CN"/>
        </w:rPr>
      </w:pPr>
    </w:p>
    <w:p>
      <w:pPr>
        <w:ind w:left="600" w:hanging="600" w:hangingChars="300"/>
        <w:rPr>
          <w:rFonts w:hint="eastAsia" w:eastAsia="宋体" w:cs="宋体"/>
          <w:sz w:val="20"/>
          <w:szCs w:val="20"/>
          <w:lang w:eastAsia="zh-CN"/>
        </w:rPr>
      </w:pPr>
    </w:p>
    <w:p>
      <w:pPr>
        <w:rPr>
          <w:rFonts w:cs="宋体"/>
          <w:sz w:val="20"/>
          <w:szCs w:val="20"/>
        </w:rPr>
      </w:pPr>
      <w:r>
        <w:rPr>
          <w:rFonts w:cs="宋体"/>
          <w:sz w:val="20"/>
          <w:szCs w:val="20"/>
        </w:rPr>
        <w:br w:type="page"/>
      </w:r>
    </w:p>
    <w:tbl>
      <w:tblPr>
        <w:tblStyle w:val="11"/>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重庆科学城实验一小永祥小学校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3,342.94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2,347.77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995.17</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3,061.05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2,075.87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985.17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3,061.05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2,075.87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985.17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3,058.35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2,073.17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985.17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其他普通教育支出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体育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2070399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其他体育支出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135.08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135.08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135.08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135.08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90.02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90.02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45.06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45.06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64.75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64.75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64.75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64.75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56.69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56.69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72.07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72.07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72.07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72.07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72.07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72.07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rPr>
          <w:rFonts w:hint="eastAsia" w:eastAsia="宋体" w:cs="宋体"/>
          <w:sz w:val="20"/>
          <w:szCs w:val="20"/>
          <w:lang w:eastAsia="zh-CN"/>
        </w:rPr>
      </w:pPr>
      <w:r>
        <w:rPr>
          <w:rFonts w:cs="宋体"/>
          <w:sz w:val="20"/>
          <w:szCs w:val="20"/>
        </w:rPr>
        <w:t>备注：1.本表反映单位本年度各项支出情况。</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eastAsia" w:eastAsia="宋体" w:cs="宋体"/>
          <w:sz w:val="20"/>
          <w:szCs w:val="20"/>
          <w:lang w:eastAsia="zh-CN"/>
        </w:rPr>
      </w:pPr>
    </w:p>
    <w:p>
      <w:pPr>
        <w:rPr>
          <w:rFonts w:hint="eastAsia" w:eastAsia="宋体" w:cs="宋体"/>
          <w:sz w:val="20"/>
          <w:szCs w:val="20"/>
          <w:lang w:eastAsia="zh-CN"/>
        </w:rPr>
      </w:pPr>
    </w:p>
    <w:p>
      <w:pPr>
        <w:rPr>
          <w:rFonts w:cs="宋体"/>
          <w:sz w:val="21"/>
          <w:szCs w:val="21"/>
        </w:rPr>
      </w:pPr>
      <w:r>
        <w:rPr>
          <w:rFonts w:cs="宋体"/>
          <w:sz w:val="21"/>
          <w:szCs w:val="21"/>
        </w:rPr>
        <w:br w:type="page"/>
      </w:r>
    </w:p>
    <w:p>
      <w:pPr>
        <w:rPr>
          <w:rFonts w:cs="宋体"/>
          <w:sz w:val="21"/>
          <w:szCs w:val="21"/>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重庆科学城实验一小永祥小学校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3,342.94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3,061.05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3,061.05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135.08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135.08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64.75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64.75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72.07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72.07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3,342.94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3,342.94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3,342.94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3,342.94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3,342.94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3,342.94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bl>
    <w:p>
      <w:pPr>
        <w:spacing w:line="240" w:lineRule="exact"/>
        <w:rPr>
          <w:rFonts w:hint="eastAsia" w:eastAsia="宋体" w:cs="宋体"/>
          <w:sz w:val="20"/>
          <w:szCs w:val="20"/>
          <w:lang w:eastAsia="zh-CN"/>
        </w:rPr>
      </w:pPr>
      <w:r>
        <w:rPr>
          <w:rFonts w:cs="宋体"/>
          <w:sz w:val="20"/>
          <w:szCs w:val="20"/>
        </w:rPr>
        <w:t>备注：1.本表反映单位本年度一般公共预算财政拨款、政府性基金预算财政拨款及国有资本经营预算财政拨款的总收支和年末结转结余情况。</w:t>
      </w:r>
    </w:p>
    <w:p>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40" w:lineRule="exact"/>
        <w:rPr>
          <w:rFonts w:hint="eastAsia" w:eastAsia="宋体" w:cs="宋体"/>
          <w:sz w:val="20"/>
          <w:szCs w:val="20"/>
          <w:lang w:eastAsia="zh-CN"/>
        </w:rPr>
      </w:pPr>
    </w:p>
    <w:p>
      <w:pPr>
        <w:spacing w:line="240" w:lineRule="exact"/>
        <w:rPr>
          <w:rFonts w:cs="宋体"/>
          <w:sz w:val="20"/>
          <w:szCs w:val="20"/>
        </w:rPr>
      </w:pP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重庆科学城实验一小永祥小学校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3,342.94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2,347.77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995.17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3,061.05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2,075.87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985.17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3,061.05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2,075.87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985.17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3,058.35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2,073.17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985.17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其他普通教育支出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2.70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2.70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体育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2070399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其他体育支出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135.08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135.08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135.08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135.08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90.02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90.02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45.06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45.06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64.75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64.75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64.75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64.75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56.69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56.69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8.06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8.06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72.07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72.07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72.07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72.07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72.07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72.07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bl>
    <w:p>
      <w:pPr>
        <w:rPr>
          <w:rFonts w:hint="eastAsia" w:eastAsia="宋体" w:cs="宋体"/>
          <w:sz w:val="20"/>
          <w:szCs w:val="20"/>
          <w:lang w:eastAsia="zh-CN"/>
        </w:rPr>
      </w:pPr>
      <w:r>
        <w:rPr>
          <w:rFonts w:cs="宋体"/>
          <w:sz w:val="20"/>
          <w:szCs w:val="20"/>
        </w:rPr>
        <w:t>备注：1.本表反映单位本年度一般公共预算财政拨款支出情况。</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eastAsia" w:eastAsia="宋体" w:cs="宋体"/>
          <w:sz w:val="20"/>
          <w:szCs w:val="20"/>
          <w:lang w:eastAsia="zh-CN"/>
        </w:rPr>
      </w:pPr>
    </w:p>
    <w:p>
      <w:pPr>
        <w:ind w:firstLine="630" w:firstLineChars="300"/>
        <w:rPr>
          <w:rFonts w:cs="宋体"/>
          <w:sz w:val="21"/>
          <w:szCs w:val="21"/>
        </w:rPr>
      </w:pPr>
      <w:r>
        <w:rPr>
          <w:rFonts w:cs="宋体"/>
          <w:sz w:val="21"/>
          <w:szCs w:val="21"/>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重庆科学城实验一小永祥小学校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1,671.25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570.56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101.20</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280.38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30.46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10.58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28.45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101.20</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1,080.51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23.04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90.02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19.22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45.06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0.54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45.65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12.39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0.44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72.07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34.59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78.61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1.78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4.76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24.66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13.00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4.76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186.78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54.65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32.01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7.75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67.15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cs="宋体"/>
                <w:color w:val="000000"/>
                <w:sz w:val="18"/>
                <w:szCs w:val="18"/>
              </w:rPr>
            </w:pPr>
            <w:r>
              <w:rPr>
                <w:rFonts w:cs="宋体"/>
                <w:color w:val="000000"/>
                <w:sz w:val="18"/>
                <w:szCs w:val="18"/>
              </w:rPr>
              <w:t>1,676.01</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671.76</w:t>
            </w:r>
            <w:r>
              <w:rPr>
                <w:color w:val="000000"/>
                <w:sz w:val="18"/>
                <w:u w:color="auto"/>
              </w:rPr>
              <w:t xml:space="preserve"> </w:t>
            </w:r>
          </w:p>
        </w:tc>
      </w:tr>
    </w:tbl>
    <w:p>
      <w:pPr>
        <w:spacing w:line="280" w:lineRule="exact"/>
        <w:rPr>
          <w:rFonts w:hint="eastAsia" w:eastAsia="宋体" w:cs="宋体"/>
          <w:sz w:val="20"/>
          <w:szCs w:val="20"/>
          <w:lang w:eastAsia="zh-CN"/>
        </w:rPr>
      </w:pPr>
      <w:r>
        <w:rPr>
          <w:rFonts w:cs="宋体"/>
          <w:sz w:val="20"/>
          <w:szCs w:val="20"/>
        </w:rPr>
        <w:t>备注：1.本表反映单位本年度一般公共预算财政拨款基本支出明细情况。</w:t>
      </w:r>
    </w:p>
    <w:p>
      <w:pPr>
        <w:spacing w:line="28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80" w:lineRule="exact"/>
        <w:rPr>
          <w:rFonts w:hint="eastAsia" w:eastAsia="宋体" w:cs="宋体"/>
          <w:sz w:val="20"/>
          <w:szCs w:val="20"/>
          <w:lang w:eastAsia="zh-CN"/>
        </w:rPr>
      </w:pPr>
    </w:p>
    <w:p>
      <w:pPr>
        <w:spacing w:line="280" w:lineRule="exact"/>
        <w:rPr>
          <w:rFonts w:cs="宋体"/>
          <w:sz w:val="20"/>
          <w:szCs w:val="20"/>
        </w:rPr>
      </w:pP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重庆科学城实验一小永祥小学校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hint="eastAsia" w:eastAsia="宋体" w:cs="宋体"/>
          <w:sz w:val="20"/>
          <w:szCs w:val="20"/>
          <w:lang w:eastAsia="zh-CN"/>
        </w:rPr>
      </w:pPr>
      <w:r>
        <w:rPr>
          <w:rFonts w:cs="宋体"/>
          <w:sz w:val="20"/>
          <w:szCs w:val="20"/>
        </w:rPr>
        <w:t>备注：本表反映单位本年度政府性基金预算财政拨款收入支出及结转和结余情况。本单位无政府性基金收支，故本表无数据。</w:t>
      </w:r>
    </w:p>
    <w:p>
      <w:pPr>
        <w:rPr>
          <w:rFonts w:hint="eastAsia" w:eastAsia="宋体" w:cs="宋体"/>
          <w:sz w:val="20"/>
          <w:szCs w:val="20"/>
          <w:lang w:eastAsia="zh-CN"/>
        </w:rPr>
      </w:pPr>
    </w:p>
    <w:p>
      <w:pPr>
        <w:rPr>
          <w:rFonts w:hint="eastAsia" w:eastAsia="宋体" w:cs="宋体"/>
          <w:sz w:val="20"/>
          <w:szCs w:val="20"/>
          <w:lang w:eastAsia="zh-CN"/>
        </w:rPr>
      </w:pPr>
    </w:p>
    <w:p>
      <w:pPr>
        <w:rPr>
          <w:rFonts w:cs="宋体"/>
          <w:sz w:val="21"/>
          <w:szCs w:val="21"/>
        </w:rPr>
      </w:pP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重庆科学城实验一小永祥小学校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hint="eastAsia" w:eastAsia="宋体" w:cs="宋体"/>
          <w:sz w:val="20"/>
          <w:szCs w:val="20"/>
          <w:lang w:eastAsia="zh-CN"/>
        </w:rPr>
      </w:pPr>
      <w:r>
        <w:rPr>
          <w:rFonts w:cs="宋体"/>
          <w:sz w:val="20"/>
          <w:szCs w:val="20"/>
        </w:rPr>
        <w:t>备注：本表反映单位本年度国有资本经营预算财政拨款支出情况。本单位无国有资本经营收支，故本表无数据。</w:t>
      </w:r>
    </w:p>
    <w:p>
      <w:pPr>
        <w:rPr>
          <w:rFonts w:hint="eastAsia" w:eastAsia="宋体" w:cs="宋体"/>
          <w:sz w:val="20"/>
          <w:szCs w:val="20"/>
          <w:lang w:eastAsia="zh-CN"/>
        </w:rPr>
      </w:pPr>
    </w:p>
    <w:p>
      <w:pPr>
        <w:rPr>
          <w:rFonts w:cs="宋体"/>
          <w:sz w:val="21"/>
          <w:szCs w:val="21"/>
        </w:rPr>
      </w:pPr>
      <w:r>
        <w:rPr>
          <w:rFonts w:hint="default" w:cs="宋体"/>
          <w:sz w:val="21"/>
          <w:szCs w:val="21"/>
        </w:rPr>
        <w:br w:type="page"/>
      </w:r>
    </w:p>
    <w:tbl>
      <w:tblPr>
        <w:tblStyle w:val="11"/>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重庆科学城实验一小永祥小学校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27.78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27.78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27.78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27.78</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24.66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bl>
    <w:p>
      <w:pPr>
        <w:rPr>
          <w:rFonts w:hint="eastAsia" w:eastAsia="宋体" w:cs="宋体"/>
          <w:sz w:val="20"/>
          <w:szCs w:val="20"/>
          <w:lang w:eastAsia="zh-CN"/>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eastAsia" w:eastAsia="宋体" w:cs="宋体"/>
          <w:sz w:val="20"/>
          <w:szCs w:val="20"/>
          <w:lang w:eastAsia="zh-CN"/>
        </w:rPr>
      </w:pPr>
    </w:p>
    <w:p>
      <w:pPr>
        <w:rPr>
          <w:rFonts w:hint="eastAsia" w:eastAsia="宋体" w:cs="宋体"/>
          <w:sz w:val="20"/>
          <w:szCs w:val="20"/>
          <w:lang w:eastAsia="zh-CN"/>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8BBE392-1555-4668-85A4-EB1259051F6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embedRegular r:id="rId2" w:fontKey="{A284D294-A118-4900-9D11-565F8170D21E}"/>
  </w:font>
  <w:font w:name="方正小标宋_GBK">
    <w:panose1 w:val="03000509000000000000"/>
    <w:charset w:val="86"/>
    <w:family w:val="script"/>
    <w:pitch w:val="default"/>
    <w:sig w:usb0="00000001" w:usb1="080E0000" w:usb2="00000000" w:usb3="00000000" w:csb0="00040000" w:csb1="00000000"/>
    <w:embedRegular r:id="rId3" w:fontKey="{9F240212-F196-436D-932D-18E64AE20702}"/>
  </w:font>
  <w:font w:name="方正黑体_GBK">
    <w:panose1 w:val="03000509000000000000"/>
    <w:charset w:val="86"/>
    <w:family w:val="auto"/>
    <w:pitch w:val="default"/>
    <w:sig w:usb0="00000001" w:usb1="080E0000" w:usb2="00000000" w:usb3="00000000" w:csb0="00040000" w:csb1="00000000"/>
    <w:embedRegular r:id="rId4" w:fontKey="{64419344-6F47-4D97-B426-8A37AD168D53}"/>
  </w:font>
  <w:font w:name="方正楷体_GBK">
    <w:panose1 w:val="03000509000000000000"/>
    <w:charset w:val="86"/>
    <w:family w:val="auto"/>
    <w:pitch w:val="default"/>
    <w:sig w:usb0="00000001" w:usb1="080E0000" w:usb2="00000000" w:usb3="00000000" w:csb0="00040000" w:csb1="00000000"/>
    <w:embedRegular r:id="rId5" w:fontKey="{5F83196C-7EBC-4316-A865-E2CB86DF9492}"/>
  </w:font>
  <w:font w:name="方正仿宋_GBK">
    <w:panose1 w:val="03000509000000000000"/>
    <w:charset w:val="86"/>
    <w:family w:val="script"/>
    <w:pitch w:val="default"/>
    <w:sig w:usb0="00000001" w:usb1="080E0000" w:usb2="00000000" w:usb3="00000000" w:csb0="00040000" w:csb1="00000000"/>
    <w:embedRegular r:id="rId6" w:fontKey="{247216D0-74B2-4B9A-9DD0-C6422704B9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rPr>
                              <w:rFonts w:hint="default"/>
                            </w:rP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rPr>
                        <w:rFonts w:hint="default"/>
                      </w:rPr>
                      <w:t>- 25 -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N2YzMzBkZGJlM2FmOTQ5Nzc2MTIxYjk5OTg0ZDkifQ=="/>
  </w:docVars>
  <w:rsids>
    <w:rsidRoot w:val="00B03CCD"/>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E81785"/>
    <w:rsid w:val="00F73F90"/>
    <w:rsid w:val="00FA00E5"/>
    <w:rsid w:val="00FB08E1"/>
    <w:rsid w:val="01474EBF"/>
    <w:rsid w:val="01F3521E"/>
    <w:rsid w:val="03B87EA0"/>
    <w:rsid w:val="03E3214F"/>
    <w:rsid w:val="044C50BA"/>
    <w:rsid w:val="049B4AF4"/>
    <w:rsid w:val="05BC6D49"/>
    <w:rsid w:val="06194FF1"/>
    <w:rsid w:val="061D7998"/>
    <w:rsid w:val="06A2550B"/>
    <w:rsid w:val="06F80EE2"/>
    <w:rsid w:val="07001CCA"/>
    <w:rsid w:val="075678DB"/>
    <w:rsid w:val="079D7CC7"/>
    <w:rsid w:val="07B849B6"/>
    <w:rsid w:val="08051BCA"/>
    <w:rsid w:val="086C12F4"/>
    <w:rsid w:val="08705944"/>
    <w:rsid w:val="08BA052C"/>
    <w:rsid w:val="08DB07BA"/>
    <w:rsid w:val="0969353F"/>
    <w:rsid w:val="098305D0"/>
    <w:rsid w:val="0A3317EA"/>
    <w:rsid w:val="0A5C4B69"/>
    <w:rsid w:val="0A86124A"/>
    <w:rsid w:val="0AB54CC0"/>
    <w:rsid w:val="0B9335CE"/>
    <w:rsid w:val="0BF2311A"/>
    <w:rsid w:val="0C1A36AD"/>
    <w:rsid w:val="0C3407D2"/>
    <w:rsid w:val="0C7927C4"/>
    <w:rsid w:val="0C9B098C"/>
    <w:rsid w:val="0D673E11"/>
    <w:rsid w:val="0DDA54E4"/>
    <w:rsid w:val="0E3A5F83"/>
    <w:rsid w:val="0F836721"/>
    <w:rsid w:val="0FA25D96"/>
    <w:rsid w:val="107B59E5"/>
    <w:rsid w:val="10A73EEC"/>
    <w:rsid w:val="10EC0126"/>
    <w:rsid w:val="10F70B9A"/>
    <w:rsid w:val="111445C7"/>
    <w:rsid w:val="114278C6"/>
    <w:rsid w:val="1158083A"/>
    <w:rsid w:val="11643A4B"/>
    <w:rsid w:val="11ED0F98"/>
    <w:rsid w:val="11EF23EE"/>
    <w:rsid w:val="11F03528"/>
    <w:rsid w:val="122D0A6E"/>
    <w:rsid w:val="12AB1610"/>
    <w:rsid w:val="12C921C4"/>
    <w:rsid w:val="13871C70"/>
    <w:rsid w:val="13A71CB4"/>
    <w:rsid w:val="13AF1D43"/>
    <w:rsid w:val="13CE1647"/>
    <w:rsid w:val="13FD55AB"/>
    <w:rsid w:val="14200702"/>
    <w:rsid w:val="163A6CEE"/>
    <w:rsid w:val="173708E3"/>
    <w:rsid w:val="17C374FC"/>
    <w:rsid w:val="182E4AB6"/>
    <w:rsid w:val="189079DC"/>
    <w:rsid w:val="189B0D0B"/>
    <w:rsid w:val="18B217FE"/>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B46F1D"/>
    <w:rsid w:val="2BB8796E"/>
    <w:rsid w:val="2C636760"/>
    <w:rsid w:val="2C6762A3"/>
    <w:rsid w:val="2CF05333"/>
    <w:rsid w:val="2FCA4B37"/>
    <w:rsid w:val="2FE029D7"/>
    <w:rsid w:val="2FF06E00"/>
    <w:rsid w:val="30586FEC"/>
    <w:rsid w:val="315F0B22"/>
    <w:rsid w:val="31D84415"/>
    <w:rsid w:val="32285F6F"/>
    <w:rsid w:val="32770556"/>
    <w:rsid w:val="329C0913"/>
    <w:rsid w:val="32AA0460"/>
    <w:rsid w:val="32BE6567"/>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10045"/>
    <w:rsid w:val="3E1D0952"/>
    <w:rsid w:val="3E42660A"/>
    <w:rsid w:val="3E7555B1"/>
    <w:rsid w:val="3E787ED9"/>
    <w:rsid w:val="3E9725B4"/>
    <w:rsid w:val="3F032E93"/>
    <w:rsid w:val="3F0527E5"/>
    <w:rsid w:val="3F694D83"/>
    <w:rsid w:val="3F885DCC"/>
    <w:rsid w:val="3FCD675E"/>
    <w:rsid w:val="4004000C"/>
    <w:rsid w:val="40212EE4"/>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191C40"/>
    <w:rsid w:val="48225EF7"/>
    <w:rsid w:val="488154A5"/>
    <w:rsid w:val="488F422B"/>
    <w:rsid w:val="48E36915"/>
    <w:rsid w:val="48EB6572"/>
    <w:rsid w:val="495C4A24"/>
    <w:rsid w:val="497135DF"/>
    <w:rsid w:val="4A263DF2"/>
    <w:rsid w:val="4A6F6675"/>
    <w:rsid w:val="4B135857"/>
    <w:rsid w:val="4B7951CB"/>
    <w:rsid w:val="4B7C315C"/>
    <w:rsid w:val="4DAC4ACA"/>
    <w:rsid w:val="4DBE01D2"/>
    <w:rsid w:val="4F0C6BA3"/>
    <w:rsid w:val="4F186D58"/>
    <w:rsid w:val="500F0A42"/>
    <w:rsid w:val="50184EA7"/>
    <w:rsid w:val="50F06B6E"/>
    <w:rsid w:val="51D21804"/>
    <w:rsid w:val="52234D33"/>
    <w:rsid w:val="522F6E0C"/>
    <w:rsid w:val="52463BA1"/>
    <w:rsid w:val="52F163D4"/>
    <w:rsid w:val="531A2DB4"/>
    <w:rsid w:val="53C0244D"/>
    <w:rsid w:val="53DD4D4E"/>
    <w:rsid w:val="53E578CE"/>
    <w:rsid w:val="541330F0"/>
    <w:rsid w:val="54272666"/>
    <w:rsid w:val="543B029D"/>
    <w:rsid w:val="545804AE"/>
    <w:rsid w:val="54861779"/>
    <w:rsid w:val="552256E1"/>
    <w:rsid w:val="554E5773"/>
    <w:rsid w:val="555829E0"/>
    <w:rsid w:val="555A3CBC"/>
    <w:rsid w:val="557C2496"/>
    <w:rsid w:val="5582012B"/>
    <w:rsid w:val="558E4E05"/>
    <w:rsid w:val="55BE2E85"/>
    <w:rsid w:val="56530F5D"/>
    <w:rsid w:val="567700D3"/>
    <w:rsid w:val="56FF7E9E"/>
    <w:rsid w:val="578867FC"/>
    <w:rsid w:val="5842572D"/>
    <w:rsid w:val="5A3B59D6"/>
    <w:rsid w:val="5A485780"/>
    <w:rsid w:val="5AD134D8"/>
    <w:rsid w:val="5C263CE4"/>
    <w:rsid w:val="5C5D2777"/>
    <w:rsid w:val="5CF66BF3"/>
    <w:rsid w:val="5D290C69"/>
    <w:rsid w:val="5E996C24"/>
    <w:rsid w:val="5ED3355B"/>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755D05"/>
    <w:rsid w:val="6AAD2300"/>
    <w:rsid w:val="6B25787E"/>
    <w:rsid w:val="6B474EF5"/>
    <w:rsid w:val="6C0A5AC5"/>
    <w:rsid w:val="6C560CAE"/>
    <w:rsid w:val="6C576495"/>
    <w:rsid w:val="6D903FF5"/>
    <w:rsid w:val="6DA955B8"/>
    <w:rsid w:val="6DE346AB"/>
    <w:rsid w:val="6DE5391A"/>
    <w:rsid w:val="6EFD1324"/>
    <w:rsid w:val="6F5A53AC"/>
    <w:rsid w:val="6FAC003D"/>
    <w:rsid w:val="6FBB4290"/>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AA7619"/>
    <w:rsid w:val="781926BC"/>
    <w:rsid w:val="78CC79C0"/>
    <w:rsid w:val="796D60A4"/>
    <w:rsid w:val="79A031D5"/>
    <w:rsid w:val="7A1525F7"/>
    <w:rsid w:val="7A473CE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9"/>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9458</Words>
  <Characters>11785</Characters>
  <Lines>191</Lines>
  <Paragraphs>53</Paragraphs>
  <TotalTime>7</TotalTime>
  <ScaleCrop>false</ScaleCrop>
  <LinksUpToDate>false</LinksUpToDate>
  <CharactersWithSpaces>12864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2024-10-17T06:37:10Z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69EE58F9A0454EA3BF9DC5478000D626_13</vt:lpwstr>
  </property>
</Properties>
</file>