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重庆科学城铭豪幼儿园</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黑体" w:cs="Times New Roman"/>
          <w:sz w:val="32"/>
          <w:szCs w:val="32"/>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一、单位基本情况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重庆科学城铭豪幼儿园是一级独立核算单位，是重庆高新技术产业开发区管理委员会举办的教育类事业单位。主要职责是：为促进幼儿德智体美劳诸方面和谐发展提供服务，承担学龄前儿童保育和教育服务工作。</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为独立办学的事业单位，纳入本单位决算汇编范围的独立核算单位共1个。从预算单位构成看，无纳入本单位2023年度决算编制的下级预算单位。幼儿园组织机构由以下四个部门组成：园长室、办公室、保教处、总务处。每个部门负责特定的职能和责任，共同协作，确保幼儿园的正常运营。</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二、单位决算情况说明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（一）收入支出决算总体情况说明。</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2023年度收入总计299.70万元，支出总计</w:t>
      </w:r>
      <w:r>
        <w:rPr>
          <w:rFonts w:hint="default" w:ascii="Times New Roman" w:hAnsi="Times New Roman" w:eastAsia="方正仿宋_GBK" w:cs="Times New Roman"/>
          <w:sz w:val="32"/>
          <w:szCs w:val="32"/>
        </w:rPr>
        <w:t>299.70</w:t>
      </w:r>
      <w:r>
        <w:rPr>
          <w:rFonts w:hint="default" w:ascii="Times New Roman" w:hAnsi="Times New Roman" w:eastAsia="方正仿宋_GBK" w:cs="Times New Roman"/>
          <w:sz w:val="32"/>
          <w:szCs w:val="32"/>
          <w:shd w:val="clear" w:color="auto" w:fill="FFFFFF"/>
        </w:rPr>
        <w:t>万元。收支较上年决算数减少10.92万元，下降3.52%，主要原因是教师核定人数减少，财政拨款收入减少，导致支出减少。</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2023年度收入合计299.70万元，较上年决算数减少10.92万元，下降3.52%，主要原因是教师核定人数减少，财政拨款收入减少，导致支出减少。其中：财政拨款收入</w:t>
      </w:r>
      <w:r>
        <w:rPr>
          <w:rFonts w:hint="default" w:ascii="Times New Roman" w:hAnsi="Times New Roman" w:eastAsia="方正仿宋_GBK" w:cs="Times New Roman"/>
          <w:sz w:val="32"/>
          <w:szCs w:val="32"/>
        </w:rPr>
        <w:t>213.45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71.22</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86.26</w:t>
      </w:r>
      <w:r>
        <w:rPr>
          <w:rFonts w:hint="default" w:ascii="Times New Roman" w:hAnsi="Times New Roman" w:eastAsia="方正仿宋_GBK" w:cs="Times New Roman"/>
          <w:sz w:val="32"/>
          <w:szCs w:val="32"/>
          <w:shd w:val="clear" w:color="auto" w:fill="FFFFFF"/>
        </w:rPr>
        <w:t>万元，占28.78%；经营收入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299.70</w:t>
      </w:r>
      <w:r>
        <w:rPr>
          <w:rFonts w:hint="default" w:ascii="Times New Roman" w:hAnsi="Times New Roman" w:eastAsia="方正仿宋_GBK" w:cs="Times New Roman"/>
          <w:sz w:val="32"/>
          <w:szCs w:val="32"/>
          <w:shd w:val="clear" w:color="auto" w:fill="FFFFFF"/>
        </w:rPr>
        <w:t>万元，较上年决算数减少10.92万元，下降3.52%，主要原因是教师核定人数减少，财政拨款收入减少，导致支出减少。其中：基本支出</w:t>
      </w:r>
      <w:r>
        <w:rPr>
          <w:rFonts w:hint="default" w:ascii="Times New Roman" w:hAnsi="Times New Roman" w:eastAsia="方正仿宋_GBK" w:cs="Times New Roman"/>
          <w:sz w:val="32"/>
          <w:szCs w:val="32"/>
        </w:rPr>
        <w:t>241.05</w:t>
      </w:r>
      <w:r>
        <w:rPr>
          <w:rFonts w:hint="default" w:ascii="Times New Roman" w:hAnsi="Times New Roman" w:eastAsia="方正仿宋_GBK" w:cs="Times New Roman"/>
          <w:sz w:val="32"/>
          <w:szCs w:val="32"/>
          <w:shd w:val="clear" w:color="auto" w:fill="FFFFFF"/>
        </w:rPr>
        <w:t>万元，占80.43%；项目支出</w:t>
      </w:r>
      <w:r>
        <w:rPr>
          <w:rFonts w:hint="default" w:ascii="Times New Roman" w:hAnsi="Times New Roman" w:eastAsia="方正仿宋_GBK" w:cs="Times New Roman"/>
          <w:sz w:val="32"/>
          <w:szCs w:val="32"/>
        </w:rPr>
        <w:t>58.65</w:t>
      </w:r>
      <w:r>
        <w:rPr>
          <w:rFonts w:hint="default" w:ascii="Times New Roman" w:hAnsi="Times New Roman" w:eastAsia="方正仿宋_GBK" w:cs="Times New Roman"/>
          <w:sz w:val="32"/>
          <w:szCs w:val="32"/>
          <w:shd w:val="clear" w:color="auto" w:fill="FFFFFF"/>
        </w:rPr>
        <w:t>万元，占19.57%；经营支出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万元，较上年决算数无增减，主要原因是本单位为全额拨款公益性事业单位，无盈利和结余情况。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（二）财政拨款收入支出决算总体情况说明</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2023年度财政拨款收、支总计213.45万元。与2022年相比，财政拨款收、支总计各减少8.43万元，下降3.80%。主要原因是教师核定人数减少，财政拨款收入减少，导致支出减少。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（三）一般公共预算财政拨款收入支出决算情况说明</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213.45</w:t>
      </w:r>
      <w:r>
        <w:rPr>
          <w:rFonts w:hint="default" w:ascii="Times New Roman" w:hAnsi="Times New Roman" w:eastAsia="方正仿宋_GBK" w:cs="Times New Roman"/>
          <w:sz w:val="32"/>
          <w:szCs w:val="32"/>
          <w:shd w:val="clear" w:color="auto" w:fill="FFFFFF"/>
        </w:rPr>
        <w:t>万元，较上年决算数减少8.43万元，下降3.80%。主要原因是教师核定人数减少，财政拨款收入减少，导致支出减少。较年初预算数增加77.79万元，增长57.34%。主要原因是年中获得上级补助资金预算，导致年末决算数大于年初预算数。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213.45</w:t>
      </w:r>
      <w:r>
        <w:rPr>
          <w:rFonts w:hint="default" w:ascii="Times New Roman" w:hAnsi="Times New Roman" w:eastAsia="方正仿宋_GBK" w:cs="Times New Roman"/>
          <w:sz w:val="32"/>
          <w:szCs w:val="32"/>
          <w:shd w:val="clear" w:color="auto" w:fill="FFFFFF"/>
        </w:rPr>
        <w:t>万元，较上年决算数减少8.43万元，下降3.80%。主要原因是教师核定人数减少，财政拨款收入减少，导致支出减少。较年初预算数增加77.79万元，增长57.34%。主要原因是年中获得上级补助资金预算，导致年末决算数大于年初预算数。</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万元，较上年决算数无增减，主要原因是本单位为全额拨款公益性事业单位，无盈利和结余情况。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194.97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91.35</w:t>
      </w:r>
      <w:r>
        <w:rPr>
          <w:rFonts w:hint="default" w:ascii="Times New Roman" w:hAnsi="Times New Roman" w:eastAsia="方正仿宋_GBK" w:cs="Times New Roman"/>
          <w:sz w:val="32"/>
          <w:szCs w:val="32"/>
          <w:shd w:val="clear" w:color="auto" w:fill="FFFFFF"/>
        </w:rPr>
        <w:t>%，较年初预算数增加77.82万元，增长66.43%，主要原因是年中获得上级补助资金预算，导致年末决算数大于年初预算数。</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9.66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4.53</w:t>
      </w:r>
      <w:r>
        <w:rPr>
          <w:rFonts w:hint="default" w:ascii="Times New Roman" w:hAnsi="Times New Roman" w:eastAsia="方正仿宋_GBK" w:cs="Times New Roman"/>
          <w:sz w:val="32"/>
          <w:szCs w:val="32"/>
          <w:shd w:val="clear" w:color="auto" w:fill="FFFFFF"/>
        </w:rPr>
        <w:t>%，较年初预算数无增减。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4.02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1.89</w:t>
      </w:r>
      <w:r>
        <w:rPr>
          <w:rFonts w:hint="default" w:ascii="Times New Roman" w:hAnsi="Times New Roman" w:eastAsia="方正仿宋_GBK" w:cs="Times New Roman"/>
          <w:sz w:val="32"/>
          <w:szCs w:val="32"/>
          <w:shd w:val="clear" w:color="auto" w:fill="FFFFFF"/>
        </w:rPr>
        <w:t>%，较年初预算数无增减。</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住房保障支出4.79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2.24</w:t>
      </w:r>
      <w:r>
        <w:rPr>
          <w:rFonts w:hint="default" w:ascii="Times New Roman" w:hAnsi="Times New Roman" w:eastAsia="方正仿宋_GBK" w:cs="Times New Roman"/>
          <w:sz w:val="32"/>
          <w:szCs w:val="32"/>
          <w:shd w:val="clear" w:color="auto" w:fill="FFFFFF"/>
        </w:rPr>
        <w:t>%，较年初预算数减少0.04万元，下降0.83%，主要原因是住房公积金缴费基数预算与实际存在差异。</w:t>
      </w:r>
    </w:p>
    <w:p>
      <w:pPr>
        <w:keepNext w:val="0"/>
        <w:keepLines w:val="0"/>
        <w:pageBreakBefore w:val="0"/>
        <w:widowControl/>
        <w:kinsoku/>
        <w:wordWrap/>
        <w:overflowPunct/>
        <w:topLinePunct w:val="0"/>
        <w:autoSpaceDN/>
        <w:bidi w:val="0"/>
        <w:adjustRightInd/>
        <w:spacing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（四）一般公共预算财政拨款基本支出决算情况说明</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154.80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129.32</w:t>
      </w:r>
      <w:r>
        <w:rPr>
          <w:rFonts w:hint="default" w:ascii="Times New Roman" w:hAnsi="Times New Roman" w:eastAsia="方正仿宋_GBK" w:cs="Times New Roman"/>
          <w:sz w:val="32"/>
          <w:szCs w:val="32"/>
          <w:shd w:val="clear" w:color="auto" w:fill="FFFFFF"/>
        </w:rPr>
        <w:t>万元，较上年决算数增加1.47万元，增长1.15%，主要原因是人员职称变动。人员经费用途主要包括基本工资、津贴补贴、绩效工资、机关事业单位基本养老保险、职业年金缴费、职工基本医疗保险缴费、其他社会保障缴费、住房公积金、医疗费、助学金。公用经费</w:t>
      </w:r>
      <w:r>
        <w:rPr>
          <w:rFonts w:hint="default" w:ascii="Times New Roman" w:hAnsi="Times New Roman" w:eastAsia="方正仿宋_GBK" w:cs="Times New Roman"/>
          <w:sz w:val="32"/>
          <w:szCs w:val="32"/>
        </w:rPr>
        <w:t>25.47</w:t>
      </w:r>
      <w:r>
        <w:rPr>
          <w:rFonts w:hint="default" w:ascii="Times New Roman" w:hAnsi="Times New Roman" w:eastAsia="方正仿宋_GBK" w:cs="Times New Roman"/>
          <w:sz w:val="32"/>
          <w:szCs w:val="32"/>
          <w:shd w:val="clear" w:color="auto" w:fill="FFFFFF"/>
        </w:rPr>
        <w:t>万元，较上年决算数增加0.85万元，增长3.45%，主要原因是学生人数增加，导致办公支出增多。公用经费用途主要</w:t>
      </w:r>
      <w:r>
        <w:rPr>
          <w:rFonts w:hint="default" w:ascii="Times New Roman" w:hAnsi="Times New Roman" w:eastAsia="方正仿宋_GBK" w:cs="Times New Roman"/>
          <w:sz w:val="32"/>
          <w:szCs w:val="32"/>
        </w:rPr>
        <w:t>包括办公费、咨询费、水费、电费、邮电费、物业管理费、差旅费、维修（护）费、培训费、劳务费、工会经费、福利费、税金及附加费用、其他商品和服务支出。</w:t>
      </w:r>
    </w:p>
    <w:p>
      <w:pPr>
        <w:keepNext w:val="0"/>
        <w:keepLines w:val="0"/>
        <w:pageBreakBefore w:val="0"/>
        <w:widowControl/>
        <w:kinsoku/>
        <w:wordWrap/>
        <w:overflowPunct/>
        <w:topLinePunct w:val="0"/>
        <w:autoSpaceDN/>
        <w:bidi w:val="0"/>
        <w:adjustRightInd/>
        <w:spacing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（五）政府性基金预算收支决算情况说明</w:t>
      </w:r>
    </w:p>
    <w:p>
      <w:pPr>
        <w:keepNext w:val="0"/>
        <w:keepLines w:val="0"/>
        <w:pageBreakBefore w:val="0"/>
        <w:widowControl/>
        <w:kinsoku/>
        <w:wordWrap/>
        <w:overflowPunct/>
        <w:topLinePunct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 </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lang w:eastAsia="zh-CN"/>
        </w:rPr>
        <w:t>三</w:t>
      </w:r>
      <w:r>
        <w:rPr>
          <w:rStyle w:val="9"/>
          <w:rFonts w:hint="default" w:ascii="Times New Roman" w:hAnsi="Times New Roman" w:eastAsia="方正黑体_GBK" w:cs="Times New Roman"/>
          <w:b/>
          <w:bCs w:val="0"/>
          <w:sz w:val="32"/>
          <w:szCs w:val="32"/>
          <w:shd w:val="clear" w:color="auto" w:fill="FFFFFF"/>
          <w:lang w:val="en-US" w:eastAsia="zh-CN"/>
        </w:rPr>
        <w:t>、</w:t>
      </w:r>
      <w:r>
        <w:rPr>
          <w:rStyle w:val="9"/>
          <w:rFonts w:hint="default" w:ascii="Times New Roman" w:hAnsi="Times New Roman" w:eastAsia="方正黑体_GBK" w:cs="Times New Roman"/>
          <w:b/>
          <w:bCs w:val="0"/>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（一）“三公”经费支出总体情况说明</w:t>
      </w:r>
    </w:p>
    <w:p>
      <w:pPr>
        <w:pStyle w:val="12"/>
        <w:keepNext w:val="0"/>
        <w:keepLines w:val="0"/>
        <w:pageBreakBefore w:val="0"/>
        <w:widowControl/>
        <w:kinsoku/>
        <w:wordWrap/>
        <w:overflowPunct/>
        <w:topLinePunct w:val="0"/>
        <w:autoSpaceDE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本单位2023年度未发生三公经费支出。</w:t>
      </w:r>
    </w:p>
    <w:p>
      <w:pPr>
        <w:pStyle w:val="12"/>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pPr>
        <w:pStyle w:val="12"/>
        <w:keepNext w:val="0"/>
        <w:keepLines w:val="0"/>
        <w:pageBreakBefore w:val="0"/>
        <w:widowControl/>
        <w:kinsoku/>
        <w:wordWrap/>
        <w:overflowPunct/>
        <w:topLinePunct w:val="0"/>
        <w:autoSpaceDE w:val="0"/>
        <w:autoSpaceDN/>
        <w:bidi w:val="0"/>
        <w:adjustRightInd/>
        <w:spacing w:afterAutospacing="0"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四、其他需要说明的事项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（一）财政拨款会议费和培训费情况说明</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rPr>
        <w:t>主要原因是本单位未参与会议组织。</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万元，较上年决算数减少0.13万元，下降68.42%，主要原因是多数</w:t>
      </w:r>
      <w:r>
        <w:rPr>
          <w:rFonts w:hint="default" w:ascii="Times New Roman" w:hAnsi="Times New Roman" w:eastAsia="方正仿宋_GBK" w:cs="Times New Roman"/>
          <w:sz w:val="32"/>
          <w:szCs w:val="32"/>
        </w:rPr>
        <w:t>培训由上级部门统一组织，导致培训费支出减少。</w:t>
      </w:r>
    </w:p>
    <w:p>
      <w:pPr>
        <w:pStyle w:val="12"/>
        <w:keepNext w:val="0"/>
        <w:keepLines w:val="0"/>
        <w:pageBreakBefore w:val="0"/>
        <w:widowControl/>
        <w:numPr>
          <w:ilvl w:val="0"/>
          <w:numId w:val="1"/>
        </w:numPr>
        <w:kinsoku/>
        <w:wordWrap/>
        <w:overflowPunct/>
        <w:topLinePunct w:val="0"/>
        <w:autoSpaceDE w:val="0"/>
        <w:autoSpaceDN/>
        <w:bidi w:val="0"/>
        <w:adjustRightInd/>
        <w:spacing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机关运行经费情况说明</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（三）国有资产占用情况说明</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截至2023年12月31日，本单位共有车辆0辆，单价100万元（含）以上专用设备0台（套）。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五、预算绩效管理情况说明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b/>
          <w:bCs w:val="0"/>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根据预算绩效管理要求，我单位对4个二级项目开展了绩效自评，涉及财政拨款项目支出资金58.65万元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项目支出绩效自评表详见附表。</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Style w:val="9"/>
          <w:rFonts w:hint="default" w:ascii="Times New Roman" w:hAnsi="Times New Roman" w:eastAsia="方正楷体_GBK" w:cs="Times New Roman"/>
          <w:bCs w:val="0"/>
          <w:sz w:val="32"/>
          <w:szCs w:val="32"/>
          <w:shd w:val="clear" w:color="auto" w:fill="FFFFFF"/>
          <w:lang w:val="en-US" w:eastAsia="zh-CN" w:bidi="ar-SA"/>
        </w:rPr>
      </w:pPr>
      <w:r>
        <w:rPr>
          <w:rStyle w:val="9"/>
          <w:rFonts w:hint="default" w:ascii="Times New Roman" w:hAnsi="Times New Roman" w:eastAsia="方正楷体_GBK" w:cs="Times New Roman"/>
          <w:bCs w:val="0"/>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六、专业名词解释</w:t>
      </w:r>
    </w:p>
    <w:p>
      <w:pPr>
        <w:pStyle w:val="15"/>
        <w:keepNext w:val="0"/>
        <w:keepLines w:val="0"/>
        <w:pageBreakBefore w:val="0"/>
        <w:widowControl/>
        <w:kinsoku/>
        <w:wordWrap/>
        <w:overflowPunct/>
        <w:topLinePunct w:val="0"/>
        <w:autoSpaceDE w:val="0"/>
        <w:autoSpaceDN/>
        <w:bidi w:val="0"/>
        <w:adjustRightInd/>
        <w:spacing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val="0"/>
          <w:sz w:val="32"/>
          <w:szCs w:val="32"/>
          <w:shd w:val="clear" w:color="auto" w:fill="FFFFFF"/>
        </w:rPr>
        <w:t> </w:t>
      </w:r>
      <w:r>
        <w:rPr>
          <w:rStyle w:val="9"/>
          <w:rFonts w:hint="default" w:ascii="Times New Roman" w:hAnsi="Times New Roman" w:eastAsia="方正楷体_GBK" w:cs="Times New Roman"/>
          <w:b/>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（十五）商品和服务支出（支出经济分类科目类级）</w:t>
      </w:r>
      <w:r>
        <w:rPr>
          <w:rFonts w:hint="default" w:ascii="Times New Roman" w:hAnsi="Times New Roman" w:eastAsia="方正楷体_GBK" w:cs="Times New Roman"/>
          <w:b/>
          <w:bCs w:val="0"/>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 </w:t>
      </w:r>
      <w:r>
        <w:rPr>
          <w:rStyle w:val="9"/>
          <w:rFonts w:hint="default" w:ascii="Times New Roman" w:hAnsi="Times New Roman" w:eastAsia="方正楷体_GBK" w:cs="Times New Roman"/>
          <w:b/>
          <w:bCs w:val="0"/>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b/>
          <w:bCs w:val="0"/>
          <w:sz w:val="32"/>
          <w:szCs w:val="32"/>
          <w:shd w:val="clear" w:color="auto" w:fill="FFFFFF"/>
        </w:rPr>
        <w:t>（十七）其他资本性支出（支出经济分类科目类级）</w:t>
      </w:r>
      <w:r>
        <w:rPr>
          <w:rFonts w:hint="default" w:ascii="Times New Roman" w:hAnsi="Times New Roman" w:eastAsia="方正楷体_GBK" w:cs="Times New Roman"/>
          <w:b/>
          <w:bCs w:val="0"/>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七、决算公开联系方式及信息反馈渠道</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本单位决算公开信息反馈和联系方式：023-65157577</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rPr>
          <w:rFonts w:hint="default"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rPr>
          <w:rFonts w:hint="default"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rPr>
          <w:rFonts w:hint="default"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rPr>
          <w:rFonts w:hint="default"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rPr>
          <w:rFonts w:hint="default" w:ascii="方正仿宋_GBK" w:hAnsi="方正仿宋_GBK" w:eastAsia="方正仿宋_GBK" w:cs="方正仿宋_GBK"/>
          <w:sz w:val="32"/>
          <w:szCs w:val="32"/>
          <w:shd w:val="clear" w:color="auto" w:fill="FFFFFF"/>
        </w:rPr>
      </w:pPr>
    </w:p>
    <w:p>
      <w:pPr>
        <w:pStyle w:val="7"/>
        <w:shd w:val="clear" w:color="auto" w:fill="FFFFFF"/>
        <w:spacing w:beforeAutospacing="0" w:afterAutospacing="0" w:line="600" w:lineRule="exact"/>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915" w:h="16840"/>
          <w:pgMar w:top="2098" w:right="1531" w:bottom="1984" w:left="1531" w:header="851" w:footer="992" w:gutter="0"/>
          <w:pgNumType w:fmt="numberInDash"/>
          <w:cols w:space="720" w:num="1"/>
          <w:docGrid w:type="lines" w:linePitch="312"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重庆科学城铭豪幼儿园</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213.45</w:t>
            </w:r>
            <w:bookmarkStart w:id="0" w:name="_GoBack"/>
            <w:r>
              <w:rPr>
                <w:color w:val="000000"/>
                <w:sz w:val="20"/>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86.26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281.23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299.70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299.70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299.70</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299.70</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重庆科学城铭豪幼儿园</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299.70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213.45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86.26</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86.26</w:t>
            </w: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194.97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86.26</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194.97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86.26</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86.26</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86.26</w:t>
            </w: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重庆科学城铭豪幼儿园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299.70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241.05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58.65</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58.65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222.58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58.65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281.23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重庆科学城铭豪幼儿园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重庆科学城铭豪幼儿园</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213.45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154.80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58.65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58.65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58.65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136.32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重庆科学城铭豪幼儿园</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129.32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25.47</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重庆科学城铭豪幼儿园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重庆科学城铭豪幼儿园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重庆科学城铭豪幼儿园</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31BC3"/>
    <w:multiLevelType w:val="singleLevel"/>
    <w:tmpl w:val="E9E31B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zZmIyNDczMzQ3ODlmNjFjYTRjYjI0ZDk1OWUzYzkifQ=="/>
  </w:docVars>
  <w:rsids>
    <w:rsidRoot w:val="00B03CCD"/>
    <w:rsid w:val="00033FDE"/>
    <w:rsid w:val="0018315A"/>
    <w:rsid w:val="00197E13"/>
    <w:rsid w:val="001D3BB7"/>
    <w:rsid w:val="001F6980"/>
    <w:rsid w:val="00200D15"/>
    <w:rsid w:val="0022556A"/>
    <w:rsid w:val="00297D08"/>
    <w:rsid w:val="002B254B"/>
    <w:rsid w:val="00317035"/>
    <w:rsid w:val="00466C9B"/>
    <w:rsid w:val="00550ABE"/>
    <w:rsid w:val="005C209D"/>
    <w:rsid w:val="0066321D"/>
    <w:rsid w:val="006B2AEC"/>
    <w:rsid w:val="006B6518"/>
    <w:rsid w:val="00710956"/>
    <w:rsid w:val="00770383"/>
    <w:rsid w:val="007819D4"/>
    <w:rsid w:val="007B419D"/>
    <w:rsid w:val="007B7C4B"/>
    <w:rsid w:val="007D239B"/>
    <w:rsid w:val="007D3D39"/>
    <w:rsid w:val="00836A93"/>
    <w:rsid w:val="00841D51"/>
    <w:rsid w:val="00994AF7"/>
    <w:rsid w:val="009B3421"/>
    <w:rsid w:val="009B67B8"/>
    <w:rsid w:val="009C22EA"/>
    <w:rsid w:val="009D2B67"/>
    <w:rsid w:val="00A566F9"/>
    <w:rsid w:val="00A665FC"/>
    <w:rsid w:val="00AD398D"/>
    <w:rsid w:val="00AF2751"/>
    <w:rsid w:val="00B03CCD"/>
    <w:rsid w:val="00B12389"/>
    <w:rsid w:val="00B460C0"/>
    <w:rsid w:val="00BE2B89"/>
    <w:rsid w:val="00C04A56"/>
    <w:rsid w:val="00C10E9E"/>
    <w:rsid w:val="00C20C3E"/>
    <w:rsid w:val="00C75B64"/>
    <w:rsid w:val="00D95064"/>
    <w:rsid w:val="00E81785"/>
    <w:rsid w:val="00F73F90"/>
    <w:rsid w:val="00FA00E5"/>
    <w:rsid w:val="00FB08E1"/>
    <w:rsid w:val="01474EBF"/>
    <w:rsid w:val="01F3521E"/>
    <w:rsid w:val="02160C23"/>
    <w:rsid w:val="03B87EA0"/>
    <w:rsid w:val="03E3214F"/>
    <w:rsid w:val="044C50BA"/>
    <w:rsid w:val="05BC6D49"/>
    <w:rsid w:val="05C313AC"/>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6B6A20"/>
    <w:rsid w:val="0C7927C4"/>
    <w:rsid w:val="0C9B098C"/>
    <w:rsid w:val="0D673E11"/>
    <w:rsid w:val="0DC24DA5"/>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0B2927"/>
    <w:rsid w:val="182E4AB6"/>
    <w:rsid w:val="189079DC"/>
    <w:rsid w:val="189B0D0B"/>
    <w:rsid w:val="18B43F7C"/>
    <w:rsid w:val="194A1770"/>
    <w:rsid w:val="19B906A4"/>
    <w:rsid w:val="1AAB6A1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F584A"/>
    <w:rsid w:val="1FBB35CD"/>
    <w:rsid w:val="1FCD26AF"/>
    <w:rsid w:val="20642787"/>
    <w:rsid w:val="21556F04"/>
    <w:rsid w:val="22403BD3"/>
    <w:rsid w:val="24A868B2"/>
    <w:rsid w:val="24B92327"/>
    <w:rsid w:val="24C14514"/>
    <w:rsid w:val="24EE0F43"/>
    <w:rsid w:val="2533755C"/>
    <w:rsid w:val="25791755"/>
    <w:rsid w:val="26396DF4"/>
    <w:rsid w:val="27167136"/>
    <w:rsid w:val="271B442C"/>
    <w:rsid w:val="27B23302"/>
    <w:rsid w:val="29310A5F"/>
    <w:rsid w:val="29C37A35"/>
    <w:rsid w:val="2A076083"/>
    <w:rsid w:val="2A73162E"/>
    <w:rsid w:val="2B167953"/>
    <w:rsid w:val="2B200583"/>
    <w:rsid w:val="2B8209DE"/>
    <w:rsid w:val="2BA774AD"/>
    <w:rsid w:val="2C636760"/>
    <w:rsid w:val="2C6762A3"/>
    <w:rsid w:val="2C683FD3"/>
    <w:rsid w:val="2D1F0706"/>
    <w:rsid w:val="2F9B28C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6B4E07"/>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5D3D4D"/>
    <w:rsid w:val="3C6A5B02"/>
    <w:rsid w:val="3CFE6C7D"/>
    <w:rsid w:val="3D2757A1"/>
    <w:rsid w:val="3D3D4FC4"/>
    <w:rsid w:val="3D5248A1"/>
    <w:rsid w:val="3DDF3AB1"/>
    <w:rsid w:val="3E1D0952"/>
    <w:rsid w:val="3E42660A"/>
    <w:rsid w:val="3E7555B1"/>
    <w:rsid w:val="3E787ED9"/>
    <w:rsid w:val="3F032E93"/>
    <w:rsid w:val="3F0527E5"/>
    <w:rsid w:val="3F694D83"/>
    <w:rsid w:val="3F885DCC"/>
    <w:rsid w:val="3FCD675E"/>
    <w:rsid w:val="4004000C"/>
    <w:rsid w:val="408A49C4"/>
    <w:rsid w:val="40BD5482"/>
    <w:rsid w:val="411B6CE5"/>
    <w:rsid w:val="412070D7"/>
    <w:rsid w:val="41314E40"/>
    <w:rsid w:val="41E0734B"/>
    <w:rsid w:val="426C1EA8"/>
    <w:rsid w:val="42736402"/>
    <w:rsid w:val="42E86A87"/>
    <w:rsid w:val="43307B09"/>
    <w:rsid w:val="439A3EB9"/>
    <w:rsid w:val="43BB152F"/>
    <w:rsid w:val="44C37687"/>
    <w:rsid w:val="4588349D"/>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F30150"/>
    <w:rsid w:val="5842572D"/>
    <w:rsid w:val="5A3B59D6"/>
    <w:rsid w:val="5AD134D8"/>
    <w:rsid w:val="5C263CE4"/>
    <w:rsid w:val="5C5D2777"/>
    <w:rsid w:val="5CF66BF3"/>
    <w:rsid w:val="5D290C69"/>
    <w:rsid w:val="5F2D4A41"/>
    <w:rsid w:val="600F4147"/>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CB0EEA"/>
    <w:rsid w:val="6DE346AB"/>
    <w:rsid w:val="6DE5391A"/>
    <w:rsid w:val="6EFD1324"/>
    <w:rsid w:val="6F5A53AC"/>
    <w:rsid w:val="6FAC003D"/>
    <w:rsid w:val="6FE55E12"/>
    <w:rsid w:val="6FFB2E76"/>
    <w:rsid w:val="708F6F7F"/>
    <w:rsid w:val="70BE01D7"/>
    <w:rsid w:val="70D94BD3"/>
    <w:rsid w:val="71C34D91"/>
    <w:rsid w:val="72DB435C"/>
    <w:rsid w:val="72E2613A"/>
    <w:rsid w:val="72F771F4"/>
    <w:rsid w:val="73934AD2"/>
    <w:rsid w:val="743A718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1172F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7299</Words>
  <Characters>8774</Characters>
  <Lines>81</Lines>
  <Paragraphs>22</Paragraphs>
  <TotalTime>11</TotalTime>
  <ScaleCrop>false</ScaleCrop>
  <LinksUpToDate>false</LinksUpToDate>
  <CharactersWithSpaces>9760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2024-10-11T05:18:00Z</cp:lastPrinted>
  <dcterms:modified xsi:type="dcterms:W3CDTF">2024-10-16T07:19:10Z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