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重庆科学城康居西城第一幼儿园</w:t>
      </w:r>
    </w:p>
    <w:p>
      <w:pPr>
        <w:pStyle w:val="7"/>
        <w:keepNext w:val="0"/>
        <w:keepLines w:val="0"/>
        <w:pageBreakBefore w:val="0"/>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7"/>
        <w:keepNext w:val="0"/>
        <w:keepLines w:val="0"/>
        <w:pageBreakBefore w:val="0"/>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sz w:val="36"/>
          <w:szCs w:val="36"/>
          <w:shd w:val="clear" w:color="auto" w:fill="FFFFFF"/>
        </w:rPr>
      </w:pP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jc w:val="both"/>
        <w:textAlignment w:val="auto"/>
        <w:rPr>
          <w:rFonts w:hint="default" w:ascii="Times New Roman" w:hAnsi="Times New Roman" w:eastAsia="方正黑体_GBK" w:cs="Times New Roman"/>
          <w:sz w:val="32"/>
          <w:szCs w:val="32"/>
        </w:rPr>
      </w:pPr>
      <w:r>
        <w:rPr>
          <w:rStyle w:val="9"/>
          <w:rFonts w:hint="default" w:ascii="Times New Roman" w:hAnsi="Times New Roman" w:eastAsia="方正黑体_GBK" w:cs="Times New Roman"/>
          <w:sz w:val="32"/>
          <w:szCs w:val="32"/>
          <w:shd w:val="clear" w:color="auto" w:fill="FFFFFF"/>
        </w:rPr>
        <w:t>一、单位基本情况</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420"/>
        <w:jc w:val="both"/>
        <w:textAlignment w:val="auto"/>
        <w:rPr>
          <w:rFonts w:hint="default" w:ascii="Times New Roman" w:hAnsi="Times New Roman" w:eastAsia="方正楷体_GBK" w:cs="Times New Roman"/>
          <w:sz w:val="32"/>
          <w:szCs w:val="32"/>
        </w:rPr>
      </w:pPr>
      <w:r>
        <w:rPr>
          <w:rStyle w:val="9"/>
          <w:rFonts w:hint="default" w:ascii="Times New Roman" w:hAnsi="Times New Roman" w:eastAsia="方正楷体_GBK" w:cs="Times New Roman"/>
          <w:sz w:val="32"/>
          <w:szCs w:val="32"/>
          <w:shd w:val="clear" w:color="auto" w:fill="FFFFFF"/>
        </w:rPr>
        <w:t>（一）职能职责</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left="0" w:leftChars="0" w:firstLine="48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为学龄前儿童提供保育和教育服务。</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42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（二）机构设置</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left="0" w:leftChars="0" w:firstLine="48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我园2023年机构设置</w:t>
      </w:r>
      <w:r>
        <w:rPr>
          <w:rFonts w:hint="default" w:ascii="Times New Roman" w:hAnsi="Times New Roman" w:eastAsia="方正仿宋_GBK" w:cs="Times New Roman"/>
          <w:sz w:val="32"/>
          <w:szCs w:val="32"/>
          <w:lang w:eastAsia="zh-CN"/>
        </w:rPr>
        <w:t>为保教部门、后勤部门、办公室部门及二园区四大部门。</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二、单位决算情况说明</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42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（一）收入支出决算总体情况说明。</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rPr>
        <w:t>2023年度收入总计2441.77万元，支出总计2441.77万元。收支较上年决算数增加3.81万元，增长0.16%，主要原因是幼儿人数增加，年度收入支出增加。</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rPr>
        <w:t>2023年度收入合计2441.77万元，较上年决算数增加3.81万元，增长0.16%，主要原因是幼儿人数增加，事业收入增加。其中：财政拨款收入1573.68万元，占64.45%；事业收入868.09万元，占35.55%；经营收入0.00万元，占0.00%；其他收入0.00万元，占0.00%。此外，使用非财政拨款结余和专用结余0.00万元，年初结转和结余0.00万元。</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rPr>
        <w:t>2023年度支出合计2441.77万元，较上年决算数增加3.81万元，增长0.16%，主要原因是幼儿人数增加，相应保障日常运转支出增加。其中：基本支出1770.66万元，占72.52%；项目支出671.11万元，占27.48%；经营支出0.00万元，占0.00%。此外，结余分配0.00万元。</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rPr>
        <w:t>2023年度年末结转和结余0.00万元，较上年决算数无增减，主要原因是无年末结转和结余。</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42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（二）财政拨款收入支出决算总体情况说明</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left="0" w:leftChars="0" w:firstLine="48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2023年度财政拨款收、支总计1573.68万元。与2022年相比，财政拨款收、支总计各减少108.01万元，下降6.42%。主要原因是2023年我园园所逐步完善，校舍建设项目减少，一般公共预算财政拨款收入支出减少。</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42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（三）一般公共预算财政拨款收入支出决算情况说明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rPr>
        <w:t>2023年度一般公共预算财政拨款收入1573.68万元，较上年决算数减少108.01万元，下降6.42%。主要原因是我园园所逐渐完善，校舍建设项目减少，一般公共预算财政拨款收入减少。较年初预算数增加496.56万元，增长46.10%。主要原因是</w:t>
      </w:r>
      <w:r>
        <w:rPr>
          <w:rFonts w:hint="default" w:ascii="Times New Roman" w:hAnsi="Times New Roman" w:eastAsia="方正仿宋_GBK" w:cs="Times New Roman"/>
          <w:sz w:val="32"/>
          <w:szCs w:val="32"/>
          <w:lang w:eastAsia="zh-CN"/>
        </w:rPr>
        <w:t>年中获得上级补助资金预算</w:t>
      </w:r>
      <w:r>
        <w:rPr>
          <w:rFonts w:hint="default" w:ascii="Times New Roman" w:hAnsi="Times New Roman" w:eastAsia="方正仿宋_GBK" w:cs="Times New Roman"/>
          <w:sz w:val="32"/>
          <w:szCs w:val="32"/>
        </w:rPr>
        <w:t>。此外，年初财政拨款结转和结余0.00万元。</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rPr>
        <w:t>2023年度一般公共预算财政拨款支出1573.68万元，较上年决算数减少108.01万元，下降6.42%。主要原因是我园园所逐渐完善，校舍建设项目减少，一般公共预算财政拨款支出减少。较年初预算数增加496.56万元，增长46.10%。主要原因是</w:t>
      </w:r>
      <w:r>
        <w:rPr>
          <w:rFonts w:hint="default" w:ascii="Times New Roman" w:hAnsi="Times New Roman" w:eastAsia="方正仿宋_GBK" w:cs="Times New Roman"/>
          <w:sz w:val="32"/>
          <w:szCs w:val="32"/>
          <w:lang w:eastAsia="zh-CN"/>
        </w:rPr>
        <w:t>年中获得上级补助资金预算</w:t>
      </w:r>
      <w:r>
        <w:rPr>
          <w:rFonts w:hint="default" w:ascii="Times New Roman" w:hAnsi="Times New Roman" w:eastAsia="方正仿宋_GBK" w:cs="Times New Roman"/>
          <w:sz w:val="32"/>
          <w:szCs w:val="32"/>
        </w:rPr>
        <w:t>。</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rPr>
        <w:t>2023年度年末一般公共预算财政拨款结转和结余0.00万元，较上年决算数无增减，主要原因是无一般公共预算财政拨款结转和结余。</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rPr>
        <w:t>本单位2023年度一般公共预算财政拨款支出主要用于以下几个方面：</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left="0" w:leftChars="0" w:firstLine="48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（1）教育支出1482.36万元，占94.20%，较年初预算数增加496.68万元，增长50.39%，主要原因是</w:t>
      </w:r>
      <w:r>
        <w:rPr>
          <w:rFonts w:hint="default" w:ascii="Times New Roman" w:hAnsi="Times New Roman" w:eastAsia="方正仿宋_GBK" w:cs="Times New Roman"/>
          <w:sz w:val="32"/>
          <w:szCs w:val="32"/>
          <w:lang w:eastAsia="zh-CN"/>
        </w:rPr>
        <w:t>年中获得上级补助资金预算</w:t>
      </w:r>
      <w:r>
        <w:rPr>
          <w:rFonts w:hint="default" w:ascii="Times New Roman" w:hAnsi="Times New Roman" w:eastAsia="方正仿宋_GBK" w:cs="Times New Roman"/>
          <w:sz w:val="32"/>
          <w:szCs w:val="32"/>
        </w:rPr>
        <w:t>。</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left="0" w:leftChars="0" w:firstLine="48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（2）社会保障与就业支出45.62万元，占2.90%，较年初预算数减少0.09万元，下降0.20%，主要原因社保</w:t>
      </w:r>
      <w:r>
        <w:rPr>
          <w:rFonts w:hint="default" w:ascii="Times New Roman" w:hAnsi="Times New Roman" w:eastAsia="方正仿宋_GBK" w:cs="Times New Roman"/>
          <w:sz w:val="32"/>
          <w:szCs w:val="32"/>
          <w:lang w:eastAsia="zh-CN"/>
        </w:rPr>
        <w:t>实际缴费</w:t>
      </w:r>
      <w:r>
        <w:rPr>
          <w:rFonts w:hint="default" w:ascii="Times New Roman" w:hAnsi="Times New Roman" w:eastAsia="方正仿宋_GBK" w:cs="Times New Roman"/>
          <w:sz w:val="32"/>
          <w:szCs w:val="32"/>
        </w:rPr>
        <w:t>基数与年初预算数</w:t>
      </w:r>
      <w:r>
        <w:rPr>
          <w:rFonts w:hint="default" w:ascii="Times New Roman" w:hAnsi="Times New Roman" w:eastAsia="方正仿宋_GBK" w:cs="Times New Roman"/>
          <w:sz w:val="32"/>
          <w:szCs w:val="32"/>
          <w:lang w:eastAsia="zh-CN"/>
        </w:rPr>
        <w:t>缴费基数</w:t>
      </w:r>
      <w:r>
        <w:rPr>
          <w:rFonts w:hint="default" w:ascii="Times New Roman" w:hAnsi="Times New Roman" w:eastAsia="方正仿宋_GBK" w:cs="Times New Roman"/>
          <w:sz w:val="32"/>
          <w:szCs w:val="32"/>
        </w:rPr>
        <w:t>略有差。</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left="0" w:leftChars="0" w:firstLine="48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（3）卫生健康支出22.85万元，占1.45%，较年初预算数减少0.03万元，下降0.13%，主要原因社保</w:t>
      </w:r>
      <w:r>
        <w:rPr>
          <w:rFonts w:hint="default" w:ascii="Times New Roman" w:hAnsi="Times New Roman" w:eastAsia="方正仿宋_GBK" w:cs="Times New Roman"/>
          <w:sz w:val="32"/>
          <w:szCs w:val="32"/>
          <w:lang w:eastAsia="zh-CN"/>
        </w:rPr>
        <w:t>实际缴费</w:t>
      </w:r>
      <w:r>
        <w:rPr>
          <w:rFonts w:hint="default" w:ascii="Times New Roman" w:hAnsi="Times New Roman" w:eastAsia="方正仿宋_GBK" w:cs="Times New Roman"/>
          <w:sz w:val="32"/>
          <w:szCs w:val="32"/>
        </w:rPr>
        <w:t>基数与年初预算数</w:t>
      </w:r>
      <w:r>
        <w:rPr>
          <w:rFonts w:hint="default" w:ascii="Times New Roman" w:hAnsi="Times New Roman" w:eastAsia="方正仿宋_GBK" w:cs="Times New Roman"/>
          <w:sz w:val="32"/>
          <w:szCs w:val="32"/>
          <w:lang w:eastAsia="zh-CN"/>
        </w:rPr>
        <w:t>缴费基数</w:t>
      </w:r>
      <w:r>
        <w:rPr>
          <w:rFonts w:hint="default" w:ascii="Times New Roman" w:hAnsi="Times New Roman" w:eastAsia="方正仿宋_GBK" w:cs="Times New Roman"/>
          <w:sz w:val="32"/>
          <w:szCs w:val="32"/>
        </w:rPr>
        <w:t>略有差。</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left="0" w:leftChars="0" w:firstLine="48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（4）住房保障支出22.85万元，占1.45%，较年初预算数无增减。</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42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（四）一般公共预算财政拨款基本支出决算情况说明</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left="0" w:leftChars="0" w:firstLine="72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2023年度一般公共预算财政拨款基本支出902.57万元。其中：人员经费672.96万元，较上年决算数增加38.33万元，增长6.04%，主要原因是本年度在个人和家庭补助中增加了贫困幼儿生活补助。人员经费用途主要包括保障人员的基本工资、社保、公积金和对个人和家庭的补助等。公用经费229.61万元，较上年决算数减少21.31万元，下降8.49%，主要原因是减少了贫困学生补助经费，调整到人员经费中。公用经费用途主要包括保障幼儿园正常运转的办公、水电、培训、维修维护及设备购置等。</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42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（五）政府性基金预算收支决算情况说明</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left="0" w:leftChars="0" w:firstLine="48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本单位2023年度无政府性基金预算财政拨款收支。</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42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（六）国有资本经营预算财政拨款支出决算情况说明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t>本单位2023年度无国有资本经营预算财政拨款支出。</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三、“三公”经费情况说明</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42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（一）“三公”经费支出总体情况说明</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left="0" w:leftChars="0" w:firstLine="72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2023年度“三公”经费支出共计0.00万元，较年初预算数无增减，较上年支出数无增减。</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42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（二）“三公”经费分项支出情况</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left="0" w:leftChars="0" w:firstLine="72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2023年度本单位因公出国（境）费用0.00万元，费用支出较年初预算数无增减，较上年支出数无增减。 公务车购置费0.00万元，费用支出较年初预算数无增减，较上年支出数无增减。 公务车运行维护费0.00万元，费用支出较年初预算数无增减，较上年支出数无增减。 公务接待费0.00万元，费用支出较年初预算数无增减，较上年支出数无增减。</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42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（三）“三公”经费实物量情况</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left="0" w:leftChars="0" w:firstLine="72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四、其他需要说明的事项</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42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（一）财政拨款会议费和培训费情况说明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万元，较上年决算数无增减。本年度培训费支出</w:t>
      </w:r>
      <w:r>
        <w:rPr>
          <w:rFonts w:hint="default" w:ascii="Times New Roman" w:hAnsi="Times New Roman" w:eastAsia="方正仿宋_GBK" w:cs="Times New Roman"/>
          <w:sz w:val="32"/>
          <w:szCs w:val="32"/>
        </w:rPr>
        <w:t>11.46</w:t>
      </w:r>
      <w:r>
        <w:rPr>
          <w:rFonts w:hint="default" w:ascii="Times New Roman" w:hAnsi="Times New Roman" w:eastAsia="方正仿宋_GBK" w:cs="Times New Roman"/>
          <w:sz w:val="32"/>
          <w:szCs w:val="32"/>
          <w:shd w:val="clear" w:color="auto" w:fill="FFFFFF"/>
        </w:rPr>
        <w:t>万元，较上年决算数增加7.73万元，增长207.24%，主要原因是</w:t>
      </w:r>
      <w:r>
        <w:rPr>
          <w:rFonts w:hint="default" w:ascii="Times New Roman" w:hAnsi="Times New Roman" w:eastAsia="方正仿宋_GBK" w:cs="Times New Roman"/>
          <w:sz w:val="32"/>
          <w:szCs w:val="32"/>
        </w:rPr>
        <w:t>疫情期间我园未正常开展教师培训，为保障幼儿园高质量发展，我园非常重视教师培训工作培训力度加大。</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42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（二）机关运行经费情况说明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我单位不在机关运行经费统计范围之内。</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42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（三）国有资产占用情况说明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截至2023年12月31日，本单位共有车辆0辆，其中，副部（省）级及以上领导用车0辆、主要负责人用车0辆、机要通信用车0辆、应急保障用车0辆、执法执勤用车0辆，特种专业技术用车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42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（四）政府采购支出情况说明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lang w:eastAsia="zh-CN"/>
        </w:rPr>
        <w:t>五、</w:t>
      </w:r>
      <w:r>
        <w:rPr>
          <w:rStyle w:val="9"/>
          <w:rFonts w:hint="default" w:ascii="Times New Roman" w:hAnsi="Times New Roman" w:eastAsia="方正黑体_GBK" w:cs="Times New Roman"/>
          <w:sz w:val="32"/>
          <w:szCs w:val="32"/>
          <w:shd w:val="clear" w:color="auto" w:fill="FFFFFF"/>
        </w:rPr>
        <w:t>预算绩效管理情况说明</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42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（一）单位自评情况</w:t>
      </w:r>
    </w:p>
    <w:p>
      <w:pPr>
        <w:pStyle w:val="13"/>
        <w:keepNext w:val="0"/>
        <w:keepLines w:val="0"/>
        <w:pageBreakBefore w:val="0"/>
        <w:kinsoku/>
        <w:wordWrap/>
        <w:overflowPunct/>
        <w:topLinePunct w:val="0"/>
        <w:autoSpaceDE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671.11</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28"/>
          <w:szCs w:val="28"/>
          <w:shd w:val="clear" w:color="auto" w:fill="FFFFFF"/>
        </w:rPr>
        <w:t>项目支出绩效自评表</w:t>
      </w:r>
      <w:r>
        <w:rPr>
          <w:rFonts w:hint="default" w:ascii="Times New Roman" w:hAnsi="Times New Roman" w:eastAsia="方正仿宋_GBK" w:cs="Times New Roman"/>
          <w:sz w:val="28"/>
          <w:szCs w:val="28"/>
          <w:shd w:val="clear" w:color="auto" w:fill="FFFFFF"/>
          <w:lang w:eastAsia="zh-CN"/>
        </w:rPr>
        <w:t>详见附表。</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42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（二）单位绩效评价情况</w:t>
      </w:r>
    </w:p>
    <w:p>
      <w:pPr>
        <w:pStyle w:val="13"/>
        <w:keepNext w:val="0"/>
        <w:keepLines w:val="0"/>
        <w:pageBreakBefore w:val="0"/>
        <w:kinsoku/>
        <w:wordWrap/>
        <w:overflowPunct/>
        <w:topLinePunct w:val="0"/>
        <w:autoSpaceDE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42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（三）财政绩效评价情况</w:t>
      </w:r>
    </w:p>
    <w:p>
      <w:pPr>
        <w:pStyle w:val="13"/>
        <w:keepNext w:val="0"/>
        <w:keepLines w:val="0"/>
        <w:pageBreakBefore w:val="0"/>
        <w:kinsoku/>
        <w:wordWrap/>
        <w:overflowPunct/>
        <w:topLinePunct w:val="0"/>
        <w:autoSpaceDE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重庆高新区财政局未委托第三方对我单位开展绩效评价。</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六、专业名词解释</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left="0" w:leftChars="0" w:firstLine="723" w:firstLineChars="225"/>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lang w:val="en-US" w:eastAsia="zh-CN" w:bidi="ar-SA"/>
        </w:rPr>
        <w:t>指本年度从本级财政部门取得的财政拨款，包括一般公共预算财政拨款和政府性基金预算财政拨款。</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leftChars="0" w:firstLine="723" w:firstLineChars="225"/>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lang w:val="en-US" w:eastAsia="zh-CN" w:bidi="ar-SA"/>
        </w:rPr>
        <w:t>指事业单位开展专业业务活动及其辅助活动取得的现金流入；事业单位收到的财政专户实际核拨的教育收费等资金在此反映。</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leftChars="0" w:firstLine="723" w:firstLineChars="225"/>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rPr>
        <w:t> （三）经营收入：</w:t>
      </w:r>
      <w:r>
        <w:rPr>
          <w:rFonts w:hint="default" w:ascii="Times New Roman" w:hAnsi="Times New Roman" w:eastAsia="方正仿宋_GBK" w:cs="Times New Roman"/>
          <w:sz w:val="32"/>
          <w:szCs w:val="32"/>
          <w:shd w:val="clear" w:color="auto" w:fill="FFFFFF"/>
          <w:lang w:val="en-US" w:eastAsia="zh-CN" w:bidi="ar-SA"/>
        </w:rPr>
        <w:t>指事业单位在专业业务活动及其辅助活动之外开展非独立核算经营活动取得的现金流入。</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leftChars="0" w:firstLine="723" w:firstLineChars="225"/>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rPr>
        <w:t> （四）其他收入：</w:t>
      </w:r>
      <w:r>
        <w:rPr>
          <w:rFonts w:hint="default" w:ascii="Times New Roman" w:hAnsi="Times New Roman" w:eastAsia="方正仿宋_GBK" w:cs="Times New Roman"/>
          <w:sz w:val="32"/>
          <w:szCs w:val="32"/>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leftChars="0" w:firstLine="723" w:firstLineChars="225"/>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lang w:val="en-US" w:eastAsia="zh-CN" w:bidi="ar-SA"/>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leftChars="0" w:firstLine="723" w:firstLineChars="225"/>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lang w:val="en-US" w:eastAsia="zh-CN" w:bidi="ar-SA"/>
        </w:rPr>
        <w:t>指单位上年结转本年使用的基本支出结转、项目支出结转和结余、经营结余。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leftChars="0" w:firstLine="723" w:firstLineChars="225"/>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 （七）结余分配：</w:t>
      </w:r>
      <w:r>
        <w:rPr>
          <w:rFonts w:hint="default" w:ascii="Times New Roman" w:hAnsi="Times New Roman" w:eastAsia="方正仿宋_GBK" w:cs="Times New Roman"/>
          <w:sz w:val="32"/>
          <w:szCs w:val="32"/>
          <w:shd w:val="clear" w:color="auto" w:fill="FFFFFF"/>
          <w:lang w:val="en-US" w:eastAsia="zh-CN" w:bidi="ar-SA"/>
        </w:rPr>
        <w:t>指单位按照国家有关规定，缴纳所得税、提取专用基金、转入非财政拨款结余等当年结余的分配情况。</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leftChars="0" w:firstLine="723" w:firstLineChars="225"/>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lang w:val="en-US" w:eastAsia="zh-CN" w:bidi="ar-SA"/>
        </w:rPr>
        <w:t>指单位结转下年的基本支出结转、项目支出结转和结余、经营结余。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leftChars="0" w:firstLine="723" w:firstLineChars="225"/>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rPr>
        <w:t> （九）基本支出：</w:t>
      </w:r>
      <w:r>
        <w:rPr>
          <w:rFonts w:hint="default" w:ascii="Times New Roman" w:hAnsi="Times New Roman" w:eastAsia="方正仿宋_GBK" w:cs="Times New Roman"/>
          <w:sz w:val="32"/>
          <w:szCs w:val="32"/>
          <w:shd w:val="clear" w:color="auto" w:fill="FFFFFF"/>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leftChars="0" w:firstLine="723" w:firstLineChars="225"/>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rPr>
        <w:t> （十）项目支出：</w:t>
      </w:r>
      <w:r>
        <w:rPr>
          <w:rFonts w:hint="default" w:ascii="Times New Roman" w:hAnsi="Times New Roman" w:eastAsia="方正仿宋_GBK" w:cs="Times New Roman"/>
          <w:sz w:val="32"/>
          <w:szCs w:val="32"/>
          <w:shd w:val="clear" w:color="auto" w:fill="FFFFFF"/>
          <w:lang w:val="en-US" w:eastAsia="zh-CN" w:bidi="ar-SA"/>
        </w:rPr>
        <w:t>指在基本支出之外为完成特定行政任务和事业发展目标所发生的支出。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leftChars="0" w:firstLine="723" w:firstLineChars="225"/>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rPr>
        <w:t> （十一）经营支出：</w:t>
      </w:r>
      <w:r>
        <w:rPr>
          <w:rFonts w:hint="default" w:ascii="Times New Roman" w:hAnsi="Times New Roman" w:eastAsia="方正仿宋_GBK" w:cs="Times New Roman"/>
          <w:sz w:val="32"/>
          <w:szCs w:val="32"/>
          <w:shd w:val="clear" w:color="auto" w:fill="FFFFFF"/>
          <w:lang w:val="en-US" w:eastAsia="zh-CN" w:bidi="ar-SA"/>
        </w:rPr>
        <w:t>指事业单位在专业业务活动及其辅助活动之外开展非独立核算经营活动发生的支出。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leftChars="0" w:firstLine="723" w:firstLineChars="225"/>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方正楷体_GBK"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leftChars="0" w:firstLine="723" w:firstLineChars="225"/>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rPr>
        <w:t> （十三）机关运行经费：</w:t>
      </w:r>
      <w:r>
        <w:rPr>
          <w:rFonts w:hint="default" w:ascii="Times New Roman" w:hAnsi="Times New Roman" w:eastAsia="方正仿宋_GBK" w:cs="Times New Roman"/>
          <w:sz w:val="32"/>
          <w:szCs w:val="32"/>
          <w:shd w:val="clear" w:color="auto" w:fill="FFFFFF"/>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leftChars="0" w:firstLine="723" w:firstLineChars="225"/>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rPr>
        <w:t> （十四）工资福利支出（支出经济分类科目类级）：</w:t>
      </w:r>
      <w:r>
        <w:rPr>
          <w:rFonts w:hint="default" w:ascii="Times New Roman" w:hAnsi="Times New Roman" w:eastAsia="方正仿宋_GBK" w:cs="Times New Roman"/>
          <w:sz w:val="32"/>
          <w:szCs w:val="32"/>
          <w:shd w:val="clear" w:color="auto" w:fill="FFFFFF"/>
          <w:lang w:val="en-US" w:eastAsia="zh-CN" w:bidi="ar-SA"/>
        </w:rPr>
        <w:t>反映单位开支的在职职工和编制外长期聘用人员的各类劳动报酬，以及为上述人员缴纳的各项社会保险费等。</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leftChars="0" w:firstLine="723" w:firstLineChars="225"/>
        <w:jc w:val="both"/>
        <w:textAlignment w:val="auto"/>
        <w:rPr>
          <w:rFonts w:hint="default" w:ascii="Times New Roman" w:hAnsi="Times New Roman" w:eastAsia="方正仿宋_GBK" w:cs="Times New Roman"/>
          <w:sz w:val="32"/>
          <w:szCs w:val="32"/>
          <w:shd w:val="clear" w:color="auto" w:fill="FFFFFF"/>
          <w:lang w:val="en-US" w:eastAsia="zh-CN" w:bidi="ar-SA"/>
        </w:rPr>
      </w:pPr>
      <w:r>
        <w:rPr>
          <w:rStyle w:val="9"/>
          <w:rFonts w:hint="default" w:ascii="Times New Roman" w:hAnsi="Times New Roman" w:eastAsia="方正楷体_GBK" w:cs="Times New Roman"/>
          <w:sz w:val="32"/>
          <w:szCs w:val="32"/>
          <w:shd w:val="clear" w:color="auto" w:fill="FFFFFF"/>
        </w:rPr>
        <w:t> （十五）商品和服务支出（支出经济分类科目类级）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bidi="ar-SA"/>
        </w:rPr>
        <w:t>反映单位购买商品和服务的支出（不包括用于购置固定资产的支出、战略性和应急储备支出）。</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leftChars="0" w:firstLine="723" w:firstLineChars="225"/>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lang w:val="en-US" w:eastAsia="zh-CN" w:bidi="ar-SA"/>
        </w:rPr>
        <w:t>反映用于对个人和家庭的补助支出。</w:t>
      </w:r>
    </w:p>
    <w:p>
      <w:pPr>
        <w:pStyle w:val="13"/>
        <w:keepNext w:val="0"/>
        <w:keepLines w:val="0"/>
        <w:pageBreakBefore w:val="0"/>
        <w:kinsoku/>
        <w:wordWrap/>
        <w:overflowPunct/>
        <w:topLinePunct w:val="0"/>
        <w:autoSpaceDE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 七、决算公开联系方式及信息反馈渠道</w:t>
      </w:r>
    </w:p>
    <w:p>
      <w:pPr>
        <w:pStyle w:val="17"/>
        <w:keepNext w:val="0"/>
        <w:keepLines w:val="0"/>
        <w:pageBreakBefore w:val="0"/>
        <w:tabs>
          <w:tab w:val="center" w:pos="4153"/>
          <w:tab w:val="left" w:pos="7275"/>
        </w:tabs>
        <w:kinsoku/>
        <w:wordWrap/>
        <w:overflowPunct/>
        <w:topLinePunct w:val="0"/>
        <w:autoSpaceDN/>
        <w:bidi w:val="0"/>
        <w:adjustRightInd/>
        <w:spacing w:beforeAutospacing="0" w:afterAutospacing="0" w:line="60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lang w:val="en-US" w:eastAsia="zh-CN" w:bidi="ar-SA"/>
        </w:rPr>
        <w:t>本单位决算公开信息反馈和联系方式：02381151019</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方正黑体_GBK" w:hAnsi="方正黑体_GBK" w:eastAsia="方正黑体_GBK" w:cs="方正黑体_GBK"/>
          <w:sz w:val="32"/>
          <w:szCs w:val="32"/>
          <w:shd w:val="clear" w:color="auto" w:fill="FFFFFF"/>
          <w:lang w:eastAsia="zh-CN"/>
        </w:rPr>
        <w:sectPr>
          <w:headerReference r:id="rId5" w:type="first"/>
          <w:footerReference r:id="rId8" w:type="first"/>
          <w:headerReference r:id="rId3" w:type="default"/>
          <w:footerReference r:id="rId6" w:type="default"/>
          <w:headerReference r:id="rId4" w:type="even"/>
          <w:footerReference r:id="rId7" w:type="even"/>
          <w:pgSz w:w="11915" w:h="16840"/>
          <w:pgMar w:top="2098" w:right="1531" w:bottom="1984" w:left="1531" w:header="851" w:footer="992" w:gutter="0"/>
          <w:pgNumType w:fmt="numberInDash"/>
          <w:cols w:space="0" w:num="1"/>
          <w:rtlGutter w:val="0"/>
          <w:docGrid w:type="lines" w:linePitch="327" w:charSpace="0"/>
        </w:sectPr>
      </w:pPr>
    </w:p>
    <w:p>
      <w:pPr>
        <w:rPr>
          <w:rFonts w:hint="default"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重庆科学城康居西城第一幼儿园</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1,573.68</w:t>
            </w:r>
            <w:bookmarkStart w:id="0" w:name="_GoBack"/>
            <w:r>
              <w:rPr>
                <w:color w:val="000000"/>
                <w:sz w:val="20"/>
              </w:rPr>
              <w:t xml:space="preserve"> </w:t>
            </w:r>
            <w:bookmarkEnd w:id="0"/>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868.09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2,350.45</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45.62</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22.85</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22.85</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2,441.77</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2,441.77</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2,441.77</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2,441.77</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重庆科学城康居西城第一幼儿园</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2,441.77</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1,573.68</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868.09</w:t>
            </w: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868.09</w:t>
            </w: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2,350.45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1,482.36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868.09</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868.09</w:t>
            </w:r>
            <w:r>
              <w:rPr>
                <w:b/>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2,350.45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1,482.36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868.09</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868.09</w:t>
            </w:r>
            <w:r>
              <w:rPr>
                <w:b/>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2,350.45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1,482.36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868.09</w:t>
            </w: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868.09</w:t>
            </w: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30.41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30.41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重庆科学城康居西城第一幼儿园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2,441.77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1,770.66</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671.11</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2,350.45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1,679.34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671.11</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2,350.45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1,679.34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671.11</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2,350.45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1,679.34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671.11</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30.41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30.41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p>
      <w:pPr>
        <w:rPr>
          <w:rFonts w:hint="default"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重庆科学城康居西城第一幼儿园</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1,573.68</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1,482.36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1,482.36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1,573.68</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1,573.68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1,573.68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1,573.68</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1,573.68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1,573.68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重庆科学城康居西城第一幼儿园</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1,573.68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902.57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671.11</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1,482.36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811.25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671.11</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1,482.36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811.25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671.11</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1,482.36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811.25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671.11</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30.41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30.41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重庆科学城康居西城第一幼儿园</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646.45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204.95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24.66</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89.15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73.88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24.66</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456.70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30.41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48.73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27.40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672.96</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229.61</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重庆科学城康居西城第一幼儿园</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重庆科学城康居西城第一幼儿园</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重庆科学城康居西城第一幼儿园</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11.46</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9" w:type="default"/>
      <w:footerReference r:id="rId10"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0C7"/>
    <w:rsid w:val="00097675"/>
    <w:rsid w:val="0012278F"/>
    <w:rsid w:val="00171922"/>
    <w:rsid w:val="00182336"/>
    <w:rsid w:val="00197E13"/>
    <w:rsid w:val="001D3BB7"/>
    <w:rsid w:val="001F6980"/>
    <w:rsid w:val="00200D15"/>
    <w:rsid w:val="0022556A"/>
    <w:rsid w:val="002677B4"/>
    <w:rsid w:val="00297D08"/>
    <w:rsid w:val="002B254B"/>
    <w:rsid w:val="002D64C5"/>
    <w:rsid w:val="004258BA"/>
    <w:rsid w:val="00442221"/>
    <w:rsid w:val="0045791E"/>
    <w:rsid w:val="00466C9B"/>
    <w:rsid w:val="004729FC"/>
    <w:rsid w:val="004A303F"/>
    <w:rsid w:val="00550ABE"/>
    <w:rsid w:val="005C209D"/>
    <w:rsid w:val="00631C5B"/>
    <w:rsid w:val="00654FA8"/>
    <w:rsid w:val="0066321D"/>
    <w:rsid w:val="006B2AEC"/>
    <w:rsid w:val="006B6518"/>
    <w:rsid w:val="00710956"/>
    <w:rsid w:val="00770383"/>
    <w:rsid w:val="007819D4"/>
    <w:rsid w:val="007B419D"/>
    <w:rsid w:val="007B70EC"/>
    <w:rsid w:val="007B7C4B"/>
    <w:rsid w:val="007D3D39"/>
    <w:rsid w:val="007F41C8"/>
    <w:rsid w:val="00836A93"/>
    <w:rsid w:val="00841D51"/>
    <w:rsid w:val="008D0790"/>
    <w:rsid w:val="008F4675"/>
    <w:rsid w:val="00994AF7"/>
    <w:rsid w:val="009B1BF7"/>
    <w:rsid w:val="009B67B8"/>
    <w:rsid w:val="009D2B67"/>
    <w:rsid w:val="00A04B9D"/>
    <w:rsid w:val="00A36302"/>
    <w:rsid w:val="00A566F9"/>
    <w:rsid w:val="00A665FC"/>
    <w:rsid w:val="00AA7807"/>
    <w:rsid w:val="00AB6937"/>
    <w:rsid w:val="00AF2751"/>
    <w:rsid w:val="00B0272D"/>
    <w:rsid w:val="00B03CCD"/>
    <w:rsid w:val="00B12389"/>
    <w:rsid w:val="00B460C0"/>
    <w:rsid w:val="00B82DBE"/>
    <w:rsid w:val="00BD4EDE"/>
    <w:rsid w:val="00BE2B89"/>
    <w:rsid w:val="00C04A56"/>
    <w:rsid w:val="00C10E9E"/>
    <w:rsid w:val="00C20C3E"/>
    <w:rsid w:val="00C57087"/>
    <w:rsid w:val="00C66065"/>
    <w:rsid w:val="00C677AE"/>
    <w:rsid w:val="00C802ED"/>
    <w:rsid w:val="00CC73B0"/>
    <w:rsid w:val="00CD7EF3"/>
    <w:rsid w:val="00D91DA2"/>
    <w:rsid w:val="00DC2578"/>
    <w:rsid w:val="00E3027D"/>
    <w:rsid w:val="00E81785"/>
    <w:rsid w:val="00F0401F"/>
    <w:rsid w:val="00F73F90"/>
    <w:rsid w:val="00FA00E5"/>
    <w:rsid w:val="00FB08E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90E56"/>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546B3A"/>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2202C1"/>
    <w:rsid w:val="27B23302"/>
    <w:rsid w:val="29310A5F"/>
    <w:rsid w:val="29C37A35"/>
    <w:rsid w:val="2A076083"/>
    <w:rsid w:val="2A73162E"/>
    <w:rsid w:val="2B167953"/>
    <w:rsid w:val="2B200583"/>
    <w:rsid w:val="2B8209DE"/>
    <w:rsid w:val="2C636760"/>
    <w:rsid w:val="2C6762A3"/>
    <w:rsid w:val="2FCA4B37"/>
    <w:rsid w:val="2FE029D7"/>
    <w:rsid w:val="2FF06E00"/>
    <w:rsid w:val="30586FEC"/>
    <w:rsid w:val="30C57BD8"/>
    <w:rsid w:val="315F0B22"/>
    <w:rsid w:val="31D84415"/>
    <w:rsid w:val="32285F6F"/>
    <w:rsid w:val="32770556"/>
    <w:rsid w:val="329C0913"/>
    <w:rsid w:val="32AA0460"/>
    <w:rsid w:val="3337290D"/>
    <w:rsid w:val="33E31118"/>
    <w:rsid w:val="33EF7674"/>
    <w:rsid w:val="342D7BC6"/>
    <w:rsid w:val="34C52047"/>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9974A8"/>
    <w:rsid w:val="4DAC4ACA"/>
    <w:rsid w:val="4DBE01D2"/>
    <w:rsid w:val="4F0C6BA3"/>
    <w:rsid w:val="4F186D58"/>
    <w:rsid w:val="50F06B6E"/>
    <w:rsid w:val="51D21804"/>
    <w:rsid w:val="52234D33"/>
    <w:rsid w:val="522F6E0C"/>
    <w:rsid w:val="52463BA1"/>
    <w:rsid w:val="52A304CD"/>
    <w:rsid w:val="52F163D4"/>
    <w:rsid w:val="531A2DB4"/>
    <w:rsid w:val="53C0244D"/>
    <w:rsid w:val="53DD4D4E"/>
    <w:rsid w:val="53E578CE"/>
    <w:rsid w:val="541330F0"/>
    <w:rsid w:val="54272666"/>
    <w:rsid w:val="543B029D"/>
    <w:rsid w:val="54861779"/>
    <w:rsid w:val="54A1101D"/>
    <w:rsid w:val="552256E1"/>
    <w:rsid w:val="554E5773"/>
    <w:rsid w:val="555829E0"/>
    <w:rsid w:val="555A3CBC"/>
    <w:rsid w:val="5582012B"/>
    <w:rsid w:val="558E4E05"/>
    <w:rsid w:val="55BE2E85"/>
    <w:rsid w:val="56530F5D"/>
    <w:rsid w:val="567700D3"/>
    <w:rsid w:val="56FF7E9E"/>
    <w:rsid w:val="578867FC"/>
    <w:rsid w:val="5842572D"/>
    <w:rsid w:val="59243B38"/>
    <w:rsid w:val="5A3B59D6"/>
    <w:rsid w:val="5AC42E6D"/>
    <w:rsid w:val="5AD134D8"/>
    <w:rsid w:val="5B0C1632"/>
    <w:rsid w:val="5C263CE4"/>
    <w:rsid w:val="5C5D2777"/>
    <w:rsid w:val="5CF66BF3"/>
    <w:rsid w:val="5D290C69"/>
    <w:rsid w:val="5D461DA0"/>
    <w:rsid w:val="5F2D4A41"/>
    <w:rsid w:val="5FDA79C6"/>
    <w:rsid w:val="60C74F6C"/>
    <w:rsid w:val="61025A59"/>
    <w:rsid w:val="613D5BBC"/>
    <w:rsid w:val="61536C39"/>
    <w:rsid w:val="62944DD7"/>
    <w:rsid w:val="6319381F"/>
    <w:rsid w:val="63C25DC5"/>
    <w:rsid w:val="63C62057"/>
    <w:rsid w:val="64571EF5"/>
    <w:rsid w:val="64947EF9"/>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6F6456"/>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2B6EF1"/>
    <w:rsid w:val="754758CF"/>
    <w:rsid w:val="764F62AB"/>
    <w:rsid w:val="765C45EC"/>
    <w:rsid w:val="7662424F"/>
    <w:rsid w:val="768A7619"/>
    <w:rsid w:val="772E1EBA"/>
    <w:rsid w:val="781926BC"/>
    <w:rsid w:val="796D60A4"/>
    <w:rsid w:val="79A031D5"/>
    <w:rsid w:val="7A1525F7"/>
    <w:rsid w:val="7B420052"/>
    <w:rsid w:val="7B627DC6"/>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paragraph" w:styleId="17">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7671</Words>
  <Characters>4545</Characters>
  <Lines>37</Lines>
  <Paragraphs>24</Paragraphs>
  <TotalTime>4</TotalTime>
  <ScaleCrop>false</ScaleCrop>
  <LinksUpToDate>false</LinksUpToDate>
  <CharactersWithSpaces>12192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2024-10-10T07:05:00Z</cp:lastPrinted>
  <dcterms:modified xsi:type="dcterms:W3CDTF">2024-10-16T07:23:23Z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