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088B1">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262626"/>
          <w:sz w:val="44"/>
          <w:szCs w:val="44"/>
          <w:shd w:val="clear" w:color="auto" w:fill="FFFFFF"/>
        </w:rPr>
        <w:t>重庆高新区养老服务领域行政处罚事项清单</w:t>
      </w:r>
    </w:p>
    <w:tbl>
      <w:tblPr>
        <w:tblStyle w:val="5"/>
        <w:tblW w:w="15375" w:type="dxa"/>
        <w:jc w:val="center"/>
        <w:tblLayout w:type="fixed"/>
        <w:tblCellMar>
          <w:top w:w="0" w:type="dxa"/>
          <w:left w:w="108" w:type="dxa"/>
          <w:bottom w:w="0" w:type="dxa"/>
          <w:right w:w="108" w:type="dxa"/>
        </w:tblCellMar>
      </w:tblPr>
      <w:tblGrid>
        <w:gridCol w:w="611"/>
        <w:gridCol w:w="700"/>
        <w:gridCol w:w="850"/>
        <w:gridCol w:w="1134"/>
        <w:gridCol w:w="5245"/>
        <w:gridCol w:w="1134"/>
        <w:gridCol w:w="2157"/>
        <w:gridCol w:w="3544"/>
      </w:tblGrid>
      <w:tr w14:paraId="1AD1889E">
        <w:tblPrEx>
          <w:tblCellMar>
            <w:top w:w="0" w:type="dxa"/>
            <w:left w:w="108" w:type="dxa"/>
            <w:bottom w:w="0" w:type="dxa"/>
            <w:right w:w="108" w:type="dxa"/>
          </w:tblCellMar>
        </w:tblPrEx>
        <w:trPr>
          <w:trHeight w:val="794"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3144F11A">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序号</w:t>
            </w:r>
          </w:p>
        </w:tc>
        <w:tc>
          <w:tcPr>
            <w:tcW w:w="700" w:type="dxa"/>
            <w:tcBorders>
              <w:top w:val="single" w:color="auto" w:sz="4" w:space="0"/>
              <w:left w:val="nil"/>
              <w:bottom w:val="single" w:color="auto" w:sz="4" w:space="0"/>
              <w:right w:val="single" w:color="auto" w:sz="4" w:space="0"/>
            </w:tcBorders>
            <w:shd w:val="clear" w:color="auto" w:fill="auto"/>
            <w:vAlign w:val="center"/>
          </w:tcPr>
          <w:p w14:paraId="71245031">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范围</w:t>
            </w:r>
          </w:p>
        </w:tc>
        <w:tc>
          <w:tcPr>
            <w:tcW w:w="850" w:type="dxa"/>
            <w:tcBorders>
              <w:top w:val="single" w:color="auto" w:sz="4" w:space="0"/>
              <w:left w:val="nil"/>
              <w:bottom w:val="single" w:color="auto" w:sz="4" w:space="0"/>
              <w:right w:val="single" w:color="auto" w:sz="4" w:space="0"/>
            </w:tcBorders>
            <w:shd w:val="clear" w:color="auto" w:fill="auto"/>
            <w:vAlign w:val="center"/>
          </w:tcPr>
          <w:p w14:paraId="43EECDD4">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法律依据名称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0DC1B64F">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违法行为</w:t>
            </w:r>
          </w:p>
          <w:p w14:paraId="5120F369">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名称</w:t>
            </w:r>
          </w:p>
        </w:tc>
        <w:tc>
          <w:tcPr>
            <w:tcW w:w="5245" w:type="dxa"/>
            <w:tcBorders>
              <w:top w:val="single" w:color="auto" w:sz="4" w:space="0"/>
              <w:left w:val="nil"/>
              <w:bottom w:val="single" w:color="auto" w:sz="4" w:space="0"/>
              <w:right w:val="single" w:color="auto" w:sz="4" w:space="0"/>
            </w:tcBorders>
            <w:shd w:val="clear" w:color="auto" w:fill="auto"/>
            <w:vAlign w:val="center"/>
          </w:tcPr>
          <w:p w14:paraId="4C137300">
            <w:pPr>
              <w:widowControl/>
              <w:adjustRightInd w:val="0"/>
              <w:snapToGrid w:val="0"/>
              <w:ind w:firstLine="360" w:firstLineChars="20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行政处罚依据</w:t>
            </w:r>
          </w:p>
        </w:tc>
        <w:tc>
          <w:tcPr>
            <w:tcW w:w="1134" w:type="dxa"/>
            <w:tcBorders>
              <w:top w:val="single" w:color="auto" w:sz="4" w:space="0"/>
              <w:left w:val="nil"/>
              <w:bottom w:val="single" w:color="auto" w:sz="4" w:space="0"/>
              <w:right w:val="single" w:color="auto" w:sz="4" w:space="0"/>
            </w:tcBorders>
            <w:shd w:val="clear" w:color="auto" w:fill="auto"/>
            <w:vAlign w:val="center"/>
          </w:tcPr>
          <w:p w14:paraId="77A62392">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裁量阶次</w:t>
            </w:r>
          </w:p>
        </w:tc>
        <w:tc>
          <w:tcPr>
            <w:tcW w:w="2157" w:type="dxa"/>
            <w:tcBorders>
              <w:top w:val="single" w:color="auto" w:sz="4" w:space="0"/>
              <w:left w:val="nil"/>
              <w:bottom w:val="single" w:color="auto" w:sz="4" w:space="0"/>
              <w:right w:val="single" w:color="auto" w:sz="4" w:space="0"/>
            </w:tcBorders>
            <w:shd w:val="clear" w:color="auto" w:fill="auto"/>
            <w:vAlign w:val="center"/>
          </w:tcPr>
          <w:p w14:paraId="0385BFFD">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裁量情形</w:t>
            </w:r>
          </w:p>
        </w:tc>
        <w:tc>
          <w:tcPr>
            <w:tcW w:w="3544" w:type="dxa"/>
            <w:tcBorders>
              <w:top w:val="single" w:color="auto" w:sz="4" w:space="0"/>
              <w:left w:val="nil"/>
              <w:bottom w:val="single" w:color="auto" w:sz="4" w:space="0"/>
              <w:right w:val="single" w:color="auto" w:sz="4" w:space="0"/>
            </w:tcBorders>
            <w:shd w:val="clear" w:color="auto" w:fill="auto"/>
            <w:vAlign w:val="center"/>
          </w:tcPr>
          <w:p w14:paraId="309548F5">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裁量标准</w:t>
            </w:r>
          </w:p>
        </w:tc>
      </w:tr>
      <w:tr w14:paraId="0597723D">
        <w:tblPrEx>
          <w:tblCellMar>
            <w:top w:w="0" w:type="dxa"/>
            <w:left w:w="108" w:type="dxa"/>
            <w:bottom w:w="0" w:type="dxa"/>
            <w:right w:w="108" w:type="dxa"/>
          </w:tblCellMar>
        </w:tblPrEx>
        <w:trPr>
          <w:trHeight w:val="2608"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048CC6BF">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7F6C9C8D">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01A770FE">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《重庆市老年人权益保障条例》</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732EA1F0">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对养老机构违规收取和使用保证金、押金等行为的处罚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1ABB8345">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w:t>
            </w: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养老机构向入住的老年人收取的保证金或者押金等费用，超出范围使用的，由民政部门责令改正；拒不改正的，处违法金额一倍以上三倍以下的罚款。</w:t>
            </w:r>
          </w:p>
        </w:tc>
        <w:tc>
          <w:tcPr>
            <w:tcW w:w="1134" w:type="dxa"/>
            <w:tcBorders>
              <w:top w:val="nil"/>
              <w:left w:val="nil"/>
              <w:bottom w:val="single" w:color="auto" w:sz="4" w:space="0"/>
              <w:right w:val="single" w:color="auto" w:sz="4" w:space="0"/>
            </w:tcBorders>
            <w:shd w:val="clear" w:color="auto" w:fill="auto"/>
            <w:vAlign w:val="center"/>
          </w:tcPr>
          <w:p w14:paraId="6EDA1984">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nil"/>
              <w:left w:val="nil"/>
              <w:bottom w:val="single" w:color="auto" w:sz="4" w:space="0"/>
              <w:right w:val="single" w:color="auto" w:sz="4" w:space="0"/>
            </w:tcBorders>
            <w:shd w:val="clear" w:color="auto" w:fill="auto"/>
            <w:vAlign w:val="center"/>
          </w:tcPr>
          <w:p w14:paraId="7945685D">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向入住的老年人收取的保证金或者押金等费用，超过该老年人入住养老机构月服务费用六倍，拒不退还，造成较小不良后果的；超额部分为月服务费3倍以下的；超出范围使用，责令改正，拒不改正，造成较小不良后果的。</w:t>
            </w:r>
          </w:p>
        </w:tc>
        <w:tc>
          <w:tcPr>
            <w:tcW w:w="3544" w:type="dxa"/>
            <w:tcBorders>
              <w:top w:val="nil"/>
              <w:left w:val="nil"/>
              <w:bottom w:val="single" w:color="auto" w:sz="4" w:space="0"/>
              <w:right w:val="single" w:color="auto" w:sz="4" w:space="0"/>
            </w:tcBorders>
            <w:shd w:val="clear" w:color="auto" w:fill="auto"/>
            <w:vAlign w:val="center"/>
          </w:tcPr>
          <w:p w14:paraId="199184B1">
            <w:pPr>
              <w:widowControl/>
              <w:adjustRightInd w:val="0"/>
              <w:snapToGrid w:val="0"/>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责令立即退还超额部分本金，并支付银行同期活期存款利息，拒不退还的，处违法金额1倍以上1.5倍以下的罚款；超出范围使用的，责令改正，拒不改正的，处违法金额1倍以上1.5倍以下的罚款。</w:t>
            </w:r>
          </w:p>
        </w:tc>
      </w:tr>
      <w:tr w14:paraId="6066B717">
        <w:tblPrEx>
          <w:tblCellMar>
            <w:top w:w="0" w:type="dxa"/>
            <w:left w:w="108" w:type="dxa"/>
            <w:bottom w:w="0" w:type="dxa"/>
            <w:right w:w="108" w:type="dxa"/>
          </w:tblCellMar>
        </w:tblPrEx>
        <w:trPr>
          <w:trHeight w:val="2608"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398EA051">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3138E88B">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5D73016F">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3F300445">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14A2513C">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14:paraId="5248E5F3">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一般</w:t>
            </w:r>
          </w:p>
        </w:tc>
        <w:tc>
          <w:tcPr>
            <w:tcW w:w="2157" w:type="dxa"/>
            <w:tcBorders>
              <w:top w:val="nil"/>
              <w:left w:val="nil"/>
              <w:bottom w:val="single" w:color="auto" w:sz="4" w:space="0"/>
              <w:right w:val="single" w:color="auto" w:sz="4" w:space="0"/>
            </w:tcBorders>
            <w:shd w:val="clear" w:color="auto" w:fill="auto"/>
            <w:vAlign w:val="center"/>
          </w:tcPr>
          <w:p w14:paraId="07308E5D">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向入住的老年人收取的保证金或者押金等费用，超过该老年人入住养老机构月服务费用六倍，拒不退还，造成较大不良后果的；超额部分为月服务费3倍以上6倍以下的；超出范围使用，责令改正，拒不改正，造成较大不良后果。</w:t>
            </w:r>
          </w:p>
        </w:tc>
        <w:tc>
          <w:tcPr>
            <w:tcW w:w="3544" w:type="dxa"/>
            <w:tcBorders>
              <w:top w:val="nil"/>
              <w:left w:val="nil"/>
              <w:bottom w:val="single" w:color="auto" w:sz="4" w:space="0"/>
              <w:right w:val="single" w:color="auto" w:sz="4" w:space="0"/>
            </w:tcBorders>
            <w:shd w:val="clear" w:color="auto" w:fill="auto"/>
            <w:vAlign w:val="center"/>
          </w:tcPr>
          <w:p w14:paraId="37C23CDE">
            <w:pPr>
              <w:widowControl/>
              <w:adjustRightInd w:val="0"/>
              <w:snapToGrid w:val="0"/>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责令立即退还超额部分本金，并支付银行同期活期存款利息，拒不退还的，处违法金额1.5倍以上2倍以下的罚款；超出范围使用的，责令改正，拒不改正的，处违法金额1.5倍以上2倍以下的罚款。</w:t>
            </w:r>
          </w:p>
        </w:tc>
      </w:tr>
      <w:tr w14:paraId="2E8B0128">
        <w:tblPrEx>
          <w:tblCellMar>
            <w:top w:w="0" w:type="dxa"/>
            <w:left w:w="108" w:type="dxa"/>
            <w:bottom w:w="0" w:type="dxa"/>
            <w:right w:w="108" w:type="dxa"/>
          </w:tblCellMar>
        </w:tblPrEx>
        <w:trPr>
          <w:trHeight w:val="2608"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7B520A34">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70B48791">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72BEA5B9">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20F6B816">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753D5DA1">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14:paraId="6FFD782C">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14:paraId="5960CCEE">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向入住的老年人收取的保证金或者押金等费用，超过该老年人入住养老机构月服务费用六倍，拒不退还，造成严重不良后果的；超额部分为月服务费6倍以上的；超出范围使用，责令改正，拒不改正，造成严重不良后果。</w:t>
            </w:r>
          </w:p>
        </w:tc>
        <w:tc>
          <w:tcPr>
            <w:tcW w:w="3544" w:type="dxa"/>
            <w:tcBorders>
              <w:top w:val="nil"/>
              <w:left w:val="nil"/>
              <w:bottom w:val="single" w:color="auto" w:sz="4" w:space="0"/>
              <w:right w:val="single" w:color="auto" w:sz="4" w:space="0"/>
            </w:tcBorders>
            <w:shd w:val="clear" w:color="auto" w:fill="auto"/>
            <w:vAlign w:val="center"/>
          </w:tcPr>
          <w:p w14:paraId="1D8DD2F3">
            <w:pPr>
              <w:widowControl/>
              <w:adjustRightInd w:val="0"/>
              <w:snapToGrid w:val="0"/>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责令立即退还超额部分本金，并支付银行同期活期存款利息，拒不退还的，处违法金额2倍以上3倍以下的罚款；超出范围使用的，责令改正，拒不改正的，处违法金额2倍以上3倍以下的罚款。</w:t>
            </w:r>
          </w:p>
        </w:tc>
      </w:tr>
      <w:tr w14:paraId="77F1DB8D">
        <w:tblPrEx>
          <w:tblCellMar>
            <w:top w:w="0" w:type="dxa"/>
            <w:left w:w="108" w:type="dxa"/>
            <w:bottom w:w="0" w:type="dxa"/>
            <w:right w:w="108" w:type="dxa"/>
          </w:tblCellMar>
        </w:tblPrEx>
        <w:trPr>
          <w:trHeight w:val="1314" w:hRule="atLeast"/>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F08A06">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2D488C">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7C1C79">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《重庆市养老机构管理办法》</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33249C">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对养老机构擅自暂停或者终止服务的处罚</w:t>
            </w:r>
          </w:p>
        </w:tc>
        <w:tc>
          <w:tcPr>
            <w:tcW w:w="5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6971F4">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《重庆市养老机构管理办法》第五十七条 违反本办法规定，养老机构擅自暂停、终止服务，或者暂停、终止服务未妥善安置老年人的，由民政部门责令限期改正;逾期未改正的，处1万元以上3万元以下罚款。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5C94B0">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7B500C25">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擅自暂停或者终止服务，造成较小不良后果的。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45527E90">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处1万元以下罚款。</w:t>
            </w:r>
          </w:p>
        </w:tc>
      </w:tr>
      <w:tr w14:paraId="2D77139A">
        <w:tblPrEx>
          <w:tblCellMar>
            <w:top w:w="0" w:type="dxa"/>
            <w:left w:w="108" w:type="dxa"/>
            <w:bottom w:w="0" w:type="dxa"/>
            <w:right w:w="108" w:type="dxa"/>
          </w:tblCellMar>
        </w:tblPrEx>
        <w:trPr>
          <w:trHeight w:val="1324" w:hRule="atLeast"/>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EABC35">
            <w:pPr>
              <w:widowControl/>
              <w:adjustRightInd w:val="0"/>
              <w:snapToGrid w:val="0"/>
              <w:jc w:val="center"/>
              <w:rPr>
                <w:rFonts w:ascii="宋体" w:hAnsi="宋体" w:eastAsia="宋体" w:cs="宋体"/>
                <w:color w:val="000000" w:themeColor="text1"/>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4367D">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C0643B">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08CFDB">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E34C3">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D588D7">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一般</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6E89B065">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擅自暂停或者终止服务，虽已妥善安置所服务老年人，但已享受国家相关补贴政策或资金的；造成较大不良后果的。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70E5D36E">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18"/>
                <w:szCs w:val="18"/>
              </w:rPr>
              <w:t>处1万元以上2万元以下罚款。</w:t>
            </w:r>
          </w:p>
        </w:tc>
      </w:tr>
      <w:tr w14:paraId="1783E3F4">
        <w:tblPrEx>
          <w:tblCellMar>
            <w:top w:w="0" w:type="dxa"/>
            <w:left w:w="108" w:type="dxa"/>
            <w:bottom w:w="0" w:type="dxa"/>
            <w:right w:w="108" w:type="dxa"/>
          </w:tblCellMar>
        </w:tblPrEx>
        <w:trPr>
          <w:trHeight w:val="1178" w:hRule="atLeast"/>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D8A3C5">
            <w:pPr>
              <w:widowControl/>
              <w:adjustRightInd w:val="0"/>
              <w:snapToGrid w:val="0"/>
              <w:jc w:val="center"/>
              <w:rPr>
                <w:rFonts w:ascii="宋体" w:hAnsi="宋体" w:eastAsia="宋体" w:cs="宋体"/>
                <w:color w:val="000000" w:themeColor="text1"/>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7FDB0A">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A145F3">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1FB39D">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2B4E2A">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6164C2C">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160E3B78">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擅自暂停或者终止服务，责令改正后拒不改正的；或者未妥善安置所服务老年人的；造成严重不良后果的。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30C1AD4B">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18"/>
                <w:szCs w:val="18"/>
              </w:rPr>
              <w:t>处2万元以上3万元以下罚款。</w:t>
            </w:r>
          </w:p>
        </w:tc>
      </w:tr>
      <w:tr w14:paraId="19A84ECB">
        <w:tblPrEx>
          <w:tblCellMar>
            <w:top w:w="0" w:type="dxa"/>
            <w:left w:w="108" w:type="dxa"/>
            <w:bottom w:w="0" w:type="dxa"/>
            <w:right w:w="108" w:type="dxa"/>
          </w:tblCellMar>
        </w:tblPrEx>
        <w:trPr>
          <w:trHeight w:val="1304" w:hRule="atLeast"/>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9EF75A">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04DD5C">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A2334E">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47933D">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对养老机构未建立入院评估制度或者未按照规定开展评估活动的处罚</w:t>
            </w:r>
          </w:p>
        </w:tc>
        <w:tc>
          <w:tcPr>
            <w:tcW w:w="5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C2B212">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14:paraId="0E36E325">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（一）未建立入院评估制度或者未按照规定开展评估活动的；</w:t>
            </w:r>
          </w:p>
          <w:p w14:paraId="1292F5F3">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4FE0E4C8">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5B4BBF">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007037A5">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未建立入院评估制度或者未按照规定开展评估活动，造成较小不良后果的。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354A1CF7">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p>
        </w:tc>
      </w:tr>
      <w:tr w14:paraId="343BC8AB">
        <w:tblPrEx>
          <w:tblCellMar>
            <w:top w:w="0" w:type="dxa"/>
            <w:left w:w="108" w:type="dxa"/>
            <w:bottom w:w="0" w:type="dxa"/>
            <w:right w:w="108" w:type="dxa"/>
          </w:tblCellMar>
        </w:tblPrEx>
        <w:trPr>
          <w:trHeight w:val="1114" w:hRule="atLeast"/>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5ED1C">
            <w:pPr>
              <w:widowControl/>
              <w:adjustRightInd w:val="0"/>
              <w:snapToGrid w:val="0"/>
              <w:jc w:val="center"/>
              <w:rPr>
                <w:rFonts w:ascii="宋体" w:hAnsi="宋体" w:eastAsia="宋体" w:cs="宋体"/>
                <w:color w:val="000000" w:themeColor="text1"/>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BD82AE">
            <w:pPr>
              <w:widowControl/>
              <w:adjustRightInd w:val="0"/>
              <w:snapToGrid w:val="0"/>
              <w:jc w:val="center"/>
              <w:rPr>
                <w:rFonts w:ascii="宋体" w:hAnsi="宋体" w:eastAsia="宋体" w:cs="宋体"/>
                <w:color w:val="000000" w:themeColor="text1"/>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83A781">
            <w:pPr>
              <w:widowControl/>
              <w:adjustRightInd w:val="0"/>
              <w:snapToGrid w:val="0"/>
              <w:jc w:val="center"/>
              <w:rPr>
                <w:rFonts w:ascii="宋体" w:hAnsi="宋体" w:eastAsia="宋体" w:cs="宋体"/>
                <w:color w:val="000000" w:themeColor="text1"/>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2523A">
            <w:pPr>
              <w:widowControl/>
              <w:adjustRightInd w:val="0"/>
              <w:snapToGrid w:val="0"/>
              <w:jc w:val="center"/>
              <w:rPr>
                <w:rFonts w:ascii="宋体" w:hAnsi="宋体" w:eastAsia="宋体" w:cs="宋体"/>
                <w:color w:val="000000" w:themeColor="text1"/>
                <w:kern w:val="0"/>
                <w:sz w:val="18"/>
                <w:szCs w:val="18"/>
              </w:rPr>
            </w:pPr>
          </w:p>
        </w:tc>
        <w:tc>
          <w:tcPr>
            <w:tcW w:w="5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1404A">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single" w:color="auto" w:sz="4" w:space="0"/>
              <w:left w:val="single" w:color="auto" w:sz="4" w:space="0"/>
              <w:right w:val="single" w:color="auto" w:sz="4" w:space="0"/>
            </w:tcBorders>
            <w:shd w:val="clear" w:color="auto" w:fill="auto"/>
            <w:vAlign w:val="center"/>
          </w:tcPr>
          <w:p w14:paraId="65A6432B">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5628205F">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未建立入院评估制度或者未按照规定开展评估活动，造成较大不良后果的。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50889FFA">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责令限期改正，处2万元以下罚款。</w:t>
            </w:r>
          </w:p>
        </w:tc>
      </w:tr>
      <w:tr w14:paraId="51C75DF9">
        <w:tblPrEx>
          <w:tblCellMar>
            <w:top w:w="0" w:type="dxa"/>
            <w:left w:w="108" w:type="dxa"/>
            <w:bottom w:w="0" w:type="dxa"/>
            <w:right w:w="108" w:type="dxa"/>
          </w:tblCellMar>
        </w:tblPrEx>
        <w:trPr>
          <w:trHeight w:val="1114" w:hRule="atLeast"/>
          <w:jc w:val="center"/>
        </w:trPr>
        <w:tc>
          <w:tcPr>
            <w:tcW w:w="611" w:type="dxa"/>
            <w:vMerge w:val="continue"/>
            <w:tcBorders>
              <w:left w:val="single" w:color="auto" w:sz="4" w:space="0"/>
              <w:bottom w:val="single" w:color="auto" w:sz="4" w:space="0"/>
              <w:right w:val="single" w:color="auto" w:sz="4" w:space="0"/>
            </w:tcBorders>
            <w:shd w:val="clear" w:color="auto" w:fill="auto"/>
            <w:vAlign w:val="center"/>
          </w:tcPr>
          <w:p w14:paraId="0D5B6FBF">
            <w:pPr>
              <w:widowControl/>
              <w:adjustRightInd w:val="0"/>
              <w:snapToGrid w:val="0"/>
              <w:rPr>
                <w:color w:val="000000" w:themeColor="text1"/>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14:paraId="11AB5476">
            <w:pPr>
              <w:widowControl/>
              <w:adjustRightInd w:val="0"/>
              <w:snapToGrid w:val="0"/>
              <w:rPr>
                <w:color w:val="000000" w:themeColor="text1"/>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14:paraId="552D89AB">
            <w:pPr>
              <w:widowControl/>
              <w:adjustRightInd w:val="0"/>
              <w:snapToGrid w:val="0"/>
              <w:rPr>
                <w:color w:val="000000" w:themeColor="text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14:paraId="21E4AA6D">
            <w:pPr>
              <w:widowControl/>
              <w:adjustRightInd w:val="0"/>
              <w:snapToGrid w:val="0"/>
              <w:rPr>
                <w:color w:val="000000" w:themeColor="text1"/>
              </w:rPr>
            </w:pPr>
          </w:p>
        </w:tc>
        <w:tc>
          <w:tcPr>
            <w:tcW w:w="5245" w:type="dxa"/>
            <w:vMerge w:val="continue"/>
            <w:tcBorders>
              <w:left w:val="single" w:color="auto" w:sz="4" w:space="0"/>
              <w:bottom w:val="single" w:color="auto" w:sz="4" w:space="0"/>
              <w:right w:val="single" w:color="auto" w:sz="4" w:space="0"/>
            </w:tcBorders>
            <w:shd w:val="clear" w:color="auto" w:fill="auto"/>
            <w:vAlign w:val="center"/>
          </w:tcPr>
          <w:p w14:paraId="6B83E394">
            <w:pPr>
              <w:widowControl/>
              <w:adjustRightInd w:val="0"/>
              <w:snapToGrid w:val="0"/>
              <w:rPr>
                <w:color w:val="000000" w:themeColor="text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14:paraId="43B0FD3F">
            <w:pPr>
              <w:widowControl/>
              <w:adjustRightInd w:val="0"/>
              <w:snapToGrid w:val="0"/>
              <w:rPr>
                <w:color w:val="000000" w:themeColor="text1"/>
              </w:rPr>
            </w:pP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7AC847A5">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未建立入院评估制度或者未按照规定开展评估活动，造成严重不良后果的。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5D840D4A">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0"/>
                <w:szCs w:val="20"/>
              </w:rPr>
              <w:t>责令限期改正，处2万元以上3万元以下罚款。</w:t>
            </w:r>
          </w:p>
        </w:tc>
      </w:tr>
      <w:tr w14:paraId="3039BF89">
        <w:tblPrEx>
          <w:tblCellMar>
            <w:top w:w="0" w:type="dxa"/>
            <w:left w:w="108" w:type="dxa"/>
            <w:bottom w:w="0" w:type="dxa"/>
            <w:right w:w="108" w:type="dxa"/>
          </w:tblCellMar>
        </w:tblPrEx>
        <w:trPr>
          <w:trHeight w:val="1304" w:hRule="atLeast"/>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C53C06">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B04D8B">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7859A3">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7C747E">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对养老机构未与老年人或者其代理人签订服务协议，或者协议不符合规定的处罚</w:t>
            </w:r>
          </w:p>
        </w:tc>
        <w:tc>
          <w:tcPr>
            <w:tcW w:w="5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C4D747">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14:paraId="326C6467">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3C5C1D20">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（二）未与老年人或者其代理人签订服务协议，或者未按照协议约定提供服务的；</w:t>
            </w:r>
          </w:p>
          <w:p w14:paraId="36FB614D">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63EE365D">
            <w:pPr>
              <w:widowControl/>
              <w:adjustRightInd w:val="0"/>
              <w:snapToGrid w:val="0"/>
              <w:ind w:firstLine="360" w:firstLineChars="200"/>
              <w:rPr>
                <w:rFonts w:ascii="宋体" w:hAnsi="宋体" w:eastAsia="宋体" w:cs="宋体"/>
                <w:color w:val="000000" w:themeColor="text1"/>
                <w:kern w:val="0"/>
                <w:sz w:val="18"/>
                <w:szCs w:val="18"/>
              </w:rPr>
            </w:pPr>
          </w:p>
          <w:p w14:paraId="5076E67F">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w:t>
            </w:r>
            <w:r>
              <w:rPr>
                <w:rFonts w:hint="eastAsia" w:ascii="宋体" w:hAnsi="宋体" w:eastAsia="宋体" w:cs="宋体"/>
                <w:color w:val="000000" w:themeColor="text1"/>
                <w:kern w:val="0"/>
                <w:sz w:val="18"/>
                <w:szCs w:val="18"/>
                <w:lang w:eastAsia="zh-CN"/>
              </w:rPr>
              <w:t>;</w:t>
            </w:r>
            <w:r>
              <w:rPr>
                <w:rFonts w:hint="eastAsia" w:ascii="宋体" w:hAnsi="宋体" w:eastAsia="宋体" w:cs="宋体"/>
                <w:color w:val="000000" w:themeColor="text1"/>
                <w:kern w:val="0"/>
                <w:sz w:val="18"/>
                <w:szCs w:val="18"/>
              </w:rPr>
              <w:t>逾期未改正的，处2千元以上1万元以下罚款;情节严重的，处1万元以上3万元以下罚款;涉嫌犯罪的，移送司法机关依法追究刑事责任：</w:t>
            </w:r>
          </w:p>
          <w:p w14:paraId="50A7C691">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(一)未与老年人或者其监护人、代理人签订养老服务合同的。</w:t>
            </w:r>
          </w:p>
          <w:p w14:paraId="553C92ED">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14:paraId="1C6C215E">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single" w:color="auto" w:sz="4" w:space="0"/>
              <w:left w:val="nil"/>
              <w:bottom w:val="single" w:color="auto" w:sz="4" w:space="0"/>
              <w:right w:val="single" w:color="auto" w:sz="4" w:space="0"/>
            </w:tcBorders>
            <w:shd w:val="clear" w:color="auto" w:fill="auto"/>
            <w:vAlign w:val="center"/>
          </w:tcPr>
          <w:p w14:paraId="3888C99F">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涉及人数5人以下；造成较小不良后果的。</w:t>
            </w:r>
          </w:p>
        </w:tc>
        <w:tc>
          <w:tcPr>
            <w:tcW w:w="3544" w:type="dxa"/>
            <w:tcBorders>
              <w:top w:val="single" w:color="auto" w:sz="4" w:space="0"/>
              <w:left w:val="nil"/>
              <w:bottom w:val="single" w:color="auto" w:sz="4" w:space="0"/>
              <w:right w:val="single" w:color="auto" w:sz="4" w:space="0"/>
            </w:tcBorders>
            <w:shd w:val="clear" w:color="auto" w:fill="auto"/>
            <w:vAlign w:val="center"/>
          </w:tcPr>
          <w:p w14:paraId="64BD89E7">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14:paraId="503551D4">
        <w:tblPrEx>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5DA78C25">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6BEDB057">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739F22F2">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1B9E7760">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236DAAE2">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right w:val="single" w:color="auto" w:sz="4" w:space="0"/>
            </w:tcBorders>
            <w:shd w:val="clear" w:color="auto" w:fill="auto"/>
            <w:vAlign w:val="center"/>
          </w:tcPr>
          <w:p w14:paraId="7057DF20">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14:paraId="3A516F34">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涉及人数超过5人以上20人以下；造成较大不良后果的。</w:t>
            </w:r>
          </w:p>
        </w:tc>
        <w:tc>
          <w:tcPr>
            <w:tcW w:w="3544" w:type="dxa"/>
            <w:tcBorders>
              <w:top w:val="nil"/>
              <w:left w:val="nil"/>
              <w:bottom w:val="single" w:color="auto" w:sz="4" w:space="0"/>
              <w:right w:val="single" w:color="auto" w:sz="4" w:space="0"/>
            </w:tcBorders>
            <w:shd w:val="clear" w:color="auto" w:fill="auto"/>
            <w:vAlign w:val="center"/>
          </w:tcPr>
          <w:p w14:paraId="562043B0">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14:paraId="458D011C">
        <w:tblPrEx>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1647A97F">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62EF8408">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4475FFEB">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1E5DA274">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45B21611">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14:paraId="49DEF088">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14:paraId="13A33529">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责令改正后拒不改正的；涉及人数20人以上的；造成严重不良后果的。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02976C8B">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14:paraId="39DFEDE0">
        <w:tblPrEx>
          <w:tblCellMar>
            <w:top w:w="0" w:type="dxa"/>
            <w:left w:w="108" w:type="dxa"/>
            <w:bottom w:w="0" w:type="dxa"/>
            <w:right w:w="108" w:type="dxa"/>
          </w:tblCellMar>
        </w:tblPrEx>
        <w:trPr>
          <w:trHeight w:val="1304"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54F4BFF6">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5</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37E83CEB">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216BBEEA">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D9EB2D9">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对养老机构未按照国家有关标准和规定开展服务的处罚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6CF8A75F">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14:paraId="0457983F">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5C23662B">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（三）未按照有关强制性国家标准提供服务的；</w:t>
            </w:r>
          </w:p>
          <w:p w14:paraId="3A4F6AD8">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761ABF27">
            <w:pPr>
              <w:widowControl/>
              <w:adjustRightInd w:val="0"/>
              <w:snapToGrid w:val="0"/>
              <w:ind w:firstLine="360" w:firstLineChars="200"/>
              <w:rPr>
                <w:rFonts w:ascii="宋体" w:hAnsi="宋体" w:eastAsia="宋体" w:cs="宋体"/>
                <w:color w:val="000000" w:themeColor="text1"/>
                <w:kern w:val="0"/>
                <w:sz w:val="18"/>
                <w:szCs w:val="18"/>
              </w:rPr>
            </w:pPr>
          </w:p>
          <w:p w14:paraId="7382DDE2">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14:paraId="2EB95367">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44157E41">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(三)未按照国家有关标准和规定开展服务的。</w:t>
            </w:r>
          </w:p>
          <w:p w14:paraId="033D6F03">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tc>
        <w:tc>
          <w:tcPr>
            <w:tcW w:w="1134" w:type="dxa"/>
            <w:tcBorders>
              <w:top w:val="nil"/>
              <w:left w:val="nil"/>
              <w:bottom w:val="single" w:color="auto" w:sz="4" w:space="0"/>
              <w:right w:val="single" w:color="auto" w:sz="4" w:space="0"/>
            </w:tcBorders>
            <w:shd w:val="clear" w:color="auto" w:fill="auto"/>
            <w:vAlign w:val="center"/>
          </w:tcPr>
          <w:p w14:paraId="78765A8A">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nil"/>
              <w:left w:val="nil"/>
              <w:bottom w:val="single" w:color="auto" w:sz="4" w:space="0"/>
              <w:right w:val="single" w:color="auto" w:sz="4" w:space="0"/>
            </w:tcBorders>
            <w:shd w:val="clear" w:color="auto" w:fill="auto"/>
            <w:vAlign w:val="center"/>
          </w:tcPr>
          <w:p w14:paraId="6977DDDB">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违反国家有关标准开展服务数量3项以下的；造成较小不良后果的。</w:t>
            </w:r>
          </w:p>
        </w:tc>
        <w:tc>
          <w:tcPr>
            <w:tcW w:w="3544" w:type="dxa"/>
            <w:tcBorders>
              <w:top w:val="nil"/>
              <w:left w:val="nil"/>
              <w:bottom w:val="single" w:color="auto" w:sz="4" w:space="0"/>
              <w:right w:val="single" w:color="auto" w:sz="4" w:space="0"/>
            </w:tcBorders>
            <w:shd w:val="clear" w:color="auto" w:fill="auto"/>
            <w:vAlign w:val="center"/>
          </w:tcPr>
          <w:p w14:paraId="42E8BA83">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14:paraId="258BDCCB">
        <w:tblPrEx>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0E98A161">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6EB9CFEB">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55E3EC64">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6EFBF650">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6086DCA6">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right w:val="single" w:color="auto" w:sz="4" w:space="0"/>
            </w:tcBorders>
            <w:shd w:val="clear" w:color="auto" w:fill="auto"/>
            <w:vAlign w:val="center"/>
          </w:tcPr>
          <w:p w14:paraId="46B090D7">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14:paraId="363C8854">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eastAsia="zh-CN"/>
              </w:rPr>
              <w:t>违反</w:t>
            </w:r>
            <w:r>
              <w:rPr>
                <w:rFonts w:hint="eastAsia" w:ascii="宋体" w:hAnsi="宋体" w:eastAsia="宋体" w:cs="宋体"/>
                <w:color w:val="000000" w:themeColor="text1"/>
                <w:kern w:val="0"/>
                <w:sz w:val="18"/>
                <w:szCs w:val="18"/>
              </w:rPr>
              <w:t>国家有关标准开展服务数量在3项以上5项以下的；造成较大不良后果的。</w:t>
            </w:r>
          </w:p>
        </w:tc>
        <w:tc>
          <w:tcPr>
            <w:tcW w:w="3544" w:type="dxa"/>
            <w:tcBorders>
              <w:top w:val="nil"/>
              <w:left w:val="nil"/>
              <w:bottom w:val="single" w:color="auto" w:sz="4" w:space="0"/>
              <w:right w:val="single" w:color="auto" w:sz="4" w:space="0"/>
            </w:tcBorders>
            <w:shd w:val="clear" w:color="auto" w:fill="auto"/>
            <w:vAlign w:val="center"/>
          </w:tcPr>
          <w:p w14:paraId="3ACB5AEA">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14:paraId="7A356C82">
        <w:tblPrEx>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457E5E85">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3576F74A">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0F5CE025">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6BD48917">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0672643D">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14:paraId="052F3864">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14:paraId="628DA6E5">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责令改正后拒不改正的；违反国家有关标准开展服务数量在5项以上的；造成严重不良后果的。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33F9A32D">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14:paraId="6128747B">
        <w:tblPrEx>
          <w:tblCellMar>
            <w:top w:w="0" w:type="dxa"/>
            <w:left w:w="108" w:type="dxa"/>
            <w:bottom w:w="0" w:type="dxa"/>
            <w:right w:w="108" w:type="dxa"/>
          </w:tblCellMar>
        </w:tblPrEx>
        <w:trPr>
          <w:trHeight w:val="2830"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6E55028A">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6</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784A0A07">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27BD801F">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1F015CAB">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对养老机构配备人员的资格不符合规定的处罚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3DABAA6F">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14:paraId="53731CF3">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39B7AAB2">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（四）工作人员的资格不符合规定的；</w:t>
            </w:r>
          </w:p>
          <w:p w14:paraId="5966D19A">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539B46B7">
            <w:pPr>
              <w:widowControl/>
              <w:adjustRightInd w:val="0"/>
              <w:snapToGrid w:val="0"/>
              <w:ind w:firstLine="360" w:firstLineChars="200"/>
              <w:rPr>
                <w:rFonts w:ascii="宋体" w:hAnsi="宋体" w:eastAsia="宋体" w:cs="宋体"/>
                <w:color w:val="000000" w:themeColor="text1"/>
                <w:kern w:val="0"/>
                <w:sz w:val="18"/>
                <w:szCs w:val="18"/>
              </w:rPr>
            </w:pPr>
          </w:p>
          <w:p w14:paraId="0703BCFE">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14:paraId="02C4F6D3">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5D100AA4">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(五)配备人员的资格不符合规定的;</w:t>
            </w:r>
          </w:p>
          <w:p w14:paraId="7ED8C351">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(六)安排未取得健康证明的护理人员、餐饮服务人员上岗工作，或者未及时将患有可能影响老年人身体健康疾病的护理人员、餐饮服务人员调离岗位的。</w:t>
            </w:r>
          </w:p>
          <w:p w14:paraId="7224F630">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tc>
        <w:tc>
          <w:tcPr>
            <w:tcW w:w="1134" w:type="dxa"/>
            <w:tcBorders>
              <w:top w:val="nil"/>
              <w:left w:val="nil"/>
              <w:bottom w:val="single" w:color="auto" w:sz="4" w:space="0"/>
              <w:right w:val="single" w:color="auto" w:sz="4" w:space="0"/>
            </w:tcBorders>
            <w:shd w:val="clear" w:color="auto" w:fill="auto"/>
            <w:vAlign w:val="center"/>
          </w:tcPr>
          <w:p w14:paraId="0E86A85F">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nil"/>
              <w:left w:val="nil"/>
              <w:bottom w:val="single" w:color="auto" w:sz="4" w:space="0"/>
              <w:right w:val="single" w:color="auto" w:sz="4" w:space="0"/>
            </w:tcBorders>
            <w:shd w:val="clear" w:color="auto" w:fill="auto"/>
            <w:vAlign w:val="center"/>
          </w:tcPr>
          <w:p w14:paraId="099400D3">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配备不符合规定的工作人员数量5人以下的；造成较小不良后果的。</w:t>
            </w:r>
          </w:p>
        </w:tc>
        <w:tc>
          <w:tcPr>
            <w:tcW w:w="3544" w:type="dxa"/>
            <w:tcBorders>
              <w:top w:val="nil"/>
              <w:left w:val="nil"/>
              <w:bottom w:val="single" w:color="auto" w:sz="4" w:space="0"/>
              <w:right w:val="single" w:color="auto" w:sz="4" w:space="0"/>
            </w:tcBorders>
            <w:shd w:val="clear" w:color="auto" w:fill="auto"/>
            <w:vAlign w:val="center"/>
          </w:tcPr>
          <w:p w14:paraId="2851145E">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14:paraId="61683D70">
        <w:tblPrEx>
          <w:tblCellMar>
            <w:top w:w="0" w:type="dxa"/>
            <w:left w:w="108" w:type="dxa"/>
            <w:bottom w:w="0" w:type="dxa"/>
            <w:right w:w="108" w:type="dxa"/>
          </w:tblCellMar>
        </w:tblPrEx>
        <w:trPr>
          <w:trHeight w:val="262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3532F3B8">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2F6D0884">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01FAE6D0">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1BBF38C4">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6E41A074">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bottom w:val="single" w:color="auto" w:sz="4" w:space="0"/>
              <w:right w:val="single" w:color="auto" w:sz="4" w:space="0"/>
            </w:tcBorders>
            <w:shd w:val="clear" w:color="auto" w:fill="auto"/>
            <w:vAlign w:val="center"/>
          </w:tcPr>
          <w:p w14:paraId="2FE8A913">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14:paraId="6A7F4DF1">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配备不符合规定的工作人员数量5人以上10人以下的；造成较大不良后果的。</w:t>
            </w:r>
          </w:p>
        </w:tc>
        <w:tc>
          <w:tcPr>
            <w:tcW w:w="3544" w:type="dxa"/>
            <w:tcBorders>
              <w:top w:val="nil"/>
              <w:left w:val="nil"/>
              <w:bottom w:val="single" w:color="auto" w:sz="4" w:space="0"/>
              <w:right w:val="single" w:color="auto" w:sz="4" w:space="0"/>
            </w:tcBorders>
            <w:shd w:val="clear" w:color="auto" w:fill="auto"/>
            <w:vAlign w:val="center"/>
          </w:tcPr>
          <w:p w14:paraId="342A9D1A">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14:paraId="6DE3483F">
        <w:tblPrEx>
          <w:tblCellMar>
            <w:top w:w="0" w:type="dxa"/>
            <w:left w:w="108" w:type="dxa"/>
            <w:bottom w:w="0" w:type="dxa"/>
            <w:right w:w="108" w:type="dxa"/>
          </w:tblCellMar>
        </w:tblPrEx>
        <w:trPr>
          <w:trHeight w:val="2398"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5FB05AEC">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271F2EF4">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7A3DFCAE">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7A3DA777">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20F28F2F">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top w:val="nil"/>
              <w:left w:val="nil"/>
              <w:bottom w:val="single" w:color="auto" w:sz="4" w:space="0"/>
              <w:right w:val="single" w:color="auto" w:sz="4" w:space="0"/>
            </w:tcBorders>
            <w:shd w:val="clear" w:color="auto" w:fill="auto"/>
            <w:vAlign w:val="center"/>
          </w:tcPr>
          <w:p w14:paraId="39023F70">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14:paraId="07BABC56">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责令改正后拒不改正的；配备不符合规定的服务人员数量10人以上的；造成严重不良后果的。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79D0419B">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14:paraId="16687E53">
        <w:tblPrEx>
          <w:tblCellMar>
            <w:top w:w="0" w:type="dxa"/>
            <w:left w:w="108" w:type="dxa"/>
            <w:bottom w:w="0" w:type="dxa"/>
            <w:right w:w="108" w:type="dxa"/>
          </w:tblCellMar>
        </w:tblPrEx>
        <w:trPr>
          <w:trHeight w:val="1158"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05B47899">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7</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1D1C6BE4">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5B680EC8">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F9716EA">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对养老机构利用养老机构的房屋、场地、设施开展与养老服务宗旨无关的活动的处罚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6310B1A3">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14:paraId="0D8D0E26">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58C7DF66">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（五）利用养老机构的房屋、场地、设施开展与养老服务宗旨无关的活动的；</w:t>
            </w:r>
          </w:p>
          <w:p w14:paraId="1CBCCF18">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2C470452">
            <w:pPr>
              <w:widowControl/>
              <w:adjustRightInd w:val="0"/>
              <w:snapToGrid w:val="0"/>
              <w:ind w:firstLine="360" w:firstLineChars="200"/>
              <w:rPr>
                <w:rFonts w:ascii="宋体" w:hAnsi="宋体" w:eastAsia="宋体" w:cs="宋体"/>
                <w:color w:val="000000" w:themeColor="text1"/>
                <w:kern w:val="0"/>
                <w:sz w:val="18"/>
                <w:szCs w:val="18"/>
              </w:rPr>
            </w:pPr>
          </w:p>
          <w:p w14:paraId="2626319E">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14:paraId="2B2E8DEF">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7590C521">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(二)利用养老机构的场所、设施、设备，开展与养老服务宗旨无关活动的。</w:t>
            </w:r>
          </w:p>
          <w:p w14:paraId="07D012E1">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tc>
        <w:tc>
          <w:tcPr>
            <w:tcW w:w="1134" w:type="dxa"/>
            <w:tcBorders>
              <w:top w:val="nil"/>
              <w:left w:val="nil"/>
              <w:bottom w:val="single" w:color="auto" w:sz="4" w:space="0"/>
              <w:right w:val="single" w:color="auto" w:sz="4" w:space="0"/>
            </w:tcBorders>
            <w:shd w:val="clear" w:color="auto" w:fill="auto"/>
            <w:vAlign w:val="center"/>
          </w:tcPr>
          <w:p w14:paraId="3BA9B2AB">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nil"/>
              <w:left w:val="nil"/>
              <w:bottom w:val="single" w:color="auto" w:sz="4" w:space="0"/>
              <w:right w:val="single" w:color="auto" w:sz="4" w:space="0"/>
            </w:tcBorders>
            <w:shd w:val="clear" w:color="auto" w:fill="auto"/>
            <w:vAlign w:val="center"/>
          </w:tcPr>
          <w:p w14:paraId="46895BEA">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从事与养老服务宗旨无关的活动持续时间3个月以下的；造成较小不良后果的。</w:t>
            </w:r>
          </w:p>
        </w:tc>
        <w:tc>
          <w:tcPr>
            <w:tcW w:w="3544" w:type="dxa"/>
            <w:tcBorders>
              <w:top w:val="nil"/>
              <w:left w:val="nil"/>
              <w:bottom w:val="single" w:color="auto" w:sz="4" w:space="0"/>
              <w:right w:val="single" w:color="auto" w:sz="4" w:space="0"/>
            </w:tcBorders>
            <w:shd w:val="clear" w:color="auto" w:fill="auto"/>
            <w:vAlign w:val="center"/>
          </w:tcPr>
          <w:p w14:paraId="4D951C05">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14:paraId="51BFD8CA">
        <w:tblPrEx>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14:paraId="38DDF6AC">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5986238F">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14:paraId="1A73CA78">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0BC43545">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14:paraId="6DCB1751">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bottom w:val="single" w:color="auto" w:sz="4" w:space="0"/>
              <w:right w:val="single" w:color="auto" w:sz="4" w:space="0"/>
            </w:tcBorders>
            <w:shd w:val="clear" w:color="auto" w:fill="auto"/>
            <w:vAlign w:val="center"/>
          </w:tcPr>
          <w:p w14:paraId="0BE3F452">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14:paraId="493EE1FB">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从事与养老服务宗旨无关的活动持续时间在3个月以上6个月以下的；造成较大不良后果的。</w:t>
            </w:r>
          </w:p>
        </w:tc>
        <w:tc>
          <w:tcPr>
            <w:tcW w:w="3544" w:type="dxa"/>
            <w:tcBorders>
              <w:top w:val="nil"/>
              <w:left w:val="nil"/>
              <w:bottom w:val="single" w:color="auto" w:sz="4" w:space="0"/>
              <w:right w:val="single" w:color="auto" w:sz="4" w:space="0"/>
            </w:tcBorders>
            <w:shd w:val="clear" w:color="auto" w:fill="auto"/>
            <w:vAlign w:val="center"/>
          </w:tcPr>
          <w:p w14:paraId="3EBEF9F1">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14:paraId="3927CCB7">
        <w:tblPrEx>
          <w:tblCellMar>
            <w:top w:w="0" w:type="dxa"/>
            <w:left w:w="108" w:type="dxa"/>
            <w:bottom w:w="0" w:type="dxa"/>
            <w:right w:w="108" w:type="dxa"/>
          </w:tblCellMar>
        </w:tblPrEx>
        <w:trPr>
          <w:trHeight w:val="1372"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14:paraId="1F990B4A">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5B9F459B">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14:paraId="63C25C7A">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19559E7F">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14:paraId="71B9570C">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top w:val="nil"/>
              <w:left w:val="nil"/>
              <w:bottom w:val="single" w:color="auto" w:sz="4" w:space="0"/>
              <w:right w:val="single" w:color="auto" w:sz="4" w:space="0"/>
            </w:tcBorders>
            <w:shd w:val="clear" w:color="auto" w:fill="auto"/>
            <w:vAlign w:val="center"/>
          </w:tcPr>
          <w:p w14:paraId="7C71D1A8">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14:paraId="7D080AAE">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责令改正后拒不改正的；或者从事与养老服务宗旨无关的活动持续时间在6个月以上的；造成严重不良后果的。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71AD7AB5">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14:paraId="49882646">
        <w:tblPrEx>
          <w:tblCellMar>
            <w:top w:w="0" w:type="dxa"/>
            <w:left w:w="108" w:type="dxa"/>
            <w:bottom w:w="0" w:type="dxa"/>
            <w:right w:w="108" w:type="dxa"/>
          </w:tblCellMar>
        </w:tblPrEx>
        <w:trPr>
          <w:trHeight w:val="1109"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7409C1D1">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8</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05A180B0">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1C277DC3">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15A142D7">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对养老机构未依照本办法规定预防和处置突发事件的处罚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66BCAD18">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14:paraId="526EEEB6">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3E81F2C6">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（六）未依照本办法规定预防和处置突发事件的；</w:t>
            </w:r>
          </w:p>
          <w:p w14:paraId="45306244">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20A055C2">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E4EFE6">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442797E9">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未依照《养老机构管理办法》规定预防和处置突发事件，造成较小不良后果的。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841B96B">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p>
        </w:tc>
      </w:tr>
      <w:tr w14:paraId="53EB7B3F">
        <w:tblPrEx>
          <w:tblCellMar>
            <w:top w:w="0" w:type="dxa"/>
            <w:left w:w="108" w:type="dxa"/>
            <w:bottom w:w="0" w:type="dxa"/>
            <w:right w:w="108" w:type="dxa"/>
          </w:tblCellMar>
        </w:tblPrEx>
        <w:trPr>
          <w:trHeight w:val="1129"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113F0E54">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3B06363C">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4309283A">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4B2F9D30">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24D4D9F7">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single" w:color="auto" w:sz="4" w:space="0"/>
              <w:left w:val="single" w:color="auto" w:sz="4" w:space="0"/>
              <w:right w:val="single" w:color="auto" w:sz="4" w:space="0"/>
            </w:tcBorders>
            <w:shd w:val="clear" w:color="auto" w:fill="auto"/>
            <w:vAlign w:val="center"/>
          </w:tcPr>
          <w:p w14:paraId="2A82C65C">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46D1EEEB">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未依照《养老机构管理办法》规定预防和处置突发事件，造成较大不良后果的。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A9DF41A">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责令限期改正，处以2万元以下罚款。</w:t>
            </w:r>
          </w:p>
        </w:tc>
      </w:tr>
      <w:tr w14:paraId="1F8E5C09">
        <w:tblPrEx>
          <w:tblCellMar>
            <w:top w:w="0" w:type="dxa"/>
            <w:left w:w="108" w:type="dxa"/>
            <w:bottom w:w="0" w:type="dxa"/>
            <w:right w:w="108" w:type="dxa"/>
          </w:tblCellMar>
        </w:tblPrEx>
        <w:trPr>
          <w:trHeight w:val="1144" w:hRule="atLeast"/>
          <w:jc w:val="center"/>
        </w:trPr>
        <w:tc>
          <w:tcPr>
            <w:tcW w:w="611" w:type="dxa"/>
            <w:vMerge w:val="continue"/>
            <w:tcBorders>
              <w:left w:val="single" w:color="auto" w:sz="4" w:space="0"/>
              <w:bottom w:val="single" w:color="auto" w:sz="4" w:space="0"/>
              <w:right w:val="single" w:color="auto" w:sz="4" w:space="0"/>
            </w:tcBorders>
            <w:vAlign w:val="center"/>
          </w:tcPr>
          <w:p w14:paraId="47A02529">
            <w:pPr>
              <w:widowControl/>
              <w:adjustRightInd w:val="0"/>
              <w:snapToGrid w:val="0"/>
              <w:rPr>
                <w:color w:val="000000" w:themeColor="text1"/>
              </w:rPr>
            </w:pPr>
          </w:p>
        </w:tc>
        <w:tc>
          <w:tcPr>
            <w:tcW w:w="700" w:type="dxa"/>
            <w:vMerge w:val="continue"/>
            <w:tcBorders>
              <w:left w:val="single" w:color="auto" w:sz="4" w:space="0"/>
              <w:bottom w:val="single" w:color="auto" w:sz="4" w:space="0"/>
              <w:right w:val="single" w:color="auto" w:sz="4" w:space="0"/>
            </w:tcBorders>
            <w:vAlign w:val="center"/>
          </w:tcPr>
          <w:p w14:paraId="3299C89B">
            <w:pPr>
              <w:widowControl/>
              <w:adjustRightInd w:val="0"/>
              <w:snapToGrid w:val="0"/>
              <w:rPr>
                <w:color w:val="000000" w:themeColor="text1"/>
              </w:rPr>
            </w:pPr>
          </w:p>
        </w:tc>
        <w:tc>
          <w:tcPr>
            <w:tcW w:w="850" w:type="dxa"/>
            <w:vMerge w:val="continue"/>
            <w:tcBorders>
              <w:left w:val="single" w:color="auto" w:sz="4" w:space="0"/>
              <w:bottom w:val="single" w:color="auto" w:sz="4" w:space="0"/>
              <w:right w:val="single" w:color="auto" w:sz="4" w:space="0"/>
            </w:tcBorders>
            <w:vAlign w:val="center"/>
          </w:tcPr>
          <w:p w14:paraId="7DD7B949">
            <w:pPr>
              <w:widowControl/>
              <w:adjustRightInd w:val="0"/>
              <w:snapToGrid w:val="0"/>
              <w:rPr>
                <w:color w:val="000000" w:themeColor="text1"/>
              </w:rPr>
            </w:pPr>
          </w:p>
        </w:tc>
        <w:tc>
          <w:tcPr>
            <w:tcW w:w="1134" w:type="dxa"/>
            <w:vMerge w:val="continue"/>
            <w:tcBorders>
              <w:left w:val="single" w:color="auto" w:sz="4" w:space="0"/>
              <w:bottom w:val="single" w:color="auto" w:sz="4" w:space="0"/>
              <w:right w:val="single" w:color="auto" w:sz="4" w:space="0"/>
            </w:tcBorders>
            <w:vAlign w:val="center"/>
          </w:tcPr>
          <w:p w14:paraId="5501DE7D">
            <w:pPr>
              <w:widowControl/>
              <w:adjustRightInd w:val="0"/>
              <w:snapToGrid w:val="0"/>
              <w:rPr>
                <w:color w:val="000000" w:themeColor="text1"/>
              </w:rPr>
            </w:pPr>
          </w:p>
        </w:tc>
        <w:tc>
          <w:tcPr>
            <w:tcW w:w="5245" w:type="dxa"/>
            <w:vMerge w:val="continue"/>
            <w:tcBorders>
              <w:left w:val="single" w:color="auto" w:sz="4" w:space="0"/>
              <w:bottom w:val="single" w:color="auto" w:sz="4" w:space="0"/>
              <w:right w:val="single" w:color="auto" w:sz="4" w:space="0"/>
            </w:tcBorders>
            <w:vAlign w:val="center"/>
          </w:tcPr>
          <w:p w14:paraId="247F3AC0">
            <w:pPr>
              <w:widowControl/>
              <w:adjustRightInd w:val="0"/>
              <w:snapToGrid w:val="0"/>
              <w:rPr>
                <w:color w:val="000000" w:themeColor="text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14:paraId="21A42B6E">
            <w:pPr>
              <w:widowControl/>
              <w:adjustRightInd w:val="0"/>
              <w:snapToGrid w:val="0"/>
              <w:rPr>
                <w:color w:val="000000" w:themeColor="text1"/>
              </w:rPr>
            </w:pP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1E5EB8F3">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未依照《养老机构管理办法》规定预防和处置突发事件，造成严重不良后果的。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698A4545">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0"/>
                <w:szCs w:val="20"/>
              </w:rPr>
              <w:t>责令限期改正，处以2万元以上3万元以下罚款。</w:t>
            </w:r>
          </w:p>
        </w:tc>
      </w:tr>
      <w:tr w14:paraId="55371838">
        <w:tblPrEx>
          <w:tblCellMar>
            <w:top w:w="0" w:type="dxa"/>
            <w:left w:w="108" w:type="dxa"/>
            <w:bottom w:w="0" w:type="dxa"/>
            <w:right w:w="108" w:type="dxa"/>
          </w:tblCellMar>
        </w:tblPrEx>
        <w:trPr>
          <w:trHeight w:val="2324"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0854C012">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9</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3FEE90DD">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77AACAAE">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2567956A">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对养老机构歧视、侮辱、虐待或遗弃老年人以及其他侵犯老年人合法权益行为的处罚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5DB329E7">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14:paraId="33E9506D">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3CEEE2BE">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（七）歧视、侮辱、虐待老年人以及其他侵害老年人人身和财产权益行为的；</w:t>
            </w:r>
          </w:p>
          <w:p w14:paraId="53936FCD">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5203744F">
            <w:pPr>
              <w:widowControl/>
              <w:adjustRightInd w:val="0"/>
              <w:snapToGrid w:val="0"/>
              <w:ind w:firstLine="360" w:firstLineChars="200"/>
              <w:rPr>
                <w:rFonts w:ascii="宋体" w:hAnsi="宋体" w:eastAsia="宋体" w:cs="宋体"/>
                <w:color w:val="000000" w:themeColor="text1"/>
                <w:kern w:val="0"/>
                <w:sz w:val="18"/>
                <w:szCs w:val="18"/>
              </w:rPr>
            </w:pPr>
          </w:p>
          <w:p w14:paraId="5E15FC99">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 xml:space="preserve">《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 </w:t>
            </w:r>
          </w:p>
          <w:p w14:paraId="48E9B25B">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w:t>
            </w:r>
          </w:p>
          <w:p w14:paraId="0261D740">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歧视、侮辱、虐待或者遗弃老年人以及其他侵犯老年人合法权益行为的。</w:t>
            </w:r>
          </w:p>
          <w:p w14:paraId="31939AD6">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14:paraId="2D5EFCBF">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single" w:color="auto" w:sz="4" w:space="0"/>
              <w:left w:val="nil"/>
              <w:bottom w:val="single" w:color="auto" w:sz="4" w:space="0"/>
              <w:right w:val="single" w:color="auto" w:sz="4" w:space="0"/>
            </w:tcBorders>
            <w:shd w:val="clear" w:color="auto" w:fill="auto"/>
            <w:vAlign w:val="center"/>
          </w:tcPr>
          <w:p w14:paraId="11885B95">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侵害老年人合法权益，造成较小不良后果的。</w:t>
            </w:r>
          </w:p>
        </w:tc>
        <w:tc>
          <w:tcPr>
            <w:tcW w:w="3544" w:type="dxa"/>
            <w:tcBorders>
              <w:top w:val="single" w:color="auto" w:sz="4" w:space="0"/>
              <w:left w:val="nil"/>
              <w:bottom w:val="single" w:color="auto" w:sz="4" w:space="0"/>
              <w:right w:val="single" w:color="auto" w:sz="4" w:space="0"/>
            </w:tcBorders>
            <w:shd w:val="clear" w:color="auto" w:fill="auto"/>
            <w:vAlign w:val="center"/>
          </w:tcPr>
          <w:p w14:paraId="4375DCC9">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14:paraId="53C4D872">
        <w:tblPrEx>
          <w:tblCellMar>
            <w:top w:w="0" w:type="dxa"/>
            <w:left w:w="108" w:type="dxa"/>
            <w:bottom w:w="0" w:type="dxa"/>
            <w:right w:w="108" w:type="dxa"/>
          </w:tblCellMar>
        </w:tblPrEx>
        <w:trPr>
          <w:trHeight w:val="2024"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48CE10EE">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21935269">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77C1BF45">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671EFFC3">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721C2919">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bottom w:val="single" w:color="auto" w:sz="4" w:space="0"/>
              <w:right w:val="single" w:color="auto" w:sz="4" w:space="0"/>
            </w:tcBorders>
            <w:shd w:val="clear" w:color="auto" w:fill="auto"/>
            <w:vAlign w:val="center"/>
          </w:tcPr>
          <w:p w14:paraId="5D1862A4">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14:paraId="5DB40259">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侵害老年人合法权益，造成服务对象财产损失500元以下或身体轻微伤的；造成较大不良后果的。</w:t>
            </w:r>
          </w:p>
        </w:tc>
        <w:tc>
          <w:tcPr>
            <w:tcW w:w="3544" w:type="dxa"/>
            <w:tcBorders>
              <w:top w:val="nil"/>
              <w:left w:val="nil"/>
              <w:bottom w:val="single" w:color="auto" w:sz="4" w:space="0"/>
              <w:right w:val="single" w:color="auto" w:sz="4" w:space="0"/>
            </w:tcBorders>
            <w:shd w:val="clear" w:color="auto" w:fill="auto"/>
            <w:vAlign w:val="center"/>
          </w:tcPr>
          <w:p w14:paraId="0671C635">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14:paraId="1B62EE59">
        <w:tblPrEx>
          <w:tblCellMar>
            <w:top w:w="0" w:type="dxa"/>
            <w:left w:w="108" w:type="dxa"/>
            <w:bottom w:w="0" w:type="dxa"/>
            <w:right w:w="108" w:type="dxa"/>
          </w:tblCellMar>
        </w:tblPrEx>
        <w:trPr>
          <w:trHeight w:val="2480" w:hRule="atLeast"/>
          <w:jc w:val="center"/>
        </w:trPr>
        <w:tc>
          <w:tcPr>
            <w:tcW w:w="611" w:type="dxa"/>
            <w:vMerge w:val="continue"/>
            <w:tcBorders>
              <w:top w:val="nil"/>
              <w:left w:val="single" w:color="auto" w:sz="4" w:space="0"/>
              <w:bottom w:val="single" w:color="auto" w:sz="4" w:space="0"/>
              <w:right w:val="single" w:color="auto" w:sz="4" w:space="0"/>
            </w:tcBorders>
            <w:vAlign w:val="center"/>
          </w:tcPr>
          <w:p w14:paraId="49DEC46E">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14:paraId="17ED1654">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5D575E2C">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14:paraId="33D0A353">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14:paraId="5208BE1F">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top w:val="nil"/>
              <w:left w:val="nil"/>
              <w:bottom w:val="single" w:color="auto" w:sz="4" w:space="0"/>
              <w:right w:val="single" w:color="auto" w:sz="4" w:space="0"/>
            </w:tcBorders>
            <w:shd w:val="clear" w:color="auto" w:fill="auto"/>
            <w:vAlign w:val="center"/>
          </w:tcPr>
          <w:p w14:paraId="7F863096">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14:paraId="12102185">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责令改正后拒不改正的；或者侵害老年人合法权益，造成服务对象财产损失500元以上或身体轻度以上伤害的；造成严重不良后果的。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6DA6CC4F">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14:paraId="4EEFA318">
        <w:tblPrEx>
          <w:tblCellMar>
            <w:top w:w="0" w:type="dxa"/>
            <w:left w:w="108" w:type="dxa"/>
            <w:bottom w:w="0" w:type="dxa"/>
            <w:right w:w="108" w:type="dxa"/>
          </w:tblCellMar>
        </w:tblPrEx>
        <w:trPr>
          <w:trHeight w:val="1312"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14:paraId="273ADE39">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14:paraId="22088EF4">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14:paraId="55DA59A1">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238D2E8">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对养老机构向负责监督检查的民政部门隐瞒有关情况、提供虚假材料或者拒绝提供反映其</w:t>
            </w:r>
            <w:r>
              <w:rPr>
                <w:rFonts w:hint="eastAsia" w:ascii="宋体" w:hAnsi="宋体" w:eastAsia="宋体" w:cs="宋体"/>
                <w:color w:val="000000" w:themeColor="text1"/>
                <w:kern w:val="0"/>
                <w:sz w:val="18"/>
                <w:szCs w:val="18"/>
                <w:lang w:eastAsia="zh-CN"/>
              </w:rPr>
              <w:t>活动情况的</w:t>
            </w:r>
            <w:r>
              <w:rPr>
                <w:rFonts w:hint="eastAsia" w:ascii="宋体" w:hAnsi="宋体" w:eastAsia="宋体" w:cs="宋体"/>
                <w:color w:val="000000" w:themeColor="text1"/>
                <w:kern w:val="0"/>
                <w:sz w:val="18"/>
                <w:szCs w:val="18"/>
              </w:rPr>
              <w:t>真实材料的处罚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14:paraId="0FA54FED">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14:paraId="52469D8F">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04B59150">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（八）向负责监督检查的民政部门隐瞒有关情况、提供虚假材料或者拒绝提供反映其活动情</w:t>
            </w:r>
            <w:r>
              <w:rPr>
                <w:rFonts w:hint="eastAsia" w:ascii="宋体" w:hAnsi="宋体" w:eastAsia="宋体" w:cs="宋体"/>
                <w:color w:val="000000" w:themeColor="text1"/>
                <w:kern w:val="0"/>
                <w:sz w:val="18"/>
                <w:szCs w:val="18"/>
                <w:lang w:eastAsia="zh-CN"/>
              </w:rPr>
              <w:t>况的</w:t>
            </w:r>
            <w:r>
              <w:rPr>
                <w:rFonts w:hint="eastAsia" w:ascii="宋体" w:hAnsi="宋体" w:eastAsia="宋体" w:cs="宋体"/>
                <w:color w:val="000000" w:themeColor="text1"/>
                <w:kern w:val="0"/>
                <w:sz w:val="18"/>
                <w:szCs w:val="18"/>
              </w:rPr>
              <w:t>真实材料的；</w:t>
            </w:r>
          </w:p>
          <w:p w14:paraId="3D2D1BDD">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4C342085">
            <w:pPr>
              <w:widowControl/>
              <w:adjustRightInd w:val="0"/>
              <w:snapToGrid w:val="0"/>
              <w:ind w:firstLine="360" w:firstLineChars="200"/>
              <w:rPr>
                <w:rFonts w:ascii="宋体" w:hAnsi="宋体" w:eastAsia="宋体" w:cs="宋体"/>
                <w:color w:val="000000" w:themeColor="text1"/>
                <w:kern w:val="0"/>
                <w:sz w:val="18"/>
                <w:szCs w:val="18"/>
              </w:rPr>
            </w:pPr>
          </w:p>
          <w:p w14:paraId="4E4E3564">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14:paraId="5BC0053F">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1383DF11">
            <w:pPr>
              <w:widowControl/>
              <w:adjustRightInd w:val="0"/>
              <w:snapToGrid w:val="0"/>
              <w:ind w:firstLine="360" w:firstLineChars="200"/>
              <w:rPr>
                <w:rFonts w:ascii="宋体" w:hAnsi="宋体" w:eastAsia="宋体" w:cs="宋体"/>
                <w:color w:val="000000" w:themeColor="text1"/>
                <w:kern w:val="0"/>
                <w:sz w:val="18"/>
                <w:szCs w:val="18"/>
              </w:rPr>
            </w:pPr>
          </w:p>
          <w:p w14:paraId="7D62AF23">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（四）向民政部门隐瞒有关情况、提供虚假材料或者拒绝提供反映其活动情况真实材料的。</w:t>
            </w:r>
          </w:p>
          <w:p w14:paraId="30E13EFD">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                                                                                                                                                                                                                                                                                                                                                                                                                                                                                                                                                                                                                                                                                                                                                                                                                                                                                                                                                                                                                                                                                                                                                                                                                                                                                                                                                                                                                                                                                                                                                                                                                                                                                                                                                                                                                                                                                                                                                                                                                                                                                                                                                                                                                                                                                                                                                                                                                                                 </w:t>
            </w:r>
          </w:p>
        </w:tc>
        <w:tc>
          <w:tcPr>
            <w:tcW w:w="1134" w:type="dxa"/>
            <w:tcBorders>
              <w:top w:val="nil"/>
              <w:left w:val="nil"/>
              <w:bottom w:val="single" w:color="auto" w:sz="4" w:space="0"/>
              <w:right w:val="single" w:color="auto" w:sz="4" w:space="0"/>
            </w:tcBorders>
            <w:shd w:val="clear" w:color="auto" w:fill="auto"/>
            <w:vAlign w:val="center"/>
          </w:tcPr>
          <w:p w14:paraId="3CE92931">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nil"/>
              <w:left w:val="nil"/>
              <w:bottom w:val="single" w:color="auto" w:sz="4" w:space="0"/>
              <w:right w:val="single" w:color="auto" w:sz="4" w:space="0"/>
            </w:tcBorders>
            <w:shd w:val="clear" w:color="auto" w:fill="auto"/>
            <w:vAlign w:val="center"/>
          </w:tcPr>
          <w:p w14:paraId="350C777F">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隐瞒有关情况、提供虚假材料或者拒绝提供反映其活动情况真实材料，造成较小不良后果的。</w:t>
            </w:r>
          </w:p>
        </w:tc>
        <w:tc>
          <w:tcPr>
            <w:tcW w:w="3544" w:type="dxa"/>
            <w:tcBorders>
              <w:top w:val="nil"/>
              <w:left w:val="nil"/>
              <w:bottom w:val="single" w:color="auto" w:sz="4" w:space="0"/>
              <w:right w:val="single" w:color="auto" w:sz="4" w:space="0"/>
            </w:tcBorders>
            <w:shd w:val="clear" w:color="auto" w:fill="auto"/>
            <w:vAlign w:val="center"/>
          </w:tcPr>
          <w:p w14:paraId="6173D0DE">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14:paraId="067A4111">
        <w:tblPrEx>
          <w:tblCellMar>
            <w:top w:w="0" w:type="dxa"/>
            <w:left w:w="108" w:type="dxa"/>
            <w:bottom w:w="0" w:type="dxa"/>
            <w:right w:w="108" w:type="dxa"/>
          </w:tblCellMar>
        </w:tblPrEx>
        <w:trPr>
          <w:trHeight w:val="1520"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14:paraId="3335B253">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22E02D35">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14:paraId="36C3F78E">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7D32582B">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14:paraId="7F4AA094">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bottom w:val="single" w:color="auto" w:sz="4" w:space="0"/>
              <w:right w:val="single" w:color="auto" w:sz="4" w:space="0"/>
            </w:tcBorders>
            <w:shd w:val="clear" w:color="auto" w:fill="auto"/>
            <w:vAlign w:val="center"/>
          </w:tcPr>
          <w:p w14:paraId="636DBB44">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14:paraId="1EE1BE93">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隐瞒有关情况、提供虚假材料或者拒绝提供反映其活动情况</w:t>
            </w:r>
            <w:bookmarkStart w:id="0" w:name="_GoBack"/>
            <w:bookmarkEnd w:id="0"/>
            <w:r>
              <w:rPr>
                <w:rFonts w:hint="eastAsia" w:ascii="宋体" w:hAnsi="宋体" w:eastAsia="宋体" w:cs="宋体"/>
                <w:color w:val="000000" w:themeColor="text1"/>
                <w:kern w:val="0"/>
                <w:sz w:val="18"/>
                <w:szCs w:val="18"/>
              </w:rPr>
              <w:t>真实材料，涉嫌骗取国家有关补助政策或资金的；造成较大不良后果的。</w:t>
            </w:r>
          </w:p>
        </w:tc>
        <w:tc>
          <w:tcPr>
            <w:tcW w:w="3544" w:type="dxa"/>
            <w:tcBorders>
              <w:top w:val="nil"/>
              <w:left w:val="nil"/>
              <w:bottom w:val="single" w:color="auto" w:sz="4" w:space="0"/>
              <w:right w:val="single" w:color="auto" w:sz="4" w:space="0"/>
            </w:tcBorders>
            <w:shd w:val="clear" w:color="auto" w:fill="auto"/>
            <w:vAlign w:val="center"/>
          </w:tcPr>
          <w:p w14:paraId="4772F144">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14:paraId="347813B4">
        <w:tblPrEx>
          <w:tblCellMar>
            <w:top w:w="0" w:type="dxa"/>
            <w:left w:w="108" w:type="dxa"/>
            <w:bottom w:w="0" w:type="dxa"/>
            <w:right w:w="108" w:type="dxa"/>
          </w:tblCellMar>
        </w:tblPrEx>
        <w:trPr>
          <w:trHeight w:val="1567"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14:paraId="5DD0EF0E">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14:paraId="1B07DBDE">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14:paraId="4A36358A">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14:paraId="5D7375D1">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14:paraId="0D321CE4">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top w:val="nil"/>
              <w:left w:val="nil"/>
              <w:bottom w:val="single" w:color="auto" w:sz="4" w:space="0"/>
              <w:right w:val="single" w:color="auto" w:sz="4" w:space="0"/>
            </w:tcBorders>
            <w:shd w:val="clear" w:color="auto" w:fill="auto"/>
            <w:vAlign w:val="center"/>
          </w:tcPr>
          <w:p w14:paraId="4ABFE47F">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14:paraId="636BA20F">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隐瞒有关情况、提供虚假材料或者拒绝提供反映其活动情况真实材料，责令改正后拒不改正的；侵犯老年人合法权益的；造成严重不良后果的。</w:t>
            </w:r>
          </w:p>
        </w:tc>
        <w:tc>
          <w:tcPr>
            <w:tcW w:w="3544" w:type="dxa"/>
            <w:tcBorders>
              <w:top w:val="nil"/>
              <w:left w:val="nil"/>
              <w:bottom w:val="single" w:color="auto" w:sz="4" w:space="0"/>
              <w:right w:val="single" w:color="auto" w:sz="4" w:space="0"/>
            </w:tcBorders>
            <w:shd w:val="clear" w:color="auto" w:fill="auto"/>
            <w:vAlign w:val="center"/>
          </w:tcPr>
          <w:p w14:paraId="282F16D9">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14:paraId="4C86CE98">
        <w:tblPrEx>
          <w:tblCellMar>
            <w:top w:w="0" w:type="dxa"/>
            <w:left w:w="108" w:type="dxa"/>
            <w:bottom w:w="0" w:type="dxa"/>
            <w:right w:w="108" w:type="dxa"/>
          </w:tblCellMar>
        </w:tblPrEx>
        <w:trPr>
          <w:trHeight w:val="3381"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54255314">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14:paraId="6002A59E">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41D336C">
            <w:pPr>
              <w:widowControl/>
              <w:adjustRightInd w:val="0"/>
              <w:snapToGrid w:val="0"/>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3EACB3D">
            <w:pPr>
              <w:widowControl/>
              <w:adjustRightInd w:val="0"/>
              <w:snapToGrid w:val="0"/>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对养老机构违反法律、法规、规章规定的其他行为的处罚。</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4F082C4">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14:paraId="6596A977">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0CED84DA">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（九）法律、法规、规章规定的其他违法行为。</w:t>
            </w:r>
          </w:p>
          <w:p w14:paraId="4311D74D">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64225A00">
            <w:pPr>
              <w:widowControl/>
              <w:adjustRightInd w:val="0"/>
              <w:snapToGrid w:val="0"/>
              <w:ind w:firstLine="360" w:firstLineChars="200"/>
              <w:rPr>
                <w:rFonts w:ascii="宋体" w:hAnsi="宋体" w:eastAsia="宋体" w:cs="宋体"/>
                <w:color w:val="000000" w:themeColor="text1"/>
                <w:kern w:val="0"/>
                <w:sz w:val="18"/>
                <w:szCs w:val="18"/>
              </w:rPr>
            </w:pPr>
          </w:p>
          <w:p w14:paraId="7E67F859">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14:paraId="6EF78792">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14:paraId="7EC6BAD2">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eastAsia="zh-CN"/>
              </w:rPr>
              <w:t>（</w:t>
            </w:r>
            <w:r>
              <w:rPr>
                <w:rFonts w:hint="eastAsia" w:ascii="宋体" w:hAnsi="宋体" w:eastAsia="宋体" w:cs="宋体"/>
                <w:color w:val="000000" w:themeColor="text1"/>
                <w:kern w:val="0"/>
                <w:sz w:val="18"/>
                <w:szCs w:val="18"/>
              </w:rPr>
              <w:t>八</w:t>
            </w:r>
            <w:r>
              <w:rPr>
                <w:rFonts w:hint="eastAsia" w:ascii="宋体" w:hAnsi="宋体" w:eastAsia="宋体" w:cs="宋体"/>
                <w:color w:val="000000" w:themeColor="text1"/>
                <w:kern w:val="0"/>
                <w:sz w:val="18"/>
                <w:szCs w:val="18"/>
                <w:lang w:eastAsia="zh-CN"/>
              </w:rPr>
              <w:t>）</w:t>
            </w:r>
            <w:r>
              <w:rPr>
                <w:rFonts w:hint="eastAsia" w:ascii="宋体" w:hAnsi="宋体" w:eastAsia="宋体" w:cs="宋体"/>
                <w:color w:val="000000" w:themeColor="text1"/>
                <w:kern w:val="0"/>
                <w:sz w:val="18"/>
                <w:szCs w:val="18"/>
              </w:rPr>
              <w:t>法律、法规规定的其他违法行为。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EA1C09">
            <w:pPr>
              <w:widowControl/>
              <w:adjustRightInd w:val="0"/>
              <w:snapToGrid w:val="0"/>
              <w:jc w:val="center"/>
              <w:rPr>
                <w:rFonts w:ascii="宋体" w:hAnsi="宋体" w:eastAsia="宋体" w:cs="宋体"/>
                <w:color w:val="000000" w:themeColor="text1"/>
                <w:kern w:val="0"/>
                <w:sz w:val="18"/>
                <w:szCs w:val="18"/>
              </w:rPr>
            </w:pP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14:paraId="39812091">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法律、法规、规章规定的其他违法情形。</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14:paraId="5EB1E0B9">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18"/>
                <w:szCs w:val="18"/>
              </w:rPr>
              <w:t>责令</w:t>
            </w:r>
            <w:r>
              <w:rPr>
                <w:rFonts w:hint="eastAsia" w:ascii="宋体" w:hAnsi="宋体" w:eastAsia="宋体" w:cs="宋体"/>
                <w:color w:val="000000" w:themeColor="text1"/>
                <w:kern w:val="0"/>
                <w:sz w:val="20"/>
                <w:szCs w:val="20"/>
              </w:rPr>
              <w:t>限期</w:t>
            </w:r>
            <w:r>
              <w:rPr>
                <w:rFonts w:hint="eastAsia" w:ascii="宋体" w:hAnsi="宋体" w:eastAsia="宋体" w:cs="宋体"/>
                <w:color w:val="000000" w:themeColor="text1"/>
                <w:kern w:val="0"/>
                <w:sz w:val="18"/>
                <w:szCs w:val="18"/>
              </w:rPr>
              <w:t>改正，警告；处以3万元以下的罚款。</w:t>
            </w:r>
          </w:p>
        </w:tc>
      </w:tr>
    </w:tbl>
    <w:p w14:paraId="2A8A5684">
      <w:pPr>
        <w:sectPr>
          <w:footerReference r:id="rId3" w:type="default"/>
          <w:footerReference r:id="rId4" w:type="even"/>
          <w:pgSz w:w="16838" w:h="11906" w:orient="landscape"/>
          <w:pgMar w:top="1588" w:right="2098" w:bottom="1474" w:left="1418" w:header="851" w:footer="992" w:gutter="0"/>
          <w:cols w:space="425" w:num="1"/>
          <w:docGrid w:type="lines" w:linePitch="312" w:charSpace="0"/>
        </w:sectPr>
      </w:pPr>
    </w:p>
    <w:p w14:paraId="0E57F16B">
      <w:pPr>
        <w:snapToGrid w:val="0"/>
        <w:spacing w:line="579" w:lineRule="exact"/>
        <w:ind w:firstLine="3360" w:firstLineChars="1600"/>
      </w:pPr>
    </w:p>
    <w:sectPr>
      <w:headerReference r:id="rId5" w:type="default"/>
      <w:footerReference r:id="rId7" w:type="default"/>
      <w:headerReference r:id="rId6" w:type="even"/>
      <w:footerReference r:id="rId8" w:type="even"/>
      <w:pgSz w:w="16838" w:h="11906" w:orient="landscape"/>
      <w:pgMar w:top="1588" w:right="2098" w:bottom="1474" w:left="1985"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4257">
    <w:pPr>
      <w:pStyle w:val="2"/>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ABDF">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64597">
    <w:pPr>
      <w:pStyle w:val="2"/>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D4C87">
    <w:pPr>
      <w:pStyle w:val="2"/>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512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334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lhNmRjMWYyYTVkODdkMzJhZjNhOTVjMDRkZWQzNTEifQ=="/>
  </w:docVars>
  <w:rsids>
    <w:rsidRoot w:val="00DF1E22"/>
    <w:rsid w:val="00003F8F"/>
    <w:rsid w:val="000B15E9"/>
    <w:rsid w:val="000C539C"/>
    <w:rsid w:val="000F5021"/>
    <w:rsid w:val="00113D09"/>
    <w:rsid w:val="00193711"/>
    <w:rsid w:val="001E659E"/>
    <w:rsid w:val="00255C87"/>
    <w:rsid w:val="0030463C"/>
    <w:rsid w:val="0031503D"/>
    <w:rsid w:val="00387697"/>
    <w:rsid w:val="00394136"/>
    <w:rsid w:val="003C2374"/>
    <w:rsid w:val="003F3A13"/>
    <w:rsid w:val="00441647"/>
    <w:rsid w:val="00474C30"/>
    <w:rsid w:val="004E3A4D"/>
    <w:rsid w:val="005145C4"/>
    <w:rsid w:val="00516449"/>
    <w:rsid w:val="00526386"/>
    <w:rsid w:val="0057528D"/>
    <w:rsid w:val="00593216"/>
    <w:rsid w:val="005B75AE"/>
    <w:rsid w:val="005E02DA"/>
    <w:rsid w:val="005E39B2"/>
    <w:rsid w:val="005E4A77"/>
    <w:rsid w:val="00612370"/>
    <w:rsid w:val="00620D26"/>
    <w:rsid w:val="006928C6"/>
    <w:rsid w:val="00695B4C"/>
    <w:rsid w:val="006B0931"/>
    <w:rsid w:val="006C0A12"/>
    <w:rsid w:val="006F768D"/>
    <w:rsid w:val="00796212"/>
    <w:rsid w:val="008D0181"/>
    <w:rsid w:val="00900C8D"/>
    <w:rsid w:val="00A35428"/>
    <w:rsid w:val="00A36C66"/>
    <w:rsid w:val="00A51F98"/>
    <w:rsid w:val="00A65542"/>
    <w:rsid w:val="00A718B6"/>
    <w:rsid w:val="00AD7B60"/>
    <w:rsid w:val="00AE33CE"/>
    <w:rsid w:val="00B135A6"/>
    <w:rsid w:val="00B2759C"/>
    <w:rsid w:val="00B85497"/>
    <w:rsid w:val="00B97832"/>
    <w:rsid w:val="00C17C75"/>
    <w:rsid w:val="00C3209D"/>
    <w:rsid w:val="00C738F3"/>
    <w:rsid w:val="00CB0D0C"/>
    <w:rsid w:val="00CC7475"/>
    <w:rsid w:val="00CE7FAA"/>
    <w:rsid w:val="00CF391A"/>
    <w:rsid w:val="00D150C9"/>
    <w:rsid w:val="00D35019"/>
    <w:rsid w:val="00D3610D"/>
    <w:rsid w:val="00D711B8"/>
    <w:rsid w:val="00D711D8"/>
    <w:rsid w:val="00DA3701"/>
    <w:rsid w:val="00DA79DB"/>
    <w:rsid w:val="00DC1A17"/>
    <w:rsid w:val="00DC2E1A"/>
    <w:rsid w:val="00DE328C"/>
    <w:rsid w:val="00DF1E22"/>
    <w:rsid w:val="00E11D3A"/>
    <w:rsid w:val="00E31F9B"/>
    <w:rsid w:val="00E62060"/>
    <w:rsid w:val="00E93AEB"/>
    <w:rsid w:val="00F350DC"/>
    <w:rsid w:val="00F42B5E"/>
    <w:rsid w:val="00FA6BA8"/>
    <w:rsid w:val="011A1262"/>
    <w:rsid w:val="012450C6"/>
    <w:rsid w:val="01624655"/>
    <w:rsid w:val="01667626"/>
    <w:rsid w:val="016A78B6"/>
    <w:rsid w:val="01906F44"/>
    <w:rsid w:val="01A70C34"/>
    <w:rsid w:val="01BF14A1"/>
    <w:rsid w:val="01FB2509"/>
    <w:rsid w:val="024C5E21"/>
    <w:rsid w:val="02725BBA"/>
    <w:rsid w:val="028E395E"/>
    <w:rsid w:val="02931877"/>
    <w:rsid w:val="02A22D95"/>
    <w:rsid w:val="030D5926"/>
    <w:rsid w:val="0314241F"/>
    <w:rsid w:val="037452A8"/>
    <w:rsid w:val="03F11651"/>
    <w:rsid w:val="03FA1360"/>
    <w:rsid w:val="04010E71"/>
    <w:rsid w:val="04111646"/>
    <w:rsid w:val="042A5518"/>
    <w:rsid w:val="04C16BB6"/>
    <w:rsid w:val="04CB77D5"/>
    <w:rsid w:val="05225A21"/>
    <w:rsid w:val="0531480B"/>
    <w:rsid w:val="05615642"/>
    <w:rsid w:val="05B26531"/>
    <w:rsid w:val="05C609BE"/>
    <w:rsid w:val="05C8332A"/>
    <w:rsid w:val="06A3297F"/>
    <w:rsid w:val="06B67850"/>
    <w:rsid w:val="06B82F8E"/>
    <w:rsid w:val="070413AF"/>
    <w:rsid w:val="07552D05"/>
    <w:rsid w:val="07942FAF"/>
    <w:rsid w:val="07A224E2"/>
    <w:rsid w:val="0814092C"/>
    <w:rsid w:val="08934E15"/>
    <w:rsid w:val="08D80DBA"/>
    <w:rsid w:val="08E36064"/>
    <w:rsid w:val="08EE52FC"/>
    <w:rsid w:val="094E04F5"/>
    <w:rsid w:val="09537BC6"/>
    <w:rsid w:val="09644C34"/>
    <w:rsid w:val="096D4713"/>
    <w:rsid w:val="09845C7D"/>
    <w:rsid w:val="098C1B2E"/>
    <w:rsid w:val="09A927EE"/>
    <w:rsid w:val="0A3D680D"/>
    <w:rsid w:val="0A6651C8"/>
    <w:rsid w:val="0A747D2C"/>
    <w:rsid w:val="0A91694A"/>
    <w:rsid w:val="0B4266FA"/>
    <w:rsid w:val="0B970960"/>
    <w:rsid w:val="0BD72336"/>
    <w:rsid w:val="0C255C77"/>
    <w:rsid w:val="0C44759B"/>
    <w:rsid w:val="0C545842"/>
    <w:rsid w:val="0CA322BA"/>
    <w:rsid w:val="0CCB0209"/>
    <w:rsid w:val="0CD96BE2"/>
    <w:rsid w:val="0CEB5661"/>
    <w:rsid w:val="0D6E391C"/>
    <w:rsid w:val="0DE41926"/>
    <w:rsid w:val="0E072C0B"/>
    <w:rsid w:val="0E0B4A7D"/>
    <w:rsid w:val="0E1A0F15"/>
    <w:rsid w:val="0E60080B"/>
    <w:rsid w:val="0EC9757A"/>
    <w:rsid w:val="0EE821D1"/>
    <w:rsid w:val="0EED7DC7"/>
    <w:rsid w:val="0F683890"/>
    <w:rsid w:val="0F803123"/>
    <w:rsid w:val="0F9D0477"/>
    <w:rsid w:val="0FC72E84"/>
    <w:rsid w:val="0FD75BC8"/>
    <w:rsid w:val="100454DB"/>
    <w:rsid w:val="10056031"/>
    <w:rsid w:val="100B7D46"/>
    <w:rsid w:val="10175FBE"/>
    <w:rsid w:val="11410C24"/>
    <w:rsid w:val="1170355D"/>
    <w:rsid w:val="11857562"/>
    <w:rsid w:val="11865E88"/>
    <w:rsid w:val="119F21C3"/>
    <w:rsid w:val="1223748D"/>
    <w:rsid w:val="12391AFD"/>
    <w:rsid w:val="125643C6"/>
    <w:rsid w:val="12615BC0"/>
    <w:rsid w:val="127B44F2"/>
    <w:rsid w:val="127C30CD"/>
    <w:rsid w:val="12D13060"/>
    <w:rsid w:val="12E92CC2"/>
    <w:rsid w:val="13083779"/>
    <w:rsid w:val="130B747C"/>
    <w:rsid w:val="13233407"/>
    <w:rsid w:val="13586B8B"/>
    <w:rsid w:val="137C4F3B"/>
    <w:rsid w:val="13B1718C"/>
    <w:rsid w:val="13B92A17"/>
    <w:rsid w:val="13EE7B4C"/>
    <w:rsid w:val="14233F31"/>
    <w:rsid w:val="1457789E"/>
    <w:rsid w:val="146B5110"/>
    <w:rsid w:val="147228AB"/>
    <w:rsid w:val="14B35233"/>
    <w:rsid w:val="14D47D60"/>
    <w:rsid w:val="15262BA4"/>
    <w:rsid w:val="152E66C1"/>
    <w:rsid w:val="15387374"/>
    <w:rsid w:val="156B509C"/>
    <w:rsid w:val="1588415D"/>
    <w:rsid w:val="158D07A7"/>
    <w:rsid w:val="15A87741"/>
    <w:rsid w:val="15AE56B5"/>
    <w:rsid w:val="15C95735"/>
    <w:rsid w:val="162D334A"/>
    <w:rsid w:val="163D4202"/>
    <w:rsid w:val="1649337A"/>
    <w:rsid w:val="166451F0"/>
    <w:rsid w:val="16832CA2"/>
    <w:rsid w:val="16B60D1A"/>
    <w:rsid w:val="16C73EDA"/>
    <w:rsid w:val="16DB4530"/>
    <w:rsid w:val="17155C04"/>
    <w:rsid w:val="173D165B"/>
    <w:rsid w:val="17513126"/>
    <w:rsid w:val="175944FB"/>
    <w:rsid w:val="17807B87"/>
    <w:rsid w:val="17824C05"/>
    <w:rsid w:val="17850490"/>
    <w:rsid w:val="17C16CF6"/>
    <w:rsid w:val="17CA48C3"/>
    <w:rsid w:val="17DE29F0"/>
    <w:rsid w:val="17EE26F8"/>
    <w:rsid w:val="184B5361"/>
    <w:rsid w:val="185B07F8"/>
    <w:rsid w:val="189077AA"/>
    <w:rsid w:val="18990FE5"/>
    <w:rsid w:val="18D231CC"/>
    <w:rsid w:val="18E177EC"/>
    <w:rsid w:val="18E563B3"/>
    <w:rsid w:val="197443AE"/>
    <w:rsid w:val="199D35E8"/>
    <w:rsid w:val="19A71B9A"/>
    <w:rsid w:val="19A94295"/>
    <w:rsid w:val="19B05F1D"/>
    <w:rsid w:val="19C91570"/>
    <w:rsid w:val="19CC5D5F"/>
    <w:rsid w:val="19D526CC"/>
    <w:rsid w:val="1A0508F3"/>
    <w:rsid w:val="1A220DCB"/>
    <w:rsid w:val="1A2A3814"/>
    <w:rsid w:val="1A3E5AE0"/>
    <w:rsid w:val="1A4314AB"/>
    <w:rsid w:val="1A52739A"/>
    <w:rsid w:val="1A810357"/>
    <w:rsid w:val="1A9C319D"/>
    <w:rsid w:val="1AAD30AF"/>
    <w:rsid w:val="1AF24475"/>
    <w:rsid w:val="1B0B6CDD"/>
    <w:rsid w:val="1B7871E0"/>
    <w:rsid w:val="1B7C1EFA"/>
    <w:rsid w:val="1BDD6924"/>
    <w:rsid w:val="1C06200B"/>
    <w:rsid w:val="1C4E4667"/>
    <w:rsid w:val="1CA505AA"/>
    <w:rsid w:val="1CC0201F"/>
    <w:rsid w:val="1CD16BAD"/>
    <w:rsid w:val="1CF8115A"/>
    <w:rsid w:val="1D496075"/>
    <w:rsid w:val="1DAA3A7B"/>
    <w:rsid w:val="1E014C9C"/>
    <w:rsid w:val="1E1E2A28"/>
    <w:rsid w:val="1E6220CB"/>
    <w:rsid w:val="1EFF3817"/>
    <w:rsid w:val="1F4B2F7B"/>
    <w:rsid w:val="1F7920F6"/>
    <w:rsid w:val="1FB369D9"/>
    <w:rsid w:val="1FCB28C6"/>
    <w:rsid w:val="204F451F"/>
    <w:rsid w:val="20630165"/>
    <w:rsid w:val="206C1BF2"/>
    <w:rsid w:val="20717C90"/>
    <w:rsid w:val="208C1E50"/>
    <w:rsid w:val="208C47E2"/>
    <w:rsid w:val="21010058"/>
    <w:rsid w:val="21372A02"/>
    <w:rsid w:val="214A2B55"/>
    <w:rsid w:val="21682551"/>
    <w:rsid w:val="218B78BD"/>
    <w:rsid w:val="21C73427"/>
    <w:rsid w:val="221012E2"/>
    <w:rsid w:val="22416D63"/>
    <w:rsid w:val="227A3F74"/>
    <w:rsid w:val="22B408F2"/>
    <w:rsid w:val="22C45235"/>
    <w:rsid w:val="22EF216E"/>
    <w:rsid w:val="22FA2257"/>
    <w:rsid w:val="23256CD3"/>
    <w:rsid w:val="234A7C23"/>
    <w:rsid w:val="242F5638"/>
    <w:rsid w:val="24586819"/>
    <w:rsid w:val="247D3B00"/>
    <w:rsid w:val="24B76776"/>
    <w:rsid w:val="24BE66AA"/>
    <w:rsid w:val="24CB4BD1"/>
    <w:rsid w:val="24D23E31"/>
    <w:rsid w:val="25235833"/>
    <w:rsid w:val="254E0EEE"/>
    <w:rsid w:val="25925590"/>
    <w:rsid w:val="25CF438D"/>
    <w:rsid w:val="25E77CE6"/>
    <w:rsid w:val="261F200C"/>
    <w:rsid w:val="2642016B"/>
    <w:rsid w:val="2659480B"/>
    <w:rsid w:val="26841BAC"/>
    <w:rsid w:val="26D3417F"/>
    <w:rsid w:val="272C410F"/>
    <w:rsid w:val="27396E6B"/>
    <w:rsid w:val="27CA41B9"/>
    <w:rsid w:val="283F7234"/>
    <w:rsid w:val="284935C8"/>
    <w:rsid w:val="285C576F"/>
    <w:rsid w:val="28A6366E"/>
    <w:rsid w:val="28C51B0F"/>
    <w:rsid w:val="2923227B"/>
    <w:rsid w:val="293152E4"/>
    <w:rsid w:val="295A7C5C"/>
    <w:rsid w:val="29A42E68"/>
    <w:rsid w:val="29AF78C9"/>
    <w:rsid w:val="2A16400D"/>
    <w:rsid w:val="2A894551"/>
    <w:rsid w:val="2AA577B7"/>
    <w:rsid w:val="2AC51565"/>
    <w:rsid w:val="2ACF2967"/>
    <w:rsid w:val="2AE413CB"/>
    <w:rsid w:val="2B1C33F5"/>
    <w:rsid w:val="2B4F1577"/>
    <w:rsid w:val="2B844F3A"/>
    <w:rsid w:val="2BA92B74"/>
    <w:rsid w:val="2BF26E1C"/>
    <w:rsid w:val="2BF9669A"/>
    <w:rsid w:val="2C000073"/>
    <w:rsid w:val="2C0A7A6A"/>
    <w:rsid w:val="2C5A3FC7"/>
    <w:rsid w:val="2CAD1F3D"/>
    <w:rsid w:val="2CC31718"/>
    <w:rsid w:val="2CC72ACB"/>
    <w:rsid w:val="2CCA7B99"/>
    <w:rsid w:val="2CCC3971"/>
    <w:rsid w:val="2CF434AE"/>
    <w:rsid w:val="2D124CD1"/>
    <w:rsid w:val="2D3B4B88"/>
    <w:rsid w:val="2D3E10B2"/>
    <w:rsid w:val="2D872F8B"/>
    <w:rsid w:val="2D8A352B"/>
    <w:rsid w:val="2DF50BC0"/>
    <w:rsid w:val="2E01476B"/>
    <w:rsid w:val="2E2522A7"/>
    <w:rsid w:val="2E336E2D"/>
    <w:rsid w:val="2E51328A"/>
    <w:rsid w:val="2EAA04BB"/>
    <w:rsid w:val="2ECB4E4C"/>
    <w:rsid w:val="2EE758A8"/>
    <w:rsid w:val="2EEC77BC"/>
    <w:rsid w:val="2EED3550"/>
    <w:rsid w:val="2EFB4915"/>
    <w:rsid w:val="2F2A2A5F"/>
    <w:rsid w:val="2F6E2CD7"/>
    <w:rsid w:val="2FA145AF"/>
    <w:rsid w:val="3003417C"/>
    <w:rsid w:val="30381268"/>
    <w:rsid w:val="303E731A"/>
    <w:rsid w:val="30745731"/>
    <w:rsid w:val="308927F1"/>
    <w:rsid w:val="30C12149"/>
    <w:rsid w:val="30FE3603"/>
    <w:rsid w:val="312C3E1C"/>
    <w:rsid w:val="319068A5"/>
    <w:rsid w:val="31917CA5"/>
    <w:rsid w:val="31AA5593"/>
    <w:rsid w:val="31B952D5"/>
    <w:rsid w:val="31E40839"/>
    <w:rsid w:val="324A107E"/>
    <w:rsid w:val="324F1498"/>
    <w:rsid w:val="325D60F0"/>
    <w:rsid w:val="32766C6E"/>
    <w:rsid w:val="32920B6A"/>
    <w:rsid w:val="329674CA"/>
    <w:rsid w:val="32F1279E"/>
    <w:rsid w:val="32FF28BF"/>
    <w:rsid w:val="335D4B39"/>
    <w:rsid w:val="33B401F3"/>
    <w:rsid w:val="33D21251"/>
    <w:rsid w:val="340D561B"/>
    <w:rsid w:val="342A5528"/>
    <w:rsid w:val="343E0559"/>
    <w:rsid w:val="34A11BCD"/>
    <w:rsid w:val="34A926EC"/>
    <w:rsid w:val="34F772D8"/>
    <w:rsid w:val="350B08EC"/>
    <w:rsid w:val="351C0280"/>
    <w:rsid w:val="3533317F"/>
    <w:rsid w:val="35421643"/>
    <w:rsid w:val="35543135"/>
    <w:rsid w:val="359532B0"/>
    <w:rsid w:val="35FA0711"/>
    <w:rsid w:val="3624546D"/>
    <w:rsid w:val="36420AE7"/>
    <w:rsid w:val="369D2831"/>
    <w:rsid w:val="36B538E4"/>
    <w:rsid w:val="36EE098C"/>
    <w:rsid w:val="371A7177"/>
    <w:rsid w:val="373B1D0E"/>
    <w:rsid w:val="378025E8"/>
    <w:rsid w:val="37BE433C"/>
    <w:rsid w:val="37C21EFA"/>
    <w:rsid w:val="37CA1689"/>
    <w:rsid w:val="37FA3E32"/>
    <w:rsid w:val="38114659"/>
    <w:rsid w:val="384B6B3B"/>
    <w:rsid w:val="39163C4E"/>
    <w:rsid w:val="393700DA"/>
    <w:rsid w:val="39903246"/>
    <w:rsid w:val="39C42F3A"/>
    <w:rsid w:val="3A25242E"/>
    <w:rsid w:val="3A407E61"/>
    <w:rsid w:val="3A6E520C"/>
    <w:rsid w:val="3A804A1C"/>
    <w:rsid w:val="3A90026A"/>
    <w:rsid w:val="3AC63D31"/>
    <w:rsid w:val="3ADE3806"/>
    <w:rsid w:val="3AEC476F"/>
    <w:rsid w:val="3B287CDB"/>
    <w:rsid w:val="3B587C6A"/>
    <w:rsid w:val="3B6A68E3"/>
    <w:rsid w:val="3B74075D"/>
    <w:rsid w:val="3B9E0840"/>
    <w:rsid w:val="3BD80675"/>
    <w:rsid w:val="3BE616B4"/>
    <w:rsid w:val="3C064C6B"/>
    <w:rsid w:val="3C142F68"/>
    <w:rsid w:val="3C6253A7"/>
    <w:rsid w:val="3CB045ED"/>
    <w:rsid w:val="3CEF49F0"/>
    <w:rsid w:val="3CF27572"/>
    <w:rsid w:val="3D573C22"/>
    <w:rsid w:val="3EB51B7C"/>
    <w:rsid w:val="3F180588"/>
    <w:rsid w:val="3F2823E8"/>
    <w:rsid w:val="3FAC3136"/>
    <w:rsid w:val="4014763D"/>
    <w:rsid w:val="403B7413"/>
    <w:rsid w:val="404B7A6B"/>
    <w:rsid w:val="40646DCE"/>
    <w:rsid w:val="407253C0"/>
    <w:rsid w:val="409202C5"/>
    <w:rsid w:val="40B12970"/>
    <w:rsid w:val="40DF053D"/>
    <w:rsid w:val="40DF269C"/>
    <w:rsid w:val="411325ED"/>
    <w:rsid w:val="41274184"/>
    <w:rsid w:val="4141729F"/>
    <w:rsid w:val="41553855"/>
    <w:rsid w:val="415E6043"/>
    <w:rsid w:val="4195799A"/>
    <w:rsid w:val="41B26A34"/>
    <w:rsid w:val="42257C49"/>
    <w:rsid w:val="423B2666"/>
    <w:rsid w:val="424A3A2D"/>
    <w:rsid w:val="42901151"/>
    <w:rsid w:val="42D81CD0"/>
    <w:rsid w:val="42E862BB"/>
    <w:rsid w:val="43090954"/>
    <w:rsid w:val="431E41BD"/>
    <w:rsid w:val="434D50C3"/>
    <w:rsid w:val="43541471"/>
    <w:rsid w:val="43555A15"/>
    <w:rsid w:val="43821F71"/>
    <w:rsid w:val="43A25BBF"/>
    <w:rsid w:val="43BE6F25"/>
    <w:rsid w:val="43CF556D"/>
    <w:rsid w:val="440D392D"/>
    <w:rsid w:val="444D08F2"/>
    <w:rsid w:val="444D1972"/>
    <w:rsid w:val="44666F35"/>
    <w:rsid w:val="447B2313"/>
    <w:rsid w:val="44CA2ED0"/>
    <w:rsid w:val="44EB4B64"/>
    <w:rsid w:val="44F3134A"/>
    <w:rsid w:val="44FF2D9E"/>
    <w:rsid w:val="45797D3D"/>
    <w:rsid w:val="45E22838"/>
    <w:rsid w:val="45E942CC"/>
    <w:rsid w:val="46210D46"/>
    <w:rsid w:val="46227D8A"/>
    <w:rsid w:val="46257E19"/>
    <w:rsid w:val="46412FF5"/>
    <w:rsid w:val="465322B6"/>
    <w:rsid w:val="468A389E"/>
    <w:rsid w:val="46BB7659"/>
    <w:rsid w:val="46F22A2C"/>
    <w:rsid w:val="47642E0C"/>
    <w:rsid w:val="4770480D"/>
    <w:rsid w:val="47962F6C"/>
    <w:rsid w:val="479C2E6C"/>
    <w:rsid w:val="47C93E5B"/>
    <w:rsid w:val="483E0856"/>
    <w:rsid w:val="4840175A"/>
    <w:rsid w:val="48A03D84"/>
    <w:rsid w:val="48A67318"/>
    <w:rsid w:val="48E20C98"/>
    <w:rsid w:val="490F056E"/>
    <w:rsid w:val="49204152"/>
    <w:rsid w:val="492D54B1"/>
    <w:rsid w:val="497B3A96"/>
    <w:rsid w:val="49C31AA0"/>
    <w:rsid w:val="4A00080C"/>
    <w:rsid w:val="4A115259"/>
    <w:rsid w:val="4A365B6F"/>
    <w:rsid w:val="4A511560"/>
    <w:rsid w:val="4A657F16"/>
    <w:rsid w:val="4A8709D0"/>
    <w:rsid w:val="4AAB5493"/>
    <w:rsid w:val="4ABB2CBF"/>
    <w:rsid w:val="4AC71860"/>
    <w:rsid w:val="4AF61640"/>
    <w:rsid w:val="4AFE5CDF"/>
    <w:rsid w:val="4B9D6C98"/>
    <w:rsid w:val="4BB1309A"/>
    <w:rsid w:val="4BB579EF"/>
    <w:rsid w:val="4BE928C4"/>
    <w:rsid w:val="4C3C363E"/>
    <w:rsid w:val="4C5C7AB1"/>
    <w:rsid w:val="4C8406A8"/>
    <w:rsid w:val="4C8A4425"/>
    <w:rsid w:val="4C9E32AE"/>
    <w:rsid w:val="4CA74D7F"/>
    <w:rsid w:val="4CB86F30"/>
    <w:rsid w:val="4CD04586"/>
    <w:rsid w:val="4CEB2FFD"/>
    <w:rsid w:val="4CF41636"/>
    <w:rsid w:val="4D14652C"/>
    <w:rsid w:val="4D241A5A"/>
    <w:rsid w:val="4D3848C3"/>
    <w:rsid w:val="4D7C0A97"/>
    <w:rsid w:val="4DC33663"/>
    <w:rsid w:val="4DD02D30"/>
    <w:rsid w:val="4DD53701"/>
    <w:rsid w:val="4E0D68C6"/>
    <w:rsid w:val="4E1D3F94"/>
    <w:rsid w:val="4E714E6A"/>
    <w:rsid w:val="4E761A81"/>
    <w:rsid w:val="4F305339"/>
    <w:rsid w:val="4F5F7007"/>
    <w:rsid w:val="4F6B359F"/>
    <w:rsid w:val="4F7923BC"/>
    <w:rsid w:val="4FAF7E99"/>
    <w:rsid w:val="4FB80DA3"/>
    <w:rsid w:val="4FC1612F"/>
    <w:rsid w:val="4FC53408"/>
    <w:rsid w:val="4FFD0746"/>
    <w:rsid w:val="5010743E"/>
    <w:rsid w:val="50140F7B"/>
    <w:rsid w:val="50A564B9"/>
    <w:rsid w:val="51813138"/>
    <w:rsid w:val="51A415B0"/>
    <w:rsid w:val="51BE70DF"/>
    <w:rsid w:val="51D737AB"/>
    <w:rsid w:val="520172AE"/>
    <w:rsid w:val="521D55B2"/>
    <w:rsid w:val="522318B6"/>
    <w:rsid w:val="52380017"/>
    <w:rsid w:val="525A053D"/>
    <w:rsid w:val="52607AAE"/>
    <w:rsid w:val="526345D2"/>
    <w:rsid w:val="527C7AD6"/>
    <w:rsid w:val="52A00F5F"/>
    <w:rsid w:val="52CC2E7A"/>
    <w:rsid w:val="52D558DD"/>
    <w:rsid w:val="52E04A5F"/>
    <w:rsid w:val="532B1FB3"/>
    <w:rsid w:val="532E5273"/>
    <w:rsid w:val="538A0FFA"/>
    <w:rsid w:val="53AE58CD"/>
    <w:rsid w:val="53C35D71"/>
    <w:rsid w:val="53D0009D"/>
    <w:rsid w:val="53E578EE"/>
    <w:rsid w:val="545E3FA1"/>
    <w:rsid w:val="54BE1970"/>
    <w:rsid w:val="55021730"/>
    <w:rsid w:val="55216133"/>
    <w:rsid w:val="55433398"/>
    <w:rsid w:val="55523FE7"/>
    <w:rsid w:val="556D7134"/>
    <w:rsid w:val="559F089C"/>
    <w:rsid w:val="55B918B3"/>
    <w:rsid w:val="55C03C13"/>
    <w:rsid w:val="55CF39E5"/>
    <w:rsid w:val="5624464D"/>
    <w:rsid w:val="56A46191"/>
    <w:rsid w:val="56AF0CC0"/>
    <w:rsid w:val="56C26DF8"/>
    <w:rsid w:val="56EB18D8"/>
    <w:rsid w:val="56F031DD"/>
    <w:rsid w:val="570307EE"/>
    <w:rsid w:val="574A554A"/>
    <w:rsid w:val="576A1661"/>
    <w:rsid w:val="57B1084B"/>
    <w:rsid w:val="57B238D8"/>
    <w:rsid w:val="57D47FE3"/>
    <w:rsid w:val="57FB1887"/>
    <w:rsid w:val="5831169E"/>
    <w:rsid w:val="586464A8"/>
    <w:rsid w:val="58773C0E"/>
    <w:rsid w:val="58A468EC"/>
    <w:rsid w:val="58D63927"/>
    <w:rsid w:val="58E966AE"/>
    <w:rsid w:val="59022ACC"/>
    <w:rsid w:val="59143C87"/>
    <w:rsid w:val="5914505E"/>
    <w:rsid w:val="59555D35"/>
    <w:rsid w:val="59A92380"/>
    <w:rsid w:val="59B91328"/>
    <w:rsid w:val="59FE6BD8"/>
    <w:rsid w:val="5A0250B8"/>
    <w:rsid w:val="5A162CD8"/>
    <w:rsid w:val="5A2E4526"/>
    <w:rsid w:val="5AB67055"/>
    <w:rsid w:val="5AE115A0"/>
    <w:rsid w:val="5AE26792"/>
    <w:rsid w:val="5AFC408E"/>
    <w:rsid w:val="5B21284E"/>
    <w:rsid w:val="5B387CF4"/>
    <w:rsid w:val="5B440810"/>
    <w:rsid w:val="5B836321"/>
    <w:rsid w:val="5BE44E7D"/>
    <w:rsid w:val="5C27072C"/>
    <w:rsid w:val="5CBD644B"/>
    <w:rsid w:val="5CCB3D66"/>
    <w:rsid w:val="5CD95D57"/>
    <w:rsid w:val="5D202B76"/>
    <w:rsid w:val="5D462633"/>
    <w:rsid w:val="5D5B603B"/>
    <w:rsid w:val="5D8629BD"/>
    <w:rsid w:val="5DC628B7"/>
    <w:rsid w:val="5DDA4B44"/>
    <w:rsid w:val="5DF22B2B"/>
    <w:rsid w:val="5DF4486B"/>
    <w:rsid w:val="5DFA4FE4"/>
    <w:rsid w:val="5E5B3DA6"/>
    <w:rsid w:val="5E6B2FBA"/>
    <w:rsid w:val="5EAF4FAF"/>
    <w:rsid w:val="5EED29BE"/>
    <w:rsid w:val="5F0F0587"/>
    <w:rsid w:val="5F11687D"/>
    <w:rsid w:val="5F175D54"/>
    <w:rsid w:val="5F202506"/>
    <w:rsid w:val="5F413E2B"/>
    <w:rsid w:val="5F513464"/>
    <w:rsid w:val="5FB66F74"/>
    <w:rsid w:val="5FBE1452"/>
    <w:rsid w:val="5FC17AE4"/>
    <w:rsid w:val="5FE71B4E"/>
    <w:rsid w:val="60053F29"/>
    <w:rsid w:val="60177E57"/>
    <w:rsid w:val="60260DD6"/>
    <w:rsid w:val="6027476F"/>
    <w:rsid w:val="60286090"/>
    <w:rsid w:val="60863A14"/>
    <w:rsid w:val="60937952"/>
    <w:rsid w:val="60B8013D"/>
    <w:rsid w:val="60CE60F6"/>
    <w:rsid w:val="60EC02DF"/>
    <w:rsid w:val="60ED1B8C"/>
    <w:rsid w:val="60F97E7F"/>
    <w:rsid w:val="61492B98"/>
    <w:rsid w:val="6151620B"/>
    <w:rsid w:val="617A35A5"/>
    <w:rsid w:val="61CA0BAE"/>
    <w:rsid w:val="61CC4B78"/>
    <w:rsid w:val="621573FD"/>
    <w:rsid w:val="621603D1"/>
    <w:rsid w:val="62175BB4"/>
    <w:rsid w:val="626434DC"/>
    <w:rsid w:val="62787648"/>
    <w:rsid w:val="627E3596"/>
    <w:rsid w:val="62E317A6"/>
    <w:rsid w:val="633A29DC"/>
    <w:rsid w:val="63787429"/>
    <w:rsid w:val="638830BE"/>
    <w:rsid w:val="639A7D51"/>
    <w:rsid w:val="63B50714"/>
    <w:rsid w:val="63EC5AC2"/>
    <w:rsid w:val="63F94524"/>
    <w:rsid w:val="64031D7B"/>
    <w:rsid w:val="640F64CB"/>
    <w:rsid w:val="64183128"/>
    <w:rsid w:val="643560F6"/>
    <w:rsid w:val="64386F83"/>
    <w:rsid w:val="644648F9"/>
    <w:rsid w:val="647210C7"/>
    <w:rsid w:val="64AB2957"/>
    <w:rsid w:val="64C3540B"/>
    <w:rsid w:val="64CD5B14"/>
    <w:rsid w:val="65373454"/>
    <w:rsid w:val="657A5E1B"/>
    <w:rsid w:val="65C07D95"/>
    <w:rsid w:val="65CB3263"/>
    <w:rsid w:val="6621793B"/>
    <w:rsid w:val="66594DF7"/>
    <w:rsid w:val="66612A5F"/>
    <w:rsid w:val="66D54DAC"/>
    <w:rsid w:val="66D862B5"/>
    <w:rsid w:val="66FB5E1E"/>
    <w:rsid w:val="67150C98"/>
    <w:rsid w:val="675E1300"/>
    <w:rsid w:val="67AF350D"/>
    <w:rsid w:val="68AA473E"/>
    <w:rsid w:val="68BC04BE"/>
    <w:rsid w:val="68C67E52"/>
    <w:rsid w:val="69196E31"/>
    <w:rsid w:val="697B7F6E"/>
    <w:rsid w:val="69872414"/>
    <w:rsid w:val="69A86DF2"/>
    <w:rsid w:val="69AE4D14"/>
    <w:rsid w:val="69E45A4B"/>
    <w:rsid w:val="6A11401B"/>
    <w:rsid w:val="6A165B3B"/>
    <w:rsid w:val="6A4E329E"/>
    <w:rsid w:val="6A5262E6"/>
    <w:rsid w:val="6AB11F5B"/>
    <w:rsid w:val="6AE52808"/>
    <w:rsid w:val="6B1A2AD7"/>
    <w:rsid w:val="6B540A45"/>
    <w:rsid w:val="6B907F78"/>
    <w:rsid w:val="6BC47C78"/>
    <w:rsid w:val="6BE8000C"/>
    <w:rsid w:val="6BF22A62"/>
    <w:rsid w:val="6C0A6E20"/>
    <w:rsid w:val="6C194064"/>
    <w:rsid w:val="6C2A22A7"/>
    <w:rsid w:val="6C575B33"/>
    <w:rsid w:val="6C6F62D0"/>
    <w:rsid w:val="6CC7696C"/>
    <w:rsid w:val="6CC83A1C"/>
    <w:rsid w:val="6D0E7626"/>
    <w:rsid w:val="6D153CD2"/>
    <w:rsid w:val="6D382A6A"/>
    <w:rsid w:val="6D491AE4"/>
    <w:rsid w:val="6D8F66EB"/>
    <w:rsid w:val="6E2F6691"/>
    <w:rsid w:val="6E370FEF"/>
    <w:rsid w:val="6E423E42"/>
    <w:rsid w:val="6E71066B"/>
    <w:rsid w:val="6E792AF0"/>
    <w:rsid w:val="6E8734BA"/>
    <w:rsid w:val="6E873B7E"/>
    <w:rsid w:val="6E8879CF"/>
    <w:rsid w:val="6E9631AD"/>
    <w:rsid w:val="6ED004C2"/>
    <w:rsid w:val="6F283B93"/>
    <w:rsid w:val="6F3118E8"/>
    <w:rsid w:val="6F422B69"/>
    <w:rsid w:val="6FBB0781"/>
    <w:rsid w:val="6FC01F66"/>
    <w:rsid w:val="6FE55942"/>
    <w:rsid w:val="6FFD68A9"/>
    <w:rsid w:val="7031191E"/>
    <w:rsid w:val="70426C3B"/>
    <w:rsid w:val="70822844"/>
    <w:rsid w:val="715662B8"/>
    <w:rsid w:val="717B5A99"/>
    <w:rsid w:val="71857599"/>
    <w:rsid w:val="718A3484"/>
    <w:rsid w:val="71DC2F11"/>
    <w:rsid w:val="71DE0FBA"/>
    <w:rsid w:val="71FC56CF"/>
    <w:rsid w:val="71FD2B03"/>
    <w:rsid w:val="722B24FD"/>
    <w:rsid w:val="7254699A"/>
    <w:rsid w:val="72BD0DCA"/>
    <w:rsid w:val="72E44333"/>
    <w:rsid w:val="7392156E"/>
    <w:rsid w:val="73F04FDA"/>
    <w:rsid w:val="73FF14BE"/>
    <w:rsid w:val="745A23E5"/>
    <w:rsid w:val="749F4D56"/>
    <w:rsid w:val="74DC46D1"/>
    <w:rsid w:val="75003CEA"/>
    <w:rsid w:val="755B43FA"/>
    <w:rsid w:val="759B1DB0"/>
    <w:rsid w:val="75CD4BA8"/>
    <w:rsid w:val="75DE7303"/>
    <w:rsid w:val="766A62AE"/>
    <w:rsid w:val="76AB5B65"/>
    <w:rsid w:val="76CC3A38"/>
    <w:rsid w:val="76DA426F"/>
    <w:rsid w:val="76FB1C40"/>
    <w:rsid w:val="77793C3A"/>
    <w:rsid w:val="778B17ED"/>
    <w:rsid w:val="77A67C8F"/>
    <w:rsid w:val="77FD6FBB"/>
    <w:rsid w:val="780C1737"/>
    <w:rsid w:val="782C53D2"/>
    <w:rsid w:val="78571C3D"/>
    <w:rsid w:val="785B526F"/>
    <w:rsid w:val="78B041A7"/>
    <w:rsid w:val="78B4648A"/>
    <w:rsid w:val="78CC1A71"/>
    <w:rsid w:val="78EC211B"/>
    <w:rsid w:val="792D6775"/>
    <w:rsid w:val="79B4706A"/>
    <w:rsid w:val="79C3253B"/>
    <w:rsid w:val="7A093885"/>
    <w:rsid w:val="7A8B1527"/>
    <w:rsid w:val="7A8E465E"/>
    <w:rsid w:val="7A904C5F"/>
    <w:rsid w:val="7A9C45D8"/>
    <w:rsid w:val="7ACB5BD1"/>
    <w:rsid w:val="7B47102C"/>
    <w:rsid w:val="7B9A4835"/>
    <w:rsid w:val="7BA91EF8"/>
    <w:rsid w:val="7C06609A"/>
    <w:rsid w:val="7C2914C4"/>
    <w:rsid w:val="7CEE74C2"/>
    <w:rsid w:val="7CFE2071"/>
    <w:rsid w:val="7D162FF4"/>
    <w:rsid w:val="7D250A4D"/>
    <w:rsid w:val="7D382CA9"/>
    <w:rsid w:val="7D3D2F9C"/>
    <w:rsid w:val="7D732915"/>
    <w:rsid w:val="7D86617E"/>
    <w:rsid w:val="7DFC55AC"/>
    <w:rsid w:val="7E3307A8"/>
    <w:rsid w:val="7E896AAD"/>
    <w:rsid w:val="7E9A0A09"/>
    <w:rsid w:val="7EA2625C"/>
    <w:rsid w:val="7EB86685"/>
    <w:rsid w:val="7EBF42E9"/>
    <w:rsid w:val="7ED666D1"/>
    <w:rsid w:val="7EE10139"/>
    <w:rsid w:val="7EF466E3"/>
    <w:rsid w:val="7F1D7D39"/>
    <w:rsid w:val="7F537C54"/>
    <w:rsid w:val="7F5B5754"/>
    <w:rsid w:val="7F6F5F8F"/>
    <w:rsid w:val="7F8928EC"/>
    <w:rsid w:val="7F99602C"/>
    <w:rsid w:val="7FD4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7"/>
    <w:unhideWhenUsed/>
    <w:qFormat/>
    <w:uiPriority w:val="99"/>
    <w:pPr>
      <w:tabs>
        <w:tab w:val="center" w:pos="4153"/>
        <w:tab w:val="right" w:pos="8306"/>
      </w:tabs>
      <w:snapToGrid w:val="0"/>
      <w:jc w:val="left"/>
    </w:pPr>
    <w:rPr>
      <w:sz w:val="18"/>
      <w:szCs w:val="18"/>
    </w:rPr>
  </w:style>
  <w:style w:type="paragraph" w:styleId="3">
    <w:name w:val="header"/>
    <w:basedOn w:val="1"/>
    <w:link w:val="3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szCs w:val="24"/>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0">
    <w:name w:val="xl6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18"/>
      <w:szCs w:val="18"/>
    </w:rPr>
  </w:style>
  <w:style w:type="paragraph" w:customStyle="1" w:styleId="1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2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4">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2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29">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0">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1">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3">
    <w:name w:val="xl89"/>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3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3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character" w:customStyle="1" w:styleId="37">
    <w:name w:val="页脚 字符"/>
    <w:basedOn w:val="6"/>
    <w:link w:val="2"/>
    <w:semiHidden/>
    <w:qFormat/>
    <w:uiPriority w:val="99"/>
    <w:rPr>
      <w:sz w:val="18"/>
      <w:szCs w:val="18"/>
    </w:rPr>
  </w:style>
  <w:style w:type="character" w:customStyle="1" w:styleId="38">
    <w:name w:val="页眉 字符"/>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5065</Words>
  <Characters>5101</Characters>
  <Lines>55</Lines>
  <Paragraphs>15</Paragraphs>
  <TotalTime>12</TotalTime>
  <ScaleCrop>false</ScaleCrop>
  <LinksUpToDate>false</LinksUpToDate>
  <CharactersWithSpaces>7494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2023-11-23T01:31:00Z</dcterms:created>
  <dc:creator>李翌</dc:creator>
  <cp:lastModifiedBy>公共服务局 夏勇</cp:lastModifiedBy>
  <cp:lastPrinted>2022-02-09T07:09:00Z</cp:lastPrinted>
  <dcterms:modified xsi:type="dcterms:W3CDTF">2024-11-27T09:48:21Z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FDD3B7584A2D4A9994B9E4CFFE878C1C_12</vt:lpwstr>
  </property>
</Properties>
</file>