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64" w:rsidRDefault="00403164" w:rsidP="00403164">
      <w:pPr>
        <w:spacing w:line="600" w:lineRule="exact"/>
      </w:pPr>
      <w:r>
        <w:rPr>
          <w:rFonts w:eastAsia="方正黑体_GBK"/>
          <w:kern w:val="0"/>
          <w:szCs w:val="32"/>
        </w:rPr>
        <w:t>附件</w:t>
      </w:r>
      <w:r>
        <w:rPr>
          <w:rFonts w:eastAsia="方正黑体_GBK"/>
          <w:kern w:val="0"/>
          <w:szCs w:val="32"/>
        </w:rPr>
        <w:t>1</w:t>
      </w:r>
    </w:p>
    <w:p w:rsidR="00403164" w:rsidRDefault="00403164" w:rsidP="00403164">
      <w:pPr>
        <w:pStyle w:val="2"/>
        <w:spacing w:after="0" w:line="720" w:lineRule="exact"/>
        <w:ind w:leftChars="0" w:left="0" w:firstLineChars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高新区</w:t>
      </w:r>
      <w:r>
        <w:rPr>
          <w:rFonts w:eastAsia="方正小标宋_GBK"/>
          <w:sz w:val="44"/>
          <w:szCs w:val="44"/>
        </w:rPr>
        <w:t>2022</w:t>
      </w:r>
      <w:r>
        <w:rPr>
          <w:rFonts w:eastAsia="方正小标宋_GBK"/>
          <w:sz w:val="44"/>
          <w:szCs w:val="44"/>
        </w:rPr>
        <w:t>年</w:t>
      </w:r>
      <w:r>
        <w:rPr>
          <w:rFonts w:eastAsia="方正小标宋_GBK" w:hint="eastAsia"/>
          <w:sz w:val="44"/>
          <w:szCs w:val="44"/>
        </w:rPr>
        <w:t>国抽</w:t>
      </w:r>
      <w:r>
        <w:rPr>
          <w:rFonts w:eastAsia="方正小标宋_GBK"/>
          <w:sz w:val="44"/>
          <w:szCs w:val="44"/>
        </w:rPr>
        <w:t>监督抽检计划任务分配表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1361"/>
        <w:gridCol w:w="1757"/>
        <w:gridCol w:w="2381"/>
        <w:gridCol w:w="510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03164" w:rsidTr="008272BF">
        <w:trPr>
          <w:cantSplit/>
          <w:trHeight w:val="283"/>
          <w:tblHeader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食品大类</w:t>
            </w:r>
          </w:p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（一级）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食品亚类</w:t>
            </w:r>
          </w:p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（二级）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食品品种</w:t>
            </w:r>
          </w:p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（三级）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kern w:val="0"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食品细类</w:t>
            </w:r>
          </w:p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（四级）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风险等级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 w:hint="eastAsia"/>
                <w:bCs/>
                <w:kern w:val="0"/>
                <w:szCs w:val="21"/>
              </w:rPr>
              <w:t>市局下达任务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曾家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白市驿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含谷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金凤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走马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石板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巴福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西永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虎溪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spacing w:line="260" w:lineRule="exact"/>
              <w:jc w:val="center"/>
              <w:rPr>
                <w:rFonts w:ascii="方正黑体_GBK" w:eastAsia="方正黑体_GBK" w:hAnsi="宋体" w:cs="宋体" w:hint="eastAsia"/>
                <w:bCs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szCs w:val="21"/>
              </w:rPr>
              <w:t>香炉山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粮食加工品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挂面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挂面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挂面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其他粮食</w:t>
            </w:r>
          </w:p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加工品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谷物加工品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谷物加工品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谷物碾磨加工品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玉米粉（片、渣）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其他谷物碾磨加工品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谷物粉类制成品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生湿面制品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发酵面制品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米粉制品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其他谷物粉类制成品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食用油、油脂及其制品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pacing w:val="-17"/>
                <w:w w:val="95"/>
                <w:kern w:val="0"/>
                <w:szCs w:val="21"/>
              </w:rPr>
            </w:pPr>
            <w:r>
              <w:rPr>
                <w:spacing w:val="-17"/>
                <w:w w:val="95"/>
                <w:kern w:val="0"/>
                <w:szCs w:val="21"/>
              </w:rPr>
              <w:t>食用植物油</w:t>
            </w:r>
          </w:p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spacing w:val="-17"/>
                <w:w w:val="95"/>
                <w:kern w:val="0"/>
                <w:szCs w:val="21"/>
              </w:rPr>
              <w:t>（含煎炸用油）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煎炸过程用油（餐饮环节）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煎炸过程用油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食用动物油脂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食用动物油脂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食用动物油脂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食用油脂制品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食用油脂制品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食用油脂制品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酱油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酱油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食醋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食醋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食醋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酱类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酿造酱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黄豆酱、甜面酱等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香辛料类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香辛料类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香辛料调味油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辣椒、花椒、辣椒粉、花椒粉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其他香辛料调味品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调味料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半固体复合调味料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spacing w:line="240" w:lineRule="exac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蛋黄酱、沙拉酱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坚果及籽类的泥（酱）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辣椒酱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火锅底料、麻辣烫底料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其他半固体调味料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味精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味精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味精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食盐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食用盐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普通食用盐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低钠食用盐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风味食用盐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特殊工艺食用盐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食品生产加工用盐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食品生产加工用盐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肉制品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预制肉制品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调理肉制品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调理肉制品（非速冻）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腌腊肉制品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饮料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饮料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包装饮用水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饮用天然矿泉水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11"/>
                <w:w w:val="92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饮用纯净水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11"/>
                <w:w w:val="92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其他类饮用水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果蔬汁类及其饮料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果蔬汁类及其饮料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方便食品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方便食品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方便面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油炸面、非油炸面、方便米粉（米线）、方便粉丝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调味面制品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调味面制品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其他方便食品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方便粥、方便盒饭、冷面及其他熟制方便食品等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饼干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冷冻饮品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冷冻饮品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冷冻饮品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冰淇淋、雪糕、雪泥、冰棍、食用冰、甜味冰、其他类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速冻食品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速冻面米食品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速冻面米食品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速冻面米生制品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速冻面米熟制品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速冻调制食品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速冻调理肉制品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速冻调理肉制品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速冻调制水产制品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速冻调制水产制品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速冻其他食品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速冻谷物食品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速冻谷物食品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速冻蔬菜制品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速冻蔬菜制品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速冻水果制品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速冻水果制品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薯类和膨化食品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薯类和膨化食品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膨化食品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含油型膨化食品和非含油型膨化食品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薯类食品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干制薯类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薯泥（酱）类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薯粉类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糖果制品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含巧克力及制品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糖果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酒类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蒸馏酒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白酒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11"/>
                <w:w w:val="92"/>
                <w:szCs w:val="21"/>
              </w:rPr>
            </w:pPr>
            <w:r>
              <w:rPr>
                <w:spacing w:val="-11"/>
                <w:w w:val="92"/>
                <w:kern w:val="0"/>
                <w:szCs w:val="21"/>
              </w:rPr>
              <w:t>白酒、白酒</w:t>
            </w:r>
            <w:r>
              <w:rPr>
                <w:spacing w:val="-11"/>
                <w:w w:val="92"/>
                <w:kern w:val="0"/>
                <w:szCs w:val="21"/>
              </w:rPr>
              <w:t>(</w:t>
            </w:r>
            <w:r>
              <w:rPr>
                <w:spacing w:val="-11"/>
                <w:w w:val="92"/>
                <w:kern w:val="0"/>
                <w:szCs w:val="21"/>
              </w:rPr>
              <w:t>液态</w:t>
            </w:r>
            <w:r>
              <w:rPr>
                <w:spacing w:val="-11"/>
                <w:w w:val="92"/>
                <w:kern w:val="0"/>
                <w:szCs w:val="21"/>
              </w:rPr>
              <w:t>)</w:t>
            </w:r>
            <w:r>
              <w:rPr>
                <w:spacing w:val="-11"/>
                <w:w w:val="92"/>
                <w:kern w:val="0"/>
                <w:szCs w:val="21"/>
              </w:rPr>
              <w:t>、白酒</w:t>
            </w:r>
            <w:r>
              <w:rPr>
                <w:spacing w:val="-11"/>
                <w:w w:val="92"/>
                <w:kern w:val="0"/>
                <w:szCs w:val="21"/>
              </w:rPr>
              <w:t>(</w:t>
            </w:r>
            <w:r>
              <w:rPr>
                <w:spacing w:val="-11"/>
                <w:w w:val="92"/>
                <w:kern w:val="0"/>
                <w:szCs w:val="21"/>
              </w:rPr>
              <w:t>原酒</w:t>
            </w:r>
            <w:r>
              <w:rPr>
                <w:spacing w:val="-11"/>
                <w:w w:val="92"/>
                <w:kern w:val="0"/>
                <w:szCs w:val="21"/>
              </w:rPr>
              <w:t>)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其他酒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配制酒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以蒸馏酒及食用酒精为酒基的配制酒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蔬菜制品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蔬菜制品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酱腌菜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酱腌菜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蔬菜干制品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蔬菜干制品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食用菌制品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干制食用菌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腌渍食用菌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水果制品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水果制品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蜜饯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蜜饯类、凉果类、果脯类、话化类、果糕类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炒货食品及坚果制品（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烘炒类、油炸类、其他类）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开心果、杏仁、扁桃仁、松仁、瓜子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其他炒货食品及坚果制品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蛋制品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蛋制品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其他类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食糖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食糖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食糖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白砂糖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绵白糖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赤砂糖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红糖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冰糖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冰片糖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方糖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其他糖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水产制品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水产制品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干制水产品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藻类干制品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预制动物性水产干制品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生食水产品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生食动物性水产品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其他水产制品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其他水产制品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淀粉及淀粉制品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淀粉及淀粉制品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淀粉制品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粉丝粉条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其他淀粉制品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月饼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月饼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粽子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粽子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粽子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02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蜂产品</w:t>
            </w: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蜂产品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蜂蜜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餐饮食品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米面及其制品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小麦粉制品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发酵面制品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油炸面制品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培烤食品（自制）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培烤食品（自制）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糕点（自制）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复合调味料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半固态调味料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火锅调味料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底料、蘸料</w:t>
            </w:r>
            <w:r>
              <w:rPr>
                <w:kern w:val="0"/>
                <w:szCs w:val="21"/>
              </w:rPr>
              <w:t>)(</w:t>
            </w:r>
            <w:r>
              <w:rPr>
                <w:kern w:val="0"/>
                <w:szCs w:val="21"/>
              </w:rPr>
              <w:t>自制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水产及水产制品（自制）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水产及水产制品（自制）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生食动物性水产品（自制）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坚果及籽类食品（自制）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坚果及籽类食品（自制）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花生及其制品（自制）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餐饮具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复用餐饮具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复用餐饮具（餐馆自行消毒）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餐饮具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复用餐饮具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复用餐饮具（集中清洗消毒服务单位消毒）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其他餐饮食品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调味料（自制）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小面调料（限已配好调料）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酒类（自制）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配制酒（自制）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lef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蔬菜制品（自制）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酱腌菜（自制）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畜禽肉及副产品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畜肉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猪肉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牛肉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羊肉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其他畜肉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禽肉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鸡肉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鸭肉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pacing w:val="-20"/>
                <w:w w:val="90"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其他禽肉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90"/>
                <w:szCs w:val="21"/>
              </w:rPr>
            </w:pPr>
            <w:r>
              <w:rPr>
                <w:spacing w:val="-20"/>
                <w:w w:val="90"/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畜禽肉及副产品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畜副产品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牛肝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羊肝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猪肾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牛肾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羊肾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其他畜副产品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禽副产品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其他禽副产品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spacing w:val="-20"/>
                <w:w w:val="89"/>
                <w:kern w:val="0"/>
                <w:szCs w:val="21"/>
              </w:rPr>
              <w:t>鳞茎类蔬菜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韭菜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鲜食用菌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鲜食用菌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芸薹属类蔬菜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结球甘蓝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芸薹属类蔬菜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叶菜类蔬菜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菠菜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茄果类蔬菜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茄子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茄果类蔬菜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茄果类蔬菜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甜椒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根茎类和薯芋类蔬菜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山药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根茎类和薯芋类蔬菜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胡萝卜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根茎类和薯芋类蔬菜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水生类蔬菜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莲藕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叶菜类蔬菜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芹菜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11"/>
                <w:w w:val="90"/>
                <w:szCs w:val="21"/>
              </w:rPr>
            </w:pPr>
            <w:r>
              <w:rPr>
                <w:spacing w:val="-11"/>
                <w:w w:val="90"/>
                <w:kern w:val="0"/>
                <w:szCs w:val="21"/>
              </w:rPr>
              <w:t>叶菜类蔬菜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普通白菜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89"/>
                <w:kern w:val="0"/>
                <w:szCs w:val="21"/>
              </w:rPr>
            </w:pPr>
            <w:r>
              <w:rPr>
                <w:spacing w:val="-20"/>
                <w:w w:val="89"/>
                <w:kern w:val="0"/>
                <w:szCs w:val="21"/>
              </w:rPr>
              <w:t>叶菜类蔬菜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大白菜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89"/>
                <w:kern w:val="0"/>
                <w:szCs w:val="21"/>
              </w:rPr>
            </w:pPr>
            <w:r>
              <w:rPr>
                <w:spacing w:val="-20"/>
                <w:w w:val="89"/>
                <w:kern w:val="0"/>
                <w:szCs w:val="21"/>
              </w:rPr>
              <w:t>叶菜类蔬菜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油麦菜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pacing w:val="-20"/>
                <w:w w:val="89"/>
                <w:kern w:val="0"/>
                <w:szCs w:val="21"/>
              </w:rPr>
            </w:pPr>
            <w:r>
              <w:rPr>
                <w:spacing w:val="-20"/>
                <w:w w:val="89"/>
                <w:kern w:val="0"/>
                <w:szCs w:val="21"/>
              </w:rPr>
              <w:t>茄果类蔬菜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番茄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豇豆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豆类蔬菜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菜豆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淡水产品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淡水鱼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淡水虾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海水产品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海水鱼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海水虾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海水蟹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水果类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仁果类水果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苹果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梨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核果类水果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枣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桃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油桃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柑橘类水果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柑、橘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柚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柠檬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橙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浆果和其他小型水果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葡萄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草莓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猕猴桃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热带和亚热带水果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香蕉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芒果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火龙果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荔枝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瓜果类水果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西瓜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甜瓜类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02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食用农产品</w:t>
            </w: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鸡蛋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其他禽蛋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生干坚果与籽类食品</w:t>
            </w:r>
          </w:p>
        </w:tc>
        <w:tc>
          <w:tcPr>
            <w:tcW w:w="1757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生干坚果与籽类食品</w:t>
            </w: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生干坚果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 w:val="restart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 w:rsidR="00403164" w:rsidTr="008272BF">
        <w:trPr>
          <w:trHeight w:val="283"/>
          <w:jc w:val="center"/>
        </w:trPr>
        <w:tc>
          <w:tcPr>
            <w:tcW w:w="454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生干籽类</w:t>
            </w:r>
          </w:p>
        </w:tc>
        <w:tc>
          <w:tcPr>
            <w:tcW w:w="510" w:type="dxa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680" w:type="dxa"/>
            <w:vMerge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403164" w:rsidTr="008272BF">
        <w:trPr>
          <w:trHeight w:val="397"/>
          <w:jc w:val="center"/>
        </w:trPr>
        <w:tc>
          <w:tcPr>
            <w:tcW w:w="7483" w:type="dxa"/>
            <w:gridSpan w:val="6"/>
            <w:vAlign w:val="center"/>
          </w:tcPr>
          <w:p w:rsidR="00403164" w:rsidRDefault="00403164" w:rsidP="008272BF">
            <w:pPr>
              <w:widowControl/>
              <w:spacing w:line="22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680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183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4" w:type="dxa"/>
            <w:vAlign w:val="center"/>
          </w:tcPr>
          <w:p w:rsidR="00403164" w:rsidRDefault="00403164" w:rsidP="008272B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</w:tr>
      <w:tr w:rsidR="00403164" w:rsidTr="008272BF">
        <w:trPr>
          <w:trHeight w:val="510"/>
          <w:jc w:val="center"/>
        </w:trPr>
        <w:tc>
          <w:tcPr>
            <w:tcW w:w="1474" w:type="dxa"/>
            <w:gridSpan w:val="2"/>
            <w:vAlign w:val="center"/>
          </w:tcPr>
          <w:p w:rsidR="00403164" w:rsidRDefault="00403164" w:rsidP="008272B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2929" w:type="dxa"/>
            <w:gridSpan w:val="15"/>
            <w:vAlign w:val="center"/>
          </w:tcPr>
          <w:p w:rsidR="00403164" w:rsidRDefault="00403164" w:rsidP="008272BF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食品生产流通环节</w:t>
            </w:r>
            <w:r>
              <w:rPr>
                <w:rFonts w:hint="eastAsia"/>
                <w:b/>
                <w:sz w:val="24"/>
              </w:rPr>
              <w:t>129</w:t>
            </w:r>
            <w:r>
              <w:rPr>
                <w:rFonts w:hint="eastAsia"/>
                <w:b/>
                <w:sz w:val="24"/>
              </w:rPr>
              <w:t>批次，餐饮环节</w:t>
            </w:r>
            <w:r>
              <w:rPr>
                <w:rFonts w:hint="eastAsia"/>
                <w:b/>
                <w:sz w:val="24"/>
              </w:rPr>
              <w:t>54</w:t>
            </w:r>
            <w:r>
              <w:rPr>
                <w:rFonts w:hint="eastAsia"/>
                <w:b/>
                <w:sz w:val="24"/>
              </w:rPr>
              <w:t>批次</w:t>
            </w:r>
          </w:p>
        </w:tc>
      </w:tr>
    </w:tbl>
    <w:p w:rsidR="00403164" w:rsidRDefault="00403164" w:rsidP="00403164">
      <w:pPr>
        <w:pStyle w:val="2"/>
        <w:ind w:leftChars="0" w:left="0" w:firstLineChars="0" w:firstLine="0"/>
        <w:rPr>
          <w:rFonts w:hint="eastAsia"/>
        </w:rPr>
      </w:pPr>
    </w:p>
    <w:p w:rsidR="00403164" w:rsidRDefault="00403164" w:rsidP="00403164">
      <w:pPr>
        <w:pStyle w:val="2"/>
        <w:ind w:leftChars="0" w:left="0" w:firstLineChars="0" w:firstLine="0"/>
        <w:sectPr w:rsidR="00403164">
          <w:pgSz w:w="16838" w:h="11906" w:orient="landscape"/>
          <w:pgMar w:top="1418" w:right="1418" w:bottom="1418" w:left="1418" w:header="851" w:footer="992" w:gutter="0"/>
          <w:cols w:space="720"/>
          <w:docGrid w:type="lines" w:linePitch="435"/>
        </w:sectPr>
      </w:pPr>
    </w:p>
    <w:p w:rsidR="00C00C98" w:rsidRPr="00403164" w:rsidRDefault="00C00C98">
      <w:bookmarkStart w:id="0" w:name="_GoBack"/>
      <w:bookmarkEnd w:id="0"/>
    </w:p>
    <w:sectPr w:rsidR="00C00C98" w:rsidRPr="00403164" w:rsidSect="004031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403164"/>
    <w:rsid w:val="00C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2491</Words>
  <Characters>2790</Characters>
  <Application>Microsoft Office Word</Application>
  <DocSecurity>0</DocSecurity>
  <Lines>930</Lines>
  <Paragraphs>660</Paragraphs>
  <ScaleCrop>false</ScaleCrop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2022-03-21T07:45:00Z</dcterms:created>
  <dcterms:modified xsi:type="dcterms:W3CDTF">2022-03-21T07:46:00Z</dcterms:modified>
</cp:coreProperties>
</file>