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32" w:rsidRDefault="00C80A32" w:rsidP="00C80A32">
      <w:pPr>
        <w:widowControl/>
        <w:spacing w:line="480" w:lineRule="atLeas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</w:t>
      </w:r>
    </w:p>
    <w:p w:rsidR="00C80A32" w:rsidRDefault="00C80A32" w:rsidP="00C80A32">
      <w:pPr>
        <w:widowControl/>
        <w:adjustRightInd w:val="0"/>
        <w:snapToGrid w:val="0"/>
        <w:spacing w:line="72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2022年食品安全快速检测任务分配表</w:t>
      </w:r>
    </w:p>
    <w:p w:rsidR="00C80A32" w:rsidRDefault="00C80A32" w:rsidP="00C80A32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/>
          <w:b/>
          <w:kern w:val="0"/>
          <w:sz w:val="24"/>
        </w:rPr>
      </w:pPr>
    </w:p>
    <w:p w:rsidR="00C80A32" w:rsidRDefault="00C80A32" w:rsidP="00C80A32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/>
          <w:b/>
          <w:kern w:val="0"/>
          <w:sz w:val="24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984"/>
        <w:gridCol w:w="1247"/>
        <w:gridCol w:w="1247"/>
        <w:gridCol w:w="1247"/>
        <w:gridCol w:w="1247"/>
        <w:gridCol w:w="1247"/>
      </w:tblGrid>
      <w:tr w:rsidR="00C80A32" w:rsidTr="00253429">
        <w:trPr>
          <w:trHeight w:val="567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序</w:t>
            </w:r>
          </w:p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市场</w:t>
            </w:r>
          </w:p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监管所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生产流通环节食品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餐饮</w:t>
            </w:r>
          </w:p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环节</w:t>
            </w:r>
          </w:p>
          <w:p w:rsidR="00C80A32" w:rsidRDefault="00C80A32" w:rsidP="00253429">
            <w:pPr>
              <w:spacing w:line="4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食品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32"/>
                <w:szCs w:val="32"/>
              </w:rPr>
              <w:t>小计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320" w:lineRule="exact"/>
              <w:jc w:val="center"/>
              <w:rPr>
                <w:rFonts w:ascii="方正黑体_GBK" w:eastAsia="方正黑体_GBK" w:hAnsi="宋体"/>
                <w:b/>
                <w:sz w:val="24"/>
              </w:rPr>
            </w:pPr>
            <w:r>
              <w:rPr>
                <w:rFonts w:ascii="方正黑体_GBK" w:eastAsia="方正黑体_GBK" w:cs="方正黑体_GBK" w:hint="eastAsia"/>
                <w:sz w:val="24"/>
              </w:rPr>
              <w:t>大米中镉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批发</w:t>
            </w:r>
          </w:p>
          <w:p w:rsidR="00C80A32" w:rsidRDefault="00C80A32" w:rsidP="00253429">
            <w:pPr>
              <w:spacing w:line="320" w:lineRule="exact"/>
              <w:jc w:val="center"/>
              <w:rPr>
                <w:rFonts w:ascii="方正黑体_GBK" w:eastAsia="方正黑体_GBK" w:hAnsi="宋体"/>
                <w:b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市场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食用</w:t>
            </w:r>
          </w:p>
          <w:p w:rsidR="00C80A32" w:rsidRDefault="00C80A32" w:rsidP="00253429">
            <w:pPr>
              <w:spacing w:line="3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农产品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曾家镇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32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白市</w:t>
            </w:r>
            <w:proofErr w:type="gramStart"/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驿</w:t>
            </w:r>
            <w:proofErr w:type="gramEnd"/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36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走马镇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含谷镇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巴福镇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1</w:t>
            </w:r>
            <w:r>
              <w:rPr>
                <w:rFonts w:ascii="方正楷体_GBK" w:eastAsia="方正楷体_GBK" w:hAnsi="宋体" w:hint="eastAsia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金凤镇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  <w:r>
              <w:rPr>
                <w:rFonts w:ascii="方正楷体_GBK" w:eastAsia="方正楷体_GBK" w:hAnsi="宋体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石板镇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西永街道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虎溪街道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香炉山街道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A32" w:rsidRDefault="00C80A32" w:rsidP="00253429">
            <w:pPr>
              <w:jc w:val="center"/>
              <w:rPr>
                <w:rFonts w:eastAsia="方正仿宋_GBK"/>
                <w:sz w:val="32"/>
                <w:szCs w:val="20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29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b/>
                <w:sz w:val="28"/>
                <w:szCs w:val="28"/>
              </w:rPr>
              <w:t>178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300</w:t>
            </w:r>
          </w:p>
        </w:tc>
      </w:tr>
      <w:tr w:rsidR="00C80A32" w:rsidTr="00253429">
        <w:trPr>
          <w:trHeight w:val="567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A32" w:rsidRDefault="00C80A32" w:rsidP="00253429">
            <w:pPr>
              <w:spacing w:line="4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说  明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0A32" w:rsidRDefault="00C80A32" w:rsidP="00253429">
            <w:pPr>
              <w:spacing w:line="400" w:lineRule="exact"/>
              <w:rPr>
                <w:rFonts w:ascii="方正楷体_GBK" w:eastAsia="方正楷体_GBK" w:hAnsi="宋体"/>
                <w:sz w:val="24"/>
              </w:rPr>
            </w:pPr>
            <w:r>
              <w:rPr>
                <w:rFonts w:ascii="方正楷体_GBK" w:eastAsia="方正楷体_GBK" w:hAnsi="宋体" w:hint="eastAsia"/>
                <w:sz w:val="24"/>
              </w:rPr>
              <w:t>1.食品生产流通2</w:t>
            </w:r>
            <w:r>
              <w:rPr>
                <w:rFonts w:ascii="方正楷体_GBK" w:eastAsia="方正楷体_GBK" w:hAnsi="宋体"/>
                <w:sz w:val="24"/>
              </w:rPr>
              <w:t>0</w:t>
            </w:r>
            <w:r>
              <w:rPr>
                <w:rFonts w:ascii="方正楷体_GBK" w:eastAsia="方正楷体_GBK" w:hAnsi="宋体" w:hint="eastAsia"/>
                <w:sz w:val="24"/>
              </w:rPr>
              <w:t>0批次、餐饮环节100批次,</w:t>
            </w:r>
            <w:r>
              <w:rPr>
                <w:rFonts w:ascii="方正楷体_GBK" w:eastAsia="方正楷体_GBK" w:hAnsi="宋体"/>
                <w:sz w:val="24"/>
              </w:rPr>
              <w:t>原则上按</w:t>
            </w:r>
            <w:r>
              <w:rPr>
                <w:rFonts w:ascii="方正楷体_GBK" w:eastAsia="方正楷体_GBK" w:hAnsi="宋体" w:hint="eastAsia"/>
                <w:sz w:val="24"/>
              </w:rPr>
              <w:t>计划批</w:t>
            </w:r>
            <w:r>
              <w:rPr>
                <w:rFonts w:ascii="方正楷体_GBK" w:eastAsia="方正楷体_GBK" w:hAnsi="宋体"/>
                <w:sz w:val="24"/>
              </w:rPr>
              <w:t>次</w:t>
            </w:r>
            <w:r>
              <w:rPr>
                <w:rFonts w:ascii="方正楷体_GBK" w:eastAsia="方正楷体_GBK" w:hAnsi="宋体" w:hint="eastAsia"/>
                <w:sz w:val="24"/>
              </w:rPr>
              <w:t>分配，也可</w:t>
            </w:r>
            <w:r>
              <w:rPr>
                <w:rFonts w:ascii="方正楷体_GBK" w:eastAsia="方正楷体_GBK" w:hAnsi="宋体"/>
                <w:sz w:val="24"/>
              </w:rPr>
              <w:t>根据工作需要</w:t>
            </w:r>
            <w:r>
              <w:rPr>
                <w:rFonts w:ascii="方正楷体_GBK" w:eastAsia="方正楷体_GBK" w:hAnsi="宋体" w:hint="eastAsia"/>
                <w:sz w:val="24"/>
              </w:rPr>
              <w:t>进行</w:t>
            </w:r>
            <w:r>
              <w:rPr>
                <w:rFonts w:ascii="方正楷体_GBK" w:eastAsia="方正楷体_GBK" w:hAnsi="宋体"/>
                <w:sz w:val="24"/>
              </w:rPr>
              <w:t>调整</w:t>
            </w:r>
            <w:r>
              <w:rPr>
                <w:rFonts w:ascii="方正楷体_GBK" w:eastAsia="方正楷体_GBK" w:hAnsi="宋体" w:hint="eastAsia"/>
                <w:sz w:val="24"/>
              </w:rPr>
              <w:t>。</w:t>
            </w:r>
          </w:p>
          <w:p w:rsidR="00C80A32" w:rsidRDefault="00C80A32" w:rsidP="00253429">
            <w:pPr>
              <w:spacing w:line="400" w:lineRule="exact"/>
              <w:rPr>
                <w:rFonts w:ascii="方正楷体_GBK" w:eastAsia="方正楷体_GBK" w:hAnsi="宋体"/>
                <w:sz w:val="24"/>
              </w:rPr>
            </w:pPr>
            <w:r>
              <w:rPr>
                <w:rFonts w:ascii="方正楷体_GBK" w:eastAsia="方正楷体_GBK" w:hAnsi="宋体" w:hint="eastAsia"/>
                <w:sz w:val="24"/>
              </w:rPr>
              <w:t>2.对市局或管委会交办的食品跟踪督察事项、重点投诉举报、突发事件等，实施专项快检。</w:t>
            </w:r>
          </w:p>
        </w:tc>
      </w:tr>
    </w:tbl>
    <w:p w:rsidR="00C80A32" w:rsidRDefault="00C80A32" w:rsidP="00C80A32">
      <w:pPr>
        <w:spacing w:line="560" w:lineRule="exact"/>
        <w:rPr>
          <w:rFonts w:eastAsia="方正仿宋_GBK"/>
          <w:sz w:val="32"/>
          <w:szCs w:val="20"/>
        </w:rPr>
      </w:pPr>
    </w:p>
    <w:p w:rsidR="008E2B99" w:rsidRPr="00C80A32" w:rsidRDefault="008E2B99">
      <w:bookmarkStart w:id="0" w:name="_GoBack"/>
      <w:bookmarkEnd w:id="0"/>
    </w:p>
    <w:sectPr w:rsidR="008E2B99" w:rsidRPr="00C8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8E2B99"/>
    <w:rsid w:val="00C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2022-03-21T07:28:00Z</dcterms:created>
  <dcterms:modified xsi:type="dcterms:W3CDTF">2022-03-21T07:28:00Z</dcterms:modified>
</cp:coreProperties>
</file>