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D760B">
      <w:pPr>
        <w:pStyle w:val="3"/>
        <w:pageBreakBefore w:val="0"/>
        <w:kinsoku/>
        <w:wordWrap/>
        <w:overflowPunct/>
        <w:topLinePunct w:val="0"/>
        <w:autoSpaceDE/>
        <w:autoSpaceDN/>
        <w:bidi w:val="0"/>
        <w:adjustRightInd/>
        <w:snapToGrid/>
        <w:spacing w:before="0" w:after="0" w:line="560" w:lineRule="exact"/>
        <w:ind w:left="0" w:leftChars="0" w:firstLine="0" w:firstLineChars="0"/>
        <w:jc w:val="center"/>
        <w:textAlignment w:val="auto"/>
        <w:rPr>
          <w:rFonts w:hint="default" w:ascii="Times New Roman" w:hAnsi="Times New Roman" w:eastAsia="方正小标宋_GBK" w:cs="Times New Roman"/>
          <w:b w:val="0"/>
          <w:color w:val="000000"/>
          <w:sz w:val="44"/>
          <w:szCs w:val="44"/>
          <w:lang w:val="en-US" w:eastAsia="zh-CN"/>
        </w:rPr>
      </w:pPr>
      <w:bookmarkStart w:id="0" w:name="_Toc29100"/>
      <w:bookmarkStart w:id="1" w:name="_Toc811"/>
      <w:bookmarkStart w:id="2" w:name="_Toc6621"/>
      <w:bookmarkStart w:id="3" w:name="_Toc21183"/>
      <w:bookmarkStart w:id="4" w:name="_Toc87308087"/>
      <w:bookmarkStart w:id="5" w:name="_Toc797"/>
      <w:bookmarkStart w:id="6" w:name="_Toc30414"/>
      <w:bookmarkStart w:id="7" w:name="_Toc27381"/>
      <w:bookmarkStart w:id="8" w:name="_Toc87282560"/>
      <w:bookmarkStart w:id="9" w:name="_Toc23426"/>
      <w:r>
        <w:rPr>
          <w:rFonts w:hint="default" w:ascii="Times New Roman" w:hAnsi="Times New Roman" w:eastAsia="方正小标宋_GBK" w:cs="Times New Roman"/>
          <w:b w:val="0"/>
          <w:color w:val="000000"/>
          <w:sz w:val="44"/>
          <w:szCs w:val="44"/>
          <w:lang w:val="en-US" w:eastAsia="zh-CN"/>
        </w:rPr>
        <w:t>重庆高新区管委会</w:t>
      </w:r>
    </w:p>
    <w:p w14:paraId="19B30182">
      <w:pPr>
        <w:keepNext w:val="0"/>
        <w:keepLines w:val="0"/>
        <w:pageBreakBefore w:val="0"/>
        <w:widowControl w:val="0"/>
        <w:kinsoku/>
        <w:wordWrap/>
        <w:overflowPunct/>
        <w:topLinePunct w:val="0"/>
        <w:bidi w:val="0"/>
        <w:snapToGrid/>
        <w:spacing w:line="560" w:lineRule="exact"/>
        <w:ind w:left="0" w:leftChars="0" w:firstLine="0" w:firstLineChars="0"/>
        <w:jc w:val="center"/>
        <w:textAlignment w:val="auto"/>
        <w:rPr>
          <w:rFonts w:hint="default" w:ascii="Times New Roman" w:hAnsi="Times New Roman" w:eastAsia="方正小标宋_GBK" w:cs="Times New Roman"/>
          <w:b w:val="0"/>
          <w:color w:val="000000"/>
          <w:sz w:val="44"/>
          <w:szCs w:val="44"/>
        </w:rPr>
      </w:pPr>
      <w:r>
        <w:rPr>
          <w:rFonts w:hint="default" w:ascii="Times New Roman" w:hAnsi="Times New Roman" w:eastAsia="方正小标宋_GBK" w:cs="Times New Roman"/>
          <w:b w:val="0"/>
          <w:color w:val="000000"/>
          <w:sz w:val="44"/>
          <w:szCs w:val="44"/>
        </w:rPr>
        <w:t>关于</w:t>
      </w:r>
      <w:r>
        <w:rPr>
          <w:rFonts w:hint="eastAsia" w:eastAsia="方正小标宋_GBK" w:cs="Times New Roman"/>
          <w:sz w:val="44"/>
          <w:szCs w:val="44"/>
          <w:lang w:eastAsia="zh-CN"/>
        </w:rPr>
        <w:t>轨道交通</w:t>
      </w:r>
      <w:r>
        <w:rPr>
          <w:rFonts w:hint="eastAsia" w:eastAsia="方正小标宋_GBK" w:cs="Times New Roman"/>
          <w:sz w:val="44"/>
          <w:szCs w:val="44"/>
          <w:lang w:val="en-US" w:eastAsia="zh-CN"/>
        </w:rPr>
        <w:t>7号线建设工程</w:t>
      </w:r>
      <w:r>
        <w:rPr>
          <w:rFonts w:hint="default" w:ascii="Times New Roman" w:hAnsi="Times New Roman" w:eastAsia="方正小标宋_GBK" w:cs="Times New Roman"/>
          <w:b w:val="0"/>
          <w:color w:val="000000"/>
          <w:sz w:val="44"/>
          <w:szCs w:val="44"/>
        </w:rPr>
        <w:t>国有土地上</w:t>
      </w:r>
    </w:p>
    <w:p w14:paraId="40E941A2">
      <w:pPr>
        <w:keepNext w:val="0"/>
        <w:keepLines w:val="0"/>
        <w:pageBreakBefore w:val="0"/>
        <w:widowControl w:val="0"/>
        <w:kinsoku/>
        <w:wordWrap/>
        <w:overflowPunct/>
        <w:topLinePunct w:val="0"/>
        <w:bidi w:val="0"/>
        <w:snapToGrid/>
        <w:spacing w:line="560" w:lineRule="exact"/>
        <w:ind w:left="0" w:leftChars="0" w:firstLine="0" w:firstLineChars="0"/>
        <w:jc w:val="center"/>
        <w:textAlignment w:val="auto"/>
        <w:rPr>
          <w:rFonts w:hint="default" w:ascii="Times New Roman" w:hAnsi="Times New Roman" w:eastAsia="方正小标宋_GBK" w:cs="Times New Roman"/>
          <w:color w:val="000000"/>
          <w:sz w:val="44"/>
          <w:szCs w:val="44"/>
        </w:rPr>
      </w:pPr>
      <w:r>
        <w:rPr>
          <w:rFonts w:hint="default" w:ascii="Times New Roman" w:hAnsi="Times New Roman" w:eastAsia="方正小标宋_GBK" w:cs="Times New Roman"/>
          <w:b w:val="0"/>
          <w:color w:val="000000"/>
          <w:sz w:val="44"/>
          <w:szCs w:val="44"/>
        </w:rPr>
        <w:t>房屋征收</w:t>
      </w:r>
      <w:r>
        <w:rPr>
          <w:rFonts w:hint="default" w:ascii="Times New Roman" w:hAnsi="Times New Roman" w:eastAsia="方正小标宋_GBK" w:cs="Times New Roman"/>
          <w:b w:val="0"/>
          <w:color w:val="000000"/>
          <w:sz w:val="44"/>
          <w:szCs w:val="44"/>
          <w:lang w:eastAsia="zh-CN"/>
        </w:rPr>
        <w:t>的</w:t>
      </w:r>
      <w:r>
        <w:rPr>
          <w:rFonts w:hint="default" w:ascii="Times New Roman" w:hAnsi="Times New Roman" w:eastAsia="方正小标宋_GBK" w:cs="Times New Roman"/>
          <w:b w:val="0"/>
          <w:color w:val="000000"/>
          <w:sz w:val="44"/>
          <w:szCs w:val="44"/>
        </w:rPr>
        <w:t>公告</w:t>
      </w:r>
      <w:bookmarkEnd w:id="0"/>
      <w:bookmarkEnd w:id="1"/>
      <w:bookmarkEnd w:id="2"/>
      <w:bookmarkEnd w:id="3"/>
      <w:bookmarkEnd w:id="4"/>
      <w:bookmarkEnd w:id="5"/>
      <w:bookmarkEnd w:id="6"/>
      <w:bookmarkEnd w:id="7"/>
      <w:bookmarkEnd w:id="8"/>
      <w:bookmarkEnd w:id="9"/>
    </w:p>
    <w:p w14:paraId="798C9780">
      <w:pPr>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方正仿宋_GBK" w:cs="Times New Roman"/>
          <w:color w:val="auto"/>
          <w:highlight w:val="none"/>
          <w:lang w:val="en-US" w:eastAsia="zh-CN"/>
        </w:rPr>
      </w:pPr>
      <w:r>
        <w:rPr>
          <w:rFonts w:hint="default" w:ascii="Times New Roman" w:hAnsi="Times New Roman" w:eastAsia="方正仿宋_GBK" w:cs="Times New Roman"/>
          <w:color w:val="auto"/>
          <w:highlight w:val="none"/>
          <w:lang w:val="en-US" w:eastAsia="zh-CN"/>
        </w:rPr>
        <w:t>　　高新国征〔202</w:t>
      </w:r>
      <w:r>
        <w:rPr>
          <w:rFonts w:hint="eastAsia" w:eastAsia="方正仿宋_GBK" w:cs="Times New Roman"/>
          <w:color w:val="auto"/>
          <w:highlight w:val="none"/>
          <w:lang w:val="en-US" w:eastAsia="zh-CN"/>
        </w:rPr>
        <w:t>5</w:t>
      </w:r>
      <w:r>
        <w:rPr>
          <w:rFonts w:hint="default" w:ascii="Times New Roman" w:hAnsi="Times New Roman" w:eastAsia="方正仿宋_GBK" w:cs="Times New Roman"/>
          <w:color w:val="auto"/>
          <w:highlight w:val="none"/>
          <w:lang w:val="en-US" w:eastAsia="zh-CN"/>
        </w:rPr>
        <w:t>〕</w:t>
      </w:r>
      <w:r>
        <w:rPr>
          <w:rFonts w:hint="eastAsia" w:eastAsia="方正仿宋_GBK" w:cs="Times New Roman"/>
          <w:color w:val="auto"/>
          <w:highlight w:val="none"/>
          <w:lang w:val="en-US" w:eastAsia="zh-CN"/>
        </w:rPr>
        <w:t>1</w:t>
      </w:r>
      <w:r>
        <w:rPr>
          <w:rFonts w:hint="default" w:ascii="Times New Roman" w:hAnsi="Times New Roman" w:eastAsia="方正仿宋_GBK" w:cs="Times New Roman"/>
          <w:color w:val="auto"/>
          <w:highlight w:val="none"/>
          <w:lang w:val="en-US" w:eastAsia="zh-CN"/>
        </w:rPr>
        <w:t>号</w:t>
      </w:r>
    </w:p>
    <w:p w14:paraId="6515540E">
      <w:pPr>
        <w:keepNext w:val="0"/>
        <w:keepLines w:val="0"/>
        <w:pageBreakBefore w:val="0"/>
        <w:widowControl w:val="0"/>
        <w:kinsoku/>
        <w:wordWrap/>
        <w:overflowPunct/>
        <w:topLinePunct w:val="0"/>
        <w:bidi w:val="0"/>
        <w:snapToGrid/>
        <w:spacing w:line="560" w:lineRule="exact"/>
        <w:ind w:firstLine="0" w:firstLineChars="0"/>
        <w:jc w:val="center"/>
        <w:textAlignment w:val="auto"/>
        <w:rPr>
          <w:rFonts w:hint="default" w:ascii="Times New Roman" w:hAnsi="Times New Roman" w:eastAsia="方正仿宋_GBK" w:cs="Times New Roman"/>
          <w:color w:val="000000"/>
          <w:lang w:eastAsia="zh-CN"/>
        </w:rPr>
      </w:pPr>
      <w:r>
        <w:rPr>
          <w:rFonts w:hint="default" w:ascii="Times New Roman" w:hAnsi="Times New Roman" w:eastAsia="方正仿宋_GBK" w:cs="Times New Roman"/>
          <w:color w:val="000000"/>
          <w:lang w:eastAsia="zh-CN"/>
        </w:rPr>
        <w:t>　　</w:t>
      </w:r>
    </w:p>
    <w:p w14:paraId="20ECD03C">
      <w:pPr>
        <w:keepNext w:val="0"/>
        <w:keepLines w:val="0"/>
        <w:pageBreakBefore w:val="0"/>
        <w:widowControl/>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auto"/>
        </w:rPr>
      </w:pPr>
      <w:r>
        <w:rPr>
          <w:rFonts w:hint="default" w:ascii="Times New Roman" w:hAnsi="Times New Roman" w:eastAsia="方正仿宋_GBK" w:cs="Times New Roman"/>
          <w:color w:val="000000"/>
          <w:lang w:eastAsia="zh-CN"/>
        </w:rPr>
        <w:t>　　</w:t>
      </w:r>
      <w:r>
        <w:rPr>
          <w:rFonts w:hint="eastAsia" w:ascii="方正仿宋_GB2312" w:hAnsi="方正仿宋_GB2312" w:eastAsia="方正仿宋_GB2312" w:cs="方正仿宋_GB2312"/>
          <w:color w:val="auto"/>
        </w:rPr>
        <w:t>因</w:t>
      </w:r>
      <w:r>
        <w:rPr>
          <w:rFonts w:hint="eastAsia" w:ascii="方正仿宋_GB2312" w:hAnsi="方正仿宋_GB2312" w:eastAsia="方正仿宋_GB2312" w:cs="方正仿宋_GB2312"/>
          <w:color w:val="auto"/>
          <w:lang w:val="en-US" w:eastAsia="zh-CN"/>
        </w:rPr>
        <w:t>轨道交通</w:t>
      </w:r>
      <w:r>
        <w:rPr>
          <w:rFonts w:hint="default" w:ascii="Times New Roman" w:hAnsi="Times New Roman" w:eastAsia="方正仿宋_GB2312" w:cs="Times New Roman"/>
          <w:color w:val="auto"/>
          <w:lang w:val="en-US" w:eastAsia="zh-CN"/>
        </w:rPr>
        <w:t>7</w:t>
      </w:r>
      <w:r>
        <w:rPr>
          <w:rFonts w:hint="eastAsia" w:ascii="方正仿宋_GB2312" w:hAnsi="方正仿宋_GB2312" w:eastAsia="方正仿宋_GB2312" w:cs="方正仿宋_GB2312"/>
          <w:color w:val="auto"/>
          <w:lang w:val="en-US" w:eastAsia="zh-CN"/>
        </w:rPr>
        <w:t>号线建设</w:t>
      </w:r>
      <w:r>
        <w:rPr>
          <w:rFonts w:hint="eastAsia" w:ascii="方正仿宋_GB2312" w:hAnsi="方正仿宋_GB2312" w:eastAsia="方正仿宋_GB2312" w:cs="方正仿宋_GB2312"/>
          <w:color w:val="000000"/>
          <w:sz w:val="32"/>
          <w:szCs w:val="32"/>
          <w:lang w:val="en-US" w:eastAsia="zh-CN"/>
        </w:rPr>
        <w:t>工程</w:t>
      </w:r>
      <w:r>
        <w:rPr>
          <w:rFonts w:hint="eastAsia" w:ascii="方正仿宋_GB2312" w:hAnsi="方正仿宋_GB2312" w:eastAsia="方正仿宋_GB2312" w:cs="方正仿宋_GB2312"/>
          <w:color w:val="auto"/>
        </w:rPr>
        <w:t>的需要，重庆高新技术产业开发区管理委员会根据《国有土地上房屋征收与补偿条例》《重庆市国有土地上</w:t>
      </w:r>
      <w:r>
        <w:rPr>
          <w:rFonts w:hint="eastAsia" w:ascii="方正仿宋_GB2312" w:hAnsi="方正仿宋_GB2312" w:eastAsia="方正仿宋_GB2312" w:cs="方正仿宋_GB2312"/>
          <w:color w:val="auto"/>
          <w:lang w:eastAsia="zh-CN"/>
        </w:rPr>
        <w:t>房屋</w:t>
      </w:r>
      <w:r>
        <w:rPr>
          <w:rFonts w:hint="eastAsia" w:ascii="方正仿宋_GB2312" w:hAnsi="方正仿宋_GB2312" w:eastAsia="方正仿宋_GB2312" w:cs="方正仿宋_GB2312"/>
          <w:color w:val="auto"/>
        </w:rPr>
        <w:t>征收与补偿条例》和《重庆市国有土地上</w:t>
      </w:r>
      <w:r>
        <w:rPr>
          <w:rFonts w:hint="eastAsia" w:ascii="方正仿宋_GB2312" w:hAnsi="方正仿宋_GB2312" w:eastAsia="方正仿宋_GB2312" w:cs="方正仿宋_GB2312"/>
          <w:color w:val="auto"/>
          <w:lang w:eastAsia="zh-CN"/>
        </w:rPr>
        <w:t>房屋</w:t>
      </w:r>
      <w:r>
        <w:rPr>
          <w:rFonts w:hint="eastAsia" w:ascii="方正仿宋_GB2312" w:hAnsi="方正仿宋_GB2312" w:eastAsia="方正仿宋_GB2312" w:cs="方正仿宋_GB2312"/>
          <w:color w:val="auto"/>
        </w:rPr>
        <w:t>征收与补偿</w:t>
      </w:r>
      <w:r>
        <w:rPr>
          <w:rFonts w:hint="eastAsia" w:ascii="方正仿宋_GB2312" w:hAnsi="方正仿宋_GB2312" w:eastAsia="方正仿宋_GB2312" w:cs="方正仿宋_GB2312"/>
          <w:color w:val="auto"/>
          <w:lang w:eastAsia="zh-CN"/>
        </w:rPr>
        <w:t>条例</w:t>
      </w:r>
      <w:r>
        <w:rPr>
          <w:rFonts w:hint="eastAsia" w:ascii="方正仿宋_GB2312" w:hAnsi="方正仿宋_GB2312" w:eastAsia="方正仿宋_GB2312" w:cs="方正仿宋_GB2312"/>
          <w:color w:val="auto"/>
        </w:rPr>
        <w:t>实施细则》的有关规定，</w:t>
      </w:r>
      <w:r>
        <w:rPr>
          <w:rFonts w:hint="eastAsia" w:ascii="方正仿宋_GB2312" w:hAnsi="方正仿宋_GB2312" w:eastAsia="方正仿宋_GB2312" w:cs="方正仿宋_GB2312"/>
          <w:color w:val="auto"/>
          <w:highlight w:val="none"/>
        </w:rPr>
        <w:t>于</w:t>
      </w:r>
      <w:r>
        <w:rPr>
          <w:rFonts w:hint="default" w:ascii="Times New Roman" w:hAnsi="Times New Roman" w:eastAsia="方正仿宋_GB2312" w:cs="Times New Roman"/>
          <w:color w:val="auto"/>
          <w:highlight w:val="none"/>
          <w:lang w:val="en-US" w:eastAsia="zh-CN"/>
        </w:rPr>
        <w:t>2025</w:t>
      </w:r>
      <w:r>
        <w:rPr>
          <w:rFonts w:hint="default" w:ascii="Times New Roman" w:hAnsi="Times New Roman" w:eastAsia="方正仿宋_GB2312" w:cs="Times New Roman"/>
          <w:color w:val="auto"/>
          <w:highlight w:val="none"/>
        </w:rPr>
        <w:t>年</w:t>
      </w:r>
      <w:r>
        <w:rPr>
          <w:rFonts w:hint="default" w:ascii="Times New Roman" w:hAnsi="Times New Roman" w:eastAsia="方正仿宋_GB2312" w:cs="Times New Roman"/>
          <w:color w:val="auto"/>
          <w:highlight w:val="none"/>
          <w:lang w:val="en-US" w:eastAsia="zh-CN"/>
        </w:rPr>
        <w:t>3</w:t>
      </w:r>
      <w:r>
        <w:rPr>
          <w:rFonts w:hint="default" w:ascii="Times New Roman" w:hAnsi="Times New Roman" w:eastAsia="方正仿宋_GB2312" w:cs="Times New Roman"/>
          <w:color w:val="auto"/>
          <w:highlight w:val="none"/>
        </w:rPr>
        <w:t>月</w:t>
      </w:r>
      <w:r>
        <w:rPr>
          <w:rFonts w:hint="default" w:ascii="Times New Roman" w:hAnsi="Times New Roman" w:eastAsia="方正仿宋_GB2312" w:cs="Times New Roman"/>
          <w:color w:val="000000"/>
          <w:kern w:val="2"/>
          <w:sz w:val="32"/>
          <w:szCs w:val="32"/>
          <w:lang w:val="en-US" w:eastAsia="zh-CN" w:bidi="ar-SA"/>
        </w:rPr>
        <w:t>19</w:t>
      </w:r>
      <w:r>
        <w:rPr>
          <w:rFonts w:hint="eastAsia" w:ascii="方正仿宋_GB2312" w:hAnsi="方正仿宋_GB2312" w:eastAsia="方正仿宋_GB2312" w:cs="方正仿宋_GB2312"/>
          <w:color w:val="auto"/>
          <w:highlight w:val="none"/>
        </w:rPr>
        <w:t>日</w:t>
      </w:r>
      <w:r>
        <w:rPr>
          <w:rFonts w:hint="eastAsia" w:ascii="方正仿宋_GB2312" w:hAnsi="方正仿宋_GB2312" w:eastAsia="方正仿宋_GB2312" w:cs="方正仿宋_GB2312"/>
          <w:color w:val="auto"/>
        </w:rPr>
        <w:t>决定对</w:t>
      </w:r>
      <w:r>
        <w:rPr>
          <w:rFonts w:hint="eastAsia" w:ascii="方正仿宋_GB2312" w:hAnsi="方正仿宋_GB2312" w:eastAsia="方正仿宋_GB2312" w:cs="方正仿宋_GB2312"/>
          <w:color w:val="auto"/>
          <w:lang w:val="en-US" w:eastAsia="zh-CN"/>
        </w:rPr>
        <w:t>轨道交通7号线建设</w:t>
      </w:r>
      <w:r>
        <w:rPr>
          <w:rFonts w:hint="eastAsia" w:ascii="方正仿宋_GB2312" w:hAnsi="方正仿宋_GB2312" w:eastAsia="方正仿宋_GB2312" w:cs="方正仿宋_GB2312"/>
          <w:color w:val="000000"/>
          <w:sz w:val="32"/>
          <w:szCs w:val="32"/>
          <w:lang w:val="en-US" w:eastAsia="zh-CN"/>
        </w:rPr>
        <w:t>工程征收</w:t>
      </w:r>
      <w:r>
        <w:rPr>
          <w:rFonts w:hint="eastAsia" w:ascii="方正仿宋_GB2312" w:hAnsi="方正仿宋_GB2312" w:eastAsia="方正仿宋_GB2312" w:cs="方正仿宋_GB2312"/>
          <w:color w:val="auto"/>
          <w:lang w:val="en-US" w:eastAsia="zh-CN"/>
        </w:rPr>
        <w:t>范围内国有土地上</w:t>
      </w:r>
      <w:r>
        <w:rPr>
          <w:rFonts w:hint="eastAsia" w:ascii="方正仿宋_GB2312" w:hAnsi="方正仿宋_GB2312" w:eastAsia="方正仿宋_GB2312" w:cs="方正仿宋_GB2312"/>
          <w:color w:val="auto"/>
        </w:rPr>
        <w:t>房屋</w:t>
      </w:r>
      <w:r>
        <w:rPr>
          <w:rFonts w:hint="eastAsia" w:ascii="方正仿宋_GB2312" w:hAnsi="方正仿宋_GB2312" w:eastAsia="方正仿宋_GB2312" w:cs="方正仿宋_GB2312"/>
          <w:b w:val="0"/>
          <w:color w:val="auto"/>
          <w:sz w:val="32"/>
          <w:szCs w:val="32"/>
          <w:lang w:val="en-US" w:eastAsia="zh-CN"/>
        </w:rPr>
        <w:t>实施征收，征收范围内的国有土地使用权一并收回（详见附件</w:t>
      </w:r>
      <w:r>
        <w:rPr>
          <w:rFonts w:hint="default" w:ascii="Times New Roman" w:hAnsi="Times New Roman" w:eastAsia="方正仿宋_GB2312" w:cs="Times New Roman"/>
          <w:b w:val="0"/>
          <w:color w:val="auto"/>
          <w:sz w:val="32"/>
          <w:szCs w:val="32"/>
          <w:lang w:val="en-US" w:eastAsia="zh-CN"/>
        </w:rPr>
        <w:t>1</w:t>
      </w:r>
      <w:r>
        <w:rPr>
          <w:rFonts w:hint="eastAsia" w:ascii="方正仿宋_GB2312" w:hAnsi="方正仿宋_GB2312" w:eastAsia="方正仿宋_GB2312" w:cs="方正仿宋_GB2312"/>
          <w:b w:val="0"/>
          <w:color w:val="auto"/>
          <w:sz w:val="32"/>
          <w:szCs w:val="32"/>
          <w:lang w:val="en-US" w:eastAsia="zh-CN"/>
        </w:rPr>
        <w:t>）</w:t>
      </w:r>
      <w:r>
        <w:rPr>
          <w:rFonts w:hint="eastAsia" w:ascii="方正仿宋_GB2312" w:hAnsi="方正仿宋_GB2312" w:eastAsia="方正仿宋_GB2312" w:cs="方正仿宋_GB2312"/>
          <w:color w:val="auto"/>
        </w:rPr>
        <w:t>。现将有关事项公告如下：</w:t>
      </w:r>
    </w:p>
    <w:p w14:paraId="17222EA6">
      <w:pPr>
        <w:keepNext w:val="0"/>
        <w:keepLines w:val="0"/>
        <w:pageBreakBefore w:val="0"/>
        <w:widowControl w:val="0"/>
        <w:numPr>
          <w:ilvl w:val="0"/>
          <w:numId w:val="0"/>
        </w:numPr>
        <w:kinsoku/>
        <w:wordWrap/>
        <w:overflowPunct/>
        <w:topLinePunct w:val="0"/>
        <w:bidi w:val="0"/>
        <w:snapToGrid/>
        <w:spacing w:line="560" w:lineRule="exact"/>
        <w:ind w:firstLine="640" w:firstLineChars="200"/>
        <w:textAlignment w:val="auto"/>
        <w:rPr>
          <w:rFonts w:hint="default" w:ascii="Times New Roman" w:hAnsi="Times New Roman" w:eastAsia="方正仿宋_GBK" w:cs="Times New Roman"/>
          <w:color w:val="auto"/>
          <w:lang w:eastAsia="zh-CN"/>
        </w:rPr>
      </w:pPr>
      <w:r>
        <w:rPr>
          <w:rFonts w:hint="default" w:ascii="Times New Roman" w:hAnsi="Times New Roman" w:eastAsia="方正仿宋_GBK" w:cs="Times New Roman"/>
          <w:color w:val="auto"/>
          <w:lang w:eastAsia="zh-CN"/>
        </w:rPr>
        <w:t>一、</w:t>
      </w:r>
      <w:r>
        <w:rPr>
          <w:rFonts w:hint="default" w:ascii="Times New Roman" w:hAnsi="Times New Roman" w:eastAsia="方正仿宋_GBK" w:cs="Times New Roman"/>
          <w:color w:val="auto"/>
        </w:rPr>
        <w:t>征收项目名称：</w:t>
      </w:r>
      <w:r>
        <w:rPr>
          <w:rFonts w:hint="eastAsia" w:eastAsia="方正仿宋_GBK" w:cs="Times New Roman"/>
          <w:color w:val="auto"/>
          <w:lang w:val="en-US" w:eastAsia="zh-CN"/>
        </w:rPr>
        <w:t>轨道交通7号线建设</w:t>
      </w:r>
      <w:r>
        <w:rPr>
          <w:rFonts w:hint="default" w:ascii="Times New Roman" w:hAnsi="Times New Roman" w:eastAsia="方正仿宋_GBK" w:cs="Times New Roman"/>
          <w:color w:val="000000"/>
          <w:sz w:val="32"/>
          <w:szCs w:val="32"/>
          <w:lang w:val="en-US" w:eastAsia="zh-CN"/>
        </w:rPr>
        <w:t>工程</w:t>
      </w:r>
      <w:r>
        <w:rPr>
          <w:rFonts w:hint="default" w:ascii="Times New Roman" w:hAnsi="Times New Roman" w:eastAsia="方正仿宋_GBK" w:cs="Times New Roman"/>
          <w:sz w:val="32"/>
          <w:szCs w:val="32"/>
        </w:rPr>
        <w:t>国有土地上房屋征收项目</w:t>
      </w:r>
      <w:r>
        <w:rPr>
          <w:rFonts w:hint="default" w:ascii="Times New Roman" w:hAnsi="Times New Roman" w:eastAsia="方正仿宋_GBK" w:cs="Times New Roman"/>
          <w:color w:val="auto"/>
          <w:lang w:eastAsia="zh-CN"/>
        </w:rPr>
        <w:t>。</w:t>
      </w:r>
    </w:p>
    <w:p w14:paraId="625B17B5">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方正仿宋_GBK" w:cs="Times New Roman"/>
          <w:color w:val="000000"/>
          <w:lang w:eastAsia="zh-CN"/>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二、征收范围：</w:t>
      </w:r>
      <w:r>
        <w:rPr>
          <w:rFonts w:hint="default" w:ascii="Times New Roman" w:hAnsi="Times New Roman" w:eastAsia="方正仿宋_GBK" w:cs="Times New Roman"/>
          <w:color w:val="000000"/>
          <w:lang w:val="en-US" w:eastAsia="zh-CN"/>
        </w:rPr>
        <w:t>详见附件2。</w:t>
      </w:r>
    </w:p>
    <w:p w14:paraId="42EB98D6">
      <w:pPr>
        <w:keepNext w:val="0"/>
        <w:keepLines w:val="0"/>
        <w:pageBreakBefore w:val="0"/>
        <w:widowControl w:val="0"/>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三、征收补偿方案：详见附件</w:t>
      </w:r>
      <w:r>
        <w:rPr>
          <w:rFonts w:hint="default" w:ascii="Times New Roman" w:hAnsi="Times New Roman" w:eastAsia="方正仿宋_GBK" w:cs="Times New Roman"/>
          <w:color w:val="000000"/>
          <w:lang w:val="en-US" w:eastAsia="zh-CN"/>
        </w:rPr>
        <w:t>3</w:t>
      </w:r>
      <w:r>
        <w:rPr>
          <w:rFonts w:hint="default" w:ascii="Times New Roman" w:hAnsi="Times New Roman" w:eastAsia="方正仿宋_GBK" w:cs="Times New Roman"/>
          <w:color w:val="000000"/>
        </w:rPr>
        <w:t>。</w:t>
      </w:r>
    </w:p>
    <w:p w14:paraId="24B3D646">
      <w:pPr>
        <w:keepNext w:val="0"/>
        <w:keepLines w:val="0"/>
        <w:pageBreakBefore w:val="0"/>
        <w:widowControl w:val="0"/>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000000"/>
          <w:highlight w:val="none"/>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四、签约期限：</w:t>
      </w:r>
      <w:r>
        <w:rPr>
          <w:rFonts w:hint="default" w:ascii="Times New Roman" w:hAnsi="Times New Roman" w:eastAsia="方正仿宋_GBK" w:cs="Times New Roman"/>
          <w:color w:val="000000"/>
          <w:highlight w:val="none"/>
        </w:rPr>
        <w:t>从</w:t>
      </w:r>
      <w:r>
        <w:rPr>
          <w:rFonts w:hint="default" w:ascii="Times New Roman" w:hAnsi="Times New Roman" w:eastAsia="方正仿宋_GBK" w:cs="Times New Roman"/>
          <w:color w:val="000000"/>
          <w:highlight w:val="none"/>
          <w:lang w:val="en-US" w:eastAsia="zh-CN"/>
        </w:rPr>
        <w:t>202</w:t>
      </w:r>
      <w:r>
        <w:rPr>
          <w:rFonts w:hint="eastAsia" w:eastAsia="方正仿宋_GBK" w:cs="Times New Roman"/>
          <w:color w:val="000000"/>
          <w:highlight w:val="none"/>
          <w:lang w:val="en-US" w:eastAsia="zh-CN"/>
        </w:rPr>
        <w:t>5</w:t>
      </w:r>
      <w:r>
        <w:rPr>
          <w:rFonts w:hint="default" w:ascii="Times New Roman" w:hAnsi="Times New Roman" w:eastAsia="方正仿宋_GBK" w:cs="Times New Roman"/>
          <w:color w:val="000000"/>
          <w:highlight w:val="none"/>
        </w:rPr>
        <w:t>年</w:t>
      </w:r>
      <w:r>
        <w:rPr>
          <w:rFonts w:hint="eastAsia" w:eastAsia="方正仿宋_GBK" w:cs="Times New Roman"/>
          <w:color w:val="000000"/>
          <w:highlight w:val="none"/>
          <w:lang w:val="en-US" w:eastAsia="zh-CN"/>
        </w:rPr>
        <w:t>3</w:t>
      </w:r>
      <w:r>
        <w:rPr>
          <w:rFonts w:hint="default" w:ascii="Times New Roman" w:hAnsi="Times New Roman" w:eastAsia="方正仿宋_GBK" w:cs="Times New Roman"/>
          <w:color w:val="000000"/>
          <w:highlight w:val="none"/>
        </w:rPr>
        <w:t>月</w:t>
      </w:r>
      <w:r>
        <w:rPr>
          <w:rFonts w:hint="eastAsia" w:eastAsia="方正仿宋_GBK" w:cs="Times New Roman"/>
          <w:color w:val="000000"/>
          <w:kern w:val="2"/>
          <w:sz w:val="32"/>
          <w:szCs w:val="32"/>
          <w:lang w:val="en-US" w:eastAsia="zh-CN" w:bidi="ar-SA"/>
        </w:rPr>
        <w:t>31</w:t>
      </w:r>
      <w:r>
        <w:rPr>
          <w:rFonts w:hint="default" w:ascii="Times New Roman" w:hAnsi="Times New Roman" w:eastAsia="方正仿宋_GBK" w:cs="Times New Roman"/>
          <w:color w:val="000000"/>
          <w:highlight w:val="none"/>
        </w:rPr>
        <w:t>日起至</w:t>
      </w:r>
      <w:r>
        <w:rPr>
          <w:rFonts w:hint="default" w:ascii="Times New Roman" w:hAnsi="Times New Roman" w:eastAsia="方正仿宋_GBK" w:cs="Times New Roman"/>
          <w:color w:val="000000"/>
          <w:highlight w:val="none"/>
          <w:lang w:val="en-US" w:eastAsia="zh-CN"/>
        </w:rPr>
        <w:t>202</w:t>
      </w:r>
      <w:r>
        <w:rPr>
          <w:rFonts w:hint="eastAsia" w:eastAsia="方正仿宋_GBK" w:cs="Times New Roman"/>
          <w:color w:val="000000"/>
          <w:highlight w:val="none"/>
          <w:lang w:val="en-US" w:eastAsia="zh-CN"/>
        </w:rPr>
        <w:t>5</w:t>
      </w:r>
      <w:r>
        <w:rPr>
          <w:rFonts w:hint="default" w:ascii="Times New Roman" w:hAnsi="Times New Roman" w:eastAsia="方正仿宋_GBK" w:cs="Times New Roman"/>
          <w:color w:val="000000"/>
          <w:highlight w:val="none"/>
        </w:rPr>
        <w:t>年</w:t>
      </w:r>
      <w:r>
        <w:rPr>
          <w:rFonts w:hint="eastAsia" w:eastAsia="方正仿宋_GBK" w:cs="Times New Roman"/>
          <w:color w:val="000000"/>
          <w:highlight w:val="none"/>
          <w:lang w:val="en-US" w:eastAsia="zh-CN"/>
        </w:rPr>
        <w:t>4</w:t>
      </w:r>
      <w:r>
        <w:rPr>
          <w:rFonts w:hint="default" w:ascii="Times New Roman" w:hAnsi="Times New Roman" w:eastAsia="方正仿宋_GBK" w:cs="Times New Roman"/>
          <w:color w:val="000000"/>
          <w:highlight w:val="none"/>
        </w:rPr>
        <w:t>月</w:t>
      </w:r>
      <w:r>
        <w:rPr>
          <w:rFonts w:hint="eastAsia" w:eastAsia="方正仿宋_GBK" w:cs="Times New Roman"/>
          <w:color w:val="000000"/>
          <w:kern w:val="2"/>
          <w:sz w:val="32"/>
          <w:szCs w:val="32"/>
          <w:lang w:val="en-US" w:eastAsia="zh-CN" w:bidi="ar-SA"/>
        </w:rPr>
        <w:t>29</w:t>
      </w:r>
      <w:r>
        <w:rPr>
          <w:rFonts w:hint="default" w:ascii="Times New Roman" w:hAnsi="Times New Roman" w:eastAsia="方正仿宋_GBK" w:cs="Times New Roman"/>
          <w:color w:val="000000"/>
          <w:highlight w:val="none"/>
        </w:rPr>
        <w:t>日止，共计</w:t>
      </w:r>
      <w:r>
        <w:rPr>
          <w:rFonts w:hint="default" w:ascii="Times New Roman" w:hAnsi="Times New Roman" w:eastAsia="方正仿宋_GBK" w:cs="Times New Roman"/>
          <w:color w:val="000000"/>
          <w:highlight w:val="none"/>
          <w:lang w:val="en-US" w:eastAsia="zh-CN"/>
        </w:rPr>
        <w:t>30</w:t>
      </w:r>
      <w:r>
        <w:rPr>
          <w:rFonts w:hint="default" w:ascii="Times New Roman" w:hAnsi="Times New Roman" w:eastAsia="方正仿宋_GBK" w:cs="Times New Roman"/>
          <w:color w:val="000000"/>
          <w:highlight w:val="none"/>
        </w:rPr>
        <w:t>天。</w:t>
      </w:r>
    </w:p>
    <w:p w14:paraId="5D815CE2">
      <w:pPr>
        <w:keepNext w:val="0"/>
        <w:keepLines w:val="0"/>
        <w:pageBreakBefore w:val="0"/>
        <w:widowControl w:val="0"/>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五、房屋征收部门：</w:t>
      </w:r>
      <w:r>
        <w:rPr>
          <w:rFonts w:hint="default" w:ascii="Times New Roman" w:hAnsi="Times New Roman" w:eastAsia="方正仿宋_GBK" w:cs="Times New Roman"/>
          <w:color w:val="auto"/>
          <w:sz w:val="32"/>
          <w:szCs w:val="32"/>
          <w:highlight w:val="none"/>
        </w:rPr>
        <w:t>重庆高新技术产业开发区管理委员会建设局</w:t>
      </w:r>
      <w:r>
        <w:rPr>
          <w:rFonts w:hint="default" w:ascii="Times New Roman" w:hAnsi="Times New Roman" w:eastAsia="方正仿宋_GBK" w:cs="Times New Roman"/>
          <w:color w:val="000000"/>
        </w:rPr>
        <w:t>。</w:t>
      </w:r>
    </w:p>
    <w:p w14:paraId="723F892F">
      <w:pPr>
        <w:keepNext w:val="0"/>
        <w:keepLines w:val="0"/>
        <w:pageBreakBefore w:val="0"/>
        <w:widowControl w:val="0"/>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六、</w:t>
      </w:r>
      <w:r>
        <w:rPr>
          <w:rFonts w:hint="default" w:ascii="Times New Roman" w:hAnsi="Times New Roman" w:eastAsia="方正仿宋_GBK" w:cs="Times New Roman"/>
          <w:color w:val="000000"/>
          <w:lang w:val="en-US" w:eastAsia="zh-CN"/>
        </w:rPr>
        <w:t>房屋</w:t>
      </w:r>
      <w:r>
        <w:rPr>
          <w:rFonts w:hint="default" w:ascii="Times New Roman" w:hAnsi="Times New Roman" w:eastAsia="方正仿宋_GBK" w:cs="Times New Roman"/>
          <w:color w:val="000000"/>
        </w:rPr>
        <w:t>征收实施</w:t>
      </w:r>
      <w:r>
        <w:rPr>
          <w:rFonts w:hint="default" w:ascii="Times New Roman" w:hAnsi="Times New Roman" w:eastAsia="方正仿宋_GBK" w:cs="Times New Roman"/>
          <w:color w:val="000000"/>
          <w:lang w:val="en-US" w:eastAsia="zh-CN"/>
        </w:rPr>
        <w:t>机构</w:t>
      </w:r>
      <w:r>
        <w:rPr>
          <w:rFonts w:hint="default" w:ascii="Times New Roman" w:hAnsi="Times New Roman" w:eastAsia="方正仿宋_GBK" w:cs="Times New Roman"/>
          <w:color w:val="000000"/>
        </w:rPr>
        <w:t>：</w:t>
      </w:r>
      <w:r>
        <w:rPr>
          <w:rFonts w:hint="default" w:ascii="Times New Roman" w:hAnsi="Times New Roman" w:eastAsia="方正仿宋_GBK" w:cs="Times New Roman"/>
          <w:color w:val="auto"/>
          <w:sz w:val="32"/>
          <w:szCs w:val="32"/>
          <w:highlight w:val="none"/>
        </w:rPr>
        <w:t>重庆高新技术产业开发区土地利用事务中心</w:t>
      </w:r>
      <w:r>
        <w:rPr>
          <w:rFonts w:hint="default" w:ascii="Times New Roman" w:hAnsi="Times New Roman" w:eastAsia="方正仿宋_GBK" w:cs="Times New Roman"/>
          <w:color w:val="000000"/>
        </w:rPr>
        <w:t>。</w:t>
      </w:r>
    </w:p>
    <w:p w14:paraId="7BB23C82">
      <w:pPr>
        <w:keepNext w:val="0"/>
        <w:keepLines w:val="0"/>
        <w:pageBreakBefore w:val="0"/>
        <w:widowControl w:val="0"/>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七、现场办公地址：</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重庆高新区高新大道</w:t>
      </w:r>
      <w:r>
        <w:rPr>
          <w:rFonts w:hint="default" w:ascii="Times New Roman" w:hAnsi="Times New Roman" w:eastAsia="方正仿宋_GBK" w:cs="Times New Roman"/>
          <w:sz w:val="32"/>
          <w:szCs w:val="32"/>
          <w:lang w:val="en-US" w:eastAsia="zh-CN"/>
        </w:rPr>
        <w:t>6号4号楼</w:t>
      </w:r>
      <w:r>
        <w:rPr>
          <w:rFonts w:hint="eastAsia" w:eastAsia="方正仿宋_GBK" w:cs="Times New Roman"/>
          <w:sz w:val="32"/>
          <w:szCs w:val="32"/>
          <w:lang w:val="en-US" w:eastAsia="zh-CN"/>
        </w:rPr>
        <w:t>318</w:t>
      </w:r>
      <w:r>
        <w:rPr>
          <w:rFonts w:hint="default" w:ascii="Times New Roman" w:hAnsi="Times New Roman" w:eastAsia="方正仿宋_GBK" w:cs="Times New Roman"/>
          <w:sz w:val="32"/>
          <w:szCs w:val="32"/>
          <w:lang w:val="en-US" w:eastAsia="zh-CN"/>
        </w:rPr>
        <w:t>室</w:t>
      </w:r>
      <w:r>
        <w:rPr>
          <w:rFonts w:hint="default" w:ascii="Times New Roman" w:hAnsi="Times New Roman" w:eastAsia="方正仿宋_GBK" w:cs="Times New Roman"/>
          <w:color w:val="000000"/>
        </w:rPr>
        <w:t>，办公电话：</w:t>
      </w:r>
      <w:r>
        <w:rPr>
          <w:rFonts w:hint="default" w:ascii="Times New Roman" w:hAnsi="Times New Roman" w:eastAsia="方正仿宋_GBK" w:cs="Times New Roman"/>
          <w:color w:val="000000"/>
          <w:lang w:val="en-US" w:eastAsia="zh-CN"/>
        </w:rPr>
        <w:t>68609118</w:t>
      </w:r>
      <w:r>
        <w:rPr>
          <w:rFonts w:hint="default" w:ascii="Times New Roman" w:hAnsi="Times New Roman" w:eastAsia="方正仿宋_GBK" w:cs="Times New Roman"/>
          <w:color w:val="000000"/>
        </w:rPr>
        <w:t>，办公时间：</w:t>
      </w:r>
      <w:r>
        <w:rPr>
          <w:rFonts w:hint="default" w:ascii="Times New Roman" w:hAnsi="Times New Roman" w:eastAsia="方正仿宋_GBK" w:cs="Times New Roman"/>
          <w:color w:val="000000"/>
          <w:lang w:val="en-US" w:eastAsia="zh-CN"/>
        </w:rPr>
        <w:t>9:00-11:30，14:00-17:30</w:t>
      </w:r>
      <w:r>
        <w:rPr>
          <w:rFonts w:hint="eastAsia" w:ascii="Times New Roman" w:hAnsi="Times New Roman" w:eastAsia="方正仿宋_GBK" w:cs="Times New Roman"/>
          <w:color w:val="000000"/>
          <w:lang w:val="en-US" w:eastAsia="zh-CN"/>
        </w:rPr>
        <w:t>。</w:t>
      </w:r>
    </w:p>
    <w:p w14:paraId="0C5D2A0F">
      <w:pPr>
        <w:keepNext w:val="0"/>
        <w:keepLines w:val="0"/>
        <w:pageBreakBefore w:val="0"/>
        <w:widowControl w:val="0"/>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八、在房屋征收的同时，依法收回被征收房屋对应的</w:t>
      </w:r>
      <w:r>
        <w:rPr>
          <w:rFonts w:hint="default" w:ascii="Times New Roman" w:hAnsi="Times New Roman" w:eastAsia="方正仿宋_GBK" w:cs="Times New Roman"/>
          <w:color w:val="000000"/>
          <w:lang w:val="en-US" w:eastAsia="zh-CN"/>
        </w:rPr>
        <w:t>国有</w:t>
      </w:r>
      <w:r>
        <w:rPr>
          <w:rFonts w:hint="default" w:ascii="Times New Roman" w:hAnsi="Times New Roman" w:eastAsia="方正仿宋_GBK" w:cs="Times New Roman"/>
          <w:color w:val="000000"/>
        </w:rPr>
        <w:t>土地使用权。</w:t>
      </w:r>
    </w:p>
    <w:p w14:paraId="110EC593">
      <w:pPr>
        <w:keepNext w:val="0"/>
        <w:keepLines w:val="0"/>
        <w:pageBreakBefore w:val="0"/>
        <w:widowControl w:val="0"/>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九、被征收人对征收决定不服的，可在征收决定公告之日起六十日内向重庆市人民政府申请行政复议，也可以在征收决定公告之日起六个月内向重庆市</w:t>
      </w:r>
      <w:r>
        <w:rPr>
          <w:rFonts w:hint="default" w:ascii="Times New Roman" w:hAnsi="Times New Roman" w:eastAsia="方正仿宋_GBK" w:cs="Times New Roman"/>
          <w:color w:val="000000"/>
          <w:lang w:eastAsia="zh-CN"/>
        </w:rPr>
        <w:t>九龙坡区</w:t>
      </w:r>
      <w:r>
        <w:rPr>
          <w:rFonts w:hint="default" w:ascii="Times New Roman" w:hAnsi="Times New Roman" w:eastAsia="方正仿宋_GBK" w:cs="Times New Roman"/>
          <w:color w:val="000000"/>
        </w:rPr>
        <w:t>人民法院提起行政诉讼。</w:t>
      </w:r>
    </w:p>
    <w:p w14:paraId="156019AE">
      <w:pPr>
        <w:keepNext w:val="0"/>
        <w:keepLines w:val="0"/>
        <w:pageBreakBefore w:val="0"/>
        <w:widowControl w:val="0"/>
        <w:kinsoku/>
        <w:wordWrap/>
        <w:overflowPunct/>
        <w:topLinePunct w:val="0"/>
        <w:autoSpaceDE/>
        <w:autoSpaceDN/>
        <w:bidi w:val="0"/>
        <w:adjustRightInd/>
        <w:snapToGrid/>
        <w:spacing w:line="560" w:lineRule="exact"/>
        <w:ind w:left="1555" w:leftChars="186" w:hanging="960" w:hangingChars="300"/>
        <w:textAlignment w:val="auto"/>
        <w:rPr>
          <w:rFonts w:hint="default" w:ascii="Times New Roman" w:hAnsi="Times New Roman" w:eastAsia="方正仿宋_GBK" w:cs="Times New Roman"/>
        </w:rPr>
      </w:pPr>
      <w:bookmarkStart w:id="10" w:name="_Toc22281"/>
    </w:p>
    <w:p w14:paraId="4633D193">
      <w:pPr>
        <w:keepNext w:val="0"/>
        <w:keepLines w:val="0"/>
        <w:pageBreakBefore w:val="0"/>
        <w:widowControl w:val="0"/>
        <w:kinsoku/>
        <w:wordWrap/>
        <w:overflowPunct/>
        <w:topLinePunct w:val="0"/>
        <w:autoSpaceDE w:val="0"/>
        <w:autoSpaceDN w:val="0"/>
        <w:bidi w:val="0"/>
        <w:snapToGrid/>
        <w:spacing w:line="560" w:lineRule="exact"/>
        <w:ind w:left="1600" w:leftChars="200" w:hanging="960" w:hangingChars="300"/>
        <w:jc w:val="both"/>
        <w:textAlignment w:val="auto"/>
        <w:rPr>
          <w:rFonts w:hint="default" w:ascii="Times New Roman" w:hAnsi="Times New Roman" w:eastAsia="方正仿宋_GBK" w:cs="Times New Roman"/>
          <w:b w:val="0"/>
          <w:color w:val="auto"/>
          <w:sz w:val="32"/>
          <w:szCs w:val="32"/>
        </w:rPr>
      </w:pPr>
      <w:r>
        <w:rPr>
          <w:rFonts w:hint="default" w:ascii="Times New Roman" w:hAnsi="Times New Roman" w:eastAsia="方正仿宋_GBK" w:cs="Times New Roman"/>
        </w:rPr>
        <w:t>附件</w:t>
      </w:r>
      <w:r>
        <w:rPr>
          <w:rFonts w:hint="eastAsia" w:eastAsia="方正仿宋_GBK" w:cs="Times New Roman"/>
          <w:lang w:eastAsia="zh-CN"/>
        </w:rPr>
        <w:t>：</w:t>
      </w:r>
      <w:r>
        <w:rPr>
          <w:rFonts w:hint="default" w:ascii="Times New Roman" w:hAnsi="Times New Roman" w:eastAsia="方正仿宋_GBK" w:cs="Times New Roman"/>
          <w:sz w:val="32"/>
          <w:szCs w:val="32"/>
        </w:rPr>
        <w:t>1.</w:t>
      </w:r>
      <w:bookmarkEnd w:id="10"/>
      <w:r>
        <w:rPr>
          <w:rFonts w:hint="default" w:ascii="Times New Roman" w:hAnsi="Times New Roman" w:eastAsia="方正仿宋_GBK" w:cs="Times New Roman"/>
          <w:b w:val="0"/>
          <w:color w:val="auto"/>
          <w:sz w:val="32"/>
          <w:szCs w:val="32"/>
          <w:lang w:val="en-US" w:eastAsia="zh-CN"/>
        </w:rPr>
        <w:t>重庆高新</w:t>
      </w:r>
      <w:r>
        <w:rPr>
          <w:rFonts w:hint="eastAsia" w:eastAsia="方正仿宋_GBK" w:cs="Times New Roman"/>
          <w:b w:val="0"/>
          <w:color w:val="auto"/>
          <w:sz w:val="32"/>
          <w:szCs w:val="32"/>
          <w:lang w:val="en-US" w:eastAsia="zh-CN"/>
        </w:rPr>
        <w:t>区</w:t>
      </w:r>
      <w:r>
        <w:rPr>
          <w:rFonts w:hint="default" w:ascii="Times New Roman" w:hAnsi="Times New Roman" w:eastAsia="方正仿宋_GBK" w:cs="Times New Roman"/>
          <w:b w:val="0"/>
          <w:color w:val="auto"/>
          <w:sz w:val="32"/>
          <w:szCs w:val="32"/>
          <w:lang w:val="en-US" w:eastAsia="zh-CN"/>
        </w:rPr>
        <w:t>管委会</w:t>
      </w:r>
      <w:r>
        <w:rPr>
          <w:rFonts w:hint="default" w:ascii="Times New Roman" w:hAnsi="Times New Roman" w:eastAsia="方正仿宋_GBK" w:cs="Times New Roman"/>
          <w:b w:val="0"/>
          <w:color w:val="auto"/>
          <w:sz w:val="32"/>
          <w:szCs w:val="32"/>
        </w:rPr>
        <w:t>关于</w:t>
      </w:r>
      <w:r>
        <w:rPr>
          <w:rFonts w:hint="eastAsia" w:eastAsia="方正仿宋_GBK" w:cs="Times New Roman"/>
          <w:color w:val="auto"/>
          <w:lang w:val="en-US" w:eastAsia="zh-CN"/>
        </w:rPr>
        <w:t>轨道交通7号线建设</w:t>
      </w:r>
      <w:r>
        <w:rPr>
          <w:rFonts w:hint="default" w:ascii="Times New Roman" w:hAnsi="Times New Roman" w:eastAsia="方正仿宋_GBK" w:cs="Times New Roman"/>
          <w:color w:val="000000"/>
          <w:sz w:val="32"/>
          <w:szCs w:val="32"/>
          <w:lang w:val="en-US" w:eastAsia="zh-CN"/>
        </w:rPr>
        <w:t>工程</w:t>
      </w:r>
      <w:r>
        <w:rPr>
          <w:rFonts w:hint="default" w:ascii="Times New Roman" w:hAnsi="Times New Roman" w:eastAsia="方正仿宋_GBK" w:cs="Times New Roman"/>
          <w:sz w:val="32"/>
          <w:szCs w:val="32"/>
          <w:lang w:val="en-US" w:eastAsia="zh-CN"/>
        </w:rPr>
        <w:t>国有土地上</w:t>
      </w:r>
      <w:r>
        <w:rPr>
          <w:rFonts w:hint="default" w:ascii="Times New Roman" w:hAnsi="Times New Roman" w:eastAsia="方正仿宋_GBK" w:cs="Times New Roman"/>
          <w:b w:val="0"/>
          <w:color w:val="auto"/>
          <w:sz w:val="32"/>
          <w:szCs w:val="32"/>
        </w:rPr>
        <w:t>房屋</w:t>
      </w:r>
      <w:r>
        <w:rPr>
          <w:rFonts w:hint="default" w:ascii="Times New Roman" w:hAnsi="Times New Roman" w:eastAsia="方正仿宋_GBK" w:cs="Times New Roman"/>
          <w:b w:val="0"/>
          <w:color w:val="auto"/>
          <w:sz w:val="32"/>
          <w:szCs w:val="32"/>
          <w:lang w:eastAsia="zh-CN"/>
        </w:rPr>
        <w:t>征收的</w:t>
      </w:r>
      <w:r>
        <w:rPr>
          <w:rFonts w:hint="default" w:ascii="Times New Roman" w:hAnsi="Times New Roman" w:eastAsia="方正仿宋_GBK" w:cs="Times New Roman"/>
          <w:b w:val="0"/>
          <w:color w:val="auto"/>
          <w:sz w:val="32"/>
          <w:szCs w:val="32"/>
        </w:rPr>
        <w:t>决定</w:t>
      </w:r>
    </w:p>
    <w:p w14:paraId="0339CDB3">
      <w:pPr>
        <w:pStyle w:val="2"/>
        <w:keepNext w:val="0"/>
        <w:keepLines w:val="0"/>
        <w:pageBreakBefore w:val="0"/>
        <w:widowControl w:val="0"/>
        <w:numPr>
          <w:ilvl w:val="-1"/>
          <w:numId w:val="0"/>
        </w:numPr>
        <w:kinsoku/>
        <w:wordWrap/>
        <w:overflowPunct/>
        <w:topLinePunct w:val="0"/>
        <w:autoSpaceDE w:val="0"/>
        <w:autoSpaceDN w:val="0"/>
        <w:bidi w:val="0"/>
        <w:adjustRightInd w:val="0"/>
        <w:snapToGrid/>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val="0"/>
          <w:color w:val="000000"/>
          <w:sz w:val="32"/>
          <w:szCs w:val="32"/>
          <w:lang w:val="en-US" w:eastAsia="zh-CN"/>
        </w:rPr>
        <w:t>2.</w:t>
      </w:r>
      <w:r>
        <w:rPr>
          <w:rFonts w:hint="eastAsia" w:ascii="Times New Roman" w:hAnsi="Times New Roman" w:eastAsia="方正仿宋_GBK" w:cs="Times New Roman"/>
          <w:color w:val="000000"/>
          <w:sz w:val="32"/>
          <w:szCs w:val="32"/>
          <w:lang w:val="en-US" w:eastAsia="zh-CN"/>
        </w:rPr>
        <w:t>轨道交通7号线建设</w:t>
      </w:r>
      <w:r>
        <w:rPr>
          <w:rFonts w:hint="default" w:ascii="Times New Roman" w:hAnsi="Times New Roman" w:eastAsia="方正仿宋_GBK" w:cs="Times New Roman"/>
          <w:color w:val="000000"/>
          <w:sz w:val="32"/>
          <w:szCs w:val="32"/>
          <w:lang w:val="en-US" w:eastAsia="zh-CN"/>
        </w:rPr>
        <w:t>工程国有土地上</w:t>
      </w:r>
      <w:r>
        <w:rPr>
          <w:rFonts w:hint="default" w:ascii="Times New Roman" w:hAnsi="Times New Roman" w:eastAsia="方正仿宋_GBK" w:cs="Times New Roman"/>
          <w:sz w:val="32"/>
          <w:szCs w:val="32"/>
          <w:lang w:val="en-US" w:eastAsia="zh-CN"/>
        </w:rPr>
        <w:t>房屋</w:t>
      </w:r>
      <w:r>
        <w:rPr>
          <w:rFonts w:hint="default" w:ascii="Times New Roman" w:hAnsi="Times New Roman" w:eastAsia="方正仿宋_GBK" w:cs="Times New Roman"/>
          <w:b w:val="0"/>
          <w:color w:val="auto"/>
          <w:kern w:val="2"/>
          <w:sz w:val="32"/>
          <w:szCs w:val="32"/>
          <w:lang w:val="en-US" w:eastAsia="zh-CN" w:bidi="ar-SA"/>
        </w:rPr>
        <w:t>征收范围</w:t>
      </w:r>
    </w:p>
    <w:p w14:paraId="79CA1020">
      <w:pPr>
        <w:keepNext w:val="0"/>
        <w:keepLines w:val="0"/>
        <w:pageBreakBefore w:val="0"/>
        <w:widowControl w:val="0"/>
        <w:kinsoku/>
        <w:wordWrap/>
        <w:overflowPunct/>
        <w:topLinePunct w:val="0"/>
        <w:autoSpaceDE w:val="0"/>
        <w:autoSpaceDN w:val="0"/>
        <w:bidi w:val="0"/>
        <w:adjustRightInd/>
        <w:snapToGrid/>
        <w:spacing w:line="560" w:lineRule="exact"/>
        <w:ind w:left="1600" w:leftChars="400" w:hanging="320" w:hangingChars="100"/>
        <w:textAlignment w:val="auto"/>
        <w:rPr>
          <w:rFonts w:hint="default" w:ascii="Times New Roman" w:hAnsi="Times New Roman" w:eastAsia="方正仿宋_GBK" w:cs="Times New Roman"/>
          <w:b w:val="0"/>
          <w:color w:val="auto"/>
          <w:kern w:val="2"/>
          <w:sz w:val="32"/>
          <w:szCs w:val="32"/>
          <w:lang w:val="en-US" w:eastAsia="zh-CN" w:bidi="ar-SA"/>
        </w:rPr>
      </w:pPr>
      <w:r>
        <w:rPr>
          <w:rFonts w:hint="eastAsia" w:eastAsia="方正仿宋_GBK" w:cs="Times New Roman"/>
          <w:b w:val="0"/>
          <w:color w:val="FFFFFF" w:themeColor="background1"/>
          <w:kern w:val="0"/>
          <w:sz w:val="32"/>
          <w:szCs w:val="32"/>
          <w:lang w:val="en-US" w:eastAsia="zh-CN" w:bidi="ar-SA"/>
          <w14:textFill>
            <w14:solidFill>
              <w14:schemeClr w14:val="bg1"/>
            </w14:solidFill>
          </w14:textFill>
        </w:rPr>
        <w:t>....</w:t>
      </w:r>
      <w:r>
        <w:rPr>
          <w:rFonts w:hint="eastAsia" w:ascii="Times New Roman" w:hAnsi="Times New Roman" w:eastAsia="方正仿宋_GBK" w:cs="Times New Roman"/>
          <w:b w:val="0"/>
          <w:color w:val="000000"/>
          <w:kern w:val="0"/>
          <w:sz w:val="32"/>
          <w:szCs w:val="32"/>
          <w:lang w:val="en-US" w:eastAsia="zh-CN" w:bidi="ar-SA"/>
        </w:rPr>
        <w:t>3</w:t>
      </w:r>
      <w:r>
        <w:rPr>
          <w:rFonts w:hint="default" w:ascii="Times New Roman" w:hAnsi="Times New Roman" w:eastAsia="方正仿宋_GBK" w:cs="Times New Roman"/>
          <w:b w:val="0"/>
          <w:color w:val="000000"/>
          <w:kern w:val="0"/>
          <w:sz w:val="32"/>
          <w:szCs w:val="32"/>
          <w:lang w:val="en-US" w:eastAsia="zh-CN" w:bidi="ar-SA"/>
        </w:rPr>
        <w:t>.</w:t>
      </w:r>
      <w:r>
        <w:rPr>
          <w:rFonts w:hint="eastAsia" w:ascii="Times New Roman" w:hAnsi="Times New Roman" w:eastAsia="方正仿宋_GBK" w:cs="Times New Roman"/>
          <w:color w:val="000000"/>
          <w:sz w:val="32"/>
          <w:szCs w:val="32"/>
          <w:lang w:val="en-US" w:eastAsia="zh-CN"/>
        </w:rPr>
        <w:t>轨道交通7号线建设</w:t>
      </w:r>
      <w:r>
        <w:rPr>
          <w:rFonts w:hint="default" w:ascii="Times New Roman" w:hAnsi="Times New Roman" w:eastAsia="方正仿宋_GBK" w:cs="Times New Roman"/>
          <w:color w:val="000000"/>
          <w:sz w:val="32"/>
          <w:szCs w:val="32"/>
          <w:lang w:val="en-US" w:eastAsia="zh-CN"/>
        </w:rPr>
        <w:t>工程国有土地上房屋</w:t>
      </w:r>
      <w:r>
        <w:rPr>
          <w:rFonts w:hint="default" w:ascii="Times New Roman" w:hAnsi="Times New Roman" w:eastAsia="方正仿宋_GBK" w:cs="Times New Roman"/>
          <w:b w:val="0"/>
          <w:color w:val="auto"/>
          <w:kern w:val="2"/>
          <w:sz w:val="32"/>
          <w:szCs w:val="32"/>
          <w:lang w:val="en-US" w:eastAsia="zh-CN" w:bidi="ar-SA"/>
        </w:rPr>
        <w:t>征收补偿方案</w:t>
      </w:r>
    </w:p>
    <w:p w14:paraId="2F823492">
      <w:pPr>
        <w:pStyle w:val="2"/>
        <w:keepNext w:val="0"/>
        <w:keepLines w:val="0"/>
        <w:pageBreakBefore w:val="0"/>
        <w:kinsoku/>
        <w:wordWrap/>
        <w:overflowPunct/>
        <w:topLinePunct w:val="0"/>
        <w:autoSpaceDE w:val="0"/>
        <w:autoSpaceDN w:val="0"/>
        <w:bidi w:val="0"/>
        <w:snapToGrid/>
        <w:spacing w:line="560" w:lineRule="exact"/>
        <w:ind w:firstLine="0" w:firstLineChars="0"/>
        <w:textAlignment w:val="auto"/>
        <w:rPr>
          <w:rFonts w:hint="default" w:ascii="Times New Roman" w:hAnsi="Times New Roman" w:eastAsia="方正仿宋_GBK" w:cs="Times New Roman"/>
          <w:b w:val="0"/>
          <w:color w:val="auto"/>
          <w:kern w:val="2"/>
          <w:sz w:val="32"/>
          <w:szCs w:val="32"/>
          <w:lang w:val="en-US" w:eastAsia="zh-CN" w:bidi="ar-SA"/>
        </w:rPr>
      </w:pPr>
    </w:p>
    <w:p w14:paraId="69E7CFA7">
      <w:pPr>
        <w:pStyle w:val="2"/>
        <w:pageBreakBefore w:val="0"/>
        <w:kinsoku/>
        <w:wordWrap/>
        <w:overflowPunct/>
        <w:topLinePunct w:val="0"/>
        <w:bidi w:val="0"/>
        <w:snapToGrid/>
        <w:spacing w:line="560" w:lineRule="exact"/>
        <w:textAlignment w:val="auto"/>
        <w:rPr>
          <w:rFonts w:hint="default" w:ascii="Times New Roman" w:hAnsi="Times New Roman" w:eastAsia="方正仿宋_GBK" w:cs="Times New Roman"/>
          <w:b w:val="0"/>
          <w:color w:val="auto"/>
          <w:kern w:val="2"/>
          <w:sz w:val="32"/>
          <w:szCs w:val="32"/>
          <w:lang w:val="en-US" w:eastAsia="zh-CN" w:bidi="ar-SA"/>
        </w:rPr>
      </w:pPr>
    </w:p>
    <w:p w14:paraId="6A574FFC">
      <w:pPr>
        <w:pStyle w:val="2"/>
        <w:pageBreakBefore w:val="0"/>
        <w:kinsoku/>
        <w:wordWrap/>
        <w:overflowPunct/>
        <w:topLinePunct w:val="0"/>
        <w:bidi w:val="0"/>
        <w:snapToGrid/>
        <w:spacing w:line="560" w:lineRule="exact"/>
        <w:textAlignment w:val="auto"/>
        <w:rPr>
          <w:rFonts w:hint="default" w:ascii="Times New Roman" w:hAnsi="Times New Roman" w:eastAsia="方正仿宋_GBK" w:cs="Times New Roman"/>
          <w:b w:val="0"/>
          <w:color w:val="auto"/>
          <w:kern w:val="2"/>
          <w:sz w:val="32"/>
          <w:szCs w:val="32"/>
          <w:lang w:val="en-US" w:eastAsia="zh-CN" w:bidi="ar-SA"/>
        </w:rPr>
      </w:pPr>
    </w:p>
    <w:p w14:paraId="63E11D0B">
      <w:pPr>
        <w:keepNext w:val="0"/>
        <w:keepLines w:val="0"/>
        <w:pageBreakBefore w:val="0"/>
        <w:widowControl w:val="0"/>
        <w:kinsoku/>
        <w:wordWrap/>
        <w:overflowPunct/>
        <w:topLinePunct w:val="0"/>
        <w:bidi w:val="0"/>
        <w:snapToGrid/>
        <w:spacing w:line="560" w:lineRule="exact"/>
        <w:ind w:firstLine="0" w:firstLineChars="0"/>
        <w:jc w:val="center"/>
        <w:textAlignment w:val="auto"/>
        <w:rPr>
          <w:rFonts w:hint="default" w:ascii="Times New Roman" w:hAnsi="Times New Roman" w:eastAsia="方正仿宋_GBK" w:cs="Times New Roman"/>
          <w:color w:val="000000"/>
        </w:rPr>
      </w:pPr>
      <w:r>
        <w:rPr>
          <w:rFonts w:hint="eastAsia" w:eastAsia="方正仿宋_GBK" w:cs="Times New Roman"/>
          <w:color w:val="000000"/>
          <w:lang w:val="en-US" w:eastAsia="zh-CN"/>
        </w:rPr>
        <w:t xml:space="preserve">                             </w:t>
      </w:r>
      <w:r>
        <w:rPr>
          <w:rFonts w:hint="default" w:ascii="Times New Roman" w:hAnsi="Times New Roman" w:eastAsia="方正仿宋_GBK" w:cs="Times New Roman"/>
          <w:color w:val="000000"/>
        </w:rPr>
        <w:t>重庆高新区管委会</w:t>
      </w:r>
    </w:p>
    <w:p w14:paraId="740ECAFE">
      <w:pPr>
        <w:keepNext w:val="0"/>
        <w:keepLines w:val="0"/>
        <w:pageBreakBefore w:val="0"/>
        <w:widowControl w:val="0"/>
        <w:kinsoku/>
        <w:wordWrap/>
        <w:overflowPunct/>
        <w:topLinePunct w:val="0"/>
        <w:bidi w:val="0"/>
        <w:snapToGrid/>
        <w:spacing w:line="560" w:lineRule="exact"/>
        <w:ind w:firstLine="0" w:firstLineChars="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lang w:eastAsia="zh-CN"/>
        </w:rPr>
        <w:t>　　</w:t>
      </w:r>
      <w:r>
        <w:rPr>
          <w:rFonts w:hint="default" w:ascii="Times New Roman" w:hAnsi="Times New Roman" w:eastAsia="方正仿宋_GBK" w:cs="Times New Roman"/>
          <w:color w:val="000000"/>
        </w:rPr>
        <w:t xml:space="preserve">                           </w:t>
      </w:r>
      <w:r>
        <w:rPr>
          <w:rFonts w:hint="eastAsia" w:eastAsia="方正仿宋_GBK" w:cs="Times New Roman"/>
          <w:color w:val="000000"/>
          <w:lang w:val="en-US" w:eastAsia="zh-CN"/>
        </w:rPr>
        <w:t xml:space="preserve">    </w:t>
      </w:r>
      <w:r>
        <w:rPr>
          <w:rFonts w:hint="default" w:ascii="Times New Roman" w:hAnsi="Times New Roman" w:eastAsia="方正仿宋_GBK" w:cs="Times New Roman"/>
          <w:color w:val="000000"/>
          <w:lang w:val="en-US" w:eastAsia="zh-CN"/>
        </w:rPr>
        <w:t>202</w:t>
      </w:r>
      <w:r>
        <w:rPr>
          <w:rFonts w:hint="eastAsia" w:eastAsia="方正仿宋_GBK" w:cs="Times New Roman"/>
          <w:color w:val="000000"/>
          <w:lang w:val="en-US" w:eastAsia="zh-CN"/>
        </w:rPr>
        <w:t>5</w:t>
      </w:r>
      <w:r>
        <w:rPr>
          <w:rFonts w:hint="default" w:ascii="Times New Roman" w:hAnsi="Times New Roman" w:eastAsia="方正仿宋_GBK" w:cs="Times New Roman"/>
          <w:color w:val="000000"/>
        </w:rPr>
        <w:t>年</w:t>
      </w:r>
      <w:r>
        <w:rPr>
          <w:rFonts w:hint="eastAsia" w:eastAsia="方正仿宋_GBK" w:cs="Times New Roman"/>
          <w:color w:val="000000"/>
          <w:lang w:val="en-US" w:eastAsia="zh-CN"/>
        </w:rPr>
        <w:t>3</w:t>
      </w:r>
      <w:r>
        <w:rPr>
          <w:rFonts w:hint="default" w:ascii="Times New Roman" w:hAnsi="Times New Roman" w:eastAsia="方正仿宋_GBK" w:cs="Times New Roman"/>
          <w:color w:val="000000"/>
        </w:rPr>
        <w:t>月</w:t>
      </w:r>
      <w:r>
        <w:rPr>
          <w:rFonts w:hint="eastAsia" w:eastAsia="方正仿宋_GBK" w:cs="Times New Roman"/>
          <w:color w:val="000000"/>
          <w:kern w:val="2"/>
          <w:sz w:val="32"/>
          <w:szCs w:val="32"/>
          <w:lang w:val="en-US" w:eastAsia="zh-CN" w:bidi="ar-SA"/>
        </w:rPr>
        <w:t>19</w:t>
      </w:r>
      <w:r>
        <w:rPr>
          <w:rFonts w:hint="default" w:ascii="Times New Roman" w:hAnsi="Times New Roman" w:eastAsia="方正仿宋_GBK" w:cs="Times New Roman"/>
          <w:color w:val="000000"/>
        </w:rPr>
        <w:t>日</w:t>
      </w:r>
    </w:p>
    <w:p w14:paraId="5B3B05F3">
      <w:pPr>
        <w:pStyle w:val="3"/>
        <w:pageBreakBefore w:val="0"/>
        <w:kinsoku/>
        <w:wordWrap/>
        <w:overflowPunct/>
        <w:topLinePunct w:val="0"/>
        <w:bidi w:val="0"/>
        <w:snapToGrid/>
        <w:spacing w:before="0" w:after="0" w:line="600" w:lineRule="exact"/>
        <w:ind w:left="0" w:leftChars="0" w:firstLine="0" w:firstLineChars="0"/>
        <w:jc w:val="center"/>
        <w:textAlignment w:val="auto"/>
        <w:rPr>
          <w:rFonts w:hint="default" w:ascii="Times New Roman" w:hAnsi="Times New Roman" w:eastAsia="方正小标宋_GBK" w:cs="Times New Roman"/>
          <w:b w:val="0"/>
          <w:color w:val="000000"/>
          <w:sz w:val="44"/>
          <w:szCs w:val="44"/>
          <w:lang w:val="en-US" w:eastAsia="zh-CN"/>
        </w:rPr>
      </w:pPr>
      <w:r>
        <w:rPr>
          <w:rFonts w:hint="default" w:ascii="Times New Roman" w:hAnsi="Times New Roman" w:eastAsia="方正仿宋_GBK" w:cs="Times New Roman"/>
          <w:color w:val="000000"/>
        </w:rPr>
        <w:br w:type="page"/>
      </w:r>
      <w:bookmarkStart w:id="11" w:name="_Toc87308088"/>
      <w:bookmarkStart w:id="12" w:name="_Toc28062"/>
      <w:bookmarkStart w:id="13" w:name="_Toc23559"/>
      <w:bookmarkStart w:id="14" w:name="_Toc21199"/>
      <w:bookmarkStart w:id="15" w:name="_Toc30978"/>
      <w:bookmarkStart w:id="16" w:name="_Toc87282561"/>
      <w:bookmarkStart w:id="17" w:name="_Toc21808"/>
      <w:bookmarkStart w:id="18" w:name="_Toc12191"/>
      <w:bookmarkStart w:id="19" w:name="_Toc14431"/>
      <w:bookmarkStart w:id="20" w:name="_Toc25318"/>
    </w:p>
    <w:p w14:paraId="2C1D582B">
      <w:pPr>
        <w:keepNext w:val="0"/>
        <w:keepLines w:val="0"/>
        <w:pageBreakBefore w:val="0"/>
        <w:widowControl w:val="0"/>
        <w:kinsoku/>
        <w:wordWrap/>
        <w:overflowPunct/>
        <w:topLinePunct w:val="0"/>
        <w:bidi w:val="0"/>
        <w:snapToGrid/>
        <w:spacing w:line="640" w:lineRule="exact"/>
        <w:ind w:firstLine="0" w:firstLineChars="0"/>
        <w:jc w:val="left"/>
        <w:textAlignment w:val="auto"/>
        <w:rPr>
          <w:rFonts w:hint="default" w:ascii="Times New Roman" w:hAnsi="Times New Roman" w:eastAsia="方正黑体_GBK" w:cs="Times New Roman"/>
          <w:b w:val="0"/>
          <w:bCs w:val="0"/>
          <w:color w:val="000000"/>
          <w:sz w:val="32"/>
          <w:szCs w:val="32"/>
          <w:lang w:val="en-US" w:eastAsia="zh-CN"/>
        </w:rPr>
      </w:pPr>
      <w:r>
        <w:rPr>
          <w:rFonts w:hint="default" w:ascii="Times New Roman" w:hAnsi="Times New Roman" w:eastAsia="方正黑体_GBK" w:cs="Times New Roman"/>
          <w:b w:val="0"/>
          <w:bCs w:val="0"/>
          <w:color w:val="000000"/>
          <w:sz w:val="32"/>
          <w:szCs w:val="32"/>
          <w:lang w:val="en-US" w:eastAsia="zh-CN"/>
        </w:rPr>
        <w:t>附件1</w:t>
      </w:r>
    </w:p>
    <w:p w14:paraId="537EF31D">
      <w:pPr>
        <w:pStyle w:val="2"/>
        <w:keepNext w:val="0"/>
        <w:keepLines w:val="0"/>
        <w:pageBreakBefore w:val="0"/>
        <w:kinsoku/>
        <w:wordWrap/>
        <w:overflowPunct/>
        <w:topLinePunct w:val="0"/>
        <w:bidi w:val="0"/>
        <w:snapToGrid/>
        <w:spacing w:line="640" w:lineRule="exact"/>
        <w:textAlignment w:val="auto"/>
        <w:rPr>
          <w:rFonts w:hint="default" w:ascii="Times New Roman" w:hAnsi="Times New Roman" w:cs="Times New Roman"/>
          <w:lang w:val="en-US" w:eastAsia="zh-CN"/>
        </w:rPr>
      </w:pPr>
    </w:p>
    <w:p w14:paraId="0861D562">
      <w:pPr>
        <w:keepNext w:val="0"/>
        <w:keepLines w:val="0"/>
        <w:pageBreakBefore w:val="0"/>
        <w:widowControl w:val="0"/>
        <w:kinsoku/>
        <w:wordWrap/>
        <w:overflowPunct/>
        <w:topLinePunct w:val="0"/>
        <w:bidi w:val="0"/>
        <w:snapToGrid/>
        <w:spacing w:line="640" w:lineRule="exact"/>
        <w:ind w:firstLine="2640" w:firstLineChars="600"/>
        <w:jc w:val="both"/>
        <w:textAlignment w:val="auto"/>
        <w:rPr>
          <w:rFonts w:hint="default" w:ascii="Times New Roman" w:hAnsi="Times New Roman" w:cs="Times New Roman"/>
        </w:rPr>
      </w:pPr>
      <w:r>
        <w:rPr>
          <w:rFonts w:hint="default" w:ascii="Times New Roman" w:hAnsi="Times New Roman" w:eastAsia="方正小标宋_GBK" w:cs="Times New Roman"/>
          <w:b w:val="0"/>
          <w:color w:val="000000"/>
          <w:sz w:val="44"/>
          <w:szCs w:val="44"/>
          <w:lang w:val="en-US" w:eastAsia="zh-CN"/>
        </w:rPr>
        <w:t>重庆高新区</w:t>
      </w:r>
      <w:r>
        <w:rPr>
          <w:rFonts w:hint="eastAsia" w:eastAsia="方正小标宋_GBK" w:cs="Times New Roman"/>
          <w:b w:val="0"/>
          <w:color w:val="000000"/>
          <w:sz w:val="44"/>
          <w:szCs w:val="44"/>
          <w:lang w:val="en-US" w:eastAsia="zh-CN"/>
        </w:rPr>
        <w:t>管</w:t>
      </w:r>
      <w:r>
        <w:rPr>
          <w:rFonts w:hint="default" w:ascii="Times New Roman" w:hAnsi="Times New Roman" w:eastAsia="方正小标宋_GBK" w:cs="Times New Roman"/>
          <w:b w:val="0"/>
          <w:color w:val="000000"/>
          <w:sz w:val="44"/>
          <w:szCs w:val="44"/>
          <w:lang w:val="en-US" w:eastAsia="zh-CN"/>
        </w:rPr>
        <w:t>委会</w:t>
      </w:r>
    </w:p>
    <w:p w14:paraId="178A2F20">
      <w:pPr>
        <w:keepNext w:val="0"/>
        <w:keepLines w:val="0"/>
        <w:pageBreakBefore w:val="0"/>
        <w:widowControl w:val="0"/>
        <w:kinsoku/>
        <w:wordWrap/>
        <w:overflowPunct/>
        <w:topLinePunct w:val="0"/>
        <w:bidi w:val="0"/>
        <w:snapToGrid/>
        <w:spacing w:line="640" w:lineRule="exact"/>
        <w:ind w:firstLine="0" w:firstLineChars="0"/>
        <w:jc w:val="center"/>
        <w:textAlignment w:val="auto"/>
        <w:rPr>
          <w:rFonts w:hint="default" w:ascii="Times New Roman" w:hAnsi="Times New Roman" w:eastAsia="方正小标宋_GBK" w:cs="Times New Roman"/>
          <w:b w:val="0"/>
          <w:color w:val="000000"/>
          <w:sz w:val="44"/>
          <w:szCs w:val="44"/>
        </w:rPr>
      </w:pPr>
      <w:r>
        <w:rPr>
          <w:rFonts w:hint="default" w:ascii="Times New Roman" w:hAnsi="Times New Roman" w:eastAsia="方正小标宋_GBK" w:cs="Times New Roman"/>
          <w:b w:val="0"/>
          <w:color w:val="000000"/>
          <w:sz w:val="44"/>
          <w:szCs w:val="44"/>
        </w:rPr>
        <w:t>关于</w:t>
      </w:r>
      <w:r>
        <w:rPr>
          <w:rFonts w:hint="eastAsia" w:eastAsia="方正小标宋_GBK" w:cs="Times New Roman"/>
          <w:sz w:val="44"/>
          <w:szCs w:val="44"/>
          <w:lang w:eastAsia="zh-CN"/>
        </w:rPr>
        <w:t>轨道交通</w:t>
      </w:r>
      <w:r>
        <w:rPr>
          <w:rFonts w:hint="eastAsia" w:eastAsia="方正小标宋_GBK" w:cs="Times New Roman"/>
          <w:sz w:val="44"/>
          <w:szCs w:val="44"/>
          <w:lang w:val="en-US" w:eastAsia="zh-CN"/>
        </w:rPr>
        <w:t>7号线建设工程</w:t>
      </w:r>
      <w:r>
        <w:rPr>
          <w:rFonts w:hint="default" w:ascii="Times New Roman" w:hAnsi="Times New Roman" w:eastAsia="方正小标宋_GBK" w:cs="Times New Roman"/>
          <w:b w:val="0"/>
          <w:color w:val="000000"/>
          <w:sz w:val="44"/>
          <w:szCs w:val="44"/>
        </w:rPr>
        <w:t>国有土地上</w:t>
      </w:r>
    </w:p>
    <w:p w14:paraId="0E37E6AC">
      <w:pPr>
        <w:keepNext w:val="0"/>
        <w:keepLines w:val="0"/>
        <w:pageBreakBefore w:val="0"/>
        <w:widowControl w:val="0"/>
        <w:kinsoku/>
        <w:wordWrap/>
        <w:overflowPunct/>
        <w:topLinePunct w:val="0"/>
        <w:bidi w:val="0"/>
        <w:snapToGrid/>
        <w:spacing w:line="640" w:lineRule="exact"/>
        <w:ind w:firstLine="0" w:firstLineChars="0"/>
        <w:jc w:val="center"/>
        <w:textAlignment w:val="auto"/>
        <w:rPr>
          <w:rFonts w:hint="default" w:ascii="Times New Roman" w:hAnsi="Times New Roman" w:eastAsia="方正小标宋_GBK" w:cs="Times New Roman"/>
          <w:color w:val="000000"/>
          <w:sz w:val="44"/>
          <w:szCs w:val="44"/>
        </w:rPr>
      </w:pPr>
      <w:r>
        <w:rPr>
          <w:rFonts w:hint="default" w:ascii="Times New Roman" w:hAnsi="Times New Roman" w:eastAsia="方正小标宋_GBK" w:cs="Times New Roman"/>
          <w:b w:val="0"/>
          <w:color w:val="000000"/>
          <w:sz w:val="44"/>
          <w:szCs w:val="44"/>
        </w:rPr>
        <w:t>房屋征收</w:t>
      </w:r>
      <w:r>
        <w:rPr>
          <w:rFonts w:hint="default" w:ascii="Times New Roman" w:hAnsi="Times New Roman" w:eastAsia="方正小标宋_GBK" w:cs="Times New Roman"/>
          <w:b w:val="0"/>
          <w:color w:val="000000"/>
          <w:sz w:val="44"/>
          <w:szCs w:val="44"/>
          <w:lang w:eastAsia="zh-CN"/>
        </w:rPr>
        <w:t>的</w:t>
      </w:r>
      <w:r>
        <w:rPr>
          <w:rFonts w:hint="default" w:ascii="Times New Roman" w:hAnsi="Times New Roman" w:eastAsia="方正小标宋_GBK" w:cs="Times New Roman"/>
          <w:color w:val="000000"/>
          <w:sz w:val="44"/>
          <w:szCs w:val="44"/>
        </w:rPr>
        <w:t>决定</w:t>
      </w:r>
      <w:bookmarkEnd w:id="11"/>
      <w:bookmarkEnd w:id="12"/>
      <w:bookmarkEnd w:id="13"/>
      <w:bookmarkEnd w:id="14"/>
      <w:bookmarkEnd w:id="15"/>
      <w:bookmarkEnd w:id="16"/>
      <w:bookmarkEnd w:id="17"/>
      <w:bookmarkEnd w:id="18"/>
      <w:bookmarkEnd w:id="19"/>
      <w:bookmarkEnd w:id="20"/>
    </w:p>
    <w:p w14:paraId="2526716A">
      <w:pPr>
        <w:keepNext w:val="0"/>
        <w:keepLines w:val="0"/>
        <w:pageBreakBefore w:val="0"/>
        <w:kinsoku/>
        <w:wordWrap/>
        <w:overflowPunct/>
        <w:topLinePunct w:val="0"/>
        <w:bidi w:val="0"/>
        <w:snapToGrid/>
        <w:spacing w:line="640" w:lineRule="exact"/>
        <w:ind w:firstLine="640" w:firstLineChars="200"/>
        <w:textAlignment w:val="auto"/>
        <w:rPr>
          <w:rFonts w:hint="default" w:ascii="Times New Roman" w:hAnsi="Times New Roman" w:eastAsia="方正仿宋_GBK" w:cs="Times New Roman"/>
          <w:color w:val="000000"/>
        </w:rPr>
      </w:pPr>
    </w:p>
    <w:p w14:paraId="6F70777F">
      <w:pPr>
        <w:keepNext w:val="0"/>
        <w:keepLines w:val="0"/>
        <w:pageBreakBefore w:val="0"/>
        <w:kinsoku/>
        <w:wordWrap/>
        <w:overflowPunct/>
        <w:topLinePunct w:val="0"/>
        <w:bidi w:val="0"/>
        <w:snapToGrid/>
        <w:spacing w:line="640" w:lineRule="exact"/>
        <w:ind w:firstLine="640" w:firstLineChars="20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rPr>
        <w:t>因</w:t>
      </w:r>
      <w:r>
        <w:rPr>
          <w:rFonts w:hint="eastAsia" w:eastAsia="方正仿宋_GBK" w:cs="Times New Roman"/>
          <w:color w:val="auto"/>
          <w:lang w:val="en-US" w:eastAsia="zh-CN"/>
        </w:rPr>
        <w:t>轨道交通7号线建设</w:t>
      </w:r>
      <w:r>
        <w:rPr>
          <w:rFonts w:hint="default" w:ascii="Times New Roman" w:hAnsi="Times New Roman" w:eastAsia="方正仿宋_GBK" w:cs="Times New Roman"/>
          <w:color w:val="000000"/>
          <w:sz w:val="32"/>
          <w:szCs w:val="32"/>
          <w:lang w:val="en-US" w:eastAsia="zh-CN"/>
        </w:rPr>
        <w:t>工程</w:t>
      </w:r>
      <w:r>
        <w:rPr>
          <w:rFonts w:hint="default" w:ascii="Times New Roman" w:hAnsi="Times New Roman" w:eastAsia="方正仿宋_GBK" w:cs="Times New Roman"/>
          <w:color w:val="auto"/>
        </w:rPr>
        <w:t>的需要</w:t>
      </w:r>
      <w:r>
        <w:rPr>
          <w:rFonts w:hint="default" w:ascii="Times New Roman" w:hAnsi="Times New Roman" w:eastAsia="方正仿宋_GBK" w:cs="Times New Roman"/>
          <w:color w:val="000000"/>
        </w:rPr>
        <w:t>，根据《国有土地上房屋征收与补偿条例》《重庆市国有土地上</w:t>
      </w:r>
      <w:r>
        <w:rPr>
          <w:rFonts w:hint="default" w:ascii="Times New Roman" w:hAnsi="Times New Roman" w:eastAsia="方正仿宋_GBK" w:cs="Times New Roman"/>
          <w:color w:val="000000"/>
          <w:lang w:eastAsia="zh-CN"/>
        </w:rPr>
        <w:t>房屋</w:t>
      </w:r>
      <w:r>
        <w:rPr>
          <w:rFonts w:hint="default" w:ascii="Times New Roman" w:hAnsi="Times New Roman" w:eastAsia="方正仿宋_GBK" w:cs="Times New Roman"/>
          <w:color w:val="000000"/>
        </w:rPr>
        <w:t>征收与补偿条例》和《重庆市国有土地上</w:t>
      </w:r>
      <w:r>
        <w:rPr>
          <w:rFonts w:hint="default" w:ascii="Times New Roman" w:hAnsi="Times New Roman" w:eastAsia="方正仿宋_GBK" w:cs="Times New Roman"/>
          <w:color w:val="000000"/>
          <w:lang w:eastAsia="zh-CN"/>
        </w:rPr>
        <w:t>房屋</w:t>
      </w:r>
      <w:r>
        <w:rPr>
          <w:rFonts w:hint="default" w:ascii="Times New Roman" w:hAnsi="Times New Roman" w:eastAsia="方正仿宋_GBK" w:cs="Times New Roman"/>
          <w:color w:val="000000"/>
        </w:rPr>
        <w:t>征收与补偿</w:t>
      </w:r>
      <w:r>
        <w:rPr>
          <w:rFonts w:hint="default" w:ascii="Times New Roman" w:hAnsi="Times New Roman" w:eastAsia="方正仿宋_GBK" w:cs="Times New Roman"/>
          <w:color w:val="000000"/>
          <w:lang w:eastAsia="zh-CN"/>
        </w:rPr>
        <w:t>条例</w:t>
      </w:r>
      <w:r>
        <w:rPr>
          <w:rFonts w:hint="default" w:ascii="Times New Roman" w:hAnsi="Times New Roman" w:eastAsia="方正仿宋_GBK" w:cs="Times New Roman"/>
          <w:color w:val="000000"/>
        </w:rPr>
        <w:t>实施细则》的规定，现决定对</w:t>
      </w:r>
      <w:r>
        <w:rPr>
          <w:rFonts w:hint="eastAsia" w:eastAsia="方正仿宋_GBK" w:cs="Times New Roman"/>
          <w:color w:val="auto"/>
          <w:lang w:val="en-US" w:eastAsia="zh-CN"/>
        </w:rPr>
        <w:t>轨道交通7号线建设</w:t>
      </w:r>
      <w:r>
        <w:rPr>
          <w:rFonts w:hint="default" w:ascii="Times New Roman" w:hAnsi="Times New Roman" w:eastAsia="方正仿宋_GBK" w:cs="Times New Roman"/>
          <w:color w:val="000000"/>
          <w:sz w:val="32"/>
          <w:szCs w:val="32"/>
          <w:lang w:val="en-US" w:eastAsia="zh-CN"/>
        </w:rPr>
        <w:t>工程征收</w:t>
      </w:r>
      <w:r>
        <w:rPr>
          <w:rFonts w:hint="default" w:ascii="Times New Roman" w:hAnsi="Times New Roman" w:eastAsia="方正仿宋_GBK" w:cs="Times New Roman"/>
          <w:color w:val="000000"/>
          <w:lang w:val="en-US" w:eastAsia="zh-CN"/>
        </w:rPr>
        <w:t>范围内</w:t>
      </w:r>
      <w:r>
        <w:rPr>
          <w:rFonts w:hint="default" w:ascii="Times New Roman" w:hAnsi="Times New Roman" w:eastAsia="方正仿宋_GBK" w:cs="Times New Roman"/>
          <w:b w:val="0"/>
          <w:color w:val="000000"/>
          <w:sz w:val="32"/>
          <w:szCs w:val="32"/>
          <w:lang w:val="en-US" w:eastAsia="zh-CN"/>
        </w:rPr>
        <w:t>：</w:t>
      </w:r>
      <w:r>
        <w:rPr>
          <w:rFonts w:hint="eastAsia" w:ascii="Times New Roman" w:hAnsi="Times New Roman" w:eastAsia="方正仿宋_GBK" w:cs="Times New Roman"/>
          <w:bCs/>
          <w:sz w:val="32"/>
          <w:szCs w:val="32"/>
          <w:lang w:eastAsia="zh-CN"/>
        </w:rPr>
        <w:t>九龙坡区金凤镇九凤村</w:t>
      </w:r>
      <w:r>
        <w:rPr>
          <w:rFonts w:hint="eastAsia" w:ascii="Times New Roman" w:hAnsi="Times New Roman" w:eastAsia="方正仿宋_GBK" w:cs="Times New Roman"/>
          <w:bCs/>
          <w:sz w:val="32"/>
          <w:szCs w:val="32"/>
          <w:lang w:val="en-US" w:eastAsia="zh-CN"/>
        </w:rPr>
        <w:t>4社</w:t>
      </w:r>
      <w:r>
        <w:rPr>
          <w:rFonts w:hint="default" w:ascii="Times New Roman" w:hAnsi="Times New Roman" w:eastAsia="方正仿宋_GBK" w:cs="Times New Roman"/>
          <w:b w:val="0"/>
          <w:color w:val="000000"/>
          <w:sz w:val="32"/>
          <w:szCs w:val="32"/>
          <w:lang w:val="en-US" w:eastAsia="zh-CN"/>
        </w:rPr>
        <w:t>（重庆</w:t>
      </w:r>
      <w:r>
        <w:rPr>
          <w:rFonts w:hint="eastAsia" w:eastAsia="方正仿宋_GBK" w:cs="Times New Roman"/>
          <w:b w:val="0"/>
          <w:color w:val="000000"/>
          <w:sz w:val="32"/>
          <w:szCs w:val="32"/>
          <w:lang w:val="en-US" w:eastAsia="zh-CN"/>
        </w:rPr>
        <w:t>市九龙坡区金凤镇小学校</w:t>
      </w:r>
      <w:r>
        <w:rPr>
          <w:rFonts w:hint="default" w:ascii="Times New Roman" w:hAnsi="Times New Roman" w:eastAsia="方正仿宋_GBK" w:cs="Times New Roman"/>
          <w:b w:val="0"/>
          <w:color w:val="000000"/>
          <w:sz w:val="32"/>
          <w:szCs w:val="32"/>
          <w:lang w:val="en-US" w:eastAsia="zh-CN"/>
        </w:rPr>
        <w:t>）</w:t>
      </w:r>
      <w:r>
        <w:rPr>
          <w:rFonts w:hint="default" w:ascii="Times New Roman" w:hAnsi="Times New Roman" w:eastAsia="方正仿宋_GBK" w:cs="Times New Roman"/>
          <w:b w:val="0"/>
          <w:color w:val="000000"/>
          <w:sz w:val="32"/>
          <w:szCs w:val="32"/>
        </w:rPr>
        <w:t>国有土地上房屋</w:t>
      </w:r>
      <w:r>
        <w:rPr>
          <w:rFonts w:hint="default" w:ascii="Times New Roman" w:hAnsi="Times New Roman" w:eastAsia="方正仿宋_GBK" w:cs="Times New Roman"/>
          <w:b w:val="0"/>
          <w:color w:val="000000"/>
          <w:sz w:val="32"/>
          <w:szCs w:val="32"/>
          <w:lang w:eastAsia="zh-CN"/>
        </w:rPr>
        <w:t>实施征收，征收范围内</w:t>
      </w:r>
      <w:r>
        <w:rPr>
          <w:rFonts w:hint="default" w:ascii="Times New Roman" w:hAnsi="Times New Roman" w:eastAsia="方正仿宋_GBK" w:cs="Times New Roman"/>
          <w:color w:val="000000"/>
        </w:rPr>
        <w:t>的</w:t>
      </w:r>
      <w:r>
        <w:rPr>
          <w:rFonts w:hint="default" w:ascii="Times New Roman" w:hAnsi="Times New Roman" w:eastAsia="方正仿宋_GBK" w:cs="Times New Roman"/>
          <w:color w:val="000000"/>
          <w:lang w:val="en-US" w:eastAsia="zh-CN"/>
        </w:rPr>
        <w:t>国有</w:t>
      </w:r>
      <w:r>
        <w:rPr>
          <w:rFonts w:hint="default" w:ascii="Times New Roman" w:hAnsi="Times New Roman" w:eastAsia="方正仿宋_GBK" w:cs="Times New Roman"/>
          <w:color w:val="000000"/>
        </w:rPr>
        <w:t>土地使用权</w:t>
      </w:r>
      <w:r>
        <w:rPr>
          <w:rFonts w:hint="default" w:ascii="Times New Roman" w:hAnsi="Times New Roman" w:eastAsia="方正仿宋_GBK" w:cs="Times New Roman"/>
          <w:color w:val="000000"/>
          <w:lang w:eastAsia="zh-CN"/>
        </w:rPr>
        <w:t>一并收回</w:t>
      </w:r>
      <w:r>
        <w:rPr>
          <w:rFonts w:hint="default" w:ascii="Times New Roman" w:hAnsi="Times New Roman" w:eastAsia="方正仿宋_GBK" w:cs="Times New Roman"/>
          <w:color w:val="000000"/>
        </w:rPr>
        <w:t>。</w:t>
      </w:r>
    </w:p>
    <w:p w14:paraId="49017634">
      <w:pPr>
        <w:keepNext w:val="0"/>
        <w:keepLines w:val="0"/>
        <w:pageBreakBefore w:val="0"/>
        <w:kinsoku/>
        <w:wordWrap/>
        <w:overflowPunct/>
        <w:topLinePunct w:val="0"/>
        <w:bidi w:val="0"/>
        <w:snapToGrid/>
        <w:spacing w:line="640" w:lineRule="exact"/>
        <w:ind w:firstLine="640" w:firstLineChars="200"/>
        <w:textAlignment w:val="auto"/>
        <w:rPr>
          <w:rFonts w:hint="default" w:ascii="Times New Roman" w:hAnsi="Times New Roman" w:eastAsia="方正仿宋_GBK" w:cs="Times New Roman"/>
          <w:color w:val="000000"/>
          <w:highlight w:val="none"/>
          <w:lang w:val="en-US" w:eastAsia="zh-CN"/>
        </w:rPr>
      </w:pPr>
      <w:r>
        <w:rPr>
          <w:rFonts w:hint="default" w:ascii="Times New Roman" w:hAnsi="Times New Roman" w:eastAsia="方正仿宋_GBK" w:cs="Times New Roman"/>
          <w:color w:val="000000"/>
          <w:highlight w:val="none"/>
          <w:lang w:val="en-US" w:eastAsia="zh-CN"/>
        </w:rPr>
        <w:t>本</w:t>
      </w:r>
      <w:r>
        <w:rPr>
          <w:rFonts w:hint="default" w:ascii="Times New Roman" w:hAnsi="Times New Roman" w:eastAsia="方正仿宋_GBK" w:cs="Times New Roman"/>
          <w:color w:val="000000"/>
          <w:highlight w:val="none"/>
        </w:rPr>
        <w:t>房屋征收</w:t>
      </w:r>
      <w:r>
        <w:rPr>
          <w:rFonts w:hint="default" w:ascii="Times New Roman" w:hAnsi="Times New Roman" w:eastAsia="方正仿宋_GBK" w:cs="Times New Roman"/>
          <w:color w:val="000000"/>
          <w:highlight w:val="none"/>
          <w:lang w:val="en-US" w:eastAsia="zh-CN"/>
        </w:rPr>
        <w:t>项目</w:t>
      </w:r>
      <w:r>
        <w:rPr>
          <w:rFonts w:hint="default" w:ascii="Times New Roman" w:hAnsi="Times New Roman" w:eastAsia="方正仿宋_GBK" w:cs="Times New Roman"/>
          <w:color w:val="000000"/>
          <w:highlight w:val="none"/>
        </w:rPr>
        <w:t>共涉及被征收人</w:t>
      </w:r>
      <w:r>
        <w:rPr>
          <w:rFonts w:hint="default" w:ascii="Times New Roman" w:hAnsi="Times New Roman" w:eastAsia="方正仿宋_GBK" w:cs="Times New Roman"/>
          <w:color w:val="000000"/>
          <w:highlight w:val="none"/>
          <w:lang w:val="en-US" w:eastAsia="zh-CN"/>
        </w:rPr>
        <w:t>1</w:t>
      </w:r>
      <w:r>
        <w:rPr>
          <w:rFonts w:hint="default" w:ascii="Times New Roman" w:hAnsi="Times New Roman" w:eastAsia="方正仿宋_GBK" w:cs="Times New Roman"/>
          <w:color w:val="000000"/>
          <w:highlight w:val="none"/>
        </w:rPr>
        <w:t>户，</w:t>
      </w:r>
      <w:r>
        <w:rPr>
          <w:rFonts w:hint="default" w:ascii="Times New Roman" w:hAnsi="Times New Roman" w:eastAsia="方正仿宋_GBK" w:cs="Times New Roman"/>
          <w:color w:val="000000"/>
          <w:highlight w:val="none"/>
          <w:lang w:val="en-US" w:eastAsia="zh-CN"/>
        </w:rPr>
        <w:t>房屋</w:t>
      </w:r>
      <w:r>
        <w:rPr>
          <w:rFonts w:hint="default" w:ascii="Times New Roman" w:hAnsi="Times New Roman" w:eastAsia="方正仿宋_GBK" w:cs="Times New Roman"/>
          <w:color w:val="000000"/>
          <w:highlight w:val="none"/>
        </w:rPr>
        <w:t>建筑面积</w:t>
      </w:r>
      <w:r>
        <w:rPr>
          <w:rFonts w:hint="eastAsia" w:eastAsia="方正仿宋_GBK" w:cs="Times New Roman"/>
          <w:color w:val="000000"/>
          <w:sz w:val="32"/>
          <w:szCs w:val="32"/>
          <w:lang w:val="en-US" w:eastAsia="zh-CN"/>
        </w:rPr>
        <w:t>862.73</w:t>
      </w:r>
      <w:r>
        <w:rPr>
          <w:rFonts w:hint="default" w:ascii="Times New Roman" w:hAnsi="Times New Roman" w:eastAsia="方正仿宋_GBK" w:cs="Times New Roman"/>
          <w:color w:val="000000"/>
          <w:highlight w:val="none"/>
        </w:rPr>
        <w:t>平方米</w:t>
      </w:r>
      <w:r>
        <w:rPr>
          <w:rFonts w:hint="default" w:ascii="Times New Roman" w:hAnsi="Times New Roman" w:eastAsia="方正仿宋_GBK" w:cs="Times New Roman"/>
          <w:color w:val="000000"/>
          <w:highlight w:val="none"/>
          <w:lang w:eastAsia="zh-CN"/>
        </w:rPr>
        <w:t>。</w:t>
      </w:r>
    </w:p>
    <w:p w14:paraId="2D837043">
      <w:pPr>
        <w:keepNext w:val="0"/>
        <w:keepLines w:val="0"/>
        <w:pageBreakBefore w:val="0"/>
        <w:widowControl w:val="0"/>
        <w:kinsoku/>
        <w:wordWrap/>
        <w:overflowPunct/>
        <w:topLinePunct w:val="0"/>
        <w:bidi w:val="0"/>
        <w:snapToGrid/>
        <w:spacing w:line="640" w:lineRule="exact"/>
        <w:ind w:firstLine="640" w:firstLineChars="20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auto"/>
          <w:sz w:val="32"/>
          <w:szCs w:val="32"/>
          <w:highlight w:val="none"/>
        </w:rPr>
        <w:t>重庆高新技术产业开发区管理委员会建设局</w:t>
      </w:r>
      <w:r>
        <w:rPr>
          <w:rFonts w:hint="default" w:ascii="Times New Roman" w:hAnsi="Times New Roman" w:eastAsia="方正仿宋_GBK" w:cs="Times New Roman"/>
          <w:color w:val="000000"/>
        </w:rPr>
        <w:t>会同有关部门和单位，负责房屋征收的组织实施工作，依法保障被征收人合法权益，维护社会稳定。</w:t>
      </w:r>
    </w:p>
    <w:p w14:paraId="219D8E71">
      <w:pPr>
        <w:keepNext w:val="0"/>
        <w:keepLines w:val="0"/>
        <w:pageBreakBefore w:val="0"/>
        <w:widowControl w:val="0"/>
        <w:kinsoku/>
        <w:wordWrap/>
        <w:overflowPunct/>
        <w:topLinePunct w:val="0"/>
        <w:autoSpaceDE/>
        <w:autoSpaceDN/>
        <w:bidi w:val="0"/>
        <w:adjustRightInd/>
        <w:snapToGrid/>
        <w:spacing w:line="640" w:lineRule="exact"/>
        <w:ind w:left="0" w:leftChars="0" w:firstLine="640" w:firstLineChars="20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rPr>
        <w:t>被征收人对本征收决定不服的，可在征收决定公告之日起六十日内向重庆市人民政府申请行政复议，也可以在征收决定公告之日起六个月内向重庆市</w:t>
      </w:r>
      <w:r>
        <w:rPr>
          <w:rFonts w:hint="default" w:ascii="Times New Roman" w:hAnsi="Times New Roman" w:eastAsia="方正仿宋_GBK" w:cs="Times New Roman"/>
          <w:color w:val="000000"/>
          <w:lang w:eastAsia="zh-CN"/>
        </w:rPr>
        <w:t>九龙坡区</w:t>
      </w:r>
      <w:r>
        <w:rPr>
          <w:rFonts w:hint="default" w:ascii="Times New Roman" w:hAnsi="Times New Roman" w:eastAsia="方正仿宋_GBK" w:cs="Times New Roman"/>
          <w:color w:val="000000"/>
        </w:rPr>
        <w:t>人民法院提起行政诉讼。</w:t>
      </w:r>
    </w:p>
    <w:p w14:paraId="398F737E">
      <w:pPr>
        <w:pStyle w:val="2"/>
        <w:keepNext w:val="0"/>
        <w:keepLines w:val="0"/>
        <w:pageBreakBefore w:val="0"/>
        <w:widowControl w:val="0"/>
        <w:kinsoku/>
        <w:wordWrap/>
        <w:overflowPunct/>
        <w:topLinePunct w:val="0"/>
        <w:bidi w:val="0"/>
        <w:snapToGrid/>
        <w:spacing w:line="640" w:lineRule="exact"/>
        <w:textAlignment w:val="auto"/>
        <w:rPr>
          <w:rFonts w:hint="default" w:ascii="Times New Roman" w:hAnsi="Times New Roman" w:cs="Times New Roman"/>
        </w:rPr>
      </w:pPr>
    </w:p>
    <w:p w14:paraId="49C53377">
      <w:pPr>
        <w:pStyle w:val="2"/>
        <w:keepNext w:val="0"/>
        <w:keepLines w:val="0"/>
        <w:pageBreakBefore w:val="0"/>
        <w:widowControl w:val="0"/>
        <w:kinsoku/>
        <w:wordWrap/>
        <w:overflowPunct/>
        <w:topLinePunct w:val="0"/>
        <w:bidi w:val="0"/>
        <w:snapToGrid/>
        <w:spacing w:line="640" w:lineRule="exact"/>
        <w:textAlignment w:val="auto"/>
        <w:rPr>
          <w:rFonts w:hint="default" w:ascii="Times New Roman" w:hAnsi="Times New Roman" w:cs="Times New Roman"/>
        </w:rPr>
      </w:pPr>
    </w:p>
    <w:p w14:paraId="4082CF59">
      <w:pPr>
        <w:pStyle w:val="2"/>
        <w:keepNext w:val="0"/>
        <w:keepLines w:val="0"/>
        <w:pageBreakBefore w:val="0"/>
        <w:widowControl w:val="0"/>
        <w:kinsoku/>
        <w:wordWrap/>
        <w:overflowPunct/>
        <w:topLinePunct w:val="0"/>
        <w:bidi w:val="0"/>
        <w:snapToGrid/>
        <w:spacing w:line="640" w:lineRule="exact"/>
        <w:textAlignment w:val="auto"/>
        <w:rPr>
          <w:rFonts w:hint="default" w:ascii="Times New Roman" w:hAnsi="Times New Roman" w:cs="Times New Roman"/>
        </w:rPr>
      </w:pPr>
    </w:p>
    <w:p w14:paraId="7ABE140F">
      <w:pPr>
        <w:keepNext w:val="0"/>
        <w:keepLines w:val="0"/>
        <w:pageBreakBefore w:val="0"/>
        <w:kinsoku/>
        <w:wordWrap/>
        <w:overflowPunct/>
        <w:topLinePunct w:val="0"/>
        <w:bidi w:val="0"/>
        <w:snapToGrid/>
        <w:spacing w:line="640" w:lineRule="exact"/>
        <w:ind w:firstLine="0" w:firstLineChars="0"/>
        <w:jc w:val="center"/>
        <w:textAlignment w:val="auto"/>
        <w:rPr>
          <w:rFonts w:hint="default" w:ascii="Times New Roman" w:hAnsi="Times New Roman" w:eastAsia="方正仿宋_GBK" w:cs="Times New Roman"/>
          <w:color w:val="000000"/>
        </w:rPr>
      </w:pPr>
      <w:r>
        <w:rPr>
          <w:rFonts w:hint="eastAsia" w:eastAsia="方正仿宋_GBK" w:cs="Times New Roman"/>
          <w:color w:val="000000"/>
          <w:lang w:val="en-US" w:eastAsia="zh-CN"/>
        </w:rPr>
        <w:t xml:space="preserve">                                 </w:t>
      </w:r>
      <w:r>
        <w:rPr>
          <w:rFonts w:hint="default" w:ascii="Times New Roman" w:hAnsi="Times New Roman" w:eastAsia="方正仿宋_GBK" w:cs="Times New Roman"/>
          <w:color w:val="000000"/>
        </w:rPr>
        <w:t>重庆高新区管委会</w:t>
      </w:r>
    </w:p>
    <w:p w14:paraId="412279EE">
      <w:pPr>
        <w:keepNext w:val="0"/>
        <w:keepLines w:val="0"/>
        <w:pageBreakBefore w:val="0"/>
        <w:kinsoku/>
        <w:wordWrap/>
        <w:overflowPunct/>
        <w:topLinePunct w:val="0"/>
        <w:bidi w:val="0"/>
        <w:snapToGrid/>
        <w:spacing w:line="640" w:lineRule="exact"/>
        <w:ind w:firstLine="640" w:firstLineChars="200"/>
        <w:textAlignment w:val="auto"/>
        <w:rPr>
          <w:rFonts w:hint="default" w:ascii="Times New Roman" w:hAnsi="Times New Roman" w:eastAsia="方正仿宋_GBK" w:cs="Times New Roman"/>
          <w:color w:val="000000"/>
        </w:rPr>
      </w:pPr>
      <w:r>
        <w:rPr>
          <w:rFonts w:hint="default" w:ascii="Times New Roman" w:hAnsi="Times New Roman" w:eastAsia="方正仿宋_GBK" w:cs="Times New Roman"/>
          <w:color w:val="000000"/>
        </w:rPr>
        <w:t xml:space="preserve">                         </w:t>
      </w:r>
      <w:r>
        <w:rPr>
          <w:rFonts w:hint="default" w:ascii="Times New Roman" w:hAnsi="Times New Roman" w:eastAsia="方正仿宋_GBK" w:cs="Times New Roman"/>
          <w:color w:val="000000"/>
          <w:lang w:val="en-US" w:eastAsia="zh-CN"/>
        </w:rPr>
        <w:t xml:space="preserve"> </w:t>
      </w:r>
      <w:r>
        <w:rPr>
          <w:rFonts w:hint="eastAsia" w:eastAsia="方正仿宋_GBK" w:cs="Times New Roman"/>
          <w:color w:val="000000"/>
          <w:lang w:val="en-US" w:eastAsia="zh-CN"/>
        </w:rPr>
        <w:t xml:space="preserve">       </w:t>
      </w:r>
      <w:r>
        <w:rPr>
          <w:rFonts w:hint="default" w:ascii="Times New Roman" w:hAnsi="Times New Roman" w:eastAsia="方正仿宋_GBK" w:cs="Times New Roman"/>
          <w:color w:val="000000"/>
          <w:lang w:val="en-US" w:eastAsia="zh-CN"/>
        </w:rPr>
        <w:t>202</w:t>
      </w:r>
      <w:r>
        <w:rPr>
          <w:rFonts w:hint="eastAsia" w:eastAsia="方正仿宋_GBK" w:cs="Times New Roman"/>
          <w:color w:val="000000"/>
          <w:lang w:val="en-US" w:eastAsia="zh-CN"/>
        </w:rPr>
        <w:t>5</w:t>
      </w:r>
      <w:r>
        <w:rPr>
          <w:rFonts w:hint="default" w:ascii="Times New Roman" w:hAnsi="Times New Roman" w:eastAsia="方正仿宋_GBK" w:cs="Times New Roman"/>
          <w:color w:val="000000"/>
        </w:rPr>
        <w:t>年</w:t>
      </w:r>
      <w:r>
        <w:rPr>
          <w:rFonts w:hint="eastAsia" w:eastAsia="方正仿宋_GBK" w:cs="Times New Roman"/>
          <w:color w:val="000000"/>
          <w:lang w:val="en-US" w:eastAsia="zh-CN"/>
        </w:rPr>
        <w:t>3</w:t>
      </w:r>
      <w:r>
        <w:rPr>
          <w:rFonts w:hint="default" w:ascii="Times New Roman" w:hAnsi="Times New Roman" w:eastAsia="方正仿宋_GBK" w:cs="Times New Roman"/>
          <w:color w:val="000000"/>
        </w:rPr>
        <w:t>月</w:t>
      </w:r>
      <w:r>
        <w:rPr>
          <w:rFonts w:hint="eastAsia" w:eastAsia="方正仿宋_GBK" w:cs="Times New Roman"/>
          <w:color w:val="000000"/>
          <w:kern w:val="2"/>
          <w:sz w:val="32"/>
          <w:szCs w:val="32"/>
          <w:lang w:val="en-US" w:eastAsia="zh-CN" w:bidi="ar-SA"/>
        </w:rPr>
        <w:t>19</w:t>
      </w:r>
      <w:r>
        <w:rPr>
          <w:rFonts w:hint="default" w:ascii="Times New Roman" w:hAnsi="Times New Roman" w:eastAsia="方正仿宋_GBK" w:cs="Times New Roman"/>
          <w:color w:val="000000"/>
        </w:rPr>
        <w:t>日</w:t>
      </w:r>
    </w:p>
    <w:p w14:paraId="3BA55781">
      <w:pPr>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br w:type="page"/>
      </w:r>
    </w:p>
    <w:p w14:paraId="36AAA7C2">
      <w:pPr>
        <w:pStyle w:val="2"/>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附件2</w:t>
      </w:r>
    </w:p>
    <w:p w14:paraId="7A15988E">
      <w:pPr>
        <w:spacing w:line="560" w:lineRule="exact"/>
        <w:ind w:left="2840" w:leftChars="200" w:hanging="2200" w:hangingChars="50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color w:val="000000"/>
          <w:sz w:val="44"/>
          <w:szCs w:val="44"/>
          <w:lang w:eastAsia="zh-CN"/>
        </w:rPr>
        <w:t>轨道交通7号线建设工程国有土地上</w:t>
      </w:r>
      <w:r>
        <w:rPr>
          <w:rFonts w:hint="eastAsia" w:ascii="方正小标宋_GBK" w:hAnsi="方正小标宋_GBK" w:eastAsia="方正小标宋_GBK" w:cs="方正小标宋_GBK"/>
          <w:color w:val="000000"/>
          <w:sz w:val="44"/>
          <w:szCs w:val="44"/>
        </w:rPr>
        <w:t>房屋征收项目</w:t>
      </w:r>
      <w:r>
        <w:rPr>
          <w:rFonts w:hint="eastAsia" w:ascii="方正小标宋_GBK" w:hAnsi="方正小标宋_GBK" w:eastAsia="方正小标宋_GBK" w:cs="方正小标宋_GBK"/>
          <w:sz w:val="44"/>
          <w:szCs w:val="44"/>
        </w:rPr>
        <w:t>征收红线图</w:t>
      </w:r>
    </w:p>
    <w:p w14:paraId="4F23CBCD">
      <w:pPr>
        <w:spacing w:line="240" w:lineRule="auto"/>
        <w:ind w:left="0" w:leftChars="0" w:firstLine="0" w:firstLineChars="0"/>
        <w:jc w:val="center"/>
        <w:rPr>
          <w:rFonts w:hint="default" w:ascii="Times New Roman" w:hAnsi="Times New Roman" w:eastAsia="方正黑体_GBK" w:cs="Times New Roman"/>
          <w:sz w:val="32"/>
          <w:szCs w:val="32"/>
          <w:lang w:eastAsia="zh-CN"/>
        </w:rPr>
      </w:pPr>
      <w:r>
        <w:rPr>
          <w:rFonts w:ascii="方正仿宋_GBK" w:hAnsi="方正仿宋_GBK" w:eastAsia="方正仿宋_GBK" w:cs="方正仿宋_GBK"/>
          <w:color w:val="000000"/>
        </w:rPr>
        <w:drawing>
          <wp:inline distT="0" distB="0" distL="114300" distR="114300">
            <wp:extent cx="5473700" cy="6130925"/>
            <wp:effectExtent l="0" t="0" r="12700" b="3175"/>
            <wp:docPr id="4" name="图片 4" descr="QQ20241122-14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20241122-142452"/>
                    <pic:cNvPicPr>
                      <a:picLocks noChangeAspect="1"/>
                    </pic:cNvPicPr>
                  </pic:nvPicPr>
                  <pic:blipFill>
                    <a:blip r:embed="rId9"/>
                    <a:stretch>
                      <a:fillRect/>
                    </a:stretch>
                  </pic:blipFill>
                  <pic:spPr>
                    <a:xfrm>
                      <a:off x="0" y="0"/>
                      <a:ext cx="5473700" cy="6130925"/>
                    </a:xfrm>
                    <a:prstGeom prst="rect">
                      <a:avLst/>
                    </a:prstGeom>
                  </pic:spPr>
                </pic:pic>
              </a:graphicData>
            </a:graphic>
          </wp:inline>
        </w:drawing>
      </w:r>
    </w:p>
    <w:p w14:paraId="5AA4185D">
      <w:pPr>
        <w:pStyle w:val="2"/>
        <w:rPr>
          <w:rFonts w:hint="default"/>
          <w:lang w:eastAsia="zh-CN"/>
        </w:rPr>
      </w:pPr>
    </w:p>
    <w:p w14:paraId="678037DE">
      <w:pPr>
        <w:ind w:left="0" w:leftChars="0" w:firstLine="0" w:firstLineChars="0"/>
        <w:rPr>
          <w:rFonts w:hint="default" w:ascii="Times New Roman" w:hAnsi="Times New Roman" w:cs="Times New Roman"/>
          <w:lang w:eastAsia="zh-CN"/>
        </w:rPr>
      </w:pPr>
      <w:bookmarkStart w:id="21" w:name="_GoBack"/>
      <w:bookmarkEnd w:id="21"/>
    </w:p>
    <w:p w14:paraId="510273DC">
      <w:pPr>
        <w:keepNext w:val="0"/>
        <w:keepLines w:val="0"/>
        <w:pageBreakBefore w:val="0"/>
        <w:widowControl w:val="0"/>
        <w:tabs>
          <w:tab w:val="left" w:pos="200"/>
        </w:tabs>
        <w:kinsoku/>
        <w:wordWrap/>
        <w:overflowPunct/>
        <w:topLinePunct w:val="0"/>
        <w:autoSpaceDE/>
        <w:autoSpaceDN/>
        <w:bidi w:val="0"/>
        <w:adjustRightInd/>
        <w:snapToGrid/>
        <w:spacing w:line="600" w:lineRule="exact"/>
        <w:ind w:left="0" w:leftChars="0" w:firstLine="0" w:firstLineChars="0"/>
        <w:jc w:val="left"/>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eastAsia="方正黑体_GBK" w:cs="Times New Roman"/>
          <w:sz w:val="32"/>
          <w:szCs w:val="32"/>
          <w:lang w:eastAsia="zh-CN"/>
        </w:rPr>
        <w:t>附件</w:t>
      </w:r>
      <w:r>
        <w:rPr>
          <w:rFonts w:hint="default" w:ascii="Times New Roman" w:hAnsi="Times New Roman" w:eastAsia="方正黑体_GBK" w:cs="Times New Roman"/>
          <w:sz w:val="32"/>
          <w:szCs w:val="32"/>
          <w:lang w:val="en-US" w:eastAsia="zh-CN"/>
        </w:rPr>
        <w:t>3</w:t>
      </w:r>
    </w:p>
    <w:p w14:paraId="1ACA291C">
      <w:pPr>
        <w:keepNext w:val="0"/>
        <w:keepLines w:val="0"/>
        <w:pageBreakBefore w:val="0"/>
        <w:widowControl w:val="0"/>
        <w:kinsoku/>
        <w:wordWrap/>
        <w:overflowPunct/>
        <w:topLinePunct w:val="0"/>
        <w:bidi w:val="0"/>
        <w:snapToGrid/>
        <w:spacing w:line="600" w:lineRule="exact"/>
        <w:ind w:left="0" w:leftChars="0" w:firstLine="0" w:firstLineChars="0"/>
        <w:jc w:val="center"/>
        <w:textAlignment w:val="auto"/>
        <w:rPr>
          <w:rFonts w:hint="default" w:ascii="Times New Roman" w:hAnsi="Times New Roman" w:eastAsia="方正小标宋_GBK" w:cs="Times New Roman"/>
          <w:bCs/>
          <w:color w:val="000000"/>
          <w:sz w:val="44"/>
          <w:szCs w:val="44"/>
          <w:lang w:val="en-US" w:eastAsia="zh-CN"/>
        </w:rPr>
      </w:pPr>
    </w:p>
    <w:p w14:paraId="1A41E613">
      <w:pPr>
        <w:keepNext w:val="0"/>
        <w:keepLines w:val="0"/>
        <w:pageBreakBefore w:val="0"/>
        <w:widowControl w:val="0"/>
        <w:kinsoku/>
        <w:wordWrap/>
        <w:overflowPunct/>
        <w:topLinePunct w:val="0"/>
        <w:bidi w:val="0"/>
        <w:snapToGrid/>
        <w:spacing w:line="600" w:lineRule="exact"/>
        <w:ind w:left="0" w:leftChars="0" w:firstLine="0" w:firstLineChars="0"/>
        <w:jc w:val="center"/>
        <w:textAlignment w:val="auto"/>
        <w:rPr>
          <w:rFonts w:hint="default" w:ascii="Times New Roman" w:hAnsi="Times New Roman" w:eastAsia="方正小标宋_GBK" w:cs="Times New Roman"/>
          <w:sz w:val="44"/>
          <w:szCs w:val="44"/>
        </w:rPr>
      </w:pPr>
      <w:r>
        <w:rPr>
          <w:rFonts w:hint="eastAsia" w:eastAsia="方正小标宋_GBK" w:cs="Times New Roman"/>
          <w:sz w:val="44"/>
          <w:szCs w:val="44"/>
          <w:lang w:eastAsia="zh-CN"/>
        </w:rPr>
        <w:t>轨道交通</w:t>
      </w:r>
      <w:r>
        <w:rPr>
          <w:rFonts w:hint="eastAsia" w:eastAsia="方正小标宋_GBK" w:cs="Times New Roman"/>
          <w:sz w:val="44"/>
          <w:szCs w:val="44"/>
          <w:lang w:val="en-US" w:eastAsia="zh-CN"/>
        </w:rPr>
        <w:t>7号线建设工程</w:t>
      </w:r>
      <w:r>
        <w:rPr>
          <w:rFonts w:hint="default" w:ascii="Times New Roman" w:hAnsi="Times New Roman" w:eastAsia="方正小标宋_GBK" w:cs="Times New Roman"/>
          <w:sz w:val="44"/>
          <w:szCs w:val="44"/>
        </w:rPr>
        <w:t>国有土地上</w:t>
      </w:r>
    </w:p>
    <w:p w14:paraId="449B32DF">
      <w:pPr>
        <w:keepNext w:val="0"/>
        <w:keepLines w:val="0"/>
        <w:pageBreakBefore w:val="0"/>
        <w:widowControl w:val="0"/>
        <w:kinsoku/>
        <w:wordWrap/>
        <w:overflowPunct/>
        <w:topLinePunct w:val="0"/>
        <w:bidi w:val="0"/>
        <w:snapToGrid/>
        <w:spacing w:line="600" w:lineRule="exact"/>
        <w:ind w:left="0" w:leftChars="0" w:firstLine="0" w:firstLineChars="0"/>
        <w:jc w:val="center"/>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小标宋_GBK" w:cs="Times New Roman"/>
          <w:sz w:val="44"/>
          <w:szCs w:val="44"/>
        </w:rPr>
        <w:t>房屋征</w:t>
      </w:r>
      <w:r>
        <w:rPr>
          <w:rFonts w:hint="default" w:ascii="Times New Roman" w:hAnsi="Times New Roman" w:eastAsia="方正小标宋_GBK" w:cs="Times New Roman"/>
          <w:sz w:val="44"/>
          <w:szCs w:val="44"/>
          <w:lang w:val="en-US" w:eastAsia="zh-CN"/>
        </w:rPr>
        <w:t>收</w:t>
      </w:r>
      <w:r>
        <w:rPr>
          <w:rFonts w:hint="default" w:ascii="Times New Roman" w:hAnsi="Times New Roman" w:eastAsia="方正小标宋_GBK" w:cs="Times New Roman"/>
          <w:sz w:val="44"/>
          <w:szCs w:val="44"/>
        </w:rPr>
        <w:t>补偿方案</w:t>
      </w:r>
    </w:p>
    <w:p w14:paraId="274AC210">
      <w:pPr>
        <w:pStyle w:val="2"/>
        <w:keepNext w:val="0"/>
        <w:keepLines w:val="0"/>
        <w:pageBreakBefore w:val="0"/>
        <w:kinsoku/>
        <w:overflowPunct/>
        <w:topLinePunct w:val="0"/>
        <w:bidi w:val="0"/>
        <w:snapToGrid/>
        <w:spacing w:line="600" w:lineRule="exact"/>
        <w:textAlignment w:val="auto"/>
        <w:rPr>
          <w:rFonts w:hint="default" w:ascii="Times New Roman" w:hAnsi="Times New Roman" w:eastAsia="方正仿宋_GBK" w:cs="Times New Roman"/>
          <w:sz w:val="32"/>
          <w:szCs w:val="32"/>
          <w:lang w:eastAsia="zh-CN"/>
        </w:rPr>
      </w:pPr>
    </w:p>
    <w:p w14:paraId="1E84D4A0">
      <w:pPr>
        <w:keepNext w:val="0"/>
        <w:keepLines w:val="0"/>
        <w:pageBreakBefore w:val="0"/>
        <w:widowControl w:val="0"/>
        <w:kinsoku/>
        <w:wordWrap/>
        <w:overflowPunct/>
        <w:topLinePunct w:val="0"/>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44"/>
          <w:szCs w:val="44"/>
        </w:rPr>
      </w:pPr>
      <w:r>
        <w:rPr>
          <w:rFonts w:hint="default" w:ascii="Times New Roman" w:hAnsi="Times New Roman" w:eastAsia="方正仿宋_GBK" w:cs="Times New Roman"/>
          <w:color w:val="000000"/>
          <w:sz w:val="32"/>
          <w:szCs w:val="32"/>
        </w:rPr>
        <w:t>为维护公共利益，保障被征收人的合法权益</w:t>
      </w:r>
      <w:r>
        <w:rPr>
          <w:rFonts w:hint="default" w:ascii="Times New Roman" w:hAnsi="Times New Roman" w:eastAsia="方正仿宋_GBK" w:cs="Times New Roman"/>
          <w:color w:val="000000" w:themeColor="text1"/>
          <w:sz w:val="32"/>
          <w:szCs w:val="32"/>
          <w14:textFill>
            <w14:solidFill>
              <w14:schemeClr w14:val="tx1"/>
            </w14:solidFill>
          </w14:textFill>
        </w:rPr>
        <w:t>，根据《国有土地上房屋征收与补偿条例》《重庆市</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国有土地上房屋征收与补偿条例</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等</w:t>
      </w:r>
      <w:r>
        <w:rPr>
          <w:rFonts w:hint="default" w:ascii="Times New Roman" w:hAnsi="Times New Roman" w:eastAsia="方正仿宋_GBK" w:cs="Times New Roman"/>
          <w:color w:val="000000" w:themeColor="text1"/>
          <w:sz w:val="32"/>
          <w:szCs w:val="32"/>
          <w14:textFill>
            <w14:solidFill>
              <w14:schemeClr w14:val="tx1"/>
            </w14:solidFill>
          </w14:textFill>
        </w:rPr>
        <w:t>规定，</w:t>
      </w:r>
      <w:r>
        <w:rPr>
          <w:rFonts w:hint="default" w:ascii="Times New Roman" w:hAnsi="Times New Roman" w:eastAsia="方正仿宋_GBK" w:cs="Times New Roman"/>
          <w:color w:val="000000"/>
          <w:sz w:val="32"/>
          <w:szCs w:val="32"/>
        </w:rPr>
        <w:t>结合该片区实际情况，特制定《</w:t>
      </w:r>
      <w:r>
        <w:rPr>
          <w:rFonts w:hint="eastAsia" w:eastAsia="方正仿宋_GBK" w:cs="Times New Roman"/>
          <w:color w:val="000000"/>
          <w:sz w:val="32"/>
          <w:szCs w:val="32"/>
          <w:lang w:eastAsia="zh-CN"/>
        </w:rPr>
        <w:t>轨道交通</w:t>
      </w:r>
      <w:r>
        <w:rPr>
          <w:rFonts w:hint="eastAsia" w:eastAsia="方正仿宋_GBK" w:cs="Times New Roman"/>
          <w:color w:val="000000"/>
          <w:sz w:val="32"/>
          <w:szCs w:val="32"/>
          <w:lang w:val="en-US" w:eastAsia="zh-CN"/>
        </w:rPr>
        <w:t>7号线建设工程</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国</w:t>
      </w:r>
      <w:r>
        <w:rPr>
          <w:rFonts w:hint="default" w:ascii="Times New Roman" w:hAnsi="Times New Roman" w:eastAsia="方正仿宋_GBK" w:cs="Times New Roman"/>
          <w:sz w:val="32"/>
          <w:szCs w:val="32"/>
          <w:lang w:val="en-US" w:eastAsia="zh-CN"/>
        </w:rPr>
        <w:t>有土地上房屋征收补偿方案</w:t>
      </w:r>
      <w:r>
        <w:rPr>
          <w:rFonts w:hint="default" w:ascii="Times New Roman" w:hAnsi="Times New Roman" w:eastAsia="方正仿宋_GBK" w:cs="Times New Roman"/>
          <w:color w:val="000000"/>
          <w:sz w:val="32"/>
          <w:szCs w:val="32"/>
        </w:rPr>
        <w:t>》如下：</w:t>
      </w:r>
    </w:p>
    <w:p w14:paraId="1DCBAB00">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一、征收范围、面积、户数及签约期限</w:t>
      </w:r>
    </w:p>
    <w:p w14:paraId="600862DE">
      <w:pPr>
        <w:keepNext w:val="0"/>
        <w:keepLines w:val="0"/>
        <w:pageBreakBefore w:val="0"/>
        <w:kinsoku/>
        <w:wordWrap/>
        <w:overflowPunct/>
        <w:topLinePunct w:val="0"/>
        <w:bidi w:val="0"/>
        <w:snapToGrid/>
        <w:spacing w:line="600" w:lineRule="exact"/>
        <w:ind w:firstLine="63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000000"/>
          <w:sz w:val="32"/>
          <w:szCs w:val="32"/>
        </w:rPr>
        <w:t>（一）征收范围：</w:t>
      </w:r>
      <w:r>
        <w:rPr>
          <w:rFonts w:hint="default" w:ascii="Times New Roman" w:hAnsi="Times New Roman" w:eastAsia="方正仿宋_GBK" w:cs="Times New Roman"/>
          <w:color w:val="000000"/>
          <w:sz w:val="32"/>
          <w:szCs w:val="32"/>
          <w:lang w:val="en-US" w:eastAsia="zh-CN"/>
        </w:rPr>
        <w:t>九龙坡区</w:t>
      </w:r>
      <w:r>
        <w:rPr>
          <w:rFonts w:hint="eastAsia" w:ascii="Times New Roman" w:hAnsi="Times New Roman" w:eastAsia="方正仿宋_GBK" w:cs="Times New Roman"/>
          <w:bCs/>
          <w:sz w:val="32"/>
          <w:szCs w:val="32"/>
          <w:lang w:eastAsia="zh-CN"/>
        </w:rPr>
        <w:t>金凤镇九凤村</w:t>
      </w:r>
      <w:r>
        <w:rPr>
          <w:rFonts w:hint="eastAsia" w:ascii="Times New Roman" w:hAnsi="Times New Roman" w:eastAsia="方正仿宋_GBK" w:cs="Times New Roman"/>
          <w:bCs/>
          <w:sz w:val="32"/>
          <w:szCs w:val="32"/>
          <w:lang w:val="en-US" w:eastAsia="zh-CN"/>
        </w:rPr>
        <w:t>4社</w:t>
      </w:r>
      <w:r>
        <w:rPr>
          <w:rFonts w:hint="default" w:ascii="Times New Roman" w:hAnsi="Times New Roman" w:eastAsia="方正仿宋_GBK" w:cs="Times New Roman"/>
          <w:color w:val="000000"/>
          <w:sz w:val="32"/>
          <w:szCs w:val="32"/>
          <w:lang w:val="en-US" w:eastAsia="zh-CN"/>
        </w:rPr>
        <w:t>征收范围内的</w:t>
      </w:r>
      <w:r>
        <w:rPr>
          <w:rFonts w:hint="default" w:ascii="Times New Roman" w:hAnsi="Times New Roman" w:eastAsia="方正仿宋_GBK" w:cs="Times New Roman"/>
          <w:sz w:val="32"/>
          <w:szCs w:val="32"/>
        </w:rPr>
        <w:t>房屋</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kern w:val="0"/>
          <w:sz w:val="32"/>
          <w:szCs w:val="32"/>
        </w:rPr>
        <w:t>以及</w:t>
      </w:r>
      <w:r>
        <w:rPr>
          <w:rFonts w:hint="default" w:ascii="Times New Roman" w:hAnsi="Times New Roman" w:eastAsia="方正仿宋_GBK" w:cs="Times New Roman"/>
          <w:sz w:val="32"/>
          <w:szCs w:val="32"/>
        </w:rPr>
        <w:t>其他附属物，征收范围内的国有土地使用权一并收回。</w:t>
      </w:r>
    </w:p>
    <w:p w14:paraId="2D8FC173">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（二）征收面积：有证房屋建筑面积</w:t>
      </w:r>
      <w:r>
        <w:rPr>
          <w:rFonts w:hint="eastAsia" w:eastAsia="方正仿宋_GBK" w:cs="Times New Roman"/>
          <w:color w:val="000000"/>
          <w:sz w:val="32"/>
          <w:szCs w:val="32"/>
          <w:lang w:val="en-US" w:eastAsia="zh-CN"/>
        </w:rPr>
        <w:t>862.73</w:t>
      </w:r>
      <w:r>
        <w:rPr>
          <w:rFonts w:hint="default" w:ascii="Times New Roman" w:hAnsi="Times New Roman" w:eastAsia="方正仿宋_GBK" w:cs="Times New Roman"/>
          <w:color w:val="000000"/>
          <w:sz w:val="32"/>
          <w:szCs w:val="32"/>
          <w:lang w:eastAsia="zh-CN"/>
        </w:rPr>
        <w:t>平方米</w:t>
      </w:r>
      <w:r>
        <w:rPr>
          <w:rFonts w:hint="default" w:ascii="Times New Roman" w:hAnsi="Times New Roman" w:eastAsia="方正仿宋_GBK" w:cs="Times New Roman"/>
          <w:sz w:val="32"/>
          <w:szCs w:val="32"/>
        </w:rPr>
        <w:t>。</w:t>
      </w:r>
    </w:p>
    <w:p w14:paraId="17ED8055">
      <w:pPr>
        <w:keepNext w:val="0"/>
        <w:keepLines w:val="0"/>
        <w:pageBreakBefore w:val="0"/>
        <w:widowControl w:val="0"/>
        <w:kinsoku/>
        <w:wordWrap/>
        <w:overflowPunct/>
        <w:topLinePunct w:val="0"/>
        <w:autoSpaceDN/>
        <w:bidi w:val="0"/>
        <w:adjustRightInd/>
        <w:snapToGrid/>
        <w:spacing w:line="600" w:lineRule="exact"/>
        <w:ind w:left="6"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（三）征收户数：非住宅共</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sz w:val="32"/>
          <w:szCs w:val="32"/>
        </w:rPr>
        <w:t>户。</w:t>
      </w:r>
    </w:p>
    <w:p w14:paraId="13F5EF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sz w:val="32"/>
          <w:szCs w:val="32"/>
        </w:rPr>
        <w:t>（四）</w:t>
      </w:r>
      <w:r>
        <w:rPr>
          <w:rFonts w:hint="default" w:ascii="Times New Roman" w:hAnsi="Times New Roman" w:eastAsia="方正仿宋_GBK" w:cs="Times New Roman"/>
          <w:color w:val="000000"/>
          <w:sz w:val="32"/>
          <w:szCs w:val="32"/>
          <w:lang w:val="en-US" w:eastAsia="zh-CN"/>
        </w:rPr>
        <w:t>签约时间及</w:t>
      </w:r>
      <w:r>
        <w:rPr>
          <w:rFonts w:hint="default" w:ascii="Times New Roman" w:hAnsi="Times New Roman" w:eastAsia="方正仿宋_GBK" w:cs="Times New Roman"/>
          <w:color w:val="000000"/>
          <w:sz w:val="32"/>
          <w:szCs w:val="32"/>
        </w:rPr>
        <w:t>期限：以重庆高新</w:t>
      </w:r>
      <w:r>
        <w:rPr>
          <w:rFonts w:hint="default" w:ascii="Times New Roman" w:hAnsi="Times New Roman" w:eastAsia="方正仿宋_GBK" w:cs="Times New Roman"/>
          <w:color w:val="000000"/>
          <w:sz w:val="32"/>
          <w:szCs w:val="32"/>
          <w:lang w:val="en-US" w:eastAsia="zh-CN"/>
        </w:rPr>
        <w:t>技术产业开发</w:t>
      </w:r>
      <w:r>
        <w:rPr>
          <w:rFonts w:hint="default" w:ascii="Times New Roman" w:hAnsi="Times New Roman" w:eastAsia="方正仿宋_GBK" w:cs="Times New Roman"/>
          <w:color w:val="000000"/>
          <w:sz w:val="32"/>
          <w:szCs w:val="32"/>
        </w:rPr>
        <w:t>区管</w:t>
      </w:r>
      <w:r>
        <w:rPr>
          <w:rFonts w:hint="default" w:ascii="Times New Roman" w:hAnsi="Times New Roman" w:eastAsia="方正仿宋_GBK" w:cs="Times New Roman"/>
          <w:color w:val="000000"/>
          <w:sz w:val="32"/>
          <w:szCs w:val="32"/>
          <w:lang w:val="en-US" w:eastAsia="zh-CN"/>
        </w:rPr>
        <w:t>理</w:t>
      </w:r>
      <w:r>
        <w:rPr>
          <w:rFonts w:hint="default" w:ascii="Times New Roman" w:hAnsi="Times New Roman" w:eastAsia="方正仿宋_GBK" w:cs="Times New Roman"/>
          <w:color w:val="000000"/>
          <w:sz w:val="32"/>
          <w:szCs w:val="32"/>
        </w:rPr>
        <w:t>委</w:t>
      </w:r>
      <w:r>
        <w:rPr>
          <w:rFonts w:hint="default" w:ascii="Times New Roman" w:hAnsi="Times New Roman" w:eastAsia="方正仿宋_GBK" w:cs="Times New Roman"/>
          <w:color w:val="000000"/>
          <w:sz w:val="32"/>
          <w:szCs w:val="32"/>
          <w:lang w:val="en-US" w:eastAsia="zh-CN"/>
        </w:rPr>
        <w:t>员</w:t>
      </w:r>
      <w:r>
        <w:rPr>
          <w:rFonts w:hint="default" w:ascii="Times New Roman" w:hAnsi="Times New Roman" w:eastAsia="方正仿宋_GBK" w:cs="Times New Roman"/>
          <w:color w:val="000000"/>
          <w:sz w:val="32"/>
          <w:szCs w:val="32"/>
        </w:rPr>
        <w:t>会</w:t>
      </w:r>
      <w:r>
        <w:rPr>
          <w:rFonts w:hint="default" w:ascii="Times New Roman" w:hAnsi="Times New Roman" w:eastAsia="方正仿宋_GBK" w:cs="Times New Roman"/>
          <w:color w:val="000000"/>
          <w:sz w:val="32"/>
          <w:szCs w:val="32"/>
          <w:lang w:val="en-US" w:eastAsia="zh-CN"/>
        </w:rPr>
        <w:t>发布</w:t>
      </w:r>
      <w:r>
        <w:rPr>
          <w:rFonts w:hint="default" w:ascii="Times New Roman" w:hAnsi="Times New Roman" w:eastAsia="方正仿宋_GBK" w:cs="Times New Roman"/>
          <w:color w:val="000000"/>
          <w:sz w:val="32"/>
          <w:szCs w:val="32"/>
        </w:rPr>
        <w:t>的房屋征收公告为准。</w:t>
      </w:r>
    </w:p>
    <w:p w14:paraId="5B954A34">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二、</w:t>
      </w:r>
      <w:r>
        <w:rPr>
          <w:rFonts w:hint="default" w:ascii="Times New Roman" w:hAnsi="Times New Roman" w:eastAsia="方正黑体_GBK" w:cs="Times New Roman"/>
          <w:color w:val="000000"/>
          <w:sz w:val="32"/>
          <w:szCs w:val="32"/>
          <w:lang w:val="en-US" w:eastAsia="zh-CN"/>
        </w:rPr>
        <w:t>房屋征收部门、房屋</w:t>
      </w:r>
      <w:r>
        <w:rPr>
          <w:rFonts w:hint="default" w:ascii="Times New Roman" w:hAnsi="Times New Roman" w:eastAsia="方正黑体_GBK" w:cs="Times New Roman"/>
          <w:color w:val="000000"/>
          <w:sz w:val="32"/>
          <w:szCs w:val="32"/>
        </w:rPr>
        <w:t>征收实施</w:t>
      </w:r>
      <w:r>
        <w:rPr>
          <w:rFonts w:hint="default" w:ascii="Times New Roman" w:hAnsi="Times New Roman" w:eastAsia="方正黑体_GBK" w:cs="Times New Roman"/>
          <w:color w:val="000000"/>
          <w:sz w:val="32"/>
          <w:szCs w:val="32"/>
          <w:lang w:val="en-US" w:eastAsia="zh-CN"/>
        </w:rPr>
        <w:t>机构</w:t>
      </w:r>
      <w:r>
        <w:rPr>
          <w:rFonts w:hint="default" w:ascii="Times New Roman" w:hAnsi="Times New Roman" w:eastAsia="方正黑体_GBK" w:cs="Times New Roman"/>
          <w:color w:val="000000"/>
          <w:sz w:val="32"/>
          <w:szCs w:val="32"/>
        </w:rPr>
        <w:t>和</w:t>
      </w:r>
      <w:r>
        <w:rPr>
          <w:rFonts w:hint="default" w:ascii="Times New Roman" w:hAnsi="Times New Roman" w:eastAsia="方正黑体_GBK" w:cs="Times New Roman"/>
          <w:color w:val="000000"/>
          <w:sz w:val="32"/>
          <w:szCs w:val="32"/>
          <w:lang w:val="en-US" w:eastAsia="zh-CN"/>
        </w:rPr>
        <w:t>评估</w:t>
      </w:r>
      <w:r>
        <w:rPr>
          <w:rFonts w:hint="default" w:ascii="Times New Roman" w:hAnsi="Times New Roman" w:eastAsia="方正黑体_GBK" w:cs="Times New Roman"/>
          <w:color w:val="000000"/>
          <w:sz w:val="32"/>
          <w:szCs w:val="32"/>
        </w:rPr>
        <w:t>机构</w:t>
      </w:r>
    </w:p>
    <w:p w14:paraId="73BA0C51">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color w:val="000000"/>
          <w:sz w:val="32"/>
          <w:szCs w:val="32"/>
        </w:rPr>
        <w:t>（一）该项目房屋征收</w:t>
      </w:r>
      <w:r>
        <w:rPr>
          <w:rFonts w:hint="default" w:ascii="Times New Roman" w:hAnsi="Times New Roman" w:eastAsia="方正仿宋_GBK" w:cs="Times New Roman"/>
          <w:color w:val="000000"/>
          <w:sz w:val="32"/>
          <w:szCs w:val="32"/>
          <w:lang w:val="en-US" w:eastAsia="zh-CN"/>
        </w:rPr>
        <w:t>部门</w:t>
      </w:r>
      <w:r>
        <w:rPr>
          <w:rFonts w:hint="default" w:ascii="Times New Roman" w:hAnsi="Times New Roman" w:eastAsia="方正仿宋_GBK" w:cs="Times New Roman"/>
          <w:color w:val="000000"/>
          <w:sz w:val="32"/>
          <w:szCs w:val="32"/>
        </w:rPr>
        <w:t>为重庆高新</w:t>
      </w:r>
      <w:r>
        <w:rPr>
          <w:rFonts w:hint="default" w:ascii="Times New Roman" w:hAnsi="Times New Roman" w:eastAsia="方正仿宋_GBK" w:cs="Times New Roman"/>
          <w:color w:val="000000"/>
          <w:sz w:val="32"/>
          <w:szCs w:val="32"/>
          <w:lang w:val="en-US" w:eastAsia="zh-CN"/>
        </w:rPr>
        <w:t>技术产业开发</w:t>
      </w:r>
      <w:r>
        <w:rPr>
          <w:rFonts w:hint="default" w:ascii="Times New Roman" w:hAnsi="Times New Roman" w:eastAsia="方正仿宋_GBK" w:cs="Times New Roman"/>
          <w:color w:val="000000"/>
          <w:sz w:val="32"/>
          <w:szCs w:val="32"/>
        </w:rPr>
        <w:t>区</w:t>
      </w:r>
      <w:r>
        <w:rPr>
          <w:rFonts w:hint="default" w:ascii="Times New Roman" w:hAnsi="Times New Roman" w:eastAsia="方正仿宋_GBK" w:cs="Times New Roman"/>
          <w:color w:val="000000"/>
          <w:sz w:val="32"/>
          <w:szCs w:val="32"/>
          <w:lang w:val="en-US" w:eastAsia="zh-CN"/>
        </w:rPr>
        <w:t>管理委员会</w:t>
      </w:r>
      <w:r>
        <w:rPr>
          <w:rFonts w:hint="default" w:ascii="Times New Roman" w:hAnsi="Times New Roman" w:eastAsia="方正仿宋_GBK" w:cs="Times New Roman"/>
          <w:color w:val="000000"/>
          <w:sz w:val="32"/>
          <w:szCs w:val="32"/>
        </w:rPr>
        <w:t>建设局，</w:t>
      </w:r>
      <w:r>
        <w:rPr>
          <w:rFonts w:hint="default" w:ascii="Times New Roman" w:hAnsi="Times New Roman" w:eastAsia="方正仿宋_GBK" w:cs="Times New Roman"/>
          <w:color w:val="000000"/>
          <w:sz w:val="32"/>
          <w:szCs w:val="32"/>
          <w:lang w:val="en-US" w:eastAsia="zh-CN"/>
        </w:rPr>
        <w:t>房屋征收</w:t>
      </w:r>
      <w:r>
        <w:rPr>
          <w:rFonts w:hint="default" w:ascii="Times New Roman" w:hAnsi="Times New Roman" w:eastAsia="方正仿宋_GBK" w:cs="Times New Roman"/>
          <w:sz w:val="32"/>
          <w:szCs w:val="32"/>
          <w:lang w:val="en-US" w:eastAsia="zh-CN"/>
        </w:rPr>
        <w:t>实施机构为</w:t>
      </w:r>
      <w:r>
        <w:rPr>
          <w:rFonts w:hint="default" w:ascii="Times New Roman" w:hAnsi="Times New Roman" w:eastAsia="方正仿宋_GBK" w:cs="Times New Roman"/>
          <w:color w:val="000000"/>
          <w:sz w:val="32"/>
          <w:szCs w:val="32"/>
        </w:rPr>
        <w:t>重庆高新</w:t>
      </w:r>
      <w:r>
        <w:rPr>
          <w:rFonts w:hint="default" w:ascii="Times New Roman" w:hAnsi="Times New Roman" w:eastAsia="方正仿宋_GBK" w:cs="Times New Roman"/>
          <w:color w:val="000000"/>
          <w:sz w:val="32"/>
          <w:szCs w:val="32"/>
          <w:lang w:val="en-US" w:eastAsia="zh-CN"/>
        </w:rPr>
        <w:t>技术产业开发</w:t>
      </w:r>
      <w:r>
        <w:rPr>
          <w:rFonts w:hint="default" w:ascii="Times New Roman" w:hAnsi="Times New Roman" w:eastAsia="方正仿宋_GBK" w:cs="Times New Roman"/>
          <w:color w:val="000000"/>
          <w:sz w:val="32"/>
          <w:szCs w:val="32"/>
        </w:rPr>
        <w:t>区土地利用事务中心</w:t>
      </w:r>
      <w:r>
        <w:rPr>
          <w:rFonts w:hint="default" w:ascii="Times New Roman" w:hAnsi="Times New Roman" w:eastAsia="方正仿宋_GBK" w:cs="Times New Roman"/>
          <w:sz w:val="32"/>
          <w:szCs w:val="32"/>
        </w:rPr>
        <w:t>。</w:t>
      </w:r>
    </w:p>
    <w:p w14:paraId="36935AFA">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（二）该项目国有土地上房屋征收评估工作，由依照法定程序确定的</w:t>
      </w:r>
      <w:r>
        <w:rPr>
          <w:rFonts w:hint="default" w:ascii="Times New Roman" w:hAnsi="Times New Roman" w:eastAsia="方正仿宋_GBK" w:cs="Times New Roman"/>
          <w:sz w:val="32"/>
          <w:szCs w:val="32"/>
          <w:lang w:val="en-US" w:eastAsia="zh-CN"/>
        </w:rPr>
        <w:t>重庆同诚房地产土地资产评估有限</w:t>
      </w:r>
      <w:r>
        <w:rPr>
          <w:rFonts w:hint="eastAsia" w:eastAsia="方正仿宋_GBK" w:cs="Times New Roman"/>
          <w:sz w:val="32"/>
          <w:szCs w:val="32"/>
          <w:lang w:val="en-US" w:eastAsia="zh-CN"/>
        </w:rPr>
        <w:t>公司</w:t>
      </w:r>
      <w:r>
        <w:rPr>
          <w:rFonts w:hint="default" w:ascii="Times New Roman" w:hAnsi="Times New Roman" w:eastAsia="方正仿宋_GBK" w:cs="Times New Roman"/>
          <w:color w:val="000000"/>
          <w:sz w:val="32"/>
          <w:szCs w:val="32"/>
        </w:rPr>
        <w:t>承担。</w:t>
      </w:r>
    </w:p>
    <w:p w14:paraId="53585620">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三、征收补偿政策依据</w:t>
      </w:r>
    </w:p>
    <w:p w14:paraId="523E1991">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（一）《国有土地上房屋征收与补偿条例》；</w:t>
      </w:r>
    </w:p>
    <w:p w14:paraId="12C8A5FD">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《重庆市</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国有土地上房屋征收与补偿条例</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p>
    <w:p w14:paraId="304AF13E">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方正仿宋_GBK" w:cs="Times New Roman"/>
          <w:color w:val="000000" w:themeColor="text1"/>
          <w:sz w:val="32"/>
          <w:szCs w:val="32"/>
          <w14:textFill>
            <w14:solidFill>
              <w14:schemeClr w14:val="tx1"/>
            </w14:solidFill>
          </w14:textFill>
        </w:rPr>
        <w:t>）《重庆市国有土地上房屋征收与补偿</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条例实施细则</w:t>
      </w:r>
      <w:r>
        <w:rPr>
          <w:rFonts w:hint="default" w:ascii="Times New Roman" w:hAnsi="Times New Roman" w:eastAsia="方正仿宋_GBK" w:cs="Times New Roman"/>
          <w:color w:val="000000" w:themeColor="text1"/>
          <w:sz w:val="32"/>
          <w:szCs w:val="32"/>
          <w14:textFill>
            <w14:solidFill>
              <w14:schemeClr w14:val="tx1"/>
            </w14:solidFill>
          </w14:textFill>
        </w:rPr>
        <w:t>》（渝</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府</w:t>
      </w:r>
      <w:r>
        <w:rPr>
          <w:rFonts w:hint="default" w:ascii="Times New Roman" w:hAnsi="Times New Roman" w:eastAsia="方正仿宋_GBK" w:cs="Times New Roman"/>
          <w:color w:val="000000" w:themeColor="text1"/>
          <w:sz w:val="32"/>
          <w:szCs w:val="32"/>
          <w14:textFill>
            <w14:solidFill>
              <w14:schemeClr w14:val="tx1"/>
            </w14:solidFill>
          </w14:textFill>
        </w:rPr>
        <w:t>发〔20</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22</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26</w:t>
      </w:r>
      <w:r>
        <w:rPr>
          <w:rFonts w:hint="default" w:ascii="Times New Roman" w:hAnsi="Times New Roman" w:eastAsia="方正仿宋_GBK" w:cs="Times New Roman"/>
          <w:color w:val="000000" w:themeColor="text1"/>
          <w:sz w:val="32"/>
          <w:szCs w:val="32"/>
          <w14:textFill>
            <w14:solidFill>
              <w14:schemeClr w14:val="tx1"/>
            </w14:solidFill>
          </w14:textFill>
        </w:rPr>
        <w:t>号）；</w:t>
      </w:r>
    </w:p>
    <w:p w14:paraId="0AF554AB">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方正仿宋_GBK" w:cs="Times New Roman"/>
          <w:color w:val="000000" w:themeColor="text1"/>
          <w:sz w:val="32"/>
          <w:szCs w:val="32"/>
          <w14:textFill>
            <w14:solidFill>
              <w14:schemeClr w14:val="tx1"/>
            </w14:solidFill>
          </w14:textFill>
        </w:rPr>
        <w:t>）《重庆高新</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技术产业开发</w:t>
      </w:r>
      <w:r>
        <w:rPr>
          <w:rFonts w:hint="default" w:ascii="Times New Roman" w:hAnsi="Times New Roman" w:eastAsia="方正仿宋_GBK" w:cs="Times New Roman"/>
          <w:color w:val="000000" w:themeColor="text1"/>
          <w:sz w:val="32"/>
          <w:szCs w:val="32"/>
          <w14:textFill>
            <w14:solidFill>
              <w14:schemeClr w14:val="tx1"/>
            </w14:solidFill>
          </w14:textFill>
        </w:rPr>
        <w:t>区国有土地上房屋征收与补偿实施</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办法</w:t>
      </w:r>
      <w:r>
        <w:rPr>
          <w:rFonts w:hint="default" w:ascii="Times New Roman" w:hAnsi="Times New Roman" w:eastAsia="方正仿宋_GBK" w:cs="Times New Roman"/>
          <w:color w:val="000000" w:themeColor="text1"/>
          <w:sz w:val="32"/>
          <w:szCs w:val="32"/>
          <w14:textFill>
            <w14:solidFill>
              <w14:schemeClr w14:val="tx1"/>
            </w14:solidFill>
          </w14:textFill>
        </w:rPr>
        <w:t>》（渝高新发〔202</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12</w:t>
      </w:r>
      <w:r>
        <w:rPr>
          <w:rFonts w:hint="default" w:ascii="Times New Roman" w:hAnsi="Times New Roman" w:eastAsia="方正仿宋_GBK" w:cs="Times New Roman"/>
          <w:color w:val="000000" w:themeColor="text1"/>
          <w:sz w:val="32"/>
          <w:szCs w:val="32"/>
          <w14:textFill>
            <w14:solidFill>
              <w14:schemeClr w14:val="tx1"/>
            </w14:solidFill>
          </w14:textFill>
        </w:rPr>
        <w:t>号）；</w:t>
      </w:r>
    </w:p>
    <w:p w14:paraId="7AA29B35">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color w:val="000000"/>
          <w:sz w:val="32"/>
          <w:szCs w:val="32"/>
          <w:lang w:val="en-US" w:eastAsia="zh-CN"/>
        </w:rPr>
        <w:t>五</w:t>
      </w:r>
      <w:r>
        <w:rPr>
          <w:rFonts w:hint="default" w:ascii="Times New Roman" w:hAnsi="Times New Roman" w:eastAsia="方正仿宋_GBK" w:cs="Times New Roman"/>
          <w:color w:val="000000"/>
          <w:sz w:val="32"/>
          <w:szCs w:val="32"/>
        </w:rPr>
        <w:t>）国家相关法律法规和重庆市、重庆高新区相关配套政策文件。</w:t>
      </w:r>
    </w:p>
    <w:p w14:paraId="2F530DF6">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四、征收补偿原则</w:t>
      </w:r>
    </w:p>
    <w:p w14:paraId="14625F37">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决策民主、程序正当、结果公开、</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公平合理、及时补偿的原则</w:t>
      </w:r>
      <w:r>
        <w:rPr>
          <w:rFonts w:hint="default" w:ascii="Times New Roman" w:hAnsi="Times New Roman" w:eastAsia="方正仿宋_GBK" w:cs="Times New Roman"/>
          <w:color w:val="000000" w:themeColor="text1"/>
          <w:sz w:val="32"/>
          <w:szCs w:val="32"/>
          <w14:textFill>
            <w14:solidFill>
              <w14:schemeClr w14:val="tx1"/>
            </w14:solidFill>
          </w14:textFill>
        </w:rPr>
        <w:t>。</w:t>
      </w:r>
    </w:p>
    <w:p w14:paraId="69C711E9">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黑体_GBK" w:cs="Times New Roman"/>
          <w:color w:val="000000"/>
          <w:sz w:val="32"/>
          <w:szCs w:val="32"/>
          <w:u w:val="none"/>
        </w:rPr>
      </w:pPr>
      <w:r>
        <w:rPr>
          <w:rFonts w:hint="default" w:ascii="Times New Roman" w:hAnsi="Times New Roman" w:eastAsia="方正黑体_GBK" w:cs="Times New Roman"/>
          <w:color w:val="000000"/>
          <w:sz w:val="32"/>
          <w:szCs w:val="32"/>
          <w:u w:val="none"/>
        </w:rPr>
        <w:t>五、征收补偿对象</w:t>
      </w:r>
    </w:p>
    <w:p w14:paraId="000429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eastAsia="方正仿宋_GBK" w:cs="Times New Roman"/>
          <w:color w:val="000000"/>
          <w:sz w:val="32"/>
          <w:szCs w:val="32"/>
          <w:lang w:eastAsia="zh-CN"/>
        </w:rPr>
        <w:t>轨道交通</w:t>
      </w:r>
      <w:r>
        <w:rPr>
          <w:rFonts w:hint="eastAsia" w:eastAsia="方正仿宋_GBK" w:cs="Times New Roman"/>
          <w:color w:val="000000"/>
          <w:sz w:val="32"/>
          <w:szCs w:val="32"/>
          <w:lang w:val="en-US" w:eastAsia="zh-CN"/>
        </w:rPr>
        <w:t>7号线建设工程</w:t>
      </w:r>
      <w:r>
        <w:rPr>
          <w:rFonts w:hint="default" w:ascii="Times New Roman" w:hAnsi="Times New Roman" w:eastAsia="方正仿宋_GBK" w:cs="Times New Roman"/>
          <w:color w:val="000000"/>
          <w:sz w:val="32"/>
          <w:szCs w:val="32"/>
        </w:rPr>
        <w:t>国有土地上房屋征收项目</w:t>
      </w:r>
      <w:r>
        <w:rPr>
          <w:rFonts w:hint="default" w:ascii="Times New Roman" w:hAnsi="Times New Roman" w:eastAsia="方正仿宋_GBK" w:cs="Times New Roman"/>
          <w:sz w:val="32"/>
          <w:szCs w:val="32"/>
        </w:rPr>
        <w:t>征收范围内持有房屋所有权证和国有土地使用权证（或房地产权证、不动产权证）的房屋所有权人。</w:t>
      </w:r>
    </w:p>
    <w:p w14:paraId="08278B51">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六、征收补偿方式</w:t>
      </w:r>
    </w:p>
    <w:p w14:paraId="522B584C">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被征收人可以选择货币补偿，也可以选择房屋产权调换。</w:t>
      </w:r>
    </w:p>
    <w:p w14:paraId="29EA0B48">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一</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被征收人选择货币补偿，按被征收房屋</w:t>
      </w:r>
      <w:r>
        <w:rPr>
          <w:rFonts w:hint="default" w:ascii="Times New Roman" w:hAnsi="Times New Roman" w:eastAsia="方正仿宋_GBK" w:cs="Times New Roman"/>
          <w:sz w:val="32"/>
          <w:szCs w:val="32"/>
          <w:lang w:val="en-US" w:eastAsia="zh-CN"/>
        </w:rPr>
        <w:t>补偿</w:t>
      </w:r>
      <w:r>
        <w:rPr>
          <w:rFonts w:hint="default" w:ascii="Times New Roman" w:hAnsi="Times New Roman" w:eastAsia="方正仿宋_GBK" w:cs="Times New Roman"/>
          <w:sz w:val="32"/>
          <w:szCs w:val="32"/>
        </w:rPr>
        <w:t>面积和</w:t>
      </w:r>
      <w:r>
        <w:rPr>
          <w:rFonts w:hint="default" w:ascii="Times New Roman" w:hAnsi="Times New Roman" w:eastAsia="方正仿宋_GBK" w:cs="Times New Roman"/>
          <w:sz w:val="32"/>
          <w:szCs w:val="32"/>
          <w:lang w:val="en-US" w:eastAsia="zh-CN"/>
        </w:rPr>
        <w:t>评估价格</w:t>
      </w:r>
      <w:r>
        <w:rPr>
          <w:rFonts w:hint="default" w:ascii="Times New Roman" w:hAnsi="Times New Roman" w:eastAsia="方正仿宋_GBK" w:cs="Times New Roman"/>
          <w:sz w:val="32"/>
          <w:szCs w:val="32"/>
        </w:rPr>
        <w:t>计算货币补偿金额，</w:t>
      </w:r>
      <w:r>
        <w:rPr>
          <w:rFonts w:hint="default" w:ascii="Times New Roman" w:hAnsi="Times New Roman" w:eastAsia="方正仿宋_GBK" w:cs="Times New Roman"/>
          <w:sz w:val="32"/>
          <w:szCs w:val="32"/>
          <w:lang w:val="en-US" w:eastAsia="zh-CN"/>
        </w:rPr>
        <w:t>由房屋征收实施机构按期支付</w:t>
      </w:r>
      <w:r>
        <w:rPr>
          <w:rFonts w:hint="default" w:ascii="Times New Roman" w:hAnsi="Times New Roman" w:eastAsia="方正仿宋_GBK" w:cs="Times New Roman"/>
          <w:sz w:val="32"/>
          <w:szCs w:val="32"/>
        </w:rPr>
        <w:t>，补偿终结。</w:t>
      </w:r>
    </w:p>
    <w:p w14:paraId="49762175">
      <w:pPr>
        <w:keepNext w:val="0"/>
        <w:keepLines w:val="0"/>
        <w:pageBreakBefore w:val="0"/>
        <w:widowControl w:val="0"/>
        <w:kinsoku/>
        <w:wordWrap/>
        <w:overflowPunct/>
        <w:topLinePunct w:val="0"/>
        <w:bidi w:val="0"/>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被征收人选择房屋产权调换，</w:t>
      </w:r>
      <w:r>
        <w:rPr>
          <w:rFonts w:hint="default" w:ascii="Times New Roman" w:hAnsi="Times New Roman" w:eastAsia="方正仿宋_GBK" w:cs="Times New Roman"/>
          <w:sz w:val="32"/>
          <w:szCs w:val="32"/>
          <w:lang w:val="en-US" w:eastAsia="zh-CN"/>
        </w:rPr>
        <w:t>在本方案所列房源中选择</w:t>
      </w:r>
      <w:r>
        <w:rPr>
          <w:rFonts w:hint="default" w:ascii="Times New Roman" w:hAnsi="Times New Roman" w:eastAsia="方正仿宋_GBK" w:cs="Times New Roman"/>
          <w:sz w:val="32"/>
          <w:szCs w:val="32"/>
        </w:rPr>
        <w:t>用于产权调换的房屋，并按照房屋价值相等原则计算、结清被征收房屋价值与用于产权调换房屋价值的差价。</w:t>
      </w:r>
    </w:p>
    <w:p w14:paraId="43567AF0">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产权调换房屋建筑面积小于或等于被征收房屋建筑面积的，其首次物业专项维修资金由房屋征收</w:t>
      </w:r>
      <w:r>
        <w:rPr>
          <w:rFonts w:hint="default" w:ascii="Times New Roman" w:hAnsi="Times New Roman" w:eastAsia="方正仿宋_GBK" w:cs="Times New Roman"/>
          <w:sz w:val="32"/>
          <w:szCs w:val="32"/>
          <w:lang w:val="en-US" w:eastAsia="zh-CN"/>
        </w:rPr>
        <w:t>实施机构依法</w:t>
      </w:r>
      <w:r>
        <w:rPr>
          <w:rFonts w:hint="default" w:ascii="Times New Roman" w:hAnsi="Times New Roman" w:eastAsia="方正仿宋_GBK" w:cs="Times New Roman"/>
          <w:sz w:val="32"/>
          <w:szCs w:val="32"/>
        </w:rPr>
        <w:t>交纳；产权调换房屋建筑面积大于被征收房屋建筑面积的，与被征收房屋相等建筑面积部分的首次物业专项维修资金，由房屋征收</w:t>
      </w:r>
      <w:r>
        <w:rPr>
          <w:rFonts w:hint="default" w:ascii="Times New Roman" w:hAnsi="Times New Roman" w:eastAsia="方正仿宋_GBK" w:cs="Times New Roman"/>
          <w:sz w:val="32"/>
          <w:szCs w:val="32"/>
          <w:lang w:val="en-US" w:eastAsia="zh-CN"/>
        </w:rPr>
        <w:t>实施机构依法</w:t>
      </w:r>
      <w:r>
        <w:rPr>
          <w:rFonts w:hint="default" w:ascii="Times New Roman" w:hAnsi="Times New Roman" w:eastAsia="方正仿宋_GBK" w:cs="Times New Roman"/>
          <w:sz w:val="32"/>
          <w:szCs w:val="32"/>
        </w:rPr>
        <w:t>交纳，超出面积部分由被征收人交纳。</w:t>
      </w:r>
    </w:p>
    <w:p w14:paraId="26A3E435">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产权调换后的房屋产权登记人应当为被征收人。若被征收人为自然人且死亡的，产权调换后的房屋产权登记人应当为被征收人的合法继承人或受赠人。</w:t>
      </w:r>
    </w:p>
    <w:p w14:paraId="6140245A">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七、面积、用途等说明</w:t>
      </w:r>
    </w:p>
    <w:p w14:paraId="29E72593">
      <w:pPr>
        <w:keepNext w:val="0"/>
        <w:keepLines w:val="0"/>
        <w:pageBreakBefore w:val="0"/>
        <w:widowControl w:val="0"/>
        <w:kinsoku/>
        <w:wordWrap/>
        <w:overflowPunct/>
        <w:topLinePunct w:val="0"/>
        <w:autoSpaceDN/>
        <w:bidi w:val="0"/>
        <w:adjustRightInd/>
        <w:snapToGrid/>
        <w:spacing w:line="60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被征收房屋的性质、用途和面积应以不动产权属证书和不动产登记簿的记载为准；不动产权属证书与不动产登记簿记载不一致的，除有证据证明不动产登记簿存在错误外，以不动产登记簿为准；不动产权属证书与不动产登记簿确无记载或者记载不明的，重庆高新</w:t>
      </w:r>
      <w:r>
        <w:rPr>
          <w:rFonts w:hint="default" w:ascii="Times New Roman" w:hAnsi="Times New Roman" w:eastAsia="方正仿宋_GBK" w:cs="Times New Roman"/>
          <w:color w:val="000000"/>
          <w:sz w:val="32"/>
          <w:szCs w:val="32"/>
          <w:lang w:val="en-US" w:eastAsia="zh-CN"/>
        </w:rPr>
        <w:t>技术产业开发</w:t>
      </w:r>
      <w:r>
        <w:rPr>
          <w:rFonts w:hint="default" w:ascii="Times New Roman" w:hAnsi="Times New Roman" w:eastAsia="方正仿宋_GBK" w:cs="Times New Roman"/>
          <w:color w:val="000000"/>
          <w:sz w:val="32"/>
          <w:szCs w:val="32"/>
        </w:rPr>
        <w:t>区管</w:t>
      </w:r>
      <w:r>
        <w:rPr>
          <w:rFonts w:hint="default" w:ascii="Times New Roman" w:hAnsi="Times New Roman" w:eastAsia="方正仿宋_GBK" w:cs="Times New Roman"/>
          <w:color w:val="000000"/>
          <w:sz w:val="32"/>
          <w:szCs w:val="32"/>
          <w:lang w:val="en-US" w:eastAsia="zh-CN"/>
        </w:rPr>
        <w:t>理</w:t>
      </w:r>
      <w:r>
        <w:rPr>
          <w:rFonts w:hint="default" w:ascii="Times New Roman" w:hAnsi="Times New Roman" w:eastAsia="方正仿宋_GBK" w:cs="Times New Roman"/>
          <w:color w:val="000000"/>
          <w:sz w:val="32"/>
          <w:szCs w:val="32"/>
        </w:rPr>
        <w:t>委</w:t>
      </w:r>
      <w:r>
        <w:rPr>
          <w:rFonts w:hint="default" w:ascii="Times New Roman" w:hAnsi="Times New Roman" w:eastAsia="方正仿宋_GBK" w:cs="Times New Roman"/>
          <w:color w:val="000000"/>
          <w:sz w:val="32"/>
          <w:szCs w:val="32"/>
          <w:lang w:val="en-US" w:eastAsia="zh-CN"/>
        </w:rPr>
        <w:t>员</w:t>
      </w:r>
      <w:r>
        <w:rPr>
          <w:rFonts w:hint="default" w:ascii="Times New Roman" w:hAnsi="Times New Roman" w:eastAsia="方正仿宋_GBK" w:cs="Times New Roman"/>
          <w:color w:val="000000"/>
          <w:sz w:val="32"/>
          <w:szCs w:val="32"/>
        </w:rPr>
        <w:t>会组织相关部门进行认定。</w:t>
      </w:r>
    </w:p>
    <w:p w14:paraId="11A76E4D">
      <w:pPr>
        <w:keepNext w:val="0"/>
        <w:keepLines w:val="0"/>
        <w:pageBreakBefore w:val="0"/>
        <w:numPr>
          <w:ilvl w:val="0"/>
          <w:numId w:val="0"/>
        </w:numPr>
        <w:kinsoku/>
        <w:overflowPunct/>
        <w:topLinePunct w:val="0"/>
        <w:autoSpaceDN/>
        <w:bidi w:val="0"/>
        <w:adjustRightInd/>
        <w:snapToGrid/>
        <w:spacing w:line="600" w:lineRule="exact"/>
        <w:ind w:firstLine="640" w:firstLineChars="200"/>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lang w:val="en-US" w:eastAsia="zh-CN"/>
        </w:rPr>
        <w:t>八、</w:t>
      </w:r>
      <w:r>
        <w:rPr>
          <w:rFonts w:hint="default" w:ascii="Times New Roman" w:hAnsi="Times New Roman" w:eastAsia="方正黑体_GBK" w:cs="Times New Roman"/>
          <w:color w:val="000000"/>
          <w:sz w:val="32"/>
          <w:szCs w:val="32"/>
        </w:rPr>
        <w:t>评估价格</w:t>
      </w:r>
    </w:p>
    <w:p w14:paraId="0BDD3D34">
      <w:pPr>
        <w:pStyle w:val="2"/>
        <w:keepNext w:val="0"/>
        <w:keepLines w:val="0"/>
        <w:pageBreakBefore w:val="0"/>
        <w:numPr>
          <w:ilvl w:val="0"/>
          <w:numId w:val="0"/>
        </w:numPr>
        <w:kinsoku/>
        <w:wordWrap/>
        <w:overflowPunct/>
        <w:topLinePunct w:val="0"/>
        <w:bidi w:val="0"/>
        <w:adjustRightInd w:val="0"/>
        <w:snapToGrid/>
        <w:spacing w:line="640" w:lineRule="exact"/>
        <w:ind w:firstLine="320" w:firstLineChars="100"/>
        <w:textAlignment w:val="auto"/>
        <w:rPr>
          <w:rFonts w:hint="eastAsia" w:ascii="方正楷体_GB2312" w:hAnsi="方正楷体_GB2312" w:eastAsia="方正楷体_GB2312" w:cs="方正楷体_GB2312"/>
          <w:sz w:val="32"/>
          <w:szCs w:val="32"/>
          <w:lang w:eastAsia="zh-CN"/>
        </w:rPr>
      </w:pPr>
      <w:r>
        <w:rPr>
          <w:rFonts w:hint="default" w:ascii="Times New Roman" w:hAnsi="Times New Roman" w:eastAsia="方正楷体_GBK" w:cs="Times New Roman"/>
          <w:color w:val="000000"/>
          <w:sz w:val="32"/>
          <w:szCs w:val="32"/>
        </w:rPr>
        <w:t>（</w:t>
      </w:r>
      <w:r>
        <w:rPr>
          <w:rFonts w:hint="default" w:ascii="Times New Roman" w:hAnsi="Times New Roman" w:eastAsia="方正楷体_GBK" w:cs="Times New Roman"/>
          <w:color w:val="000000"/>
          <w:sz w:val="32"/>
          <w:szCs w:val="32"/>
          <w:lang w:val="en-US" w:eastAsia="zh-CN"/>
        </w:rPr>
        <w:t>一</w:t>
      </w:r>
      <w:r>
        <w:rPr>
          <w:rFonts w:hint="default" w:ascii="Times New Roman" w:hAnsi="Times New Roman" w:eastAsia="方正楷体_GBK" w:cs="Times New Roman"/>
          <w:color w:val="000000"/>
          <w:sz w:val="32"/>
          <w:szCs w:val="32"/>
        </w:rPr>
        <w:t>）</w:t>
      </w:r>
      <w:r>
        <w:rPr>
          <w:rFonts w:hint="eastAsia" w:ascii="方正楷体_GB2312" w:hAnsi="方正楷体_GB2312" w:eastAsia="方正楷体_GB2312" w:cs="方正楷体_GB2312"/>
          <w:sz w:val="32"/>
          <w:szCs w:val="32"/>
          <w:lang w:eastAsia="zh-CN"/>
        </w:rPr>
        <w:t>被征收房屋评估结果</w:t>
      </w:r>
    </w:p>
    <w:tbl>
      <w:tblPr>
        <w:tblStyle w:val="8"/>
        <w:tblW w:w="5184" w:type="pct"/>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30"/>
        <w:gridCol w:w="1485"/>
        <w:gridCol w:w="1288"/>
        <w:gridCol w:w="1245"/>
        <w:gridCol w:w="1245"/>
        <w:gridCol w:w="1567"/>
      </w:tblGrid>
      <w:tr w14:paraId="6E45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91" w:type="pct"/>
            <w:vAlign w:val="center"/>
          </w:tcPr>
          <w:p w14:paraId="1B651582">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eastAsia="方正黑体_GBK" w:cs="Times New Roman"/>
              </w:rPr>
            </w:pPr>
            <w:r>
              <w:rPr>
                <w:rFonts w:hint="default" w:ascii="Times New Roman" w:hAnsi="Times New Roman" w:eastAsia="方正黑体_GBK" w:cs="Times New Roman"/>
              </w:rPr>
              <w:t>序号</w:t>
            </w:r>
          </w:p>
        </w:tc>
        <w:tc>
          <w:tcPr>
            <w:tcW w:w="973" w:type="pct"/>
            <w:vAlign w:val="center"/>
          </w:tcPr>
          <w:p w14:paraId="51C229D9">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eastAsia="方正黑体_GBK" w:cs="Times New Roman"/>
              </w:rPr>
            </w:pPr>
            <w:r>
              <w:rPr>
                <w:rFonts w:hint="default" w:ascii="Times New Roman" w:hAnsi="Times New Roman" w:eastAsia="方正黑体_GBK" w:cs="Times New Roman"/>
              </w:rPr>
              <w:t>坐落</w:t>
            </w:r>
          </w:p>
        </w:tc>
        <w:tc>
          <w:tcPr>
            <w:tcW w:w="790" w:type="pct"/>
            <w:vAlign w:val="center"/>
          </w:tcPr>
          <w:p w14:paraId="56B642DB">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eastAsia="方正黑体_GBK" w:cs="Times New Roman"/>
              </w:rPr>
            </w:pPr>
            <w:r>
              <w:rPr>
                <w:rFonts w:hint="default" w:ascii="Times New Roman" w:hAnsi="Times New Roman" w:eastAsia="方正黑体_GBK" w:cs="Times New Roman"/>
              </w:rPr>
              <w:t>房屋用途</w:t>
            </w:r>
          </w:p>
        </w:tc>
        <w:tc>
          <w:tcPr>
            <w:tcW w:w="685" w:type="pct"/>
            <w:vAlign w:val="center"/>
          </w:tcPr>
          <w:p w14:paraId="08018114">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eastAsia="方正黑体_GBK" w:cs="Times New Roman"/>
              </w:rPr>
            </w:pPr>
            <w:r>
              <w:rPr>
                <w:rFonts w:hint="default" w:ascii="Times New Roman" w:hAnsi="Times New Roman" w:eastAsia="方正黑体_GBK" w:cs="Times New Roman"/>
              </w:rPr>
              <w:t>结构</w:t>
            </w:r>
          </w:p>
        </w:tc>
        <w:tc>
          <w:tcPr>
            <w:tcW w:w="662" w:type="pct"/>
            <w:vAlign w:val="center"/>
          </w:tcPr>
          <w:p w14:paraId="535611B8">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eastAsia="方正黑体_GBK" w:cs="Times New Roman"/>
              </w:rPr>
            </w:pPr>
            <w:r>
              <w:rPr>
                <w:rFonts w:hint="default" w:ascii="Times New Roman" w:hAnsi="Times New Roman" w:eastAsia="方正黑体_GBK" w:cs="Times New Roman"/>
              </w:rPr>
              <w:t>土地使用权类型</w:t>
            </w:r>
          </w:p>
        </w:tc>
        <w:tc>
          <w:tcPr>
            <w:tcW w:w="662" w:type="pct"/>
            <w:vAlign w:val="center"/>
          </w:tcPr>
          <w:p w14:paraId="1D33BF2E">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eastAsia="方正黑体_GBK" w:cs="Times New Roman"/>
              </w:rPr>
            </w:pPr>
            <w:r>
              <w:rPr>
                <w:rFonts w:hint="default" w:ascii="Times New Roman" w:hAnsi="Times New Roman" w:eastAsia="方正黑体_GBK" w:cs="Times New Roman"/>
              </w:rPr>
              <w:t>建筑年代</w:t>
            </w:r>
          </w:p>
        </w:tc>
        <w:tc>
          <w:tcPr>
            <w:tcW w:w="833" w:type="pct"/>
            <w:vAlign w:val="center"/>
          </w:tcPr>
          <w:p w14:paraId="6C25FFEF">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eastAsia="方正黑体_GBK" w:cs="Times New Roman"/>
              </w:rPr>
            </w:pPr>
            <w:r>
              <w:rPr>
                <w:rFonts w:hint="default" w:ascii="Times New Roman" w:hAnsi="Times New Roman" w:eastAsia="方正黑体_GBK" w:cs="Times New Roman"/>
              </w:rPr>
              <w:t>预评估单价（元/㎡）</w:t>
            </w:r>
          </w:p>
        </w:tc>
      </w:tr>
      <w:tr w14:paraId="7205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91" w:type="pct"/>
            <w:vAlign w:val="center"/>
          </w:tcPr>
          <w:p w14:paraId="27C5943F">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default" w:ascii="Times New Roman" w:hAnsi="Times New Roman" w:eastAsia="方正仿宋_GBK" w:cs="Times New Roman"/>
                <w:kern w:val="2"/>
              </w:rPr>
            </w:pPr>
            <w:r>
              <w:rPr>
                <w:rFonts w:hint="default" w:ascii="Times New Roman" w:hAnsi="Times New Roman" w:eastAsia="方正仿宋_GBK" w:cs="Times New Roman"/>
                <w:kern w:val="2"/>
              </w:rPr>
              <w:t xml:space="preserve">1 </w:t>
            </w:r>
          </w:p>
        </w:tc>
        <w:tc>
          <w:tcPr>
            <w:tcW w:w="973" w:type="pct"/>
            <w:vAlign w:val="center"/>
          </w:tcPr>
          <w:p w14:paraId="28B75483">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default" w:ascii="Times New Roman" w:hAnsi="Times New Roman" w:eastAsia="方正仿宋_GBK" w:cs="Times New Roman"/>
                <w:kern w:val="2"/>
                <w:lang w:val="en-US" w:eastAsia="zh-CN"/>
              </w:rPr>
            </w:pPr>
            <w:r>
              <w:rPr>
                <w:rFonts w:hint="eastAsia" w:ascii="Times New Roman" w:hAnsi="Times New Roman" w:eastAsia="方正仿宋_GBK" w:cs="Times New Roman"/>
                <w:kern w:val="2"/>
                <w:lang w:eastAsia="zh-CN"/>
              </w:rPr>
              <w:t>九龙坡区金凤镇九凤村</w:t>
            </w:r>
            <w:r>
              <w:rPr>
                <w:rFonts w:hint="eastAsia" w:ascii="Times New Roman" w:hAnsi="Times New Roman" w:eastAsia="方正仿宋_GBK" w:cs="Times New Roman"/>
                <w:kern w:val="2"/>
                <w:lang w:val="en-US" w:eastAsia="zh-CN"/>
              </w:rPr>
              <w:t>4社</w:t>
            </w:r>
          </w:p>
        </w:tc>
        <w:tc>
          <w:tcPr>
            <w:tcW w:w="790" w:type="pct"/>
            <w:vAlign w:val="center"/>
          </w:tcPr>
          <w:p w14:paraId="6427D0C4">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eastAsia" w:ascii="Times New Roman" w:hAnsi="Times New Roman" w:eastAsia="方正仿宋_GBK" w:cs="Times New Roman"/>
                <w:kern w:val="2"/>
                <w:lang w:eastAsia="zh-CN"/>
              </w:rPr>
            </w:pPr>
            <w:r>
              <w:rPr>
                <w:rFonts w:hint="eastAsia" w:ascii="Times New Roman" w:hAnsi="Times New Roman" w:eastAsia="方正仿宋_GBK" w:cs="Times New Roman"/>
                <w:kern w:val="2"/>
                <w:lang w:eastAsia="zh-CN"/>
              </w:rPr>
              <w:t>教育</w:t>
            </w:r>
          </w:p>
        </w:tc>
        <w:tc>
          <w:tcPr>
            <w:tcW w:w="685" w:type="pct"/>
            <w:vAlign w:val="center"/>
          </w:tcPr>
          <w:p w14:paraId="6A0CA0AD">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eastAsia" w:ascii="Times New Roman" w:hAnsi="Times New Roman" w:eastAsia="方正仿宋_GBK" w:cs="Times New Roman"/>
                <w:kern w:val="2"/>
              </w:rPr>
            </w:pPr>
            <w:r>
              <w:rPr>
                <w:rFonts w:hint="eastAsia" w:ascii="Times New Roman" w:hAnsi="Times New Roman" w:eastAsia="方正仿宋_GBK" w:cs="Times New Roman"/>
                <w:kern w:val="2"/>
              </w:rPr>
              <w:t>混合</w:t>
            </w:r>
          </w:p>
        </w:tc>
        <w:tc>
          <w:tcPr>
            <w:tcW w:w="662" w:type="pct"/>
            <w:vAlign w:val="center"/>
          </w:tcPr>
          <w:p w14:paraId="54D1553B">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eastAsia" w:ascii="Times New Roman" w:hAnsi="Times New Roman" w:eastAsia="方正仿宋_GBK" w:cs="Times New Roman"/>
                <w:kern w:val="2"/>
                <w:lang w:eastAsia="zh-CN"/>
              </w:rPr>
            </w:pPr>
            <w:r>
              <w:rPr>
                <w:rFonts w:hint="eastAsia" w:ascii="Times New Roman" w:hAnsi="Times New Roman" w:eastAsia="方正仿宋_GBK" w:cs="Times New Roman"/>
                <w:kern w:val="2"/>
                <w:lang w:eastAsia="zh-CN"/>
              </w:rPr>
              <w:t>划拨</w:t>
            </w:r>
          </w:p>
        </w:tc>
        <w:tc>
          <w:tcPr>
            <w:tcW w:w="662" w:type="pct"/>
            <w:vAlign w:val="center"/>
          </w:tcPr>
          <w:p w14:paraId="4177420C">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default" w:ascii="Times New Roman" w:hAnsi="Times New Roman" w:eastAsia="方正仿宋_GBK" w:cs="Times New Roman"/>
                <w:kern w:val="2"/>
                <w:lang w:val="en-US" w:eastAsia="zh-CN"/>
              </w:rPr>
            </w:pPr>
            <w:r>
              <w:rPr>
                <w:rFonts w:hint="eastAsia" w:ascii="Times New Roman" w:hAnsi="Times New Roman" w:eastAsia="方正仿宋_GBK" w:cs="Times New Roman"/>
                <w:kern w:val="2"/>
                <w:lang w:val="en-US" w:eastAsia="zh-CN"/>
              </w:rPr>
              <w:t>1996</w:t>
            </w:r>
          </w:p>
        </w:tc>
        <w:tc>
          <w:tcPr>
            <w:tcW w:w="833" w:type="pct"/>
            <w:vAlign w:val="center"/>
          </w:tcPr>
          <w:p w14:paraId="1BCF4FF0">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default" w:ascii="Times New Roman" w:hAnsi="Times New Roman" w:eastAsia="方正仿宋_GBK" w:cs="Times New Roman"/>
                <w:kern w:val="2"/>
                <w:lang w:val="en-US" w:eastAsia="zh-CN"/>
              </w:rPr>
            </w:pPr>
            <w:r>
              <w:rPr>
                <w:rFonts w:hint="eastAsia" w:ascii="Times New Roman" w:hAnsi="Times New Roman" w:eastAsia="方正仿宋_GBK" w:cs="Times New Roman"/>
                <w:kern w:val="2"/>
                <w:lang w:val="en-US" w:eastAsia="zh-CN"/>
              </w:rPr>
              <w:t>7380</w:t>
            </w:r>
          </w:p>
        </w:tc>
      </w:tr>
      <w:tr w14:paraId="1B53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91" w:type="pct"/>
            <w:vAlign w:val="center"/>
          </w:tcPr>
          <w:p w14:paraId="5C3B9055">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default" w:ascii="Times New Roman" w:hAnsi="Times New Roman" w:eastAsia="方正仿宋_GBK" w:cs="Times New Roman"/>
                <w:kern w:val="2"/>
              </w:rPr>
            </w:pPr>
            <w:r>
              <w:rPr>
                <w:rFonts w:hint="default" w:ascii="Times New Roman" w:hAnsi="Times New Roman" w:eastAsia="方正仿宋_GBK" w:cs="Times New Roman"/>
                <w:kern w:val="2"/>
              </w:rPr>
              <w:t>2</w:t>
            </w:r>
          </w:p>
        </w:tc>
        <w:tc>
          <w:tcPr>
            <w:tcW w:w="973" w:type="pct"/>
            <w:vAlign w:val="center"/>
          </w:tcPr>
          <w:p w14:paraId="2D6C3A6D">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default" w:ascii="Times New Roman" w:hAnsi="Times New Roman" w:eastAsia="方正仿宋_GBK" w:cs="Times New Roman"/>
                <w:kern w:val="2"/>
              </w:rPr>
            </w:pPr>
            <w:r>
              <w:rPr>
                <w:rFonts w:hint="eastAsia" w:ascii="Times New Roman" w:hAnsi="Times New Roman" w:eastAsia="方正仿宋_GBK" w:cs="Times New Roman"/>
                <w:kern w:val="2"/>
                <w:lang w:eastAsia="zh-CN"/>
              </w:rPr>
              <w:t>九龙坡区金凤镇九凤村</w:t>
            </w:r>
            <w:r>
              <w:rPr>
                <w:rFonts w:hint="eastAsia" w:ascii="Times New Roman" w:hAnsi="Times New Roman" w:eastAsia="方正仿宋_GBK" w:cs="Times New Roman"/>
                <w:kern w:val="2"/>
                <w:lang w:val="en-US" w:eastAsia="zh-CN"/>
              </w:rPr>
              <w:t>4社</w:t>
            </w:r>
          </w:p>
        </w:tc>
        <w:tc>
          <w:tcPr>
            <w:tcW w:w="790" w:type="pct"/>
            <w:vAlign w:val="center"/>
          </w:tcPr>
          <w:p w14:paraId="0507B7DC">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eastAsia" w:ascii="Times New Roman" w:hAnsi="Times New Roman" w:eastAsia="方正仿宋_GBK" w:cs="Times New Roman"/>
                <w:kern w:val="2"/>
                <w:lang w:eastAsia="zh-CN"/>
              </w:rPr>
            </w:pPr>
            <w:r>
              <w:rPr>
                <w:rFonts w:hint="eastAsia" w:ascii="Times New Roman" w:hAnsi="Times New Roman" w:eastAsia="方正仿宋_GBK" w:cs="Times New Roman"/>
                <w:kern w:val="2"/>
                <w:lang w:eastAsia="zh-CN"/>
              </w:rPr>
              <w:t>其他用途</w:t>
            </w:r>
          </w:p>
        </w:tc>
        <w:tc>
          <w:tcPr>
            <w:tcW w:w="685" w:type="pct"/>
            <w:vAlign w:val="center"/>
          </w:tcPr>
          <w:p w14:paraId="485B8249">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eastAsia" w:ascii="Times New Roman" w:hAnsi="Times New Roman" w:eastAsia="方正仿宋_GBK" w:cs="Times New Roman"/>
                <w:kern w:val="2"/>
              </w:rPr>
            </w:pPr>
            <w:r>
              <w:rPr>
                <w:rFonts w:hint="eastAsia" w:ascii="Times New Roman" w:hAnsi="Times New Roman" w:eastAsia="方正仿宋_GBK" w:cs="Times New Roman"/>
                <w:kern w:val="2"/>
              </w:rPr>
              <w:t>混合</w:t>
            </w:r>
          </w:p>
        </w:tc>
        <w:tc>
          <w:tcPr>
            <w:tcW w:w="662" w:type="pct"/>
            <w:vAlign w:val="center"/>
          </w:tcPr>
          <w:p w14:paraId="1D90B0C8">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eastAsia" w:ascii="Times New Roman" w:hAnsi="Times New Roman" w:eastAsia="方正仿宋_GBK" w:cs="Times New Roman"/>
                <w:kern w:val="2"/>
                <w:lang w:eastAsia="zh-CN"/>
              </w:rPr>
            </w:pPr>
            <w:r>
              <w:rPr>
                <w:rFonts w:hint="eastAsia" w:ascii="Times New Roman" w:hAnsi="Times New Roman" w:eastAsia="方正仿宋_GBK" w:cs="Times New Roman"/>
                <w:kern w:val="2"/>
                <w:lang w:eastAsia="zh-CN"/>
              </w:rPr>
              <w:t>划拨</w:t>
            </w:r>
          </w:p>
        </w:tc>
        <w:tc>
          <w:tcPr>
            <w:tcW w:w="662" w:type="pct"/>
            <w:shd w:val="clear" w:color="auto" w:fill="auto"/>
            <w:vAlign w:val="center"/>
          </w:tcPr>
          <w:p w14:paraId="724EE311">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default" w:ascii="Times New Roman" w:hAnsi="Times New Roman" w:eastAsia="方正仿宋_GBK" w:cs="Times New Roman"/>
                <w:kern w:val="2"/>
                <w:lang w:val="en-US" w:eastAsia="zh-CN"/>
              </w:rPr>
            </w:pPr>
            <w:r>
              <w:rPr>
                <w:rFonts w:hint="eastAsia" w:ascii="Times New Roman" w:hAnsi="Times New Roman" w:eastAsia="方正仿宋_GBK" w:cs="Times New Roman"/>
                <w:kern w:val="2"/>
                <w:lang w:val="en-US" w:eastAsia="zh-CN"/>
              </w:rPr>
              <w:t>1996</w:t>
            </w:r>
          </w:p>
        </w:tc>
        <w:tc>
          <w:tcPr>
            <w:tcW w:w="833" w:type="pct"/>
            <w:shd w:val="clear" w:color="auto" w:fill="auto"/>
            <w:vAlign w:val="center"/>
          </w:tcPr>
          <w:p w14:paraId="27583649">
            <w:pPr>
              <w:pStyle w:val="2"/>
              <w:keepNext w:val="0"/>
              <w:keepLines w:val="0"/>
              <w:pageBreakBefore w:val="0"/>
              <w:widowControl/>
              <w:kinsoku/>
              <w:wordWrap/>
              <w:overflowPunct/>
              <w:topLinePunct w:val="0"/>
              <w:bidi w:val="0"/>
              <w:adjustRightInd w:val="0"/>
              <w:snapToGrid/>
              <w:spacing w:line="280" w:lineRule="exact"/>
              <w:jc w:val="center"/>
              <w:textAlignment w:val="auto"/>
              <w:rPr>
                <w:rFonts w:hint="default" w:ascii="Times New Roman" w:hAnsi="Times New Roman" w:eastAsia="方正仿宋_GBK" w:cs="Times New Roman"/>
                <w:kern w:val="2"/>
                <w:lang w:val="en-US" w:eastAsia="zh-CN"/>
              </w:rPr>
            </w:pPr>
            <w:r>
              <w:rPr>
                <w:rFonts w:hint="eastAsia" w:ascii="Times New Roman" w:hAnsi="Times New Roman" w:eastAsia="方正仿宋_GBK" w:cs="Times New Roman"/>
                <w:kern w:val="2"/>
                <w:lang w:val="en-US" w:eastAsia="zh-CN"/>
              </w:rPr>
              <w:t>7380</w:t>
            </w:r>
          </w:p>
        </w:tc>
      </w:tr>
    </w:tbl>
    <w:p w14:paraId="17D4D24E">
      <w:pPr>
        <w:keepNext w:val="0"/>
        <w:keepLines w:val="0"/>
        <w:pageBreakBefore w:val="0"/>
        <w:widowControl w:val="0"/>
        <w:kinsoku/>
        <w:wordWrap/>
        <w:overflowPunct/>
        <w:topLinePunct w:val="0"/>
        <w:autoSpaceDE/>
        <w:autoSpaceDN/>
        <w:bidi w:val="0"/>
        <w:adjustRightInd w:val="0"/>
        <w:snapToGrid/>
        <w:spacing w:line="640" w:lineRule="exact"/>
        <w:ind w:left="0" w:leftChars="0" w:firstLine="320" w:firstLineChars="100"/>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w:t>
      </w:r>
      <w:r>
        <w:rPr>
          <w:rFonts w:hint="default" w:ascii="Times New Roman" w:hAnsi="Times New Roman" w:eastAsia="方正楷体_GBK" w:cs="Times New Roman"/>
          <w:color w:val="000000"/>
          <w:sz w:val="32"/>
          <w:szCs w:val="32"/>
          <w:lang w:val="en-US" w:eastAsia="zh-CN"/>
        </w:rPr>
        <w:t>二</w:t>
      </w:r>
      <w:r>
        <w:rPr>
          <w:rFonts w:hint="default" w:ascii="Times New Roman" w:hAnsi="Times New Roman" w:eastAsia="方正楷体_GBK" w:cs="Times New Roman"/>
          <w:color w:val="000000"/>
          <w:sz w:val="32"/>
          <w:szCs w:val="32"/>
        </w:rPr>
        <w:t>）容积率小于1的空地评估结果</w:t>
      </w:r>
    </w:p>
    <w:tbl>
      <w:tblPr>
        <w:tblStyle w:val="9"/>
        <w:tblW w:w="9390"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315"/>
        <w:gridCol w:w="2520"/>
        <w:gridCol w:w="2805"/>
      </w:tblGrid>
      <w:tr w14:paraId="4B77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50" w:type="dxa"/>
            <w:vAlign w:val="center"/>
          </w:tcPr>
          <w:p w14:paraId="37E4DAC2">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eastAsia" w:ascii="Times New Roman" w:hAnsi="Times New Roman" w:eastAsia="方正黑体_GBK" w:cs="Times New Roman"/>
                <w:lang w:val="en-US" w:eastAsia="zh-CN"/>
              </w:rPr>
            </w:pPr>
            <w:r>
              <w:rPr>
                <w:rFonts w:hint="eastAsia" w:ascii="Times New Roman" w:hAnsi="Times New Roman" w:eastAsia="方正黑体_GBK" w:cs="Times New Roman"/>
                <w:lang w:val="en-US" w:eastAsia="zh-CN"/>
              </w:rPr>
              <w:t>序号</w:t>
            </w:r>
          </w:p>
        </w:tc>
        <w:tc>
          <w:tcPr>
            <w:tcW w:w="3315" w:type="dxa"/>
            <w:vAlign w:val="center"/>
          </w:tcPr>
          <w:p w14:paraId="0DD8470D">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eastAsia" w:ascii="Times New Roman" w:hAnsi="Times New Roman" w:eastAsia="方正黑体_GBK" w:cs="Times New Roman"/>
                <w:lang w:val="en-US" w:eastAsia="zh-CN"/>
              </w:rPr>
            </w:pPr>
            <w:r>
              <w:rPr>
                <w:rFonts w:hint="eastAsia" w:ascii="Times New Roman" w:hAnsi="Times New Roman" w:eastAsia="方正黑体_GBK" w:cs="Times New Roman"/>
                <w:lang w:val="en-US" w:eastAsia="zh-CN"/>
              </w:rPr>
              <w:t>用途</w:t>
            </w:r>
          </w:p>
        </w:tc>
        <w:tc>
          <w:tcPr>
            <w:tcW w:w="2520" w:type="dxa"/>
            <w:vAlign w:val="center"/>
          </w:tcPr>
          <w:p w14:paraId="2D8CCE1E">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eastAsia" w:ascii="Times New Roman" w:hAnsi="Times New Roman" w:eastAsia="方正黑体_GBK" w:cs="Times New Roman"/>
                <w:lang w:val="en-US" w:eastAsia="zh-CN"/>
              </w:rPr>
            </w:pPr>
            <w:r>
              <w:rPr>
                <w:rFonts w:hint="eastAsia" w:ascii="Times New Roman" w:hAnsi="Times New Roman" w:eastAsia="方正黑体_GBK" w:cs="Times New Roman"/>
                <w:lang w:val="en-US" w:eastAsia="zh-CN"/>
              </w:rPr>
              <w:t>土地使用类型</w:t>
            </w:r>
          </w:p>
        </w:tc>
        <w:tc>
          <w:tcPr>
            <w:tcW w:w="2805" w:type="dxa"/>
            <w:vAlign w:val="center"/>
          </w:tcPr>
          <w:p w14:paraId="70048FF8">
            <w:pPr>
              <w:pStyle w:val="2"/>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hint="eastAsia" w:ascii="Times New Roman" w:hAnsi="Times New Roman" w:eastAsia="方正黑体_GBK" w:cs="Times New Roman"/>
                <w:lang w:val="en-US" w:eastAsia="zh-CN"/>
              </w:rPr>
            </w:pPr>
            <w:r>
              <w:rPr>
                <w:rFonts w:hint="eastAsia" w:ascii="Times New Roman" w:hAnsi="Times New Roman" w:eastAsia="方正黑体_GBK" w:cs="Times New Roman"/>
                <w:lang w:val="en-US" w:eastAsia="zh-CN"/>
              </w:rPr>
              <w:t>评估单价</w:t>
            </w:r>
            <w:r>
              <w:rPr>
                <w:rFonts w:hint="default" w:ascii="Times New Roman" w:hAnsi="Times New Roman" w:eastAsia="方正黑体_GBK" w:cs="Times New Roman"/>
                <w:lang w:val="en-US" w:eastAsia="zh-CN"/>
              </w:rPr>
              <w:t>（元/㎡）</w:t>
            </w:r>
          </w:p>
        </w:tc>
      </w:tr>
      <w:tr w14:paraId="21DC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50" w:type="dxa"/>
            <w:vAlign w:val="center"/>
          </w:tcPr>
          <w:p w14:paraId="2E914840">
            <w:pPr>
              <w:pStyle w:val="2"/>
              <w:keepNext w:val="0"/>
              <w:keepLines w:val="0"/>
              <w:pageBreakBefore w:val="0"/>
              <w:widowControl/>
              <w:kinsoku/>
              <w:wordWrap/>
              <w:overflowPunct/>
              <w:topLinePunct w:val="0"/>
              <w:bidi w:val="0"/>
              <w:snapToGrid/>
              <w:spacing w:line="280" w:lineRule="exact"/>
              <w:jc w:val="center"/>
              <w:textAlignment w:val="auto"/>
              <w:rPr>
                <w:rFonts w:hint="default" w:ascii="Times New Roman" w:hAnsi="Times New Roman" w:eastAsia="方正仿宋_GBK" w:cs="Times New Roman"/>
                <w:kern w:val="2"/>
                <w:lang w:val="en-US" w:eastAsia="zh-CN"/>
              </w:rPr>
            </w:pPr>
            <w:r>
              <w:rPr>
                <w:rFonts w:hint="eastAsia" w:ascii="Times New Roman" w:hAnsi="Times New Roman" w:eastAsia="方正仿宋_GBK" w:cs="Times New Roman"/>
                <w:kern w:val="2"/>
                <w:lang w:val="en-US" w:eastAsia="zh-CN"/>
              </w:rPr>
              <w:t>1</w:t>
            </w:r>
          </w:p>
        </w:tc>
        <w:tc>
          <w:tcPr>
            <w:tcW w:w="3315" w:type="dxa"/>
            <w:vAlign w:val="center"/>
          </w:tcPr>
          <w:p w14:paraId="663B4DB6">
            <w:pPr>
              <w:pStyle w:val="2"/>
              <w:keepNext w:val="0"/>
              <w:keepLines w:val="0"/>
              <w:pageBreakBefore w:val="0"/>
              <w:widowControl/>
              <w:kinsoku/>
              <w:wordWrap/>
              <w:overflowPunct/>
              <w:topLinePunct w:val="0"/>
              <w:bidi w:val="0"/>
              <w:snapToGrid/>
              <w:spacing w:line="280" w:lineRule="exact"/>
              <w:jc w:val="center"/>
              <w:textAlignment w:val="auto"/>
              <w:rPr>
                <w:rFonts w:hint="eastAsia" w:ascii="Times New Roman" w:hAnsi="Times New Roman" w:eastAsia="方正仿宋_GBK" w:cs="Times New Roman"/>
                <w:kern w:val="2"/>
                <w:lang w:eastAsia="zh-CN"/>
              </w:rPr>
            </w:pPr>
            <w:r>
              <w:rPr>
                <w:rFonts w:hint="eastAsia" w:ascii="Times New Roman" w:hAnsi="Times New Roman" w:eastAsia="方正仿宋_GBK" w:cs="Times New Roman"/>
                <w:kern w:val="2"/>
                <w:lang w:eastAsia="zh-CN"/>
              </w:rPr>
              <w:t>教育用地</w:t>
            </w:r>
          </w:p>
        </w:tc>
        <w:tc>
          <w:tcPr>
            <w:tcW w:w="2520" w:type="dxa"/>
            <w:vAlign w:val="center"/>
          </w:tcPr>
          <w:p w14:paraId="3F5B51CB">
            <w:pPr>
              <w:pStyle w:val="2"/>
              <w:keepNext w:val="0"/>
              <w:keepLines w:val="0"/>
              <w:pageBreakBefore w:val="0"/>
              <w:widowControl/>
              <w:kinsoku/>
              <w:wordWrap/>
              <w:overflowPunct/>
              <w:topLinePunct w:val="0"/>
              <w:bidi w:val="0"/>
              <w:snapToGrid/>
              <w:spacing w:line="280" w:lineRule="exact"/>
              <w:jc w:val="center"/>
              <w:textAlignment w:val="auto"/>
              <w:rPr>
                <w:rFonts w:hint="eastAsia" w:ascii="Times New Roman" w:hAnsi="Times New Roman" w:eastAsia="方正仿宋_GBK" w:cs="Times New Roman"/>
                <w:kern w:val="2"/>
                <w:lang w:eastAsia="zh-CN"/>
              </w:rPr>
            </w:pPr>
            <w:r>
              <w:rPr>
                <w:rFonts w:hint="eastAsia" w:ascii="Times New Roman" w:hAnsi="Times New Roman" w:eastAsia="方正仿宋_GBK" w:cs="Times New Roman"/>
                <w:kern w:val="2"/>
                <w:lang w:eastAsia="zh-CN"/>
              </w:rPr>
              <w:t>划拨</w:t>
            </w:r>
          </w:p>
        </w:tc>
        <w:tc>
          <w:tcPr>
            <w:tcW w:w="2805" w:type="dxa"/>
            <w:vAlign w:val="center"/>
          </w:tcPr>
          <w:p w14:paraId="1354A526">
            <w:pPr>
              <w:pStyle w:val="2"/>
              <w:keepNext w:val="0"/>
              <w:keepLines w:val="0"/>
              <w:pageBreakBefore w:val="0"/>
              <w:widowControl/>
              <w:kinsoku/>
              <w:wordWrap/>
              <w:overflowPunct/>
              <w:topLinePunct w:val="0"/>
              <w:bidi w:val="0"/>
              <w:snapToGrid/>
              <w:spacing w:line="280" w:lineRule="exact"/>
              <w:jc w:val="center"/>
              <w:textAlignment w:val="auto"/>
              <w:rPr>
                <w:rFonts w:hint="default" w:ascii="Times New Roman" w:hAnsi="Times New Roman" w:eastAsia="方正仿宋_GBK" w:cs="Times New Roman"/>
                <w:kern w:val="2"/>
                <w:lang w:val="en-US" w:eastAsia="zh-CN"/>
              </w:rPr>
            </w:pPr>
            <w:r>
              <w:rPr>
                <w:rFonts w:hint="eastAsia" w:ascii="Times New Roman" w:hAnsi="Times New Roman" w:eastAsia="方正仿宋_GBK" w:cs="Times New Roman"/>
                <w:kern w:val="2"/>
                <w:lang w:val="en-US" w:eastAsia="zh-CN"/>
              </w:rPr>
              <w:t>1510</w:t>
            </w:r>
          </w:p>
        </w:tc>
      </w:tr>
    </w:tbl>
    <w:p w14:paraId="5587B19E">
      <w:pPr>
        <w:keepNext w:val="0"/>
        <w:keepLines w:val="0"/>
        <w:pageBreakBefore w:val="0"/>
        <w:numPr>
          <w:ilvl w:val="0"/>
          <w:numId w:val="0"/>
        </w:numPr>
        <w:kinsoku/>
        <w:overflowPunct/>
        <w:topLinePunct w:val="0"/>
        <w:autoSpaceDN/>
        <w:bidi w:val="0"/>
        <w:adjustRightInd/>
        <w:snapToGrid/>
        <w:spacing w:line="60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方正黑体_GBK" w:cs="Times New Roman"/>
          <w:color w:val="000000"/>
          <w:sz w:val="32"/>
          <w:szCs w:val="32"/>
          <w:lang w:val="en-US" w:eastAsia="zh-CN"/>
        </w:rPr>
        <w:t>九、损失补偿和奖励补助</w:t>
      </w:r>
      <w:r>
        <w:rPr>
          <w:rFonts w:hint="default" w:ascii="Times New Roman" w:hAnsi="Times New Roman" w:eastAsia="方正黑体_GBK" w:cs="Times New Roman"/>
          <w:color w:val="000000"/>
          <w:sz w:val="32"/>
          <w:szCs w:val="32"/>
        </w:rPr>
        <w:t>标准</w:t>
      </w:r>
    </w:p>
    <w:tbl>
      <w:tblPr>
        <w:tblStyle w:val="8"/>
        <w:tblW w:w="5198" w:type="pct"/>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80"/>
        <w:gridCol w:w="510"/>
        <w:gridCol w:w="1229"/>
        <w:gridCol w:w="721"/>
        <w:gridCol w:w="1229"/>
        <w:gridCol w:w="4186"/>
      </w:tblGrid>
      <w:tr w14:paraId="1F27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trPr>
        <w:tc>
          <w:tcPr>
            <w:tcW w:w="406" w:type="pct"/>
            <w:noWrap w:val="0"/>
            <w:vAlign w:val="center"/>
          </w:tcPr>
          <w:p w14:paraId="2346B07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序号</w:t>
            </w:r>
          </w:p>
        </w:tc>
        <w:tc>
          <w:tcPr>
            <w:tcW w:w="414" w:type="pct"/>
            <w:noWrap w:val="0"/>
            <w:vAlign w:val="center"/>
          </w:tcPr>
          <w:p w14:paraId="5A0EA2E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补偿</w:t>
            </w:r>
          </w:p>
          <w:p w14:paraId="6F23804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科目</w:t>
            </w:r>
          </w:p>
        </w:tc>
        <w:tc>
          <w:tcPr>
            <w:tcW w:w="923" w:type="pct"/>
            <w:gridSpan w:val="2"/>
            <w:noWrap w:val="0"/>
            <w:vAlign w:val="center"/>
          </w:tcPr>
          <w:p w14:paraId="11C6307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单项明细</w:t>
            </w:r>
          </w:p>
        </w:tc>
        <w:tc>
          <w:tcPr>
            <w:tcW w:w="1035" w:type="pct"/>
            <w:gridSpan w:val="2"/>
            <w:noWrap w:val="0"/>
            <w:vAlign w:val="center"/>
          </w:tcPr>
          <w:p w14:paraId="16FB944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补偿补助</w:t>
            </w:r>
          </w:p>
          <w:p w14:paraId="58A13FC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奖励标准</w:t>
            </w:r>
          </w:p>
        </w:tc>
        <w:tc>
          <w:tcPr>
            <w:tcW w:w="2221" w:type="pct"/>
            <w:noWrap w:val="0"/>
            <w:vAlign w:val="center"/>
          </w:tcPr>
          <w:p w14:paraId="5D0092F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说明及要求</w:t>
            </w:r>
          </w:p>
        </w:tc>
      </w:tr>
      <w:tr w14:paraId="0DFA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exact"/>
          <w:tblHeader/>
        </w:trPr>
        <w:tc>
          <w:tcPr>
            <w:tcW w:w="406" w:type="pct"/>
            <w:noWrap w:val="0"/>
            <w:vAlign w:val="center"/>
          </w:tcPr>
          <w:p w14:paraId="1CADDC7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p w14:paraId="0F2E7F3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仿宋_GBK" w:cs="Times New Roman"/>
                <w:color w:val="000000"/>
                <w:sz w:val="24"/>
                <w:szCs w:val="24"/>
              </w:rPr>
              <w:t>1</w:t>
            </w:r>
          </w:p>
        </w:tc>
        <w:tc>
          <w:tcPr>
            <w:tcW w:w="414" w:type="pct"/>
            <w:noWrap w:val="0"/>
            <w:vAlign w:val="center"/>
          </w:tcPr>
          <w:p w14:paraId="447E14F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价值补偿</w:t>
            </w:r>
          </w:p>
        </w:tc>
        <w:tc>
          <w:tcPr>
            <w:tcW w:w="923" w:type="pct"/>
            <w:gridSpan w:val="2"/>
            <w:noWrap w:val="0"/>
            <w:vAlign w:val="center"/>
          </w:tcPr>
          <w:p w14:paraId="583196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被征收房屋</w:t>
            </w:r>
          </w:p>
          <w:p w14:paraId="4090098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仿宋_GBK" w:cs="Times New Roman"/>
                <w:color w:val="000000"/>
                <w:sz w:val="24"/>
                <w:szCs w:val="24"/>
              </w:rPr>
              <w:t>价值补偿</w:t>
            </w:r>
          </w:p>
        </w:tc>
        <w:tc>
          <w:tcPr>
            <w:tcW w:w="1035" w:type="pct"/>
            <w:gridSpan w:val="2"/>
            <w:noWrap w:val="0"/>
            <w:vAlign w:val="center"/>
          </w:tcPr>
          <w:p w14:paraId="42627A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仿宋_GBK" w:cs="Times New Roman"/>
                <w:color w:val="000000"/>
                <w:sz w:val="24"/>
                <w:szCs w:val="24"/>
              </w:rPr>
              <w:t>被征收房屋补偿面积的评估价值</w:t>
            </w:r>
          </w:p>
        </w:tc>
        <w:tc>
          <w:tcPr>
            <w:tcW w:w="2221" w:type="pct"/>
            <w:noWrap w:val="0"/>
            <w:vAlign w:val="center"/>
          </w:tcPr>
          <w:p w14:paraId="58BD66AB">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仿宋_GBK" w:cs="Times New Roman"/>
                <w:color w:val="000000"/>
                <w:sz w:val="24"/>
                <w:szCs w:val="24"/>
                <w:lang w:val="en-US" w:eastAsia="zh-CN"/>
              </w:rPr>
              <w:t xml:space="preserve">    </w:t>
            </w:r>
            <w:r>
              <w:rPr>
                <w:rFonts w:hint="default" w:ascii="Times New Roman" w:hAnsi="Times New Roman" w:eastAsia="方正仿宋_GBK" w:cs="Times New Roman"/>
                <w:color w:val="000000"/>
                <w:sz w:val="24"/>
                <w:szCs w:val="24"/>
              </w:rPr>
              <w:t>被征收房屋补偿面积包括被征收房屋产权证载建筑面积、按规定享受公摊系数补足部分的面积，以及按规定享受最低住房保障政策补足部分的面积。</w:t>
            </w:r>
          </w:p>
        </w:tc>
      </w:tr>
      <w:tr w14:paraId="7B48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2" w:hRule="exact"/>
          <w:tblHeader/>
        </w:trPr>
        <w:tc>
          <w:tcPr>
            <w:tcW w:w="406" w:type="pct"/>
            <w:vMerge w:val="restart"/>
            <w:noWrap w:val="0"/>
            <w:vAlign w:val="center"/>
          </w:tcPr>
          <w:p w14:paraId="293C120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p w14:paraId="24C9F3B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lang w:eastAsia="zh-CN"/>
              </w:rPr>
            </w:pPr>
            <w:r>
              <w:rPr>
                <w:rFonts w:hint="default" w:ascii="Times New Roman" w:hAnsi="Times New Roman" w:eastAsia="方正仿宋_GBK" w:cs="Times New Roman"/>
                <w:color w:val="000000"/>
                <w:sz w:val="24"/>
                <w:szCs w:val="24"/>
                <w:lang w:val="en-US" w:eastAsia="zh-CN"/>
              </w:rPr>
              <w:t>2</w:t>
            </w:r>
          </w:p>
        </w:tc>
        <w:tc>
          <w:tcPr>
            <w:tcW w:w="414" w:type="pct"/>
            <w:vMerge w:val="restart"/>
            <w:noWrap w:val="0"/>
            <w:vAlign w:val="center"/>
          </w:tcPr>
          <w:p w14:paraId="28F1150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黑体_GBK" w:cs="Times New Roman"/>
                <w:color w:val="000000"/>
                <w:sz w:val="24"/>
                <w:szCs w:val="24"/>
              </w:rPr>
              <w:t>损失补偿</w:t>
            </w:r>
          </w:p>
        </w:tc>
        <w:tc>
          <w:tcPr>
            <w:tcW w:w="270" w:type="pct"/>
            <w:vMerge w:val="restart"/>
            <w:noWrap w:val="0"/>
            <w:vAlign w:val="center"/>
          </w:tcPr>
          <w:p w14:paraId="39B5277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非住宅停产停业补偿</w:t>
            </w:r>
          </w:p>
          <w:p w14:paraId="138C97F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noWrap w:val="0"/>
            <w:vAlign w:val="center"/>
          </w:tcPr>
          <w:p w14:paraId="1912107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被征收人选择货币补偿</w:t>
            </w:r>
          </w:p>
        </w:tc>
        <w:tc>
          <w:tcPr>
            <w:tcW w:w="1035" w:type="pct"/>
            <w:gridSpan w:val="2"/>
            <w:noWrap w:val="0"/>
            <w:vAlign w:val="center"/>
          </w:tcPr>
          <w:p w14:paraId="449843A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按被征收房屋评估价值的6%一次性补偿</w:t>
            </w:r>
          </w:p>
        </w:tc>
        <w:tc>
          <w:tcPr>
            <w:tcW w:w="2221" w:type="pct"/>
            <w:vMerge w:val="restart"/>
            <w:noWrap w:val="0"/>
            <w:vAlign w:val="center"/>
          </w:tcPr>
          <w:p w14:paraId="24C68FB5">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1.房屋征收项目公布前两年内有合法有效营业执照及完税凭证的非住宅，给予停产停业损失补偿。</w:t>
            </w:r>
          </w:p>
          <w:p w14:paraId="4095AA42">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被征收人选择的产权调换房屋为现房，给予6个月停产停业损失补偿；选择的产权调换房屋为期房的，以交付旧房时间起，至通知接房之日止计算过渡月数，并额外给予6个月停产停业损失补偿。房屋征收部门提供了临时周转房的，不支付停产停业损失补偿。</w:t>
            </w:r>
          </w:p>
          <w:p w14:paraId="518A1DB1">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3.房屋征收部门未按约定日期交付产权调换房屋，导致过渡期限延长的，自逾期之月起每月按照房屋评估价值的5‰加付停产停业损失补偿。</w:t>
            </w:r>
          </w:p>
          <w:p w14:paraId="21765D1E">
            <w:pPr>
              <w:keepNext w:val="0"/>
              <w:keepLines w:val="0"/>
              <w:pageBreakBefore w:val="0"/>
              <w:widowControl w:val="0"/>
              <w:kinsoku/>
              <w:wordWrap/>
              <w:overflowPunct/>
              <w:topLinePunct w:val="0"/>
              <w:autoSpaceDE/>
              <w:autoSpaceDN/>
              <w:bidi w:val="0"/>
              <w:adjustRightInd/>
              <w:snapToGrid/>
              <w:spacing w:line="240" w:lineRule="exact"/>
              <w:ind w:firstLine="64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4.用于生产制造的非住宅，停产停业损失的补偿标准可以适当提高，提高的幅度不超过补偿标准的50%。</w:t>
            </w:r>
          </w:p>
          <w:p w14:paraId="04F69C9E">
            <w:pPr>
              <w:keepNext w:val="0"/>
              <w:keepLines w:val="0"/>
              <w:pageBreakBefore w:val="0"/>
              <w:widowControl w:val="0"/>
              <w:kinsoku/>
              <w:wordWrap/>
              <w:overflowPunct/>
              <w:topLinePunct w:val="0"/>
              <w:autoSpaceDE/>
              <w:autoSpaceDN/>
              <w:bidi w:val="0"/>
              <w:adjustRightInd/>
              <w:snapToGrid/>
              <w:spacing w:line="240" w:lineRule="exact"/>
              <w:ind w:firstLine="64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5.住宅改为非住宅使用的房屋，符合《重庆高新技术产业开发区国有土地上房屋征收与补偿实施办法》规定的，可以给予停产停业损失补偿。</w:t>
            </w:r>
          </w:p>
        </w:tc>
      </w:tr>
      <w:tr w14:paraId="39AA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blHeader/>
        </w:trPr>
        <w:tc>
          <w:tcPr>
            <w:tcW w:w="406" w:type="pct"/>
            <w:vMerge w:val="continue"/>
            <w:noWrap w:val="0"/>
            <w:vAlign w:val="center"/>
          </w:tcPr>
          <w:p w14:paraId="19FA9EA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414" w:type="pct"/>
            <w:vMerge w:val="continue"/>
            <w:noWrap w:val="0"/>
            <w:vAlign w:val="center"/>
          </w:tcPr>
          <w:p w14:paraId="4227DD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4"/>
                <w:szCs w:val="24"/>
              </w:rPr>
            </w:pPr>
          </w:p>
        </w:tc>
        <w:tc>
          <w:tcPr>
            <w:tcW w:w="270" w:type="pct"/>
            <w:vMerge w:val="continue"/>
            <w:noWrap w:val="0"/>
            <w:vAlign w:val="center"/>
          </w:tcPr>
          <w:p w14:paraId="5316181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noWrap w:val="0"/>
            <w:vAlign w:val="center"/>
          </w:tcPr>
          <w:p w14:paraId="1D6080F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被征收人选择产权调换</w:t>
            </w:r>
          </w:p>
        </w:tc>
        <w:tc>
          <w:tcPr>
            <w:tcW w:w="1035" w:type="pct"/>
            <w:gridSpan w:val="2"/>
            <w:noWrap w:val="0"/>
            <w:vAlign w:val="center"/>
          </w:tcPr>
          <w:p w14:paraId="5E2EB88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每月按被征收房屋评估价值的5‰补偿</w:t>
            </w:r>
          </w:p>
        </w:tc>
        <w:tc>
          <w:tcPr>
            <w:tcW w:w="2221" w:type="pct"/>
            <w:vMerge w:val="continue"/>
            <w:noWrap w:val="0"/>
            <w:vAlign w:val="center"/>
          </w:tcPr>
          <w:p w14:paraId="6750827B">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000000"/>
                <w:sz w:val="24"/>
                <w:szCs w:val="24"/>
              </w:rPr>
            </w:pPr>
          </w:p>
        </w:tc>
      </w:tr>
      <w:tr w14:paraId="16F1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blHeader/>
        </w:trPr>
        <w:tc>
          <w:tcPr>
            <w:tcW w:w="406" w:type="pct"/>
            <w:vMerge w:val="restart"/>
            <w:noWrap w:val="0"/>
            <w:vAlign w:val="center"/>
          </w:tcPr>
          <w:p w14:paraId="4DCE8DD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p w14:paraId="112EB02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lang w:eastAsia="zh-CN"/>
              </w:rPr>
            </w:pPr>
            <w:r>
              <w:rPr>
                <w:rFonts w:hint="default" w:ascii="Times New Roman" w:hAnsi="Times New Roman" w:eastAsia="方正仿宋_GBK" w:cs="Times New Roman"/>
                <w:color w:val="000000"/>
                <w:sz w:val="24"/>
                <w:szCs w:val="24"/>
                <w:lang w:val="en-US" w:eastAsia="zh-CN"/>
              </w:rPr>
              <w:t>3</w:t>
            </w:r>
          </w:p>
        </w:tc>
        <w:tc>
          <w:tcPr>
            <w:tcW w:w="414" w:type="pct"/>
            <w:vMerge w:val="restart"/>
            <w:noWrap w:val="0"/>
            <w:vAlign w:val="center"/>
          </w:tcPr>
          <w:p w14:paraId="42BF6B1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损失补偿</w:t>
            </w:r>
          </w:p>
          <w:p w14:paraId="4E1487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270" w:type="pct"/>
            <w:vMerge w:val="restart"/>
            <w:noWrap w:val="0"/>
            <w:vAlign w:val="center"/>
          </w:tcPr>
          <w:p w14:paraId="26B2248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室内装饰装修损失补偿</w:t>
            </w:r>
          </w:p>
          <w:p w14:paraId="121E30B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vMerge w:val="restart"/>
            <w:noWrap w:val="0"/>
            <w:vAlign w:val="center"/>
          </w:tcPr>
          <w:p w14:paraId="2871894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住宅</w:t>
            </w:r>
          </w:p>
        </w:tc>
        <w:tc>
          <w:tcPr>
            <w:tcW w:w="1035" w:type="pct"/>
            <w:gridSpan w:val="2"/>
            <w:noWrap w:val="0"/>
            <w:vAlign w:val="center"/>
          </w:tcPr>
          <w:p w14:paraId="31D1BF2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1999年12月31日前（含12月31日）修建的被征收房屋按350元/平方米补偿</w:t>
            </w:r>
          </w:p>
        </w:tc>
        <w:tc>
          <w:tcPr>
            <w:tcW w:w="2221" w:type="pct"/>
            <w:vMerge w:val="restart"/>
            <w:noWrap w:val="0"/>
            <w:vAlign w:val="center"/>
          </w:tcPr>
          <w:p w14:paraId="5964CF6F">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1.房屋修建时间以被征收房屋不动产登记簿记载的修建时间为准。</w:t>
            </w:r>
          </w:p>
          <w:p w14:paraId="4CBA4E93">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2.被征收人对补偿</w:t>
            </w:r>
            <w:r>
              <w:rPr>
                <w:rFonts w:hint="default" w:ascii="Times New Roman" w:hAnsi="Times New Roman" w:eastAsia="方正仿宋_GBK" w:cs="Times New Roman"/>
                <w:color w:val="000000"/>
                <w:sz w:val="24"/>
                <w:szCs w:val="24"/>
                <w:lang w:val="en-US" w:eastAsia="zh-CN"/>
              </w:rPr>
              <w:t>标准</w:t>
            </w:r>
            <w:r>
              <w:rPr>
                <w:rFonts w:hint="default" w:ascii="Times New Roman" w:hAnsi="Times New Roman" w:eastAsia="方正仿宋_GBK" w:cs="Times New Roman"/>
                <w:color w:val="000000"/>
                <w:sz w:val="24"/>
                <w:szCs w:val="24"/>
              </w:rPr>
              <w:t>有异议的，可提出书面申请由房屋征收项目评估机构对其室内装饰装修进行评估。经评估后，被征收房屋装饰装修损失须按评估价值补偿。</w:t>
            </w:r>
          </w:p>
        </w:tc>
      </w:tr>
      <w:tr w14:paraId="7743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blHeader/>
        </w:trPr>
        <w:tc>
          <w:tcPr>
            <w:tcW w:w="406" w:type="pct"/>
            <w:vMerge w:val="continue"/>
            <w:noWrap w:val="0"/>
            <w:vAlign w:val="center"/>
          </w:tcPr>
          <w:p w14:paraId="6FBC94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4"/>
                <w:szCs w:val="24"/>
              </w:rPr>
            </w:pPr>
          </w:p>
        </w:tc>
        <w:tc>
          <w:tcPr>
            <w:tcW w:w="414" w:type="pct"/>
            <w:vMerge w:val="continue"/>
            <w:noWrap w:val="0"/>
            <w:vAlign w:val="center"/>
          </w:tcPr>
          <w:p w14:paraId="6CE924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4"/>
                <w:szCs w:val="24"/>
              </w:rPr>
            </w:pPr>
          </w:p>
        </w:tc>
        <w:tc>
          <w:tcPr>
            <w:tcW w:w="270" w:type="pct"/>
            <w:vMerge w:val="continue"/>
            <w:noWrap w:val="0"/>
            <w:vAlign w:val="center"/>
          </w:tcPr>
          <w:p w14:paraId="33C1223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vMerge w:val="continue"/>
            <w:noWrap w:val="0"/>
            <w:vAlign w:val="center"/>
          </w:tcPr>
          <w:p w14:paraId="25BD468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1035" w:type="pct"/>
            <w:gridSpan w:val="2"/>
            <w:noWrap w:val="0"/>
            <w:vAlign w:val="center"/>
          </w:tcPr>
          <w:p w14:paraId="409EFF0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2000年1月1日后（含1月1日）修建的被征收房屋按500元/平方米补偿</w:t>
            </w:r>
          </w:p>
        </w:tc>
        <w:tc>
          <w:tcPr>
            <w:tcW w:w="2221" w:type="pct"/>
            <w:vMerge w:val="continue"/>
            <w:noWrap w:val="0"/>
            <w:vAlign w:val="center"/>
          </w:tcPr>
          <w:p w14:paraId="3EC88CC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000000"/>
                <w:sz w:val="24"/>
                <w:szCs w:val="24"/>
              </w:rPr>
            </w:pPr>
          </w:p>
        </w:tc>
      </w:tr>
      <w:tr w14:paraId="3E9C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blHeader/>
        </w:trPr>
        <w:tc>
          <w:tcPr>
            <w:tcW w:w="406" w:type="pct"/>
            <w:vMerge w:val="continue"/>
            <w:noWrap w:val="0"/>
            <w:vAlign w:val="center"/>
          </w:tcPr>
          <w:p w14:paraId="2DEE6BD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4"/>
                <w:szCs w:val="24"/>
              </w:rPr>
            </w:pPr>
          </w:p>
        </w:tc>
        <w:tc>
          <w:tcPr>
            <w:tcW w:w="414" w:type="pct"/>
            <w:vMerge w:val="continue"/>
            <w:noWrap w:val="0"/>
            <w:vAlign w:val="center"/>
          </w:tcPr>
          <w:p w14:paraId="317DF1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4"/>
                <w:szCs w:val="24"/>
              </w:rPr>
            </w:pPr>
          </w:p>
        </w:tc>
        <w:tc>
          <w:tcPr>
            <w:tcW w:w="270" w:type="pct"/>
            <w:vMerge w:val="continue"/>
            <w:noWrap w:val="0"/>
            <w:vAlign w:val="center"/>
          </w:tcPr>
          <w:p w14:paraId="4FD87FC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noWrap w:val="0"/>
            <w:vAlign w:val="center"/>
          </w:tcPr>
          <w:p w14:paraId="5FE5A5C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非住宅</w:t>
            </w:r>
          </w:p>
        </w:tc>
        <w:tc>
          <w:tcPr>
            <w:tcW w:w="1035" w:type="pct"/>
            <w:gridSpan w:val="2"/>
            <w:noWrap w:val="0"/>
            <w:vAlign w:val="center"/>
          </w:tcPr>
          <w:p w14:paraId="591A0FA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商业、办公、业务用房参照住宅房屋标准执行，其他类型非住宅原则不予补偿</w:t>
            </w:r>
          </w:p>
        </w:tc>
        <w:tc>
          <w:tcPr>
            <w:tcW w:w="2221" w:type="pct"/>
            <w:vMerge w:val="continue"/>
            <w:noWrap w:val="0"/>
            <w:vAlign w:val="center"/>
          </w:tcPr>
          <w:p w14:paraId="16B0F0E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000000"/>
                <w:sz w:val="24"/>
                <w:szCs w:val="24"/>
              </w:rPr>
            </w:pPr>
          </w:p>
        </w:tc>
      </w:tr>
      <w:tr w14:paraId="5D22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tblHeader/>
        </w:trPr>
        <w:tc>
          <w:tcPr>
            <w:tcW w:w="406" w:type="pct"/>
            <w:vMerge w:val="restart"/>
            <w:noWrap w:val="0"/>
            <w:vAlign w:val="center"/>
          </w:tcPr>
          <w:p w14:paraId="516A6A2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lang w:val="en-US" w:eastAsia="zh-CN"/>
              </w:rPr>
              <w:t>4</w:t>
            </w:r>
          </w:p>
        </w:tc>
        <w:tc>
          <w:tcPr>
            <w:tcW w:w="414" w:type="pct"/>
            <w:vMerge w:val="continue"/>
            <w:noWrap w:val="0"/>
            <w:vAlign w:val="center"/>
          </w:tcPr>
          <w:p w14:paraId="4E84B5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270" w:type="pct"/>
            <w:vMerge w:val="restart"/>
            <w:noWrap w:val="0"/>
            <w:vAlign w:val="center"/>
          </w:tcPr>
          <w:p w14:paraId="14198FA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附属设施补偿</w:t>
            </w:r>
          </w:p>
        </w:tc>
        <w:tc>
          <w:tcPr>
            <w:tcW w:w="652" w:type="pct"/>
            <w:vMerge w:val="restart"/>
            <w:noWrap w:val="0"/>
            <w:vAlign w:val="center"/>
          </w:tcPr>
          <w:p w14:paraId="62D48AB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民用</w:t>
            </w:r>
          </w:p>
        </w:tc>
        <w:tc>
          <w:tcPr>
            <w:tcW w:w="382" w:type="pct"/>
            <w:noWrap w:val="0"/>
            <w:vAlign w:val="center"/>
          </w:tcPr>
          <w:p w14:paraId="3ABE49B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水表</w:t>
            </w:r>
          </w:p>
        </w:tc>
        <w:tc>
          <w:tcPr>
            <w:tcW w:w="652" w:type="pct"/>
            <w:noWrap w:val="0"/>
            <w:vAlign w:val="center"/>
          </w:tcPr>
          <w:p w14:paraId="57A460E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600元/户</w:t>
            </w:r>
          </w:p>
        </w:tc>
        <w:tc>
          <w:tcPr>
            <w:tcW w:w="2221" w:type="pct"/>
            <w:vMerge w:val="restart"/>
            <w:noWrap w:val="0"/>
            <w:vAlign w:val="center"/>
          </w:tcPr>
          <w:p w14:paraId="3AC0678F">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1.如有行业收费标准的，从其标准规定，否则执行本标准规定。</w:t>
            </w:r>
          </w:p>
          <w:p w14:paraId="762B61C7">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val="en-US" w:eastAsia="zh-CN"/>
              </w:rPr>
              <w:t xml:space="preserve">    </w:t>
            </w:r>
            <w:r>
              <w:rPr>
                <w:rFonts w:hint="default" w:ascii="Times New Roman" w:hAnsi="Times New Roman" w:eastAsia="方正仿宋_GBK" w:cs="Times New Roman"/>
                <w:color w:val="000000"/>
                <w:sz w:val="24"/>
                <w:szCs w:val="24"/>
              </w:rPr>
              <w:t>2.选择货币补偿方式的，按本标准规定给予补偿；选择产权调换方式的，不予补偿。</w:t>
            </w:r>
          </w:p>
          <w:p w14:paraId="4E48BBCB">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val="en-US" w:eastAsia="zh-CN"/>
              </w:rPr>
              <w:t xml:space="preserve">    </w:t>
            </w:r>
            <w:r>
              <w:rPr>
                <w:rFonts w:hint="default" w:ascii="Times New Roman" w:hAnsi="Times New Roman" w:eastAsia="方正仿宋_GBK" w:cs="Times New Roman"/>
                <w:color w:val="000000"/>
                <w:sz w:val="24"/>
                <w:szCs w:val="24"/>
              </w:rPr>
              <w:t>3.本条此处所指</w:t>
            </w:r>
            <w:r>
              <w:rPr>
                <w:rFonts w:hint="eastAsia" w:ascii="Times New Roman" w:hAnsi="Times New Roman" w:eastAsia="方正仿宋_GBK" w:cs="Times New Roman"/>
                <w:color w:val="000000"/>
                <w:sz w:val="24"/>
                <w:szCs w:val="24"/>
                <w:lang w:eastAsia="zh-CN"/>
              </w:rPr>
              <w:t>“</w:t>
            </w:r>
            <w:r>
              <w:rPr>
                <w:rFonts w:hint="default" w:ascii="Times New Roman" w:hAnsi="Times New Roman" w:eastAsia="方正仿宋_GBK" w:cs="Times New Roman"/>
                <w:color w:val="000000"/>
                <w:sz w:val="24"/>
                <w:szCs w:val="24"/>
              </w:rPr>
              <w:t>户</w:t>
            </w:r>
            <w:r>
              <w:rPr>
                <w:rFonts w:hint="eastAsia" w:ascii="Times New Roman" w:hAnsi="Times New Roman" w:eastAsia="方正仿宋_GBK" w:cs="Times New Roman"/>
                <w:color w:val="000000"/>
                <w:sz w:val="24"/>
                <w:szCs w:val="24"/>
                <w:lang w:eastAsia="zh-CN"/>
              </w:rPr>
              <w:t>”</w:t>
            </w:r>
            <w:r>
              <w:rPr>
                <w:rFonts w:hint="default" w:ascii="Times New Roman" w:hAnsi="Times New Roman" w:eastAsia="方正仿宋_GBK" w:cs="Times New Roman"/>
                <w:color w:val="000000"/>
                <w:sz w:val="24"/>
                <w:szCs w:val="24"/>
              </w:rPr>
              <w:t>以缴费户为单位。</w:t>
            </w:r>
          </w:p>
        </w:tc>
      </w:tr>
      <w:tr w14:paraId="340C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tblHeader/>
        </w:trPr>
        <w:tc>
          <w:tcPr>
            <w:tcW w:w="406" w:type="pct"/>
            <w:vMerge w:val="continue"/>
            <w:noWrap w:val="0"/>
            <w:vAlign w:val="center"/>
          </w:tcPr>
          <w:p w14:paraId="30AF485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rPr>
            </w:pPr>
          </w:p>
        </w:tc>
        <w:tc>
          <w:tcPr>
            <w:tcW w:w="414" w:type="pct"/>
            <w:vMerge w:val="continue"/>
            <w:noWrap w:val="0"/>
            <w:vAlign w:val="center"/>
          </w:tcPr>
          <w:p w14:paraId="208C29F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270" w:type="pct"/>
            <w:vMerge w:val="continue"/>
            <w:noWrap w:val="0"/>
            <w:vAlign w:val="center"/>
          </w:tcPr>
          <w:p w14:paraId="7EF4ECD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vMerge w:val="continue"/>
            <w:noWrap w:val="0"/>
            <w:vAlign w:val="center"/>
          </w:tcPr>
          <w:p w14:paraId="082B4BB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382" w:type="pct"/>
            <w:noWrap w:val="0"/>
            <w:vAlign w:val="center"/>
          </w:tcPr>
          <w:p w14:paraId="7BD7F79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电表</w:t>
            </w:r>
          </w:p>
        </w:tc>
        <w:tc>
          <w:tcPr>
            <w:tcW w:w="652" w:type="pct"/>
            <w:noWrap w:val="0"/>
            <w:vAlign w:val="center"/>
          </w:tcPr>
          <w:p w14:paraId="159377C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600元/户</w:t>
            </w:r>
          </w:p>
        </w:tc>
        <w:tc>
          <w:tcPr>
            <w:tcW w:w="2221" w:type="pct"/>
            <w:vMerge w:val="continue"/>
            <w:noWrap w:val="0"/>
            <w:vAlign w:val="center"/>
          </w:tcPr>
          <w:p w14:paraId="55EA69E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r>
      <w:tr w14:paraId="4CA7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tblHeader/>
        </w:trPr>
        <w:tc>
          <w:tcPr>
            <w:tcW w:w="406" w:type="pct"/>
            <w:vMerge w:val="continue"/>
            <w:noWrap w:val="0"/>
            <w:vAlign w:val="center"/>
          </w:tcPr>
          <w:p w14:paraId="1B853ED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rPr>
            </w:pPr>
          </w:p>
        </w:tc>
        <w:tc>
          <w:tcPr>
            <w:tcW w:w="414" w:type="pct"/>
            <w:vMerge w:val="continue"/>
            <w:noWrap w:val="0"/>
            <w:vAlign w:val="center"/>
          </w:tcPr>
          <w:p w14:paraId="20BC494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270" w:type="pct"/>
            <w:vMerge w:val="continue"/>
            <w:noWrap w:val="0"/>
            <w:vAlign w:val="center"/>
          </w:tcPr>
          <w:p w14:paraId="30120CA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vMerge w:val="continue"/>
            <w:noWrap w:val="0"/>
            <w:vAlign w:val="center"/>
          </w:tcPr>
          <w:p w14:paraId="56E0988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382" w:type="pct"/>
            <w:noWrap w:val="0"/>
            <w:vAlign w:val="center"/>
          </w:tcPr>
          <w:p w14:paraId="1A1B616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天然气</w:t>
            </w:r>
          </w:p>
        </w:tc>
        <w:tc>
          <w:tcPr>
            <w:tcW w:w="652" w:type="pct"/>
            <w:noWrap w:val="0"/>
            <w:vAlign w:val="center"/>
          </w:tcPr>
          <w:p w14:paraId="5DDA798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3500元/户</w:t>
            </w:r>
          </w:p>
        </w:tc>
        <w:tc>
          <w:tcPr>
            <w:tcW w:w="2221" w:type="pct"/>
            <w:vMerge w:val="continue"/>
            <w:noWrap w:val="0"/>
            <w:vAlign w:val="center"/>
          </w:tcPr>
          <w:p w14:paraId="5287510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r>
      <w:tr w14:paraId="1E7C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blHeader/>
        </w:trPr>
        <w:tc>
          <w:tcPr>
            <w:tcW w:w="406" w:type="pct"/>
            <w:vMerge w:val="continue"/>
            <w:noWrap w:val="0"/>
            <w:vAlign w:val="center"/>
          </w:tcPr>
          <w:p w14:paraId="4EB9CF7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rPr>
            </w:pPr>
          </w:p>
        </w:tc>
        <w:tc>
          <w:tcPr>
            <w:tcW w:w="414" w:type="pct"/>
            <w:vMerge w:val="continue"/>
            <w:noWrap w:val="0"/>
            <w:vAlign w:val="center"/>
          </w:tcPr>
          <w:p w14:paraId="44C4E90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270" w:type="pct"/>
            <w:vMerge w:val="continue"/>
            <w:noWrap w:val="0"/>
            <w:vAlign w:val="center"/>
          </w:tcPr>
          <w:p w14:paraId="1E92778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vMerge w:val="continue"/>
            <w:noWrap w:val="0"/>
            <w:vAlign w:val="center"/>
          </w:tcPr>
          <w:p w14:paraId="7E557D6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382" w:type="pct"/>
            <w:noWrap w:val="0"/>
            <w:vAlign w:val="center"/>
          </w:tcPr>
          <w:p w14:paraId="252E475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闭路</w:t>
            </w:r>
          </w:p>
        </w:tc>
        <w:tc>
          <w:tcPr>
            <w:tcW w:w="652" w:type="pct"/>
            <w:noWrap w:val="0"/>
            <w:vAlign w:val="center"/>
          </w:tcPr>
          <w:p w14:paraId="451031C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450元/户</w:t>
            </w:r>
          </w:p>
        </w:tc>
        <w:tc>
          <w:tcPr>
            <w:tcW w:w="2221" w:type="pct"/>
            <w:vMerge w:val="continue"/>
            <w:noWrap w:val="0"/>
            <w:vAlign w:val="center"/>
          </w:tcPr>
          <w:p w14:paraId="71617BD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r>
      <w:tr w14:paraId="2ABC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tblHeader/>
        </w:trPr>
        <w:tc>
          <w:tcPr>
            <w:tcW w:w="406" w:type="pct"/>
            <w:vMerge w:val="continue"/>
            <w:noWrap w:val="0"/>
            <w:vAlign w:val="center"/>
          </w:tcPr>
          <w:p w14:paraId="3DFFDC6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rPr>
            </w:pPr>
          </w:p>
        </w:tc>
        <w:tc>
          <w:tcPr>
            <w:tcW w:w="414" w:type="pct"/>
            <w:vMerge w:val="continue"/>
            <w:noWrap w:val="0"/>
            <w:vAlign w:val="center"/>
          </w:tcPr>
          <w:p w14:paraId="43EC5CC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270" w:type="pct"/>
            <w:vMerge w:val="continue"/>
            <w:noWrap w:val="0"/>
            <w:vAlign w:val="center"/>
          </w:tcPr>
          <w:p w14:paraId="40E962D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vMerge w:val="continue"/>
            <w:noWrap w:val="0"/>
            <w:vAlign w:val="center"/>
          </w:tcPr>
          <w:p w14:paraId="4124413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382" w:type="pct"/>
            <w:noWrap w:val="0"/>
            <w:vAlign w:val="center"/>
          </w:tcPr>
          <w:p w14:paraId="615BFB8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宽带</w:t>
            </w:r>
          </w:p>
        </w:tc>
        <w:tc>
          <w:tcPr>
            <w:tcW w:w="652" w:type="pct"/>
            <w:noWrap w:val="0"/>
            <w:vAlign w:val="center"/>
          </w:tcPr>
          <w:p w14:paraId="42EF64F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300元/户</w:t>
            </w:r>
          </w:p>
        </w:tc>
        <w:tc>
          <w:tcPr>
            <w:tcW w:w="2221" w:type="pct"/>
            <w:vMerge w:val="continue"/>
            <w:noWrap w:val="0"/>
            <w:vAlign w:val="center"/>
          </w:tcPr>
          <w:p w14:paraId="5438EEA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r>
      <w:tr w14:paraId="1BA2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blHeader/>
        </w:trPr>
        <w:tc>
          <w:tcPr>
            <w:tcW w:w="406" w:type="pct"/>
            <w:vMerge w:val="continue"/>
            <w:noWrap w:val="0"/>
            <w:vAlign w:val="center"/>
          </w:tcPr>
          <w:p w14:paraId="373B5C5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rPr>
            </w:pPr>
          </w:p>
        </w:tc>
        <w:tc>
          <w:tcPr>
            <w:tcW w:w="414" w:type="pct"/>
            <w:vMerge w:val="continue"/>
            <w:noWrap w:val="0"/>
            <w:vAlign w:val="center"/>
          </w:tcPr>
          <w:p w14:paraId="184524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270" w:type="pct"/>
            <w:vMerge w:val="continue"/>
            <w:noWrap w:val="0"/>
            <w:vAlign w:val="center"/>
          </w:tcPr>
          <w:p w14:paraId="6B351EB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noWrap w:val="0"/>
            <w:vAlign w:val="center"/>
          </w:tcPr>
          <w:p w14:paraId="1692AD7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非民用</w:t>
            </w:r>
          </w:p>
        </w:tc>
        <w:tc>
          <w:tcPr>
            <w:tcW w:w="3256" w:type="pct"/>
            <w:gridSpan w:val="3"/>
            <w:noWrap w:val="0"/>
            <w:vAlign w:val="center"/>
          </w:tcPr>
          <w:p w14:paraId="7BF4D9A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根据被征收人提供的安装合同、发票等据实补偿。</w:t>
            </w:r>
          </w:p>
        </w:tc>
      </w:tr>
      <w:tr w14:paraId="350D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trPr>
        <w:tc>
          <w:tcPr>
            <w:tcW w:w="406" w:type="pct"/>
            <w:vMerge w:val="continue"/>
            <w:noWrap w:val="0"/>
            <w:vAlign w:val="center"/>
          </w:tcPr>
          <w:p w14:paraId="46583FE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rPr>
            </w:pPr>
          </w:p>
        </w:tc>
        <w:tc>
          <w:tcPr>
            <w:tcW w:w="414" w:type="pct"/>
            <w:vMerge w:val="continue"/>
            <w:noWrap w:val="0"/>
            <w:vAlign w:val="center"/>
          </w:tcPr>
          <w:p w14:paraId="00FB68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923" w:type="pct"/>
            <w:gridSpan w:val="2"/>
            <w:noWrap w:val="0"/>
            <w:vAlign w:val="center"/>
          </w:tcPr>
          <w:p w14:paraId="40D1AA7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其他附属物</w:t>
            </w:r>
          </w:p>
        </w:tc>
        <w:tc>
          <w:tcPr>
            <w:tcW w:w="3256" w:type="pct"/>
            <w:gridSpan w:val="3"/>
            <w:noWrap w:val="0"/>
            <w:vAlign w:val="center"/>
          </w:tcPr>
          <w:p w14:paraId="69E4174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其他附属物评估结果详见分户评估报告。</w:t>
            </w:r>
          </w:p>
        </w:tc>
      </w:tr>
      <w:tr w14:paraId="3047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blHeader/>
        </w:trPr>
        <w:tc>
          <w:tcPr>
            <w:tcW w:w="406" w:type="pct"/>
            <w:vMerge w:val="restart"/>
            <w:noWrap w:val="0"/>
            <w:vAlign w:val="center"/>
          </w:tcPr>
          <w:p w14:paraId="268A71D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lang w:val="en-US" w:eastAsia="zh-CN"/>
              </w:rPr>
              <w:t>5</w:t>
            </w:r>
          </w:p>
        </w:tc>
        <w:tc>
          <w:tcPr>
            <w:tcW w:w="414" w:type="pct"/>
            <w:vMerge w:val="continue"/>
            <w:noWrap w:val="0"/>
            <w:vAlign w:val="center"/>
          </w:tcPr>
          <w:p w14:paraId="4E19BC9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4"/>
                <w:szCs w:val="24"/>
              </w:rPr>
            </w:pPr>
          </w:p>
        </w:tc>
        <w:tc>
          <w:tcPr>
            <w:tcW w:w="270" w:type="pct"/>
            <w:vMerge w:val="restart"/>
            <w:noWrap w:val="0"/>
            <w:vAlign w:val="center"/>
          </w:tcPr>
          <w:p w14:paraId="0B39101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非住宅设施设备搬迁补偿</w:t>
            </w:r>
          </w:p>
        </w:tc>
        <w:tc>
          <w:tcPr>
            <w:tcW w:w="652" w:type="pct"/>
            <w:noWrap w:val="0"/>
            <w:vAlign w:val="center"/>
          </w:tcPr>
          <w:p w14:paraId="78D6D4D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搬迁后不丧失使用价值</w:t>
            </w:r>
          </w:p>
        </w:tc>
        <w:tc>
          <w:tcPr>
            <w:tcW w:w="1035" w:type="pct"/>
            <w:gridSpan w:val="2"/>
            <w:noWrap w:val="0"/>
            <w:vAlign w:val="center"/>
          </w:tcPr>
          <w:p w14:paraId="406D3AE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按所搬迁设施设备折旧后评估净值的20%补偿</w:t>
            </w:r>
          </w:p>
        </w:tc>
        <w:tc>
          <w:tcPr>
            <w:tcW w:w="2221" w:type="pct"/>
            <w:vMerge w:val="restart"/>
            <w:noWrap w:val="0"/>
            <w:vAlign w:val="center"/>
          </w:tcPr>
          <w:p w14:paraId="38F0A314">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1.房屋征收项目和房屋征收范围公布后添置的设施设备不予补偿。</w:t>
            </w:r>
          </w:p>
          <w:p w14:paraId="74496B6B">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2.对设施设备进行评估的，企业等市场主体应当提供设施设备购置及品牌、编号等相关凭据。</w:t>
            </w:r>
          </w:p>
          <w:p w14:paraId="04D4E590">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3.设施设备由企业等市场主体自行拆除、搬离。</w:t>
            </w:r>
          </w:p>
        </w:tc>
      </w:tr>
      <w:tr w14:paraId="2663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tblHeader/>
        </w:trPr>
        <w:tc>
          <w:tcPr>
            <w:tcW w:w="406" w:type="pct"/>
            <w:vMerge w:val="continue"/>
            <w:noWrap w:val="0"/>
            <w:vAlign w:val="center"/>
          </w:tcPr>
          <w:p w14:paraId="328614B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rPr>
            </w:pPr>
          </w:p>
        </w:tc>
        <w:tc>
          <w:tcPr>
            <w:tcW w:w="414" w:type="pct"/>
            <w:vMerge w:val="continue"/>
            <w:noWrap w:val="0"/>
            <w:vAlign w:val="center"/>
          </w:tcPr>
          <w:p w14:paraId="6E67899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000000"/>
                <w:sz w:val="24"/>
                <w:szCs w:val="24"/>
              </w:rPr>
            </w:pPr>
          </w:p>
        </w:tc>
        <w:tc>
          <w:tcPr>
            <w:tcW w:w="270" w:type="pct"/>
            <w:vMerge w:val="continue"/>
            <w:noWrap w:val="0"/>
            <w:vAlign w:val="center"/>
          </w:tcPr>
          <w:p w14:paraId="707F6E0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000000"/>
                <w:sz w:val="24"/>
                <w:szCs w:val="24"/>
              </w:rPr>
            </w:pPr>
          </w:p>
        </w:tc>
        <w:tc>
          <w:tcPr>
            <w:tcW w:w="652" w:type="pct"/>
            <w:noWrap w:val="0"/>
            <w:vAlign w:val="center"/>
          </w:tcPr>
          <w:p w14:paraId="1F1007C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搬迁后丧失使用价值</w:t>
            </w:r>
          </w:p>
        </w:tc>
        <w:tc>
          <w:tcPr>
            <w:tcW w:w="1035" w:type="pct"/>
            <w:gridSpan w:val="2"/>
            <w:noWrap w:val="0"/>
            <w:vAlign w:val="center"/>
          </w:tcPr>
          <w:p w14:paraId="6DC4B96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按所搬迁设施设备折旧后评估净值补偿</w:t>
            </w:r>
          </w:p>
        </w:tc>
        <w:tc>
          <w:tcPr>
            <w:tcW w:w="2221" w:type="pct"/>
            <w:vMerge w:val="continue"/>
            <w:noWrap w:val="0"/>
            <w:vAlign w:val="center"/>
          </w:tcPr>
          <w:p w14:paraId="3CA6B34F">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000000"/>
                <w:sz w:val="24"/>
                <w:szCs w:val="24"/>
              </w:rPr>
            </w:pPr>
          </w:p>
        </w:tc>
      </w:tr>
      <w:tr w14:paraId="257A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tblHeader/>
        </w:trPr>
        <w:tc>
          <w:tcPr>
            <w:tcW w:w="406" w:type="pct"/>
            <w:noWrap w:val="0"/>
            <w:vAlign w:val="center"/>
          </w:tcPr>
          <w:p w14:paraId="31AB60E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lang w:val="en-US" w:eastAsia="zh-CN"/>
              </w:rPr>
              <w:t>6</w:t>
            </w:r>
          </w:p>
        </w:tc>
        <w:tc>
          <w:tcPr>
            <w:tcW w:w="414" w:type="pct"/>
            <w:vMerge w:val="restart"/>
            <w:noWrap w:val="0"/>
            <w:vAlign w:val="center"/>
          </w:tcPr>
          <w:p w14:paraId="7429D5C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奖励补助</w:t>
            </w:r>
          </w:p>
        </w:tc>
        <w:tc>
          <w:tcPr>
            <w:tcW w:w="270" w:type="pct"/>
            <w:noWrap w:val="0"/>
            <w:vAlign w:val="center"/>
          </w:tcPr>
          <w:p w14:paraId="7DBD392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p w14:paraId="52999C0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货币补偿奖励</w:t>
            </w:r>
          </w:p>
          <w:p w14:paraId="3D98A30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noWrap w:val="0"/>
            <w:vAlign w:val="center"/>
          </w:tcPr>
          <w:p w14:paraId="47DFA1F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非住宅</w:t>
            </w:r>
          </w:p>
        </w:tc>
        <w:tc>
          <w:tcPr>
            <w:tcW w:w="1035" w:type="pct"/>
            <w:gridSpan w:val="2"/>
            <w:noWrap w:val="0"/>
            <w:vAlign w:val="center"/>
          </w:tcPr>
          <w:p w14:paraId="74B75A4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按被征收房屋评估价值的5%奖励</w:t>
            </w:r>
          </w:p>
        </w:tc>
        <w:tc>
          <w:tcPr>
            <w:tcW w:w="2221" w:type="pct"/>
            <w:noWrap w:val="0"/>
            <w:vAlign w:val="center"/>
          </w:tcPr>
          <w:p w14:paraId="3815ED07">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1.选择货币补偿方式的，给予货币补偿奖励。</w:t>
            </w:r>
          </w:p>
          <w:p w14:paraId="62463C30">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2.同一产权房屋中既有住宅又有非住宅的，分别根据评估价值计算货币补偿奖励。</w:t>
            </w:r>
          </w:p>
        </w:tc>
      </w:tr>
      <w:tr w14:paraId="15D4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blHeader/>
        </w:trPr>
        <w:tc>
          <w:tcPr>
            <w:tcW w:w="406" w:type="pct"/>
            <w:noWrap w:val="0"/>
            <w:vAlign w:val="center"/>
          </w:tcPr>
          <w:p w14:paraId="1006270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lang w:val="en-US" w:eastAsia="zh-CN"/>
              </w:rPr>
              <w:t>7</w:t>
            </w:r>
          </w:p>
        </w:tc>
        <w:tc>
          <w:tcPr>
            <w:tcW w:w="414" w:type="pct"/>
            <w:vMerge w:val="continue"/>
            <w:noWrap w:val="0"/>
            <w:vAlign w:val="center"/>
          </w:tcPr>
          <w:p w14:paraId="33DAE03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黑体_GBK" w:cs="Times New Roman"/>
                <w:color w:val="000000"/>
                <w:sz w:val="24"/>
                <w:szCs w:val="24"/>
              </w:rPr>
            </w:pPr>
          </w:p>
        </w:tc>
        <w:tc>
          <w:tcPr>
            <w:tcW w:w="270" w:type="pct"/>
            <w:noWrap w:val="0"/>
            <w:vAlign w:val="center"/>
          </w:tcPr>
          <w:p w14:paraId="38E353D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p w14:paraId="178DC45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单户提前签约奖励</w:t>
            </w:r>
          </w:p>
          <w:p w14:paraId="397DDD3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p>
        </w:tc>
        <w:tc>
          <w:tcPr>
            <w:tcW w:w="652" w:type="pct"/>
            <w:noWrap w:val="0"/>
            <w:vAlign w:val="center"/>
          </w:tcPr>
          <w:p w14:paraId="6D3FF0A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非住宅</w:t>
            </w:r>
          </w:p>
        </w:tc>
        <w:tc>
          <w:tcPr>
            <w:tcW w:w="1035" w:type="pct"/>
            <w:gridSpan w:val="2"/>
            <w:noWrap w:val="0"/>
            <w:vAlign w:val="center"/>
          </w:tcPr>
          <w:p w14:paraId="069D916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20元/平方米·日</w:t>
            </w:r>
          </w:p>
        </w:tc>
        <w:tc>
          <w:tcPr>
            <w:tcW w:w="2221" w:type="pct"/>
            <w:noWrap w:val="0"/>
            <w:vAlign w:val="center"/>
          </w:tcPr>
          <w:p w14:paraId="640487CC">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val="en-US" w:eastAsia="zh-CN"/>
              </w:rPr>
              <w:t>1.</w:t>
            </w:r>
            <w:r>
              <w:rPr>
                <w:rFonts w:hint="default" w:ascii="Times New Roman" w:hAnsi="Times New Roman" w:eastAsia="方正仿宋_GBK" w:cs="Times New Roman"/>
                <w:color w:val="000000"/>
                <w:sz w:val="24"/>
                <w:szCs w:val="24"/>
              </w:rPr>
              <w:t>提前天数自签约之日起计算，截至签约期限届满之日。</w:t>
            </w:r>
          </w:p>
          <w:p w14:paraId="1D424D4F">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2.同一产权房屋中既有住宅又有非住宅的，分别计算提前签约奖励。</w:t>
            </w:r>
          </w:p>
        </w:tc>
      </w:tr>
      <w:tr w14:paraId="055C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tblHeader/>
        </w:trPr>
        <w:tc>
          <w:tcPr>
            <w:tcW w:w="406" w:type="pct"/>
            <w:noWrap w:val="0"/>
            <w:vAlign w:val="center"/>
          </w:tcPr>
          <w:p w14:paraId="0C95082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lang w:eastAsia="zh-CN"/>
              </w:rPr>
            </w:pPr>
            <w:r>
              <w:rPr>
                <w:rFonts w:hint="default" w:ascii="Times New Roman" w:hAnsi="Times New Roman" w:eastAsia="方正仿宋_GBK" w:cs="Times New Roman"/>
                <w:color w:val="000000"/>
                <w:sz w:val="24"/>
                <w:szCs w:val="24"/>
                <w:lang w:val="en-US" w:eastAsia="zh-CN"/>
              </w:rPr>
              <w:t>8</w:t>
            </w:r>
          </w:p>
        </w:tc>
        <w:tc>
          <w:tcPr>
            <w:tcW w:w="414" w:type="pct"/>
            <w:vMerge w:val="continue"/>
            <w:noWrap w:val="0"/>
            <w:vAlign w:val="center"/>
          </w:tcPr>
          <w:p w14:paraId="580F80D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黑体_GBK" w:cs="Times New Roman"/>
                <w:color w:val="000000"/>
                <w:sz w:val="24"/>
                <w:szCs w:val="24"/>
              </w:rPr>
            </w:pPr>
          </w:p>
        </w:tc>
        <w:tc>
          <w:tcPr>
            <w:tcW w:w="270" w:type="pct"/>
            <w:noWrap w:val="0"/>
            <w:vAlign w:val="center"/>
          </w:tcPr>
          <w:p w14:paraId="55FC3A4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搬迁补助</w:t>
            </w:r>
          </w:p>
        </w:tc>
        <w:tc>
          <w:tcPr>
            <w:tcW w:w="652" w:type="pct"/>
            <w:noWrap w:val="0"/>
            <w:vAlign w:val="center"/>
          </w:tcPr>
          <w:p w14:paraId="0E103FB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非住宅</w:t>
            </w:r>
          </w:p>
        </w:tc>
        <w:tc>
          <w:tcPr>
            <w:tcW w:w="1035" w:type="pct"/>
            <w:gridSpan w:val="2"/>
            <w:noWrap w:val="0"/>
            <w:vAlign w:val="center"/>
          </w:tcPr>
          <w:p w14:paraId="7ACEA0B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1.商业、办公、业务用房：每户30元/平方米·次</w:t>
            </w:r>
          </w:p>
          <w:p w14:paraId="55F80F4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2.生产用房：每户40元/平方米·次</w:t>
            </w:r>
          </w:p>
        </w:tc>
        <w:tc>
          <w:tcPr>
            <w:tcW w:w="2221" w:type="pct"/>
            <w:noWrap w:val="0"/>
            <w:vAlign w:val="center"/>
          </w:tcPr>
          <w:p w14:paraId="2E5D8A8E">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val="en-US" w:eastAsia="zh-CN"/>
              </w:rPr>
              <w:t>1</w:t>
            </w:r>
            <w:r>
              <w:rPr>
                <w:rFonts w:hint="default" w:ascii="Times New Roman" w:hAnsi="Times New Roman" w:eastAsia="方正仿宋_GBK" w:cs="Times New Roman"/>
                <w:color w:val="000000"/>
                <w:sz w:val="24"/>
                <w:szCs w:val="24"/>
              </w:rPr>
              <w:t>.非住宅房屋给予1次搬迁补助。</w:t>
            </w:r>
          </w:p>
          <w:p w14:paraId="5C30305A">
            <w:pPr>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val="en-US" w:eastAsia="zh-CN"/>
              </w:rPr>
              <w:t>2</w:t>
            </w:r>
            <w:r>
              <w:rPr>
                <w:rFonts w:hint="default" w:ascii="Times New Roman" w:hAnsi="Times New Roman" w:eastAsia="方正仿宋_GBK" w:cs="Times New Roman"/>
                <w:color w:val="000000"/>
                <w:sz w:val="24"/>
                <w:szCs w:val="24"/>
              </w:rPr>
              <w:t>.同一产权房屋中既有住宅又有非住宅的，分别计算搬迁补助。</w:t>
            </w:r>
          </w:p>
        </w:tc>
      </w:tr>
    </w:tbl>
    <w:p w14:paraId="5CB794DD">
      <w:pPr>
        <w:keepNext w:val="0"/>
        <w:keepLines w:val="0"/>
        <w:pageBreakBefore w:val="0"/>
        <w:widowControl w:val="0"/>
        <w:kinsoku/>
        <w:wordWrap/>
        <w:overflowPunct/>
        <w:topLinePunct w:val="0"/>
        <w:autoSpaceDN/>
        <w:bidi w:val="0"/>
        <w:adjustRightInd/>
        <w:snapToGrid/>
        <w:spacing w:line="64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除有特别说明外，补偿和奖励标准</w:t>
      </w:r>
      <w:r>
        <w:rPr>
          <w:rFonts w:hint="default" w:ascii="Times New Roman" w:hAnsi="Times New Roman" w:eastAsia="方正仿宋_GBK" w:cs="Times New Roman"/>
          <w:color w:val="000000"/>
          <w:sz w:val="32"/>
          <w:szCs w:val="32"/>
        </w:rPr>
        <w:t>涉及的</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户</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指被征收房屋的产权户，</w:t>
      </w:r>
      <w:r>
        <w:rPr>
          <w:rFonts w:hint="default" w:ascii="Times New Roman" w:hAnsi="Times New Roman" w:eastAsia="方正仿宋_GBK" w:cs="Times New Roman"/>
          <w:color w:val="000000"/>
          <w:sz w:val="32"/>
          <w:szCs w:val="32"/>
        </w:rPr>
        <w:t>以合法有效的房屋产权证书计算。</w:t>
      </w:r>
    </w:p>
    <w:p w14:paraId="27F50C9E">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both"/>
        <w:textAlignment w:val="auto"/>
        <w:rPr>
          <w:rFonts w:hint="default" w:ascii="Times New Roman" w:hAnsi="Times New Roman" w:cs="Times New Roman"/>
        </w:rPr>
      </w:pPr>
      <w:r>
        <w:rPr>
          <w:rFonts w:hint="default" w:ascii="Times New Roman" w:hAnsi="Times New Roman" w:eastAsia="方正黑体_GBK" w:cs="Times New Roman"/>
          <w:sz w:val="32"/>
          <w:szCs w:val="32"/>
          <w:lang w:val="en-US" w:eastAsia="zh-CN"/>
        </w:rPr>
        <w:t>十、</w:t>
      </w:r>
      <w:r>
        <w:rPr>
          <w:rFonts w:hint="default" w:ascii="Times New Roman" w:hAnsi="Times New Roman" w:eastAsia="方正黑体_GBK" w:cs="Times New Roman"/>
          <w:sz w:val="32"/>
          <w:szCs w:val="32"/>
        </w:rPr>
        <w:t>产权调换房源</w:t>
      </w:r>
      <w:r>
        <w:rPr>
          <w:rFonts w:hint="default" w:ascii="Times New Roman" w:hAnsi="Times New Roman" w:eastAsia="方正黑体_GBK" w:cs="Times New Roman"/>
          <w:sz w:val="32"/>
          <w:szCs w:val="32"/>
          <w:lang w:val="en-US" w:eastAsia="zh-CN"/>
        </w:rPr>
        <w:t>地点、面积</w:t>
      </w:r>
      <w:r>
        <w:rPr>
          <w:rFonts w:hint="default" w:ascii="Times New Roman" w:hAnsi="Times New Roman" w:eastAsia="方正黑体_GBK" w:cs="Times New Roman"/>
          <w:sz w:val="32"/>
          <w:szCs w:val="32"/>
        </w:rPr>
        <w:t>及价格</w:t>
      </w:r>
      <w:r>
        <w:rPr>
          <w:rFonts w:hint="default" w:ascii="Times New Roman" w:hAnsi="Times New Roman" w:eastAsia="方正黑体_GBK" w:cs="Times New Roman"/>
          <w:sz w:val="32"/>
          <w:szCs w:val="32"/>
          <w:lang w:val="en-US" w:eastAsia="zh-CN"/>
        </w:rPr>
        <w:t>等情况</w:t>
      </w:r>
      <w:r>
        <w:rPr>
          <w:rFonts w:hint="default" w:ascii="Times New Roman" w:hAnsi="Times New Roman" w:eastAsia="方正黑体_GBK" w:cs="Times New Roman"/>
          <w:sz w:val="32"/>
          <w:szCs w:val="32"/>
        </w:rPr>
        <w:t>（详见附件）</w:t>
      </w:r>
    </w:p>
    <w:p w14:paraId="39B8D1EB">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方正黑体_GBK" w:cs="Times New Roman"/>
          <w:sz w:val="32"/>
          <w:szCs w:val="32"/>
          <w:lang w:val="en-US" w:eastAsia="zh-CN"/>
        </w:rPr>
        <w:t>一</w:t>
      </w:r>
      <w:r>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t>、方案制定单位</w:t>
      </w:r>
    </w:p>
    <w:p w14:paraId="11EBC6E3">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本方案制定单位为重庆高新技术产业开发区管理委员会建设局，通讯地址：重庆高新区高新大道</w:t>
      </w:r>
      <w:r>
        <w:rPr>
          <w:rFonts w:hint="default" w:ascii="Times New Roman" w:hAnsi="Times New Roman" w:eastAsia="方正仿宋_GBK" w:cs="Times New Roman"/>
          <w:sz w:val="32"/>
          <w:szCs w:val="32"/>
          <w:lang w:val="en-US" w:eastAsia="zh-CN"/>
        </w:rPr>
        <w:t>6号4号楼</w:t>
      </w:r>
      <w:r>
        <w:rPr>
          <w:rFonts w:hint="eastAsia" w:eastAsia="方正仿宋_GBK" w:cs="Times New Roman"/>
          <w:sz w:val="32"/>
          <w:szCs w:val="32"/>
          <w:lang w:val="en-US" w:eastAsia="zh-CN"/>
        </w:rPr>
        <w:t>318</w:t>
      </w:r>
      <w:r>
        <w:rPr>
          <w:rFonts w:hint="default" w:ascii="Times New Roman" w:hAnsi="Times New Roman" w:eastAsia="方正仿宋_GBK" w:cs="Times New Roman"/>
          <w:sz w:val="32"/>
          <w:szCs w:val="32"/>
          <w:lang w:val="en-US" w:eastAsia="zh-CN"/>
        </w:rPr>
        <w:t>室，联系电话：68609118</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w:t>
      </w:r>
    </w:p>
    <w:p w14:paraId="76C5BA58">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十</w:t>
      </w:r>
      <w:r>
        <w:rPr>
          <w:rFonts w:hint="eastAsia" w:eastAsia="方正黑体_GBK" w:cs="Times New Roman"/>
          <w:sz w:val="32"/>
          <w:szCs w:val="32"/>
          <w:lang w:val="en-US" w:eastAsia="zh-CN"/>
        </w:rPr>
        <w:t>二</w:t>
      </w:r>
      <w:r>
        <w:rPr>
          <w:rFonts w:hint="default" w:ascii="Times New Roman" w:hAnsi="Times New Roman" w:eastAsia="方正黑体_GBK" w:cs="Times New Roman"/>
          <w:sz w:val="32"/>
          <w:szCs w:val="32"/>
          <w:lang w:val="en-US" w:eastAsia="zh-CN"/>
        </w:rPr>
        <w:t>、</w:t>
      </w:r>
      <w:r>
        <w:rPr>
          <w:rFonts w:hint="eastAsia" w:eastAsia="方正黑体_GBK" w:cs="Times New Roman"/>
          <w:sz w:val="32"/>
          <w:szCs w:val="32"/>
          <w:lang w:val="en-US" w:eastAsia="zh-CN"/>
        </w:rPr>
        <w:t>其他</w:t>
      </w:r>
      <w:r>
        <w:rPr>
          <w:rFonts w:hint="default" w:ascii="Times New Roman" w:hAnsi="Times New Roman" w:eastAsia="方正黑体_GBK" w:cs="Times New Roman"/>
          <w:color w:val="000000"/>
          <w:sz w:val="32"/>
          <w:szCs w:val="32"/>
        </w:rPr>
        <w:t>事项</w:t>
      </w:r>
    </w:p>
    <w:p w14:paraId="434C2E57">
      <w:pPr>
        <w:pStyle w:val="2"/>
        <w:keepNext w:val="0"/>
        <w:keepLines w:val="0"/>
        <w:pageBreakBefore w:val="0"/>
        <w:widowControl w:val="0"/>
        <w:numPr>
          <w:ilvl w:val="0"/>
          <w:numId w:val="0"/>
        </w:numPr>
        <w:kinsoku/>
        <w:wordWrap/>
        <w:overflowPunct/>
        <w:topLinePunct w:val="0"/>
        <w:bidi w:val="0"/>
        <w:snapToGrid/>
        <w:spacing w:line="640" w:lineRule="exact"/>
        <w:ind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rPr>
        <w:t>本方案中未予明确规定的事项，按照</w:t>
      </w:r>
      <w:r>
        <w:rPr>
          <w:rFonts w:hint="default" w:ascii="Times New Roman" w:hAnsi="Times New Roman" w:eastAsia="方正仿宋_GBK" w:cs="Times New Roman"/>
          <w:color w:val="000000"/>
          <w:sz w:val="32"/>
          <w:szCs w:val="32"/>
        </w:rPr>
        <w:t>国家相关法律法规和重庆市、重庆高新区</w:t>
      </w:r>
      <w:r>
        <w:rPr>
          <w:rFonts w:hint="default" w:ascii="Times New Roman" w:hAnsi="Times New Roman" w:eastAsia="方正仿宋_GBK" w:cs="Times New Roman"/>
          <w:color w:val="000000"/>
          <w:sz w:val="32"/>
          <w:szCs w:val="32"/>
          <w:lang w:val="en-US" w:eastAsia="zh-CN"/>
        </w:rPr>
        <w:t>国有土地上房屋征收</w:t>
      </w:r>
      <w:r>
        <w:rPr>
          <w:rFonts w:hint="default" w:ascii="Times New Roman" w:hAnsi="Times New Roman" w:eastAsia="方正仿宋_GBK" w:cs="Times New Roman"/>
          <w:color w:val="000000"/>
          <w:sz w:val="32"/>
          <w:szCs w:val="32"/>
        </w:rPr>
        <w:t>相关政策文件执行。</w:t>
      </w:r>
    </w:p>
    <w:p w14:paraId="3024A9FA">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仿宋_GBK" w:cs="Times New Roman"/>
          <w:color w:val="000000"/>
          <w:sz w:val="32"/>
          <w:szCs w:val="32"/>
        </w:rPr>
      </w:pPr>
    </w:p>
    <w:p w14:paraId="682FF70E">
      <w:pPr>
        <w:keepNext w:val="0"/>
        <w:keepLines w:val="0"/>
        <w:pageBreakBefore w:val="0"/>
        <w:widowControl w:val="0"/>
        <w:kinsoku/>
        <w:wordWrap/>
        <w:overflowPunct/>
        <w:topLinePunct w:val="0"/>
        <w:bidi w:val="0"/>
        <w:snapToGrid/>
        <w:spacing w:line="640" w:lineRule="exact"/>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rPr>
        <w:t>附件：</w:t>
      </w:r>
      <w:r>
        <w:rPr>
          <w:rFonts w:hint="eastAsia" w:eastAsia="方正仿宋_GBK" w:cs="Times New Roman"/>
          <w:color w:val="000000"/>
          <w:sz w:val="32"/>
          <w:szCs w:val="32"/>
          <w:lang w:eastAsia="zh-CN"/>
        </w:rPr>
        <w:t>轨道交通</w:t>
      </w:r>
      <w:r>
        <w:rPr>
          <w:rFonts w:hint="eastAsia" w:eastAsia="方正仿宋_GBK" w:cs="Times New Roman"/>
          <w:color w:val="000000"/>
          <w:sz w:val="32"/>
          <w:szCs w:val="32"/>
          <w:lang w:val="en-US" w:eastAsia="zh-CN"/>
        </w:rPr>
        <w:t>7号线建设工程</w:t>
      </w:r>
      <w:r>
        <w:rPr>
          <w:rFonts w:hint="default" w:ascii="Times New Roman" w:hAnsi="Times New Roman" w:eastAsia="方正仿宋_GBK" w:cs="Times New Roman"/>
          <w:sz w:val="32"/>
          <w:szCs w:val="32"/>
        </w:rPr>
        <w:t>国有土地上房屋征收项目</w:t>
      </w:r>
    </w:p>
    <w:p w14:paraId="7103769D">
      <w:pPr>
        <w:keepNext w:val="0"/>
        <w:keepLines w:val="0"/>
        <w:pageBreakBefore w:val="0"/>
        <w:widowControl w:val="0"/>
        <w:kinsoku/>
        <w:wordWrap/>
        <w:overflowPunct/>
        <w:topLinePunct w:val="0"/>
        <w:bidi w:val="0"/>
        <w:snapToGrid/>
        <w:spacing w:line="640" w:lineRule="exact"/>
        <w:ind w:firstLine="1600" w:firstLineChars="5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sz w:val="32"/>
          <w:szCs w:val="32"/>
        </w:rPr>
        <w:t>产权调换房源明细</w:t>
      </w:r>
      <w:r>
        <w:rPr>
          <w:rFonts w:hint="default" w:ascii="Times New Roman" w:hAnsi="Times New Roman" w:eastAsia="方正仿宋_GBK" w:cs="Times New Roman"/>
          <w:color w:val="000000"/>
          <w:kern w:val="0"/>
          <w:sz w:val="32"/>
          <w:szCs w:val="32"/>
        </w:rPr>
        <w:t xml:space="preserve"> </w:t>
      </w:r>
    </w:p>
    <w:p w14:paraId="4B2B8708">
      <w:pPr>
        <w:keepNext w:val="0"/>
        <w:keepLines w:val="0"/>
        <w:pageBreakBefore w:val="0"/>
        <w:widowControl w:val="0"/>
        <w:kinsoku/>
        <w:overflowPunct/>
        <w:topLinePunct w:val="0"/>
        <w:autoSpaceDE/>
        <w:autoSpaceDN/>
        <w:bidi w:val="0"/>
        <w:adjustRightInd/>
        <w:snapToGrid/>
        <w:spacing w:line="640" w:lineRule="exact"/>
        <w:textAlignment w:val="auto"/>
        <w:rPr>
          <w:rFonts w:hint="default" w:ascii="Times New Roman" w:hAnsi="Times New Roman" w:eastAsia="方正仿宋_GBK" w:cs="Times New Roman"/>
          <w:color w:val="000000"/>
          <w:sz w:val="32"/>
          <w:szCs w:val="32"/>
        </w:rPr>
      </w:pPr>
    </w:p>
    <w:p w14:paraId="29CAA16C">
      <w:pPr>
        <w:pStyle w:val="2"/>
        <w:keepNext w:val="0"/>
        <w:keepLines w:val="0"/>
        <w:pageBreakBefore w:val="0"/>
        <w:widowControl w:val="0"/>
        <w:kinsoku/>
        <w:overflowPunct/>
        <w:topLinePunct w:val="0"/>
        <w:bidi w:val="0"/>
        <w:snapToGrid/>
        <w:textAlignment w:val="auto"/>
        <w:rPr>
          <w:rFonts w:hint="default" w:ascii="Times New Roman" w:hAnsi="Times New Roman" w:eastAsia="方正仿宋_GBK" w:cs="Times New Roman"/>
          <w:color w:val="000000"/>
          <w:sz w:val="32"/>
          <w:szCs w:val="32"/>
        </w:rPr>
      </w:pPr>
    </w:p>
    <w:p w14:paraId="1367F2BB">
      <w:pPr>
        <w:pStyle w:val="2"/>
        <w:keepNext w:val="0"/>
        <w:keepLines w:val="0"/>
        <w:pageBreakBefore w:val="0"/>
        <w:widowControl w:val="0"/>
        <w:kinsoku/>
        <w:overflowPunct/>
        <w:topLinePunct w:val="0"/>
        <w:bidi w:val="0"/>
        <w:snapToGrid/>
        <w:textAlignment w:val="auto"/>
        <w:rPr>
          <w:rFonts w:hint="default" w:ascii="Times New Roman" w:hAnsi="Times New Roman" w:eastAsia="方正仿宋_GBK" w:cs="Times New Roman"/>
          <w:color w:val="000000"/>
          <w:sz w:val="32"/>
          <w:szCs w:val="32"/>
        </w:rPr>
      </w:pPr>
    </w:p>
    <w:p w14:paraId="5A1BD957">
      <w:pPr>
        <w:keepNext w:val="0"/>
        <w:keepLines w:val="0"/>
        <w:pageBreakBefore w:val="0"/>
        <w:widowControl w:val="0"/>
        <w:kinsoku/>
        <w:wordWrap w:val="0"/>
        <w:overflowPunct/>
        <w:topLinePunct w:val="0"/>
        <w:autoSpaceDE/>
        <w:autoSpaceDN/>
        <w:bidi w:val="0"/>
        <w:adjustRightInd/>
        <w:snapToGrid/>
        <w:spacing w:line="640" w:lineRule="exact"/>
        <w:ind w:right="480"/>
        <w:jc w:val="right"/>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xml:space="preserve">      </w:t>
      </w:r>
      <w:r>
        <w:rPr>
          <w:rFonts w:hint="eastAsia" w:eastAsia="方正仿宋_GBK" w:cs="Times New Roman"/>
          <w:color w:val="000000"/>
          <w:kern w:val="0"/>
          <w:sz w:val="32"/>
          <w:szCs w:val="32"/>
          <w:lang w:val="en-US" w:eastAsia="zh-CN"/>
        </w:rPr>
        <w:t xml:space="preserve">    </w:t>
      </w:r>
      <w:r>
        <w:rPr>
          <w:rFonts w:hint="default" w:ascii="Times New Roman" w:hAnsi="Times New Roman" w:eastAsia="方正仿宋_GBK" w:cs="Times New Roman"/>
          <w:color w:val="000000"/>
          <w:kern w:val="0"/>
          <w:sz w:val="32"/>
          <w:szCs w:val="32"/>
        </w:rPr>
        <w:t xml:space="preserve"> 重庆高新区管委会</w:t>
      </w:r>
    </w:p>
    <w:p w14:paraId="2915734D">
      <w:pPr>
        <w:keepNext w:val="0"/>
        <w:keepLines w:val="0"/>
        <w:pageBreakBefore w:val="0"/>
        <w:widowControl w:val="0"/>
        <w:kinsoku/>
        <w:overflowPunct/>
        <w:topLinePunct w:val="0"/>
        <w:autoSpaceDE/>
        <w:autoSpaceDN/>
        <w:bidi w:val="0"/>
        <w:adjustRightInd/>
        <w:snapToGrid/>
        <w:spacing w:line="640" w:lineRule="exact"/>
        <w:ind w:firstLine="6080" w:firstLineChars="1900"/>
        <w:textAlignment w:val="auto"/>
        <w:rPr>
          <w:rFonts w:hint="default" w:ascii="Times New Roman" w:hAnsi="Times New Roman" w:eastAsia="方正仿宋_GBK" w:cs="Times New Roman"/>
          <w:color w:val="000000"/>
          <w:kern w:val="0"/>
          <w:sz w:val="32"/>
          <w:szCs w:val="32"/>
        </w:rPr>
        <w:sectPr>
          <w:footerReference r:id="rId5" w:type="default"/>
          <w:pgSz w:w="11906" w:h="16838"/>
          <w:pgMar w:top="2098" w:right="1531" w:bottom="1984" w:left="1531" w:header="851" w:footer="1531" w:gutter="0"/>
          <w:pgNumType w:fmt="decimal"/>
          <w:cols w:space="720" w:num="1"/>
          <w:docGrid w:type="lines" w:linePitch="312" w:charSpace="0"/>
        </w:sectPr>
      </w:pPr>
      <w:r>
        <w:rPr>
          <w:rFonts w:hint="default" w:ascii="Times New Roman" w:hAnsi="Times New Roman" w:eastAsia="方正仿宋_GBK" w:cs="Times New Roman"/>
          <w:color w:val="000000"/>
          <w:kern w:val="0"/>
          <w:sz w:val="32"/>
          <w:szCs w:val="32"/>
        </w:rPr>
        <w:t>202</w:t>
      </w:r>
      <w:r>
        <w:rPr>
          <w:rFonts w:hint="eastAsia" w:eastAsia="方正仿宋_GBK" w:cs="Times New Roman"/>
          <w:color w:val="000000"/>
          <w:kern w:val="0"/>
          <w:sz w:val="32"/>
          <w:szCs w:val="32"/>
          <w:lang w:val="en-US" w:eastAsia="zh-CN"/>
        </w:rPr>
        <w:t>5</w:t>
      </w:r>
      <w:r>
        <w:rPr>
          <w:rFonts w:hint="default" w:ascii="Times New Roman" w:hAnsi="Times New Roman" w:eastAsia="方正仿宋_GBK" w:cs="Times New Roman"/>
          <w:color w:val="000000"/>
          <w:kern w:val="0"/>
          <w:sz w:val="32"/>
          <w:szCs w:val="32"/>
        </w:rPr>
        <w:t>年</w:t>
      </w:r>
      <w:r>
        <w:rPr>
          <w:rFonts w:hint="eastAsia" w:eastAsia="方正仿宋_GBK" w:cs="Times New Roman"/>
          <w:color w:val="000000"/>
          <w:kern w:val="0"/>
          <w:sz w:val="32"/>
          <w:szCs w:val="32"/>
          <w:lang w:val="en-US" w:eastAsia="zh-CN"/>
        </w:rPr>
        <w:t>3</w:t>
      </w:r>
      <w:r>
        <w:rPr>
          <w:rFonts w:hint="default" w:ascii="Times New Roman" w:hAnsi="Times New Roman" w:eastAsia="方正仿宋_GBK" w:cs="Times New Roman"/>
          <w:color w:val="000000"/>
          <w:kern w:val="0"/>
          <w:sz w:val="32"/>
          <w:szCs w:val="32"/>
        </w:rPr>
        <w:t>月</w:t>
      </w:r>
      <w:r>
        <w:rPr>
          <w:rFonts w:hint="eastAsia" w:eastAsia="方正仿宋_GBK" w:cs="Times New Roman"/>
          <w:color w:val="000000"/>
          <w:kern w:val="2"/>
          <w:sz w:val="32"/>
          <w:szCs w:val="32"/>
          <w:lang w:val="en-US" w:eastAsia="zh-CN" w:bidi="ar-SA"/>
        </w:rPr>
        <w:t>19</w:t>
      </w:r>
      <w:r>
        <w:rPr>
          <w:rFonts w:hint="default" w:ascii="Times New Roman" w:hAnsi="Times New Roman" w:eastAsia="方正仿宋_GBK" w:cs="Times New Roman"/>
          <w:color w:val="000000"/>
          <w:kern w:val="0"/>
          <w:sz w:val="32"/>
          <w:szCs w:val="32"/>
        </w:rPr>
        <w:t>日</w:t>
      </w:r>
    </w:p>
    <w:p w14:paraId="5A2CE183">
      <w:pPr>
        <w:keepNext w:val="0"/>
        <w:keepLines w:val="0"/>
        <w:pageBreakBefore w:val="0"/>
        <w:widowControl w:val="0"/>
        <w:kinsoku/>
        <w:overflowPunct/>
        <w:topLinePunct w:val="0"/>
        <w:bidi w:val="0"/>
        <w:snapToGrid/>
        <w:spacing w:line="440" w:lineRule="exact"/>
        <w:ind w:left="0" w:leftChars="0" w:firstLine="0" w:firstLineChars="0"/>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附件</w:t>
      </w:r>
    </w:p>
    <w:p w14:paraId="26DAD334">
      <w:pPr>
        <w:pStyle w:val="2"/>
        <w:rPr>
          <w:rFonts w:hint="default" w:ascii="Times New Roman" w:hAnsi="Times New Roman" w:cs="Times New Roman"/>
        </w:rPr>
      </w:pPr>
    </w:p>
    <w:p w14:paraId="0A19058B">
      <w:pPr>
        <w:keepNext w:val="0"/>
        <w:keepLines w:val="0"/>
        <w:pageBreakBefore w:val="0"/>
        <w:widowControl w:val="0"/>
        <w:kinsoku/>
        <w:overflowPunct/>
        <w:topLinePunct w:val="0"/>
        <w:bidi w:val="0"/>
        <w:snapToGrid/>
        <w:spacing w:line="440" w:lineRule="exact"/>
        <w:jc w:val="center"/>
        <w:rPr>
          <w:rFonts w:hint="default" w:ascii="Times New Roman" w:hAnsi="Times New Roman" w:eastAsia="方正小标宋_GBK" w:cs="Times New Roman"/>
          <w:color w:val="000000" w:themeColor="text1"/>
          <w:sz w:val="44"/>
          <w:szCs w:val="44"/>
          <w14:textFill>
            <w14:solidFill>
              <w14:schemeClr w14:val="tx1"/>
            </w14:solidFill>
          </w14:textFill>
        </w:rPr>
      </w:pPr>
      <w:r>
        <w:rPr>
          <w:rFonts w:hint="eastAsia" w:eastAsia="方正小标宋_GBK" w:cs="Times New Roman"/>
          <w:sz w:val="44"/>
          <w:szCs w:val="44"/>
          <w:lang w:eastAsia="zh-CN"/>
        </w:rPr>
        <w:t>轨道交通</w:t>
      </w:r>
      <w:r>
        <w:rPr>
          <w:rFonts w:hint="eastAsia" w:eastAsia="方正小标宋_GBK" w:cs="Times New Roman"/>
          <w:sz w:val="44"/>
          <w:szCs w:val="44"/>
          <w:lang w:val="en-US" w:eastAsia="zh-CN"/>
        </w:rPr>
        <w:t>7号线建设工程</w:t>
      </w:r>
      <w:r>
        <w:rPr>
          <w:rFonts w:hint="default" w:ascii="Times New Roman" w:hAnsi="Times New Roman" w:eastAsia="方正小标宋_GBK" w:cs="Times New Roman"/>
          <w:color w:val="000000" w:themeColor="text1"/>
          <w:sz w:val="44"/>
          <w:szCs w:val="44"/>
          <w14:textFill>
            <w14:solidFill>
              <w14:schemeClr w14:val="tx1"/>
            </w14:solidFill>
          </w14:textFill>
        </w:rPr>
        <w:t>国有土地上房屋征收项目</w:t>
      </w:r>
    </w:p>
    <w:p w14:paraId="1E3AFB4E">
      <w:pPr>
        <w:keepNext w:val="0"/>
        <w:keepLines w:val="0"/>
        <w:pageBreakBefore w:val="0"/>
        <w:widowControl w:val="0"/>
        <w:kinsoku/>
        <w:overflowPunct/>
        <w:topLinePunct w:val="0"/>
        <w:bidi w:val="0"/>
        <w:snapToGrid/>
        <w:spacing w:line="440" w:lineRule="exact"/>
        <w:jc w:val="center"/>
        <w:rPr>
          <w:rFonts w:hint="default" w:ascii="Times New Roman" w:hAnsi="Times New Roman" w:eastAsia="方正小标宋_GBK" w:cs="Times New Roman"/>
          <w:color w:val="000000" w:themeColor="text1"/>
          <w:sz w:val="44"/>
          <w:szCs w:val="44"/>
          <w14:textFill>
            <w14:solidFill>
              <w14:schemeClr w14:val="tx1"/>
            </w14:solidFill>
          </w14:textFill>
        </w:rPr>
      </w:pPr>
      <w:r>
        <w:rPr>
          <w:rFonts w:hint="default" w:ascii="Times New Roman" w:hAnsi="Times New Roman" w:eastAsia="方正小标宋_GBK" w:cs="Times New Roman"/>
          <w:color w:val="000000" w:themeColor="text1"/>
          <w:sz w:val="44"/>
          <w:szCs w:val="44"/>
          <w14:textFill>
            <w14:solidFill>
              <w14:schemeClr w14:val="tx1"/>
            </w14:solidFill>
          </w14:textFill>
        </w:rPr>
        <w:t>产权调换房源明细</w:t>
      </w:r>
    </w:p>
    <w:p w14:paraId="011D294B">
      <w:pPr>
        <w:keepNext w:val="0"/>
        <w:keepLines w:val="0"/>
        <w:pageBreakBefore w:val="0"/>
        <w:widowControl w:val="0"/>
        <w:kinsoku/>
        <w:overflowPunct/>
        <w:topLinePunct w:val="0"/>
        <w:bidi w:val="0"/>
        <w:snapToGrid/>
        <w:spacing w:line="440" w:lineRule="exact"/>
        <w:jc w:val="center"/>
        <w:rPr>
          <w:rFonts w:hint="default" w:ascii="Times New Roman" w:hAnsi="Times New Roman" w:eastAsia="方正楷体_GBK" w:cs="Times New Roman"/>
          <w:bCs/>
          <w:color w:val="000000" w:themeColor="text1"/>
          <w:kern w:val="0"/>
          <w:sz w:val="28"/>
          <w:szCs w:val="32"/>
          <w14:textFill>
            <w14:solidFill>
              <w14:schemeClr w14:val="tx1"/>
            </w14:solidFill>
          </w14:textFill>
        </w:rPr>
      </w:pPr>
      <w:r>
        <w:rPr>
          <w:rFonts w:hint="default" w:ascii="Times New Roman" w:hAnsi="Times New Roman" w:eastAsia="方正楷体_GBK" w:cs="Times New Roman"/>
          <w:bCs/>
          <w:color w:val="000000" w:themeColor="text1"/>
          <w:kern w:val="0"/>
          <w:sz w:val="28"/>
          <w:szCs w:val="32"/>
          <w14:textFill>
            <w14:solidFill>
              <w14:schemeClr w14:val="tx1"/>
            </w14:solidFill>
          </w14:textFill>
        </w:rPr>
        <w:t>（房屋接房时面积以有资质的测绘单位出具的测绘报告为准）</w:t>
      </w:r>
    </w:p>
    <w:tbl>
      <w:tblPr>
        <w:tblStyle w:val="9"/>
        <w:tblW w:w="5196" w:type="pct"/>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452"/>
        <w:gridCol w:w="810"/>
        <w:gridCol w:w="823"/>
        <w:gridCol w:w="1622"/>
        <w:gridCol w:w="521"/>
        <w:gridCol w:w="2693"/>
        <w:gridCol w:w="704"/>
        <w:gridCol w:w="1198"/>
        <w:gridCol w:w="1230"/>
        <w:gridCol w:w="1201"/>
        <w:gridCol w:w="699"/>
      </w:tblGrid>
      <w:tr w14:paraId="1AF5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6" w:type="pct"/>
            <w:vAlign w:val="center"/>
          </w:tcPr>
          <w:p w14:paraId="6923A3B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序号</w:t>
            </w:r>
          </w:p>
        </w:tc>
        <w:tc>
          <w:tcPr>
            <w:tcW w:w="538" w:type="pct"/>
            <w:vAlign w:val="center"/>
          </w:tcPr>
          <w:p w14:paraId="174D2C4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产权调换房屋名称</w:t>
            </w:r>
          </w:p>
        </w:tc>
        <w:tc>
          <w:tcPr>
            <w:tcW w:w="300" w:type="pct"/>
            <w:vAlign w:val="center"/>
          </w:tcPr>
          <w:p w14:paraId="06A8767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房屋类型</w:t>
            </w:r>
          </w:p>
        </w:tc>
        <w:tc>
          <w:tcPr>
            <w:tcW w:w="305" w:type="pct"/>
            <w:vAlign w:val="center"/>
          </w:tcPr>
          <w:p w14:paraId="07D652F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房屋用途</w:t>
            </w:r>
          </w:p>
        </w:tc>
        <w:tc>
          <w:tcPr>
            <w:tcW w:w="601" w:type="pct"/>
            <w:vAlign w:val="center"/>
          </w:tcPr>
          <w:p w14:paraId="443947A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kern w:val="0"/>
                <w:sz w:val="24"/>
                <w:szCs w:val="24"/>
              </w:rPr>
            </w:pPr>
            <w:r>
              <w:rPr>
                <w:rFonts w:hint="eastAsia" w:ascii="方正黑体_GBK" w:hAnsi="方正黑体_GBK" w:eastAsia="方正黑体_GBK" w:cs="方正黑体_GBK"/>
                <w:color w:val="000000"/>
                <w:kern w:val="0"/>
                <w:sz w:val="24"/>
                <w:szCs w:val="24"/>
              </w:rPr>
              <w:t>产权调换房屋预评估单价（</w:t>
            </w:r>
            <w:r>
              <w:rPr>
                <w:rFonts w:hint="eastAsia" w:ascii="方正黑体_GBK" w:hAnsi="方正黑体_GBK" w:eastAsia="方正黑体_GBK" w:cs="方正黑体_GBK"/>
                <w:color w:val="000000"/>
                <w:sz w:val="24"/>
                <w:szCs w:val="24"/>
              </w:rPr>
              <w:t>元/m²</w:t>
            </w:r>
            <w:r>
              <w:rPr>
                <w:rFonts w:hint="eastAsia" w:ascii="方正黑体_GBK" w:hAnsi="方正黑体_GBK" w:eastAsia="方正黑体_GBK" w:cs="方正黑体_GBK"/>
                <w:color w:val="000000"/>
                <w:kern w:val="0"/>
                <w:sz w:val="24"/>
                <w:szCs w:val="24"/>
              </w:rPr>
              <w:t>）</w:t>
            </w:r>
          </w:p>
        </w:tc>
        <w:tc>
          <w:tcPr>
            <w:tcW w:w="193" w:type="pct"/>
            <w:vAlign w:val="center"/>
          </w:tcPr>
          <w:p w14:paraId="647F033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栋号</w:t>
            </w:r>
          </w:p>
        </w:tc>
        <w:tc>
          <w:tcPr>
            <w:tcW w:w="998" w:type="pct"/>
            <w:vAlign w:val="center"/>
          </w:tcPr>
          <w:p w14:paraId="77AC747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kern w:val="0"/>
                <w:sz w:val="24"/>
                <w:szCs w:val="24"/>
              </w:rPr>
            </w:pPr>
            <w:r>
              <w:rPr>
                <w:rFonts w:hint="eastAsia" w:ascii="方正黑体_GBK" w:hAnsi="方正黑体_GBK" w:eastAsia="方正黑体_GBK" w:cs="方正黑体_GBK"/>
                <w:color w:val="000000"/>
                <w:kern w:val="0"/>
                <w:sz w:val="24"/>
                <w:szCs w:val="24"/>
              </w:rPr>
              <w:t>套号</w:t>
            </w:r>
          </w:p>
        </w:tc>
        <w:tc>
          <w:tcPr>
            <w:tcW w:w="261" w:type="pct"/>
            <w:vAlign w:val="center"/>
          </w:tcPr>
          <w:p w14:paraId="2DFC8DE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户型</w:t>
            </w:r>
          </w:p>
        </w:tc>
        <w:tc>
          <w:tcPr>
            <w:tcW w:w="444" w:type="pct"/>
            <w:vAlign w:val="center"/>
          </w:tcPr>
          <w:p w14:paraId="4CDD029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建筑面积（㎡）</w:t>
            </w:r>
          </w:p>
        </w:tc>
        <w:tc>
          <w:tcPr>
            <w:tcW w:w="456" w:type="pct"/>
            <w:vAlign w:val="center"/>
          </w:tcPr>
          <w:p w14:paraId="55B8C6E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lang w:eastAsia="zh-CN"/>
              </w:rPr>
            </w:pPr>
            <w:r>
              <w:rPr>
                <w:rFonts w:hint="eastAsia" w:ascii="方正黑体_GBK" w:hAnsi="方正黑体_GBK" w:eastAsia="方正黑体_GBK" w:cs="方正黑体_GBK"/>
                <w:color w:val="000000"/>
                <w:kern w:val="0"/>
                <w:sz w:val="24"/>
                <w:szCs w:val="24"/>
              </w:rPr>
              <w:t>套内面积</w:t>
            </w:r>
            <w:r>
              <w:rPr>
                <w:rFonts w:hint="eastAsia" w:ascii="方正黑体_GBK" w:hAnsi="方正黑体_GBK" w:eastAsia="方正黑体_GBK" w:cs="方正黑体_GBK"/>
                <w:color w:val="000000"/>
                <w:kern w:val="0"/>
                <w:sz w:val="24"/>
                <w:szCs w:val="24"/>
                <w:lang w:eastAsia="zh-CN"/>
              </w:rPr>
              <w:t>（</w:t>
            </w:r>
            <w:r>
              <w:rPr>
                <w:rFonts w:hint="eastAsia" w:ascii="方正黑体_GBK" w:hAnsi="方正黑体_GBK" w:eastAsia="方正黑体_GBK" w:cs="方正黑体_GBK"/>
                <w:color w:val="000000"/>
                <w:kern w:val="0"/>
                <w:sz w:val="24"/>
                <w:szCs w:val="24"/>
              </w:rPr>
              <w:t>㎡</w:t>
            </w:r>
            <w:r>
              <w:rPr>
                <w:rFonts w:hint="eastAsia" w:ascii="方正黑体_GBK" w:hAnsi="方正黑体_GBK" w:eastAsia="方正黑体_GBK" w:cs="方正黑体_GBK"/>
                <w:color w:val="000000"/>
                <w:kern w:val="0"/>
                <w:sz w:val="24"/>
                <w:szCs w:val="24"/>
                <w:lang w:eastAsia="zh-CN"/>
              </w:rPr>
              <w:t>）</w:t>
            </w:r>
          </w:p>
        </w:tc>
        <w:tc>
          <w:tcPr>
            <w:tcW w:w="445" w:type="pct"/>
            <w:vAlign w:val="center"/>
          </w:tcPr>
          <w:p w14:paraId="2CB43FC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公摊面积（㎡）</w:t>
            </w:r>
          </w:p>
        </w:tc>
        <w:tc>
          <w:tcPr>
            <w:tcW w:w="259" w:type="pct"/>
            <w:vAlign w:val="center"/>
          </w:tcPr>
          <w:p w14:paraId="1A005CD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备注</w:t>
            </w:r>
          </w:p>
        </w:tc>
      </w:tr>
      <w:tr w14:paraId="1210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96" w:type="pct"/>
            <w:vAlign w:val="center"/>
          </w:tcPr>
          <w:p w14:paraId="518B7670">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1</w:t>
            </w:r>
          </w:p>
        </w:tc>
        <w:tc>
          <w:tcPr>
            <w:tcW w:w="538" w:type="pct"/>
            <w:vMerge w:val="restart"/>
            <w:vAlign w:val="center"/>
          </w:tcPr>
          <w:p w14:paraId="6E4B93DB">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裕安佳园</w:t>
            </w:r>
          </w:p>
        </w:tc>
        <w:tc>
          <w:tcPr>
            <w:tcW w:w="300" w:type="pct"/>
            <w:vMerge w:val="restart"/>
            <w:vAlign w:val="center"/>
          </w:tcPr>
          <w:p w14:paraId="64742B59">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现房</w:t>
            </w:r>
          </w:p>
        </w:tc>
        <w:tc>
          <w:tcPr>
            <w:tcW w:w="305" w:type="pct"/>
            <w:vMerge w:val="restart"/>
            <w:vAlign w:val="center"/>
          </w:tcPr>
          <w:p w14:paraId="57AFD9A9">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住宅</w:t>
            </w:r>
          </w:p>
        </w:tc>
        <w:tc>
          <w:tcPr>
            <w:tcW w:w="601" w:type="pct"/>
            <w:vMerge w:val="restart"/>
            <w:vAlign w:val="center"/>
          </w:tcPr>
          <w:p w14:paraId="103E0A8E">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highlight w:val="yellow"/>
              </w:rPr>
            </w:pPr>
            <w:r>
              <w:rPr>
                <w:rFonts w:hint="default" w:ascii="Times New Roman" w:hAnsi="Times New Roman" w:eastAsia="方正仿宋_GBK" w:cs="Times New Roman"/>
                <w:color w:val="000000"/>
                <w:sz w:val="24"/>
              </w:rPr>
              <w:t>7950</w:t>
            </w:r>
          </w:p>
        </w:tc>
        <w:tc>
          <w:tcPr>
            <w:tcW w:w="193" w:type="pct"/>
            <w:vMerge w:val="restart"/>
            <w:vAlign w:val="center"/>
          </w:tcPr>
          <w:p w14:paraId="37279B1D">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3栋</w:t>
            </w:r>
          </w:p>
        </w:tc>
        <w:tc>
          <w:tcPr>
            <w:tcW w:w="998" w:type="pct"/>
            <w:vAlign w:val="center"/>
          </w:tcPr>
          <w:p w14:paraId="057683DA">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2号房（4、5、7层）</w:t>
            </w:r>
          </w:p>
        </w:tc>
        <w:tc>
          <w:tcPr>
            <w:tcW w:w="261" w:type="pct"/>
            <w:vAlign w:val="center"/>
          </w:tcPr>
          <w:p w14:paraId="2EACED48">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两室</w:t>
            </w:r>
          </w:p>
        </w:tc>
        <w:tc>
          <w:tcPr>
            <w:tcW w:w="444" w:type="pct"/>
            <w:vAlign w:val="center"/>
          </w:tcPr>
          <w:p w14:paraId="3B17A7A4">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66.28</w:t>
            </w:r>
          </w:p>
        </w:tc>
        <w:tc>
          <w:tcPr>
            <w:tcW w:w="456" w:type="pct"/>
            <w:vAlign w:val="center"/>
          </w:tcPr>
          <w:p w14:paraId="1587192B">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52.65</w:t>
            </w:r>
          </w:p>
        </w:tc>
        <w:tc>
          <w:tcPr>
            <w:tcW w:w="445" w:type="pct"/>
            <w:vAlign w:val="center"/>
          </w:tcPr>
          <w:p w14:paraId="7ADD513F">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13.63</w:t>
            </w:r>
          </w:p>
        </w:tc>
        <w:tc>
          <w:tcPr>
            <w:tcW w:w="259" w:type="pct"/>
            <w:vAlign w:val="center"/>
          </w:tcPr>
          <w:p w14:paraId="1782DACC">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r>
      <w:tr w14:paraId="3214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6" w:type="pct"/>
            <w:vAlign w:val="center"/>
          </w:tcPr>
          <w:p w14:paraId="1B9D949E">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2</w:t>
            </w:r>
          </w:p>
        </w:tc>
        <w:tc>
          <w:tcPr>
            <w:tcW w:w="538" w:type="pct"/>
            <w:vMerge w:val="continue"/>
            <w:vAlign w:val="center"/>
          </w:tcPr>
          <w:p w14:paraId="075B2B06">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300" w:type="pct"/>
            <w:vMerge w:val="continue"/>
            <w:vAlign w:val="center"/>
          </w:tcPr>
          <w:p w14:paraId="4F8E2C71">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FF0000"/>
                <w:sz w:val="24"/>
              </w:rPr>
            </w:pPr>
          </w:p>
        </w:tc>
        <w:tc>
          <w:tcPr>
            <w:tcW w:w="305" w:type="pct"/>
            <w:vMerge w:val="continue"/>
            <w:vAlign w:val="center"/>
          </w:tcPr>
          <w:p w14:paraId="1C4BCBC9">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601" w:type="pct"/>
            <w:vMerge w:val="continue"/>
            <w:vAlign w:val="center"/>
          </w:tcPr>
          <w:p w14:paraId="22D5A49B">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highlight w:val="yellow"/>
              </w:rPr>
            </w:pPr>
          </w:p>
        </w:tc>
        <w:tc>
          <w:tcPr>
            <w:tcW w:w="193" w:type="pct"/>
            <w:vMerge w:val="continue"/>
            <w:vAlign w:val="center"/>
          </w:tcPr>
          <w:p w14:paraId="791885D4">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998" w:type="pct"/>
            <w:vAlign w:val="center"/>
          </w:tcPr>
          <w:p w14:paraId="3CD306B5">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5号房（5、6、7层）</w:t>
            </w:r>
          </w:p>
        </w:tc>
        <w:tc>
          <w:tcPr>
            <w:tcW w:w="261" w:type="pct"/>
            <w:vAlign w:val="center"/>
          </w:tcPr>
          <w:p w14:paraId="06B52ECA">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两室</w:t>
            </w:r>
          </w:p>
        </w:tc>
        <w:tc>
          <w:tcPr>
            <w:tcW w:w="444" w:type="pct"/>
            <w:vAlign w:val="center"/>
          </w:tcPr>
          <w:p w14:paraId="6FD0B779">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65.91</w:t>
            </w:r>
          </w:p>
        </w:tc>
        <w:tc>
          <w:tcPr>
            <w:tcW w:w="456" w:type="pct"/>
            <w:vAlign w:val="center"/>
          </w:tcPr>
          <w:p w14:paraId="351B90B9">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52.36</w:t>
            </w:r>
          </w:p>
        </w:tc>
        <w:tc>
          <w:tcPr>
            <w:tcW w:w="445" w:type="pct"/>
            <w:vAlign w:val="center"/>
          </w:tcPr>
          <w:p w14:paraId="7D8BD51B">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13.55</w:t>
            </w:r>
          </w:p>
        </w:tc>
        <w:tc>
          <w:tcPr>
            <w:tcW w:w="259" w:type="pct"/>
            <w:vAlign w:val="center"/>
          </w:tcPr>
          <w:p w14:paraId="787B6D15">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r>
      <w:tr w14:paraId="3F5C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96" w:type="pct"/>
            <w:vAlign w:val="center"/>
          </w:tcPr>
          <w:p w14:paraId="60BBC531">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3</w:t>
            </w:r>
          </w:p>
        </w:tc>
        <w:tc>
          <w:tcPr>
            <w:tcW w:w="538" w:type="pct"/>
            <w:vMerge w:val="continue"/>
            <w:vAlign w:val="center"/>
          </w:tcPr>
          <w:p w14:paraId="1E88E4BC">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300" w:type="pct"/>
            <w:vMerge w:val="continue"/>
            <w:vAlign w:val="center"/>
          </w:tcPr>
          <w:p w14:paraId="04BBC469">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FF0000"/>
                <w:sz w:val="24"/>
              </w:rPr>
            </w:pPr>
          </w:p>
        </w:tc>
        <w:tc>
          <w:tcPr>
            <w:tcW w:w="305" w:type="pct"/>
            <w:vMerge w:val="continue"/>
            <w:vAlign w:val="center"/>
          </w:tcPr>
          <w:p w14:paraId="326AA7E4">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601" w:type="pct"/>
            <w:vMerge w:val="continue"/>
            <w:vAlign w:val="center"/>
          </w:tcPr>
          <w:p w14:paraId="40B7B510">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highlight w:val="yellow"/>
              </w:rPr>
            </w:pPr>
          </w:p>
        </w:tc>
        <w:tc>
          <w:tcPr>
            <w:tcW w:w="193" w:type="pct"/>
            <w:vMerge w:val="continue"/>
            <w:vAlign w:val="center"/>
          </w:tcPr>
          <w:p w14:paraId="62A9FB7B">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998" w:type="pct"/>
            <w:vAlign w:val="center"/>
          </w:tcPr>
          <w:p w14:paraId="2E218144">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6号房（5、6、7层）</w:t>
            </w:r>
          </w:p>
        </w:tc>
        <w:tc>
          <w:tcPr>
            <w:tcW w:w="261" w:type="pct"/>
            <w:vAlign w:val="center"/>
          </w:tcPr>
          <w:p w14:paraId="5668D08A">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两室</w:t>
            </w:r>
          </w:p>
        </w:tc>
        <w:tc>
          <w:tcPr>
            <w:tcW w:w="444" w:type="pct"/>
            <w:vAlign w:val="center"/>
          </w:tcPr>
          <w:p w14:paraId="0E1518E0">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65.91</w:t>
            </w:r>
          </w:p>
        </w:tc>
        <w:tc>
          <w:tcPr>
            <w:tcW w:w="456" w:type="pct"/>
            <w:vAlign w:val="center"/>
          </w:tcPr>
          <w:p w14:paraId="5A67FB93">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52.36</w:t>
            </w:r>
          </w:p>
        </w:tc>
        <w:tc>
          <w:tcPr>
            <w:tcW w:w="445" w:type="pct"/>
            <w:vAlign w:val="center"/>
          </w:tcPr>
          <w:p w14:paraId="622B2B10">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13.55</w:t>
            </w:r>
          </w:p>
        </w:tc>
        <w:tc>
          <w:tcPr>
            <w:tcW w:w="259" w:type="pct"/>
            <w:vAlign w:val="center"/>
          </w:tcPr>
          <w:p w14:paraId="2D1FFDE6">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r>
      <w:tr w14:paraId="49C5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96" w:type="pct"/>
            <w:vAlign w:val="center"/>
          </w:tcPr>
          <w:p w14:paraId="4D872567">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4</w:t>
            </w:r>
          </w:p>
        </w:tc>
        <w:tc>
          <w:tcPr>
            <w:tcW w:w="538" w:type="pct"/>
            <w:vMerge w:val="continue"/>
            <w:vAlign w:val="center"/>
          </w:tcPr>
          <w:p w14:paraId="54B2B16A">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300" w:type="pct"/>
            <w:vMerge w:val="continue"/>
            <w:vAlign w:val="center"/>
          </w:tcPr>
          <w:p w14:paraId="664D16E8">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FF0000"/>
                <w:sz w:val="24"/>
              </w:rPr>
            </w:pPr>
          </w:p>
        </w:tc>
        <w:tc>
          <w:tcPr>
            <w:tcW w:w="305" w:type="pct"/>
            <w:vMerge w:val="continue"/>
            <w:vAlign w:val="center"/>
          </w:tcPr>
          <w:p w14:paraId="3674B599">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601" w:type="pct"/>
            <w:vMerge w:val="continue"/>
            <w:vAlign w:val="center"/>
          </w:tcPr>
          <w:p w14:paraId="366776F7">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highlight w:val="yellow"/>
              </w:rPr>
            </w:pPr>
          </w:p>
        </w:tc>
        <w:tc>
          <w:tcPr>
            <w:tcW w:w="193" w:type="pct"/>
            <w:vMerge w:val="continue"/>
            <w:vAlign w:val="center"/>
          </w:tcPr>
          <w:p w14:paraId="3A4BA70A">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998" w:type="pct"/>
            <w:vAlign w:val="center"/>
          </w:tcPr>
          <w:p w14:paraId="03540526">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9号房（4、5、6、7层）</w:t>
            </w:r>
          </w:p>
        </w:tc>
        <w:tc>
          <w:tcPr>
            <w:tcW w:w="261" w:type="pct"/>
            <w:vAlign w:val="center"/>
          </w:tcPr>
          <w:p w14:paraId="49564677">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两室</w:t>
            </w:r>
          </w:p>
        </w:tc>
        <w:tc>
          <w:tcPr>
            <w:tcW w:w="444" w:type="pct"/>
            <w:vAlign w:val="center"/>
          </w:tcPr>
          <w:p w14:paraId="0DDA1DE6">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66.28</w:t>
            </w:r>
          </w:p>
        </w:tc>
        <w:tc>
          <w:tcPr>
            <w:tcW w:w="456" w:type="pct"/>
            <w:vAlign w:val="center"/>
          </w:tcPr>
          <w:p w14:paraId="03B9C2CC">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52.65</w:t>
            </w:r>
          </w:p>
        </w:tc>
        <w:tc>
          <w:tcPr>
            <w:tcW w:w="445" w:type="pct"/>
            <w:vAlign w:val="center"/>
          </w:tcPr>
          <w:p w14:paraId="0872AF1B">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13.63</w:t>
            </w:r>
          </w:p>
        </w:tc>
        <w:tc>
          <w:tcPr>
            <w:tcW w:w="259" w:type="pct"/>
            <w:vAlign w:val="center"/>
          </w:tcPr>
          <w:p w14:paraId="32B44B9E">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r>
      <w:tr w14:paraId="1830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96" w:type="pct"/>
            <w:vAlign w:val="center"/>
          </w:tcPr>
          <w:p w14:paraId="41253CEC">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5</w:t>
            </w:r>
          </w:p>
        </w:tc>
        <w:tc>
          <w:tcPr>
            <w:tcW w:w="538" w:type="pct"/>
            <w:vMerge w:val="continue"/>
            <w:vAlign w:val="center"/>
          </w:tcPr>
          <w:p w14:paraId="4C9EFCFB">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300" w:type="pct"/>
            <w:vMerge w:val="continue"/>
            <w:vAlign w:val="center"/>
          </w:tcPr>
          <w:p w14:paraId="0A5BFB75">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FF0000"/>
                <w:sz w:val="24"/>
              </w:rPr>
            </w:pPr>
          </w:p>
        </w:tc>
        <w:tc>
          <w:tcPr>
            <w:tcW w:w="305" w:type="pct"/>
            <w:vMerge w:val="continue"/>
            <w:vAlign w:val="center"/>
          </w:tcPr>
          <w:p w14:paraId="05CA7BEB">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601" w:type="pct"/>
            <w:vMerge w:val="continue"/>
            <w:vAlign w:val="center"/>
          </w:tcPr>
          <w:p w14:paraId="440093A1">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highlight w:val="yellow"/>
              </w:rPr>
            </w:pPr>
          </w:p>
        </w:tc>
        <w:tc>
          <w:tcPr>
            <w:tcW w:w="193" w:type="pct"/>
            <w:vMerge w:val="continue"/>
            <w:vAlign w:val="center"/>
          </w:tcPr>
          <w:p w14:paraId="652C563C">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c>
          <w:tcPr>
            <w:tcW w:w="998" w:type="pct"/>
            <w:vAlign w:val="center"/>
          </w:tcPr>
          <w:p w14:paraId="70F53853">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10号房（6、7层）</w:t>
            </w:r>
          </w:p>
        </w:tc>
        <w:tc>
          <w:tcPr>
            <w:tcW w:w="261" w:type="pct"/>
            <w:vAlign w:val="center"/>
          </w:tcPr>
          <w:p w14:paraId="0A7EC403">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两室</w:t>
            </w:r>
          </w:p>
        </w:tc>
        <w:tc>
          <w:tcPr>
            <w:tcW w:w="444" w:type="pct"/>
            <w:vAlign w:val="center"/>
          </w:tcPr>
          <w:p w14:paraId="3C32644F">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66.69</w:t>
            </w:r>
          </w:p>
        </w:tc>
        <w:tc>
          <w:tcPr>
            <w:tcW w:w="456" w:type="pct"/>
            <w:vAlign w:val="center"/>
          </w:tcPr>
          <w:p w14:paraId="743EED88">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52.98</w:t>
            </w:r>
          </w:p>
        </w:tc>
        <w:tc>
          <w:tcPr>
            <w:tcW w:w="445" w:type="pct"/>
            <w:vAlign w:val="center"/>
          </w:tcPr>
          <w:p w14:paraId="2D2B7B82">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13.71</w:t>
            </w:r>
          </w:p>
        </w:tc>
        <w:tc>
          <w:tcPr>
            <w:tcW w:w="259" w:type="pct"/>
            <w:vAlign w:val="center"/>
          </w:tcPr>
          <w:p w14:paraId="782E02DD">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center"/>
              <w:rPr>
                <w:rFonts w:hint="default" w:ascii="Times New Roman" w:hAnsi="Times New Roman" w:eastAsia="方正仿宋_GBK" w:cs="Times New Roman"/>
                <w:color w:val="000000"/>
                <w:sz w:val="24"/>
              </w:rPr>
            </w:pPr>
          </w:p>
        </w:tc>
      </w:tr>
    </w:tbl>
    <w:p w14:paraId="07DE9B5D">
      <w:pPr>
        <w:tabs>
          <w:tab w:val="left" w:pos="879"/>
        </w:tabs>
        <w:ind w:firstLine="0" w:firstLineChars="0"/>
        <w:rPr>
          <w:rFonts w:hint="default" w:ascii="Times New Roman" w:hAnsi="Times New Roman" w:eastAsia="方正黑体_GBK" w:cs="Times New Roman"/>
          <w:sz w:val="32"/>
          <w:szCs w:val="32"/>
          <w:lang w:val="en-US" w:eastAsia="zh-CN"/>
        </w:rPr>
      </w:pPr>
    </w:p>
    <w:sectPr>
      <w:headerReference r:id="rId6" w:type="default"/>
      <w:footerReference r:id="rId7" w:type="default"/>
      <w:pgSz w:w="16838" w:h="11906" w:orient="landscape"/>
      <w:pgMar w:top="1531" w:right="2098" w:bottom="1531" w:left="1984" w:header="851" w:footer="1531"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5C437E74-DAFF-4949-86D1-F09464CB3992}"/>
  </w:font>
  <w:font w:name="Helvetica">
    <w:panose1 w:val="020B0604020202020204"/>
    <w:charset w:val="00"/>
    <w:family w:val="swiss"/>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Courier">
    <w:panose1 w:val="02060409020205020404"/>
    <w:charset w:val="00"/>
    <w:family w:val="modern"/>
    <w:pitch w:val="default"/>
    <w:sig w:usb0="00000000" w:usb1="00000000" w:usb2="00000000" w:usb3="00000000" w:csb0="00000000" w:csb1="00000000"/>
  </w:font>
  <w:font w:name="Helv">
    <w:altName w:val="Segoe Print"/>
    <w:panose1 w:val="020B060402020203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_GBK">
    <w:panose1 w:val="03000509000000000000"/>
    <w:charset w:val="86"/>
    <w:family w:val="script"/>
    <w:pitch w:val="default"/>
    <w:sig w:usb0="00000001" w:usb1="080E0000" w:usb2="00000000" w:usb3="00000000" w:csb0="00040000" w:csb1="00000000"/>
    <w:embedRegular r:id="rId2" w:fontKey="{863C5DB1-55EC-4EE8-BF66-FA1F3A11CF2B}"/>
  </w:font>
  <w:font w:name="方正仿宋_GBK">
    <w:panose1 w:val="03000509000000000000"/>
    <w:charset w:val="86"/>
    <w:family w:val="script"/>
    <w:pitch w:val="default"/>
    <w:sig w:usb0="00000001" w:usb1="080E0000" w:usb2="00000000" w:usb3="00000000" w:csb0="00040000" w:csb1="00000000"/>
    <w:embedRegular r:id="rId3" w:fontKey="{332EFEF0-1E76-4103-8B59-657537CEDFEE}"/>
  </w:font>
  <w:font w:name="方正仿宋_GB2312">
    <w:panose1 w:val="02000000000000000000"/>
    <w:charset w:val="86"/>
    <w:family w:val="auto"/>
    <w:pitch w:val="default"/>
    <w:sig w:usb0="A00002BF" w:usb1="184F6CFA" w:usb2="00000012" w:usb3="00000000" w:csb0="00040001" w:csb1="00000000"/>
    <w:embedRegular r:id="rId4" w:fontKey="{AAB31BE7-9878-4A21-9A00-6E1F8DF79B75}"/>
  </w:font>
  <w:font w:name="方正黑体_GBK">
    <w:panose1 w:val="03000509000000000000"/>
    <w:charset w:val="86"/>
    <w:family w:val="auto"/>
    <w:pitch w:val="default"/>
    <w:sig w:usb0="00000001" w:usb1="080E0000" w:usb2="00000000" w:usb3="00000000" w:csb0="00040000" w:csb1="00000000"/>
    <w:embedRegular r:id="rId5" w:fontKey="{2423D85D-1023-497C-87B5-4F40815C5ED9}"/>
  </w:font>
  <w:font w:name="方正楷体_GBK">
    <w:panose1 w:val="03000509000000000000"/>
    <w:charset w:val="86"/>
    <w:family w:val="script"/>
    <w:pitch w:val="default"/>
    <w:sig w:usb0="00000001" w:usb1="080E0000" w:usb2="00000000" w:usb3="00000000" w:csb0="00040000" w:csb1="00000000"/>
    <w:embedRegular r:id="rId6" w:fontKey="{1A6C5EA9-1490-4A50-A842-D3206E12F855}"/>
  </w:font>
  <w:font w:name="方正楷体_GB2312">
    <w:panose1 w:val="02000000000000000000"/>
    <w:charset w:val="86"/>
    <w:family w:val="auto"/>
    <w:pitch w:val="default"/>
    <w:sig w:usb0="A00002BF" w:usb1="184F6CFA" w:usb2="00000012" w:usb3="00000000" w:csb0="00040001" w:csb1="00000000"/>
    <w:embedRegular r:id="rId7" w:fontKey="{1A3DA1BE-514B-4757-99B0-AA5B21E1A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918F8">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83981">
                          <w:pPr>
                            <w:pStyle w:val="5"/>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DD83981">
                    <w:pPr>
                      <w:pStyle w:val="5"/>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91803">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E56BA">
                          <w:pPr>
                            <w:pStyle w:val="5"/>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26E56BA">
                    <w:pPr>
                      <w:pStyle w:val="5"/>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77C6">
    <w:pPr>
      <w:pStyle w:val="2"/>
      <w:ind w:firstLine="8640" w:firstLineChars="27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w:t>
    </w:r>
  </w:p>
  <w:p w14:paraId="6F93D465">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4YzNhNzQwNmViMDQyYjlmNmJjMzk2YWY5NjE5OWUifQ=="/>
  </w:docVars>
  <w:rsids>
    <w:rsidRoot w:val="2A116FF7"/>
    <w:rsid w:val="005A7208"/>
    <w:rsid w:val="00E84814"/>
    <w:rsid w:val="01413B38"/>
    <w:rsid w:val="02704AC1"/>
    <w:rsid w:val="036068E4"/>
    <w:rsid w:val="0370464D"/>
    <w:rsid w:val="041A2F36"/>
    <w:rsid w:val="04C531E4"/>
    <w:rsid w:val="04CD215A"/>
    <w:rsid w:val="05325276"/>
    <w:rsid w:val="05972365"/>
    <w:rsid w:val="05BB261F"/>
    <w:rsid w:val="05DE4FE8"/>
    <w:rsid w:val="063358E7"/>
    <w:rsid w:val="090715AF"/>
    <w:rsid w:val="09DC2A3C"/>
    <w:rsid w:val="0AE3196E"/>
    <w:rsid w:val="0B1C251F"/>
    <w:rsid w:val="0B981E88"/>
    <w:rsid w:val="0BC32B19"/>
    <w:rsid w:val="0CAF3D4A"/>
    <w:rsid w:val="0CF762FE"/>
    <w:rsid w:val="0DEF71E2"/>
    <w:rsid w:val="0E5F51B4"/>
    <w:rsid w:val="0F065C80"/>
    <w:rsid w:val="0F2A6E85"/>
    <w:rsid w:val="0F9067A2"/>
    <w:rsid w:val="0FE87C08"/>
    <w:rsid w:val="11951E4E"/>
    <w:rsid w:val="11E9219A"/>
    <w:rsid w:val="14B22D17"/>
    <w:rsid w:val="15255831"/>
    <w:rsid w:val="157D3325"/>
    <w:rsid w:val="16A56C2E"/>
    <w:rsid w:val="18185587"/>
    <w:rsid w:val="18FA72B8"/>
    <w:rsid w:val="1A327A57"/>
    <w:rsid w:val="1ACE5DD4"/>
    <w:rsid w:val="1B1477AE"/>
    <w:rsid w:val="1B5E64BF"/>
    <w:rsid w:val="1BFD5425"/>
    <w:rsid w:val="1C63105D"/>
    <w:rsid w:val="1C6B61C2"/>
    <w:rsid w:val="1C8F2C96"/>
    <w:rsid w:val="1D0F1AD3"/>
    <w:rsid w:val="1D425A4B"/>
    <w:rsid w:val="1DCB6BF8"/>
    <w:rsid w:val="1E454BFC"/>
    <w:rsid w:val="1F073058"/>
    <w:rsid w:val="1FDC0F1C"/>
    <w:rsid w:val="1FFB1A16"/>
    <w:rsid w:val="225467DF"/>
    <w:rsid w:val="22C02AA3"/>
    <w:rsid w:val="2309444A"/>
    <w:rsid w:val="23812232"/>
    <w:rsid w:val="24C7636B"/>
    <w:rsid w:val="253357AE"/>
    <w:rsid w:val="26361E29"/>
    <w:rsid w:val="28612632"/>
    <w:rsid w:val="28777BF4"/>
    <w:rsid w:val="29BF52CD"/>
    <w:rsid w:val="29BF5862"/>
    <w:rsid w:val="2A116FF7"/>
    <w:rsid w:val="2A282BFE"/>
    <w:rsid w:val="2A3031E6"/>
    <w:rsid w:val="2A3C0619"/>
    <w:rsid w:val="2AE07BF6"/>
    <w:rsid w:val="2B737A33"/>
    <w:rsid w:val="2C15211D"/>
    <w:rsid w:val="2CCF5B36"/>
    <w:rsid w:val="2CF61E71"/>
    <w:rsid w:val="2D82724D"/>
    <w:rsid w:val="2E4C0C92"/>
    <w:rsid w:val="2E5D1AEE"/>
    <w:rsid w:val="30744ECD"/>
    <w:rsid w:val="31A812D2"/>
    <w:rsid w:val="31A82386"/>
    <w:rsid w:val="33DE1980"/>
    <w:rsid w:val="356814A4"/>
    <w:rsid w:val="36B13300"/>
    <w:rsid w:val="37F60FE9"/>
    <w:rsid w:val="38CD0026"/>
    <w:rsid w:val="3AC239DE"/>
    <w:rsid w:val="3CD613E9"/>
    <w:rsid w:val="3DB241FD"/>
    <w:rsid w:val="3DD61FA8"/>
    <w:rsid w:val="3DEB2C72"/>
    <w:rsid w:val="3F1A23F7"/>
    <w:rsid w:val="3F8E7D59"/>
    <w:rsid w:val="4001124F"/>
    <w:rsid w:val="400A47AF"/>
    <w:rsid w:val="40D5689A"/>
    <w:rsid w:val="41523008"/>
    <w:rsid w:val="416845DA"/>
    <w:rsid w:val="41BB1F53"/>
    <w:rsid w:val="42F01CF9"/>
    <w:rsid w:val="438258D8"/>
    <w:rsid w:val="4467501D"/>
    <w:rsid w:val="458A2D71"/>
    <w:rsid w:val="459B4F7E"/>
    <w:rsid w:val="45EE0D78"/>
    <w:rsid w:val="465313B5"/>
    <w:rsid w:val="485853A8"/>
    <w:rsid w:val="489932CB"/>
    <w:rsid w:val="4906265E"/>
    <w:rsid w:val="49695393"/>
    <w:rsid w:val="49C16F7D"/>
    <w:rsid w:val="4A730277"/>
    <w:rsid w:val="4A7D4C52"/>
    <w:rsid w:val="4A9A0BEB"/>
    <w:rsid w:val="4AFD2046"/>
    <w:rsid w:val="4D4E6D7A"/>
    <w:rsid w:val="4F2D4F3F"/>
    <w:rsid w:val="5156444F"/>
    <w:rsid w:val="521A320D"/>
    <w:rsid w:val="529F1132"/>
    <w:rsid w:val="52D24131"/>
    <w:rsid w:val="535F3A8F"/>
    <w:rsid w:val="54693C11"/>
    <w:rsid w:val="54D52038"/>
    <w:rsid w:val="557F3221"/>
    <w:rsid w:val="564927D4"/>
    <w:rsid w:val="583F08F6"/>
    <w:rsid w:val="58906498"/>
    <w:rsid w:val="594B184B"/>
    <w:rsid w:val="5C38389B"/>
    <w:rsid w:val="5C46388B"/>
    <w:rsid w:val="5E1519EC"/>
    <w:rsid w:val="5EA17504"/>
    <w:rsid w:val="613B22A5"/>
    <w:rsid w:val="63D026AC"/>
    <w:rsid w:val="64137F7D"/>
    <w:rsid w:val="65DB7F6A"/>
    <w:rsid w:val="66A722E3"/>
    <w:rsid w:val="66DF4A22"/>
    <w:rsid w:val="67D068B1"/>
    <w:rsid w:val="68476448"/>
    <w:rsid w:val="69C97A5C"/>
    <w:rsid w:val="6A224DE7"/>
    <w:rsid w:val="6A2D7FEB"/>
    <w:rsid w:val="6B2504C3"/>
    <w:rsid w:val="6BA67525"/>
    <w:rsid w:val="6BB57570"/>
    <w:rsid w:val="6C2B67AC"/>
    <w:rsid w:val="6CFA617E"/>
    <w:rsid w:val="6DC716CE"/>
    <w:rsid w:val="6E872A84"/>
    <w:rsid w:val="6FC82564"/>
    <w:rsid w:val="705C1B79"/>
    <w:rsid w:val="70A0309F"/>
    <w:rsid w:val="711C71F9"/>
    <w:rsid w:val="71CE08DA"/>
    <w:rsid w:val="722B6ADC"/>
    <w:rsid w:val="724A54B2"/>
    <w:rsid w:val="731E78A0"/>
    <w:rsid w:val="75263FB5"/>
    <w:rsid w:val="769A6A08"/>
    <w:rsid w:val="78E51A91"/>
    <w:rsid w:val="7C480CB4"/>
    <w:rsid w:val="7CDB38D7"/>
    <w:rsid w:val="7EF24F07"/>
    <w:rsid w:val="7F303CC1"/>
    <w:rsid w:val="7F5B0CFF"/>
    <w:rsid w:val="7FFC0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600" w:lineRule="exact"/>
      <w:ind w:firstLine="200" w:firstLineChars="200"/>
      <w:jc w:val="both"/>
    </w:pPr>
    <w:rPr>
      <w:rFonts w:ascii="Times New Roman" w:hAnsi="Times New Roman" w:eastAsia="Helvetica" w:cs="黑体"/>
      <w:kern w:val="2"/>
      <w:sz w:val="32"/>
      <w:szCs w:val="32"/>
      <w:lang w:val="en-US" w:eastAsia="zh-CN" w:bidi="ar-SA"/>
    </w:rPr>
  </w:style>
  <w:style w:type="paragraph" w:styleId="3">
    <w:name w:val="heading 2"/>
    <w:basedOn w:val="1"/>
    <w:next w:val="1"/>
    <w:unhideWhenUsed/>
    <w:qFormat/>
    <w:uiPriority w:val="9"/>
    <w:pPr>
      <w:keepNext/>
      <w:keepLines/>
      <w:spacing w:before="260" w:after="260" w:line="416" w:lineRule="atLeast"/>
      <w:outlineLvl w:val="1"/>
    </w:pPr>
    <w:rPr>
      <w:rFonts w:ascii="等线 Light" w:hAnsi="等线 Light" w:eastAsia="等线 Light"/>
      <w:b/>
      <w:bCs/>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autoSpaceDE w:val="0"/>
      <w:autoSpaceDN w:val="0"/>
      <w:adjustRightInd w:val="0"/>
    </w:pPr>
    <w:rPr>
      <w:rFonts w:ascii="Arial" w:hAnsi="Arial" w:eastAsia="宋体" w:cs="Arial"/>
      <w:color w:val="000000"/>
      <w:sz w:val="24"/>
      <w:szCs w:val="24"/>
      <w:lang w:val="en-US" w:eastAsia="zh-CN" w:bidi="ar-SA"/>
    </w:rPr>
  </w:style>
  <w:style w:type="paragraph" w:styleId="4">
    <w:name w:val="Body Text"/>
    <w:basedOn w:val="1"/>
    <w:next w:val="1"/>
    <w:qFormat/>
    <w:uiPriority w:val="1"/>
    <w:pPr>
      <w:ind w:left="100" w:firstLine="559"/>
      <w:jc w:val="left"/>
    </w:pPr>
    <w:rPr>
      <w:rFonts w:ascii="Courier" w:hAnsi="Courier" w:eastAsia="Courier"/>
      <w:kern w:val="0"/>
      <w:sz w:val="28"/>
      <w:szCs w:val="28"/>
      <w:lang w:eastAsia="en-US"/>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4"/>
    <w:qFormat/>
    <w:uiPriority w:val="0"/>
    <w:pPr>
      <w:ind w:firstLine="420" w:firstLineChars="100"/>
    </w:pPr>
    <w:rPr>
      <w:rFonts w:ascii="Times New Roman" w:hAnsi="Times New Roman"/>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qFormat/>
    <w:uiPriority w:val="0"/>
    <w:rPr>
      <w:color w:val="800080"/>
      <w:u w:val="single"/>
    </w:rPr>
  </w:style>
  <w:style w:type="character" w:customStyle="1" w:styleId="12">
    <w:name w:val="font21"/>
    <w:basedOn w:val="10"/>
    <w:qFormat/>
    <w:uiPriority w:val="0"/>
    <w:rPr>
      <w:rFonts w:hint="eastAsia" w:ascii="Helv" w:hAnsi="Helv" w:eastAsia="Helv" w:cs="Helv"/>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4134</Words>
  <Characters>4362</Characters>
  <Lines>0</Lines>
  <Paragraphs>0</Paragraphs>
  <TotalTime>33</TotalTime>
  <ScaleCrop>false</ScaleCrop>
  <LinksUpToDate>false</LinksUpToDate>
  <CharactersWithSpaces>4535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2022-08-30T07:58:00Z</dcterms:created>
  <dc:creator>Administrator</dc:creator>
  <cp:lastModifiedBy>WPS_1666841297</cp:lastModifiedBy>
  <cp:lastPrinted>2025-03-18T07:13:15Z</cp:lastPrinted>
  <dcterms:modified xsi:type="dcterms:W3CDTF">2025-03-18T07:14:51Z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404211C6DD66402ABE8AF691E3C9A1B0_13</vt:lpwstr>
  </property>
  <property fmtid="{D5CDD505-2E9C-101B-9397-08002B2CF9AE}" pid="4" name="KSOTemplateDocerSaveRecord">
    <vt:lpwstr>eyJoZGlkIjoiNGM5NmY2NTU4Y2I2ZjBkZDliMzE0YmRlNTZhODgzYjAiLCJ1c2VySWQiOiIxNDMxNjU5NTYxIn0=</vt:lpwstr>
  </property>
</Properties>
</file>