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93619">
      <w:pPr>
        <w:pStyle w:val="3"/>
        <w:spacing w:before="0" w:after="0" w:line="620" w:lineRule="exact"/>
        <w:ind w:firstLine="0" w:firstLineChars="0"/>
        <w:jc w:val="center"/>
        <w:rPr>
          <w:rFonts w:ascii="Times New Roman" w:hAnsi="Times New Roman" w:eastAsia="方正小标宋_GBK" w:cs="Times New Roman"/>
          <w:b w:val="0"/>
          <w:color w:val="000000"/>
          <w:sz w:val="44"/>
          <w:szCs w:val="44"/>
        </w:rPr>
      </w:pPr>
      <w:bookmarkStart w:id="21" w:name="_GoBack"/>
      <w:bookmarkEnd w:id="21"/>
      <w:bookmarkStart w:id="0" w:name="_Toc21183"/>
      <w:bookmarkStart w:id="1" w:name="_Toc30414"/>
      <w:bookmarkStart w:id="2" w:name="_Toc27381"/>
      <w:bookmarkStart w:id="3" w:name="_Toc87282560"/>
      <w:bookmarkStart w:id="4" w:name="_Toc811"/>
      <w:bookmarkStart w:id="5" w:name="_Toc29100"/>
      <w:bookmarkStart w:id="6" w:name="_Toc87308087"/>
      <w:bookmarkStart w:id="7" w:name="_Toc23426"/>
      <w:bookmarkStart w:id="8" w:name="_Toc797"/>
      <w:bookmarkStart w:id="9" w:name="_Toc6621"/>
      <w:r>
        <w:rPr>
          <w:rFonts w:ascii="Times New Roman" w:hAnsi="Times New Roman" w:eastAsia="方正小标宋_GBK" w:cs="Times New Roman"/>
          <w:b w:val="0"/>
          <w:color w:val="000000"/>
          <w:sz w:val="44"/>
          <w:szCs w:val="44"/>
        </w:rPr>
        <w:t>重庆高新区管委会</w:t>
      </w:r>
    </w:p>
    <w:p w14:paraId="0D1E6062">
      <w:pPr>
        <w:pStyle w:val="3"/>
        <w:spacing w:before="0" w:after="0" w:line="620" w:lineRule="exact"/>
        <w:ind w:firstLine="0" w:firstLineChars="0"/>
        <w:jc w:val="center"/>
        <w:rPr>
          <w:rFonts w:eastAsia="方正小标宋_GBK" w:cs="Times New Roman"/>
          <w:color w:val="000000"/>
          <w:sz w:val="44"/>
          <w:szCs w:val="44"/>
        </w:rPr>
      </w:pPr>
      <w:r>
        <w:rPr>
          <w:rFonts w:ascii="Times New Roman" w:hAnsi="Times New Roman" w:eastAsia="方正小标宋_GBK" w:cs="Times New Roman"/>
          <w:b w:val="0"/>
          <w:color w:val="000000"/>
          <w:sz w:val="44"/>
          <w:szCs w:val="44"/>
        </w:rPr>
        <w:t>关于梁滩河综合整治（含谷老场镇片区）国有土地上房屋征收项目（三期）征收的公告</w:t>
      </w:r>
      <w:bookmarkEnd w:id="0"/>
      <w:bookmarkEnd w:id="1"/>
      <w:bookmarkEnd w:id="2"/>
      <w:bookmarkEnd w:id="3"/>
      <w:bookmarkEnd w:id="4"/>
      <w:bookmarkEnd w:id="5"/>
      <w:bookmarkEnd w:id="6"/>
      <w:bookmarkEnd w:id="7"/>
      <w:bookmarkEnd w:id="8"/>
      <w:bookmarkEnd w:id="9"/>
    </w:p>
    <w:p w14:paraId="5F7C1C1E">
      <w:pPr>
        <w:widowControl w:val="0"/>
        <w:spacing w:line="620" w:lineRule="exact"/>
        <w:ind w:firstLine="0" w:firstLineChars="0"/>
        <w:jc w:val="center"/>
        <w:rPr>
          <w:rFonts w:hint="eastAsia" w:eastAsia="方正仿宋_GBK" w:cs="Times New Roman"/>
        </w:rPr>
      </w:pPr>
    </w:p>
    <w:p w14:paraId="127D6397">
      <w:pPr>
        <w:widowControl w:val="0"/>
        <w:spacing w:line="620" w:lineRule="exact"/>
        <w:ind w:firstLine="0" w:firstLineChars="0"/>
        <w:jc w:val="center"/>
        <w:rPr>
          <w:rFonts w:eastAsia="方正仿宋_GBK" w:cs="Times New Roman"/>
        </w:rPr>
      </w:pPr>
      <w:r>
        <w:rPr>
          <w:rFonts w:eastAsia="方正仿宋_GBK" w:cs="Times New Roman"/>
        </w:rPr>
        <w:t>高新国征〔202</w:t>
      </w:r>
      <w:r>
        <w:rPr>
          <w:rFonts w:hint="eastAsia" w:eastAsia="方正仿宋_GBK" w:cs="Times New Roman"/>
        </w:rPr>
        <w:t>4</w:t>
      </w:r>
      <w:r>
        <w:rPr>
          <w:rFonts w:eastAsia="方正仿宋_GBK" w:cs="Times New Roman"/>
        </w:rPr>
        <w:t>〕</w:t>
      </w:r>
      <w:r>
        <w:rPr>
          <w:rFonts w:hint="eastAsia" w:eastAsia="方正仿宋_GBK" w:cs="Times New Roman"/>
        </w:rPr>
        <w:t>1</w:t>
      </w:r>
      <w:r>
        <w:rPr>
          <w:rFonts w:eastAsia="方正仿宋_GBK" w:cs="Times New Roman"/>
        </w:rPr>
        <w:t>号</w:t>
      </w:r>
    </w:p>
    <w:p w14:paraId="7BEBF4CB">
      <w:pPr>
        <w:widowControl w:val="0"/>
        <w:spacing w:line="620" w:lineRule="exact"/>
        <w:ind w:firstLine="0" w:firstLineChars="0"/>
        <w:rPr>
          <w:rFonts w:eastAsia="方正仿宋_GBK" w:cs="Times New Roman"/>
          <w:color w:val="000000"/>
        </w:rPr>
      </w:pPr>
    </w:p>
    <w:p w14:paraId="4C7A57F4">
      <w:pPr>
        <w:spacing w:line="620" w:lineRule="exact"/>
        <w:ind w:firstLine="640"/>
        <w:rPr>
          <w:rFonts w:eastAsia="方正仿宋_GBK" w:cs="Times New Roman"/>
        </w:rPr>
      </w:pPr>
      <w:r>
        <w:rPr>
          <w:rFonts w:eastAsia="方正仿宋_GBK" w:cs="Times New Roman"/>
        </w:rPr>
        <w:t>因</w:t>
      </w:r>
      <w:r>
        <w:rPr>
          <w:rFonts w:eastAsia="方正仿宋_GBK"/>
          <w:color w:val="000000"/>
        </w:rPr>
        <w:t>梁滩河综合整治（含谷老场镇片区）</w:t>
      </w:r>
      <w:r>
        <w:rPr>
          <w:rFonts w:eastAsia="方正仿宋_GBK" w:cs="Times New Roman"/>
          <w:color w:val="000000"/>
        </w:rPr>
        <w:t>工程项目</w:t>
      </w:r>
      <w:r>
        <w:rPr>
          <w:rFonts w:eastAsia="方正仿宋_GBK" w:cs="Times New Roman"/>
        </w:rPr>
        <w:t>建设的需要，重庆高新区管委会根据《国有土地上房屋征收与补偿条例》《重庆市国有土地上房屋征收与补偿条例》和《重庆市国有土地上房屋征收与补偿条例实施细则》的有关规定，于202</w:t>
      </w:r>
      <w:r>
        <w:rPr>
          <w:rFonts w:hint="eastAsia" w:eastAsia="方正仿宋_GBK" w:cs="Times New Roman"/>
        </w:rPr>
        <w:t>4</w:t>
      </w:r>
      <w:r>
        <w:rPr>
          <w:rFonts w:eastAsia="方正仿宋_GBK" w:cs="Times New Roman"/>
        </w:rPr>
        <w:t>年</w:t>
      </w:r>
      <w:r>
        <w:rPr>
          <w:rFonts w:hint="eastAsia" w:eastAsia="方正仿宋_GBK" w:cs="Times New Roman"/>
        </w:rPr>
        <w:t>12</w:t>
      </w:r>
      <w:r>
        <w:rPr>
          <w:rFonts w:eastAsia="方正仿宋_GBK" w:cs="Times New Roman"/>
        </w:rPr>
        <w:t>月</w:t>
      </w:r>
      <w:r>
        <w:rPr>
          <w:rFonts w:hint="eastAsia" w:eastAsia="方正仿宋_GBK" w:cs="Times New Roman"/>
          <w:color w:val="000000"/>
        </w:rPr>
        <w:t>11</w:t>
      </w:r>
      <w:r>
        <w:rPr>
          <w:rFonts w:eastAsia="方正仿宋_GBK" w:cs="Times New Roman"/>
        </w:rPr>
        <w:t>日决定对</w:t>
      </w:r>
      <w:r>
        <w:rPr>
          <w:rFonts w:eastAsia="方正仿宋_GBK"/>
          <w:color w:val="000000"/>
        </w:rPr>
        <w:t>梁滩河综合整治（含谷老场镇片区）国有土地上房屋</w:t>
      </w:r>
      <w:r>
        <w:rPr>
          <w:rFonts w:eastAsia="方正仿宋_GBK" w:cs="Times New Roman"/>
        </w:rPr>
        <w:t>实施征收，征收范围内的国有土地使用权一并收回（详见附件1）。现将有关事项公告如下：</w:t>
      </w:r>
    </w:p>
    <w:p w14:paraId="5FCB2868">
      <w:pPr>
        <w:widowControl w:val="0"/>
        <w:spacing w:line="620" w:lineRule="exact"/>
        <w:ind w:firstLine="640"/>
        <w:rPr>
          <w:rFonts w:eastAsia="方正仿宋_GBK" w:cs="Times New Roman"/>
        </w:rPr>
      </w:pPr>
      <w:r>
        <w:rPr>
          <w:rFonts w:eastAsia="方正仿宋_GBK" w:cs="Times New Roman"/>
        </w:rPr>
        <w:t>一、征收项目名称：</w:t>
      </w:r>
      <w:r>
        <w:rPr>
          <w:rFonts w:eastAsia="方正仿宋_GBK"/>
          <w:color w:val="000000"/>
        </w:rPr>
        <w:t>梁滩河综合整治（含谷老场镇片区）国有土地上房屋征收项目（三期）</w:t>
      </w:r>
      <w:r>
        <w:rPr>
          <w:rFonts w:eastAsia="方正仿宋_GBK" w:cs="Times New Roman"/>
        </w:rPr>
        <w:t>。</w:t>
      </w:r>
    </w:p>
    <w:p w14:paraId="524DBBCB">
      <w:pPr>
        <w:widowControl w:val="0"/>
        <w:spacing w:line="620" w:lineRule="exact"/>
        <w:ind w:firstLine="640"/>
        <w:rPr>
          <w:rFonts w:eastAsia="方正仿宋_GBK" w:cs="Times New Roman"/>
          <w:color w:val="000000"/>
        </w:rPr>
      </w:pPr>
      <w:r>
        <w:rPr>
          <w:rFonts w:eastAsia="方正仿宋_GBK" w:cs="Times New Roman"/>
          <w:color w:val="000000"/>
        </w:rPr>
        <w:t>二、征收范围：详见附件2。</w:t>
      </w:r>
    </w:p>
    <w:p w14:paraId="23B2CC90">
      <w:pPr>
        <w:widowControl w:val="0"/>
        <w:spacing w:line="620" w:lineRule="exact"/>
        <w:ind w:firstLine="0" w:firstLineChars="0"/>
        <w:rPr>
          <w:rFonts w:eastAsia="方正仿宋_GBK" w:cs="Times New Roman"/>
          <w:color w:val="000000"/>
        </w:rPr>
      </w:pPr>
      <w:r>
        <w:rPr>
          <w:rFonts w:hint="eastAsia" w:eastAsia="方正仿宋_GBK" w:cs="Times New Roman"/>
          <w:color w:val="000000"/>
        </w:rPr>
        <w:t xml:space="preserve">    </w:t>
      </w:r>
      <w:r>
        <w:rPr>
          <w:rFonts w:eastAsia="方正仿宋_GBK" w:cs="Times New Roman"/>
          <w:color w:val="000000"/>
        </w:rPr>
        <w:t>三、征收补偿方案：详见附件3。</w:t>
      </w:r>
    </w:p>
    <w:p w14:paraId="60DC0773">
      <w:pPr>
        <w:widowControl w:val="0"/>
        <w:spacing w:line="620" w:lineRule="exact"/>
        <w:ind w:firstLine="0" w:firstLineChars="0"/>
        <w:rPr>
          <w:rFonts w:eastAsia="方正仿宋_GBK" w:cs="Times New Roman"/>
          <w:color w:val="000000"/>
        </w:rPr>
      </w:pPr>
      <w:r>
        <w:rPr>
          <w:rFonts w:hint="eastAsia" w:eastAsia="方正仿宋_GBK" w:cs="Times New Roman"/>
          <w:color w:val="000000"/>
        </w:rPr>
        <w:t xml:space="preserve">    </w:t>
      </w:r>
      <w:r>
        <w:rPr>
          <w:rFonts w:eastAsia="方正仿宋_GBK" w:cs="Times New Roman"/>
          <w:color w:val="000000"/>
        </w:rPr>
        <w:t>四、签约期限：从202</w:t>
      </w:r>
      <w:r>
        <w:rPr>
          <w:rFonts w:hint="eastAsia" w:eastAsia="方正仿宋_GBK" w:cs="Times New Roman"/>
          <w:color w:val="000000"/>
        </w:rPr>
        <w:t>4</w:t>
      </w:r>
      <w:r>
        <w:rPr>
          <w:rFonts w:eastAsia="方正仿宋_GBK" w:cs="Times New Roman"/>
          <w:color w:val="000000"/>
        </w:rPr>
        <w:t>年</w:t>
      </w:r>
      <w:r>
        <w:rPr>
          <w:rFonts w:hint="eastAsia" w:eastAsia="方正仿宋_GBK" w:cs="Times New Roman"/>
          <w:color w:val="000000"/>
        </w:rPr>
        <w:t>12</w:t>
      </w:r>
      <w:r>
        <w:rPr>
          <w:rFonts w:eastAsia="方正仿宋_GBK" w:cs="Times New Roman"/>
          <w:color w:val="000000"/>
        </w:rPr>
        <w:t>月</w:t>
      </w:r>
      <w:r>
        <w:rPr>
          <w:rFonts w:hint="eastAsia" w:eastAsia="方正仿宋_GBK" w:cs="Times New Roman"/>
          <w:color w:val="000000"/>
        </w:rPr>
        <w:t>20日</w:t>
      </w:r>
      <w:r>
        <w:rPr>
          <w:rFonts w:eastAsia="方正仿宋_GBK" w:cs="Times New Roman"/>
          <w:color w:val="000000"/>
        </w:rPr>
        <w:t>起至20</w:t>
      </w:r>
      <w:r>
        <w:rPr>
          <w:rFonts w:hint="eastAsia" w:eastAsia="方正仿宋_GBK" w:cs="Times New Roman"/>
          <w:color w:val="000000"/>
        </w:rPr>
        <w:t>25</w:t>
      </w:r>
      <w:r>
        <w:rPr>
          <w:rFonts w:eastAsia="方正仿宋_GBK" w:cs="Times New Roman"/>
          <w:color w:val="000000"/>
        </w:rPr>
        <w:t>年</w:t>
      </w:r>
      <w:r>
        <w:rPr>
          <w:rFonts w:hint="eastAsia" w:eastAsia="方正仿宋_GBK" w:cs="Times New Roman"/>
          <w:color w:val="000000"/>
        </w:rPr>
        <w:t>1</w:t>
      </w:r>
      <w:r>
        <w:rPr>
          <w:rFonts w:eastAsia="方正仿宋_GBK" w:cs="Times New Roman"/>
          <w:color w:val="000000"/>
        </w:rPr>
        <w:t>月</w:t>
      </w:r>
      <w:r>
        <w:rPr>
          <w:rFonts w:hint="eastAsia" w:eastAsia="方正仿宋_GBK" w:cs="Times New Roman"/>
          <w:color w:val="000000"/>
        </w:rPr>
        <w:t>18日</w:t>
      </w:r>
      <w:r>
        <w:rPr>
          <w:rFonts w:eastAsia="方正仿宋_GBK" w:cs="Times New Roman"/>
          <w:color w:val="000000"/>
        </w:rPr>
        <w:t>止，共计30天。</w:t>
      </w:r>
    </w:p>
    <w:p w14:paraId="46DF8585">
      <w:pPr>
        <w:widowControl w:val="0"/>
        <w:spacing w:line="620" w:lineRule="exact"/>
        <w:ind w:firstLine="0" w:firstLineChars="0"/>
        <w:rPr>
          <w:rFonts w:eastAsia="方正仿宋_GBK" w:cs="Times New Roman"/>
          <w:color w:val="000000"/>
        </w:rPr>
      </w:pPr>
      <w:r>
        <w:rPr>
          <w:rFonts w:hint="eastAsia" w:eastAsia="方正仿宋_GBK" w:cs="Times New Roman"/>
          <w:color w:val="000000"/>
        </w:rPr>
        <w:t xml:space="preserve">    </w:t>
      </w:r>
      <w:r>
        <w:rPr>
          <w:rFonts w:eastAsia="方正仿宋_GBK" w:cs="Times New Roman"/>
          <w:color w:val="000000"/>
        </w:rPr>
        <w:t>五、房屋征收部门：</w:t>
      </w:r>
      <w:r>
        <w:rPr>
          <w:rFonts w:eastAsia="方正仿宋_GBK" w:cs="Times New Roman"/>
        </w:rPr>
        <w:t>重庆高新区管委会建设局</w:t>
      </w:r>
      <w:r>
        <w:rPr>
          <w:rFonts w:eastAsia="方正仿宋_GBK" w:cs="Times New Roman"/>
          <w:color w:val="000000"/>
        </w:rPr>
        <w:t>。</w:t>
      </w:r>
    </w:p>
    <w:p w14:paraId="25ED4333">
      <w:pPr>
        <w:widowControl w:val="0"/>
        <w:spacing w:line="620" w:lineRule="exact"/>
        <w:ind w:firstLine="0" w:firstLineChars="0"/>
        <w:rPr>
          <w:rFonts w:eastAsia="方正仿宋_GBK" w:cs="Times New Roman"/>
          <w:color w:val="000000"/>
        </w:rPr>
      </w:pPr>
      <w:r>
        <w:rPr>
          <w:rFonts w:hint="eastAsia" w:eastAsia="方正仿宋_GBK" w:cs="Times New Roman"/>
          <w:color w:val="000000"/>
        </w:rPr>
        <w:t xml:space="preserve">    </w:t>
      </w:r>
      <w:r>
        <w:rPr>
          <w:rFonts w:eastAsia="方正仿宋_GBK" w:cs="Times New Roman"/>
          <w:color w:val="000000"/>
        </w:rPr>
        <w:t>六、房屋征收实施机构：</w:t>
      </w:r>
      <w:r>
        <w:rPr>
          <w:rFonts w:eastAsia="方正仿宋_GBK" w:cs="Times New Roman"/>
        </w:rPr>
        <w:t>重庆高新区土地利用事务中心</w:t>
      </w:r>
      <w:r>
        <w:rPr>
          <w:rFonts w:eastAsia="方正仿宋_GBK" w:cs="Times New Roman"/>
          <w:color w:val="000000"/>
        </w:rPr>
        <w:t>。</w:t>
      </w:r>
    </w:p>
    <w:p w14:paraId="6F17AB32">
      <w:pPr>
        <w:widowControl w:val="0"/>
        <w:spacing w:line="620" w:lineRule="exact"/>
        <w:ind w:firstLine="0" w:firstLineChars="0"/>
        <w:rPr>
          <w:rFonts w:eastAsia="方正仿宋_GBK" w:cs="Times New Roman"/>
          <w:color w:val="000000"/>
        </w:rPr>
      </w:pPr>
      <w:r>
        <w:rPr>
          <w:rFonts w:hint="eastAsia" w:eastAsia="方正仿宋_GBK" w:cs="Times New Roman"/>
          <w:color w:val="000000"/>
        </w:rPr>
        <w:t xml:space="preserve">    </w:t>
      </w:r>
      <w:r>
        <w:rPr>
          <w:rFonts w:eastAsia="方正仿宋_GBK" w:cs="Times New Roman"/>
          <w:color w:val="000000"/>
        </w:rPr>
        <w:t>七、现场办公地址：</w:t>
      </w:r>
      <w:r>
        <w:rPr>
          <w:rFonts w:hint="eastAsia" w:eastAsia="方正仿宋_GBK" w:cs="Times New Roman"/>
          <w:color w:val="000000"/>
        </w:rPr>
        <w:t>含谷镇社区</w:t>
      </w:r>
      <w:r>
        <w:rPr>
          <w:rFonts w:eastAsia="方正仿宋_GBK" w:cs="Times New Roman"/>
          <w:color w:val="000000"/>
        </w:rPr>
        <w:t>征收办公室，办公电话：</w:t>
      </w:r>
      <w:r>
        <w:rPr>
          <w:rFonts w:hint="eastAsia" w:eastAsia="方正仿宋_GBK" w:cs="Times New Roman"/>
          <w:color w:val="000000"/>
        </w:rPr>
        <w:t>023-</w:t>
      </w:r>
      <w:r>
        <w:rPr>
          <w:rFonts w:eastAsia="方正仿宋_GBK" w:cs="Times New Roman"/>
          <w:color w:val="000000"/>
        </w:rPr>
        <w:t>68609118，办公时间：9:00</w:t>
      </w:r>
      <w:r>
        <w:rPr>
          <w:rFonts w:hint="eastAsia" w:eastAsia="方正仿宋_GBK" w:cs="Times New Roman"/>
          <w:color w:val="000000"/>
        </w:rPr>
        <w:t>—</w:t>
      </w:r>
      <w:r>
        <w:rPr>
          <w:rFonts w:eastAsia="方正仿宋_GBK" w:cs="Times New Roman"/>
          <w:color w:val="000000"/>
        </w:rPr>
        <w:t>11:30，14:00</w:t>
      </w:r>
      <w:r>
        <w:rPr>
          <w:rFonts w:hint="eastAsia" w:eastAsia="方正仿宋_GBK" w:cs="Times New Roman"/>
          <w:color w:val="000000"/>
        </w:rPr>
        <w:t>—</w:t>
      </w:r>
      <w:r>
        <w:rPr>
          <w:rFonts w:eastAsia="方正仿宋_GBK" w:cs="Times New Roman"/>
          <w:color w:val="000000"/>
        </w:rPr>
        <w:t>17:30</w:t>
      </w:r>
      <w:r>
        <w:rPr>
          <w:rFonts w:hint="eastAsia" w:eastAsia="方正仿宋_GBK" w:cs="Times New Roman"/>
          <w:color w:val="000000"/>
        </w:rPr>
        <w:t>。</w:t>
      </w:r>
    </w:p>
    <w:p w14:paraId="1CE92541">
      <w:pPr>
        <w:widowControl w:val="0"/>
        <w:spacing w:line="620" w:lineRule="exact"/>
        <w:ind w:firstLine="0" w:firstLineChars="0"/>
        <w:rPr>
          <w:rFonts w:eastAsia="方正仿宋_GBK" w:cs="Times New Roman"/>
          <w:color w:val="000000"/>
        </w:rPr>
      </w:pPr>
      <w:r>
        <w:rPr>
          <w:rFonts w:hint="eastAsia" w:eastAsia="方正仿宋_GBK" w:cs="Times New Roman"/>
          <w:color w:val="000000"/>
        </w:rPr>
        <w:t xml:space="preserve">    </w:t>
      </w:r>
      <w:r>
        <w:rPr>
          <w:rFonts w:eastAsia="方正仿宋_GBK" w:cs="Times New Roman"/>
          <w:color w:val="000000"/>
        </w:rPr>
        <w:t>八、在房屋征收的同时，依法收回被征收房屋对应的国有土地使用权。</w:t>
      </w:r>
    </w:p>
    <w:p w14:paraId="7DB40555">
      <w:pPr>
        <w:widowControl w:val="0"/>
        <w:spacing w:line="620" w:lineRule="exact"/>
        <w:ind w:firstLine="0" w:firstLineChars="0"/>
        <w:rPr>
          <w:rFonts w:eastAsia="方正仿宋_GBK" w:cs="Times New Roman"/>
          <w:color w:val="000000"/>
        </w:rPr>
      </w:pPr>
      <w:r>
        <w:rPr>
          <w:rFonts w:hint="eastAsia" w:eastAsia="方正仿宋_GBK" w:cs="Times New Roman"/>
          <w:color w:val="000000"/>
        </w:rPr>
        <w:t xml:space="preserve">    </w:t>
      </w:r>
      <w:r>
        <w:rPr>
          <w:rFonts w:eastAsia="方正仿宋_GBK" w:cs="Times New Roman"/>
          <w:color w:val="000000"/>
        </w:rPr>
        <w:t>九、被征收人对征收决定不服的，可在征收决定公告之日起六十日内向重庆市人民政府申请行政复议，也可以在征收决定公告之日起六个月内向重庆市九龙坡区人民法院提起行政诉讼。</w:t>
      </w:r>
    </w:p>
    <w:p w14:paraId="24634933">
      <w:pPr>
        <w:widowControl w:val="0"/>
        <w:spacing w:line="620" w:lineRule="exact"/>
        <w:ind w:left="1555" w:leftChars="186" w:hanging="960" w:hangingChars="300"/>
        <w:rPr>
          <w:rFonts w:eastAsia="方正仿宋_GBK" w:cs="Times New Roman"/>
        </w:rPr>
      </w:pPr>
      <w:bookmarkStart w:id="10" w:name="_Toc22281"/>
    </w:p>
    <w:p w14:paraId="54F45CC9">
      <w:pPr>
        <w:widowControl w:val="0"/>
        <w:spacing w:line="620" w:lineRule="exact"/>
        <w:ind w:left="1920" w:leftChars="200" w:hanging="1280" w:hangingChars="400"/>
        <w:rPr>
          <w:rFonts w:eastAsia="方正仿宋_GBK" w:cs="Times New Roman"/>
        </w:rPr>
      </w:pPr>
      <w:r>
        <w:rPr>
          <w:rFonts w:eastAsia="方正仿宋_GBK" w:cs="Times New Roman"/>
        </w:rPr>
        <w:t>附件：1.</w:t>
      </w:r>
      <w:bookmarkEnd w:id="10"/>
      <w:r>
        <w:rPr>
          <w:rFonts w:hint="eastAsia" w:eastAsia="方正仿宋_GBK" w:cs="Times New Roman"/>
        </w:rPr>
        <w:tab/>
      </w:r>
      <w:r>
        <w:rPr>
          <w:rFonts w:eastAsia="方正仿宋_GBK" w:cs="Times New Roman"/>
        </w:rPr>
        <w:t>重庆高新区管委会关于</w:t>
      </w:r>
      <w:r>
        <w:rPr>
          <w:rFonts w:eastAsia="方正仿宋_GBK"/>
          <w:color w:val="000000"/>
        </w:rPr>
        <w:t>梁滩河综合整治（含谷老场镇片区）国有土地上房屋征收项目（三期）</w:t>
      </w:r>
      <w:r>
        <w:rPr>
          <w:rFonts w:hint="eastAsia" w:eastAsia="方正仿宋_GBK"/>
          <w:color w:val="000000"/>
        </w:rPr>
        <w:t>征收</w:t>
      </w:r>
      <w:r>
        <w:rPr>
          <w:rFonts w:eastAsia="方正仿宋_GBK" w:cs="Times New Roman"/>
        </w:rPr>
        <w:t>的决定</w:t>
      </w:r>
    </w:p>
    <w:p w14:paraId="3B613538">
      <w:pPr>
        <w:pStyle w:val="2"/>
        <w:numPr>
          <w:ilvl w:val="0"/>
          <w:numId w:val="1"/>
        </w:numPr>
        <w:spacing w:line="620" w:lineRule="exact"/>
        <w:ind w:left="1920" w:leftChars="500" w:hanging="320" w:hangingChars="100"/>
        <w:rPr>
          <w:rFonts w:ascii="Times New Roman" w:hAnsi="Times New Roman" w:eastAsia="方正仿宋_GBK" w:cs="Times New Roman"/>
          <w:sz w:val="32"/>
          <w:szCs w:val="32"/>
        </w:rPr>
      </w:pPr>
      <w:r>
        <w:rPr>
          <w:rFonts w:eastAsia="方正仿宋_GBK"/>
          <w:sz w:val="32"/>
          <w:szCs w:val="32"/>
        </w:rPr>
        <w:t>梁滩河综合整治（含谷老场镇片区）国有土地上</w:t>
      </w:r>
      <w:r>
        <w:rPr>
          <w:rFonts w:hint="eastAsia" w:eastAsia="方正仿宋_GBK"/>
          <w:sz w:val="32"/>
          <w:szCs w:val="32"/>
        </w:rPr>
        <w:t>房</w:t>
      </w:r>
      <w:r>
        <w:rPr>
          <w:rFonts w:eastAsia="方正仿宋_GBK"/>
          <w:sz w:val="32"/>
          <w:szCs w:val="32"/>
        </w:rPr>
        <w:t>屋征收项目（三期）</w:t>
      </w:r>
      <w:r>
        <w:rPr>
          <w:rFonts w:ascii="Times New Roman" w:hAnsi="Times New Roman" w:eastAsia="方正仿宋_GBK" w:cs="Times New Roman"/>
          <w:color w:val="auto"/>
          <w:kern w:val="2"/>
          <w:sz w:val="32"/>
          <w:szCs w:val="32"/>
        </w:rPr>
        <w:t>征收范围</w:t>
      </w:r>
    </w:p>
    <w:p w14:paraId="5A1EF45B">
      <w:pPr>
        <w:widowControl w:val="0"/>
        <w:numPr>
          <w:ilvl w:val="0"/>
          <w:numId w:val="1"/>
        </w:numPr>
        <w:spacing w:line="620" w:lineRule="exact"/>
        <w:ind w:left="1920" w:leftChars="500" w:hanging="320" w:hangingChars="100"/>
        <w:rPr>
          <w:rFonts w:eastAsia="方正仿宋_GBK" w:cs="Times New Roman"/>
        </w:rPr>
      </w:pPr>
      <w:r>
        <w:rPr>
          <w:rFonts w:eastAsia="方正仿宋_GBK"/>
          <w:color w:val="000000"/>
        </w:rPr>
        <w:t>梁滩河综合整治（含谷老场镇片区）国有土地上房屋征收项目（三期）</w:t>
      </w:r>
      <w:r>
        <w:rPr>
          <w:rFonts w:eastAsia="方正仿宋_GBK" w:cs="Times New Roman"/>
        </w:rPr>
        <w:t>征收补偿方案</w:t>
      </w:r>
    </w:p>
    <w:p w14:paraId="27E6A3F6">
      <w:pPr>
        <w:pStyle w:val="2"/>
        <w:spacing w:line="620" w:lineRule="exact"/>
        <w:rPr>
          <w:rFonts w:ascii="Times New Roman" w:hAnsi="Times New Roman" w:eastAsia="方正仿宋_GBK" w:cs="Times New Roman"/>
          <w:color w:val="auto"/>
          <w:kern w:val="2"/>
          <w:sz w:val="32"/>
          <w:szCs w:val="32"/>
        </w:rPr>
      </w:pPr>
    </w:p>
    <w:p w14:paraId="06BE036F">
      <w:pPr>
        <w:widowControl w:val="0"/>
        <w:spacing w:line="620" w:lineRule="exact"/>
        <w:ind w:firstLine="0" w:firstLineChars="0"/>
        <w:jc w:val="right"/>
        <w:rPr>
          <w:rFonts w:eastAsia="方正仿宋_GBK" w:cs="Times New Roman"/>
          <w:color w:val="000000"/>
        </w:rPr>
      </w:pPr>
    </w:p>
    <w:p w14:paraId="63FAEB4F">
      <w:pPr>
        <w:widowControl w:val="0"/>
        <w:spacing w:line="620" w:lineRule="exact"/>
        <w:ind w:firstLine="0" w:firstLineChars="0"/>
        <w:jc w:val="right"/>
        <w:rPr>
          <w:rFonts w:eastAsia="方正仿宋_GBK" w:cs="Times New Roman"/>
          <w:color w:val="000000"/>
        </w:rPr>
      </w:pPr>
      <w:r>
        <w:rPr>
          <w:rFonts w:hint="eastAsia" w:eastAsia="方正仿宋_GBK" w:cs="Times New Roman"/>
          <w:color w:val="000000"/>
        </w:rPr>
        <w:t xml:space="preserve">   </w:t>
      </w:r>
      <w:r>
        <w:rPr>
          <w:rFonts w:eastAsia="方正仿宋_GBK" w:cs="Times New Roman"/>
          <w:color w:val="000000"/>
        </w:rPr>
        <w:t>重庆高新区管委会</w:t>
      </w:r>
    </w:p>
    <w:p w14:paraId="272E8641">
      <w:pPr>
        <w:widowControl w:val="0"/>
        <w:spacing w:line="620" w:lineRule="exact"/>
        <w:ind w:firstLine="0" w:firstLineChars="0"/>
        <w:rPr>
          <w:rFonts w:eastAsia="方正仿宋_GBK" w:cs="Times New Roman"/>
          <w:color w:val="000000"/>
        </w:rPr>
      </w:pPr>
      <w:r>
        <w:rPr>
          <w:rFonts w:hint="eastAsia" w:eastAsia="方正仿宋_GBK" w:cs="Times New Roman"/>
          <w:color w:val="000000"/>
        </w:rPr>
        <w:t xml:space="preserve">    </w:t>
      </w:r>
      <w:r>
        <w:rPr>
          <w:rFonts w:eastAsia="方正仿宋_GBK" w:cs="Times New Roman"/>
          <w:color w:val="000000"/>
        </w:rPr>
        <w:t xml:space="preserve">                          </w:t>
      </w:r>
      <w:r>
        <w:rPr>
          <w:rFonts w:hint="eastAsia" w:eastAsia="方正仿宋_GBK" w:cs="Times New Roman"/>
          <w:color w:val="000000"/>
        </w:rPr>
        <w:t xml:space="preserve">         </w:t>
      </w:r>
      <w:r>
        <w:rPr>
          <w:rFonts w:eastAsia="方正仿宋_GBK" w:cs="Times New Roman"/>
          <w:color w:val="000000"/>
        </w:rPr>
        <w:t>202</w:t>
      </w:r>
      <w:r>
        <w:rPr>
          <w:rFonts w:hint="eastAsia" w:eastAsia="方正仿宋_GBK" w:cs="Times New Roman"/>
          <w:color w:val="000000"/>
        </w:rPr>
        <w:t>4</w:t>
      </w:r>
      <w:r>
        <w:rPr>
          <w:rFonts w:eastAsia="方正仿宋_GBK" w:cs="Times New Roman"/>
          <w:color w:val="000000"/>
        </w:rPr>
        <w:t>年</w:t>
      </w:r>
      <w:r>
        <w:rPr>
          <w:rFonts w:hint="eastAsia" w:eastAsia="方正仿宋_GBK" w:cs="Times New Roman"/>
          <w:color w:val="000000"/>
        </w:rPr>
        <w:t>12</w:t>
      </w:r>
      <w:r>
        <w:rPr>
          <w:rFonts w:eastAsia="方正仿宋_GBK" w:cs="Times New Roman"/>
          <w:color w:val="000000"/>
        </w:rPr>
        <w:t>月</w:t>
      </w:r>
      <w:r>
        <w:rPr>
          <w:rFonts w:hint="eastAsia" w:eastAsia="方正仿宋_GBK" w:cs="Times New Roman"/>
          <w:color w:val="000000"/>
        </w:rPr>
        <w:t>11</w:t>
      </w:r>
      <w:r>
        <w:rPr>
          <w:rFonts w:eastAsia="方正仿宋_GBK" w:cs="Times New Roman"/>
          <w:color w:val="000000"/>
        </w:rPr>
        <w:t>日</w:t>
      </w:r>
    </w:p>
    <w:p w14:paraId="160A3F20">
      <w:pPr>
        <w:widowControl w:val="0"/>
        <w:spacing w:line="620" w:lineRule="exact"/>
        <w:ind w:firstLine="0" w:firstLineChars="0"/>
        <w:jc w:val="left"/>
        <w:rPr>
          <w:rFonts w:eastAsia="方正黑体_GBK" w:cs="Times New Roman"/>
          <w:color w:val="000000"/>
        </w:rPr>
      </w:pPr>
      <w:bookmarkStart w:id="11" w:name="_Toc14431"/>
      <w:bookmarkStart w:id="12" w:name="_Toc21199"/>
      <w:bookmarkStart w:id="13" w:name="_Toc87308088"/>
      <w:bookmarkStart w:id="14" w:name="_Toc21808"/>
      <w:bookmarkStart w:id="15" w:name="_Toc23559"/>
      <w:bookmarkStart w:id="16" w:name="_Toc12191"/>
      <w:bookmarkStart w:id="17" w:name="_Toc25318"/>
      <w:bookmarkStart w:id="18" w:name="_Toc30978"/>
      <w:bookmarkStart w:id="19" w:name="_Toc28062"/>
      <w:bookmarkStart w:id="20" w:name="_Toc87282561"/>
      <w:r>
        <w:rPr>
          <w:rFonts w:eastAsia="方正黑体_GBK" w:cs="Times New Roman"/>
          <w:color w:val="000000"/>
        </w:rPr>
        <w:t>附件1</w:t>
      </w:r>
    </w:p>
    <w:p w14:paraId="278E7705">
      <w:pPr>
        <w:pStyle w:val="2"/>
        <w:spacing w:line="620" w:lineRule="exact"/>
        <w:rPr>
          <w:rFonts w:ascii="Times New Roman" w:hAnsi="Times New Roman" w:cs="Times New Roman"/>
        </w:rPr>
      </w:pPr>
    </w:p>
    <w:p w14:paraId="6FFD3FC1">
      <w:pPr>
        <w:widowControl w:val="0"/>
        <w:spacing w:line="620" w:lineRule="exact"/>
        <w:ind w:firstLine="0" w:firstLineChars="0"/>
        <w:jc w:val="center"/>
        <w:rPr>
          <w:rFonts w:eastAsia="方正小标宋_GBK" w:cs="Times New Roman"/>
          <w:color w:val="000000"/>
          <w:sz w:val="44"/>
          <w:szCs w:val="44"/>
        </w:rPr>
      </w:pPr>
      <w:r>
        <w:rPr>
          <w:rFonts w:eastAsia="方正小标宋_GBK" w:cs="Times New Roman"/>
          <w:color w:val="000000"/>
          <w:sz w:val="44"/>
          <w:szCs w:val="44"/>
        </w:rPr>
        <w:t>重庆高新区管委会</w:t>
      </w:r>
    </w:p>
    <w:p w14:paraId="71A8CB95">
      <w:pPr>
        <w:widowControl w:val="0"/>
        <w:spacing w:line="620" w:lineRule="exact"/>
        <w:ind w:firstLine="0" w:firstLineChars="0"/>
        <w:jc w:val="center"/>
        <w:rPr>
          <w:rFonts w:eastAsia="方正小标宋_GBK" w:cs="Times New Roman"/>
          <w:color w:val="000000"/>
          <w:sz w:val="44"/>
          <w:szCs w:val="44"/>
        </w:rPr>
      </w:pPr>
      <w:r>
        <w:rPr>
          <w:rFonts w:eastAsia="方正小标宋_GBK" w:cs="Times New Roman"/>
          <w:color w:val="000000"/>
          <w:sz w:val="44"/>
          <w:szCs w:val="44"/>
        </w:rPr>
        <w:t>关于梁滩河综合整治（含谷老场镇片区）国有土地上房屋征收项目（三期）征收的决定</w:t>
      </w:r>
      <w:bookmarkEnd w:id="11"/>
      <w:bookmarkEnd w:id="12"/>
      <w:bookmarkEnd w:id="13"/>
      <w:bookmarkEnd w:id="14"/>
      <w:bookmarkEnd w:id="15"/>
      <w:bookmarkEnd w:id="16"/>
      <w:bookmarkEnd w:id="17"/>
      <w:bookmarkEnd w:id="18"/>
      <w:bookmarkEnd w:id="19"/>
      <w:bookmarkEnd w:id="20"/>
    </w:p>
    <w:p w14:paraId="034DA71B">
      <w:pPr>
        <w:spacing w:line="620" w:lineRule="exact"/>
        <w:ind w:firstLine="0" w:firstLineChars="0"/>
        <w:rPr>
          <w:rFonts w:eastAsia="方正仿宋_GBK" w:cs="Times New Roman"/>
          <w:color w:val="000000"/>
        </w:rPr>
      </w:pPr>
    </w:p>
    <w:p w14:paraId="04896AC1">
      <w:pPr>
        <w:spacing w:line="620" w:lineRule="exact"/>
        <w:ind w:firstLine="0" w:firstLineChars="0"/>
        <w:rPr>
          <w:rFonts w:eastAsia="方正仿宋_GBK" w:cs="Times New Roman"/>
          <w:color w:val="000000"/>
        </w:rPr>
      </w:pPr>
      <w:r>
        <w:rPr>
          <w:rFonts w:hint="eastAsia" w:eastAsia="方正仿宋_GBK" w:cs="Times New Roman"/>
          <w:color w:val="000000"/>
        </w:rPr>
        <w:t xml:space="preserve">    </w:t>
      </w:r>
      <w:r>
        <w:rPr>
          <w:rFonts w:eastAsia="方正仿宋_GBK" w:cs="Times New Roman"/>
          <w:color w:val="000000"/>
        </w:rPr>
        <w:t>因</w:t>
      </w:r>
      <w:r>
        <w:rPr>
          <w:rFonts w:eastAsia="方正仿宋_GBK"/>
          <w:color w:val="000000"/>
        </w:rPr>
        <w:t>梁滩河综合整治（含谷老场镇片区）</w:t>
      </w:r>
      <w:r>
        <w:rPr>
          <w:rFonts w:eastAsia="方正仿宋_GBK" w:cs="Times New Roman"/>
          <w:color w:val="000000"/>
        </w:rPr>
        <w:t>工程项目</w:t>
      </w:r>
      <w:r>
        <w:rPr>
          <w:rFonts w:eastAsia="方正仿宋_GBK" w:cs="Times New Roman"/>
        </w:rPr>
        <w:t>建设的需要</w:t>
      </w:r>
      <w:r>
        <w:rPr>
          <w:rFonts w:eastAsia="方正仿宋_GBK" w:cs="Times New Roman"/>
          <w:color w:val="000000"/>
        </w:rPr>
        <w:t>，根据《国有土地上房屋征收与补偿条例》《重庆市国有土地上房屋征收与补偿条例》和《重庆市国有土地上房屋征收与补偿条例实施细则》的规定，现决定对梁滩河综合整治（含谷老场镇片区）国有土地上房屋征收项目（三期）征收范围内：九龙坡区含谷镇含兴路53号3单元附5号、九龙坡区含谷镇含兴路53号附1号、九区含谷镇新街、九龙坡区含谷镇含兴路53号附3号、九龙坡区含谷镇含兴路53号附4号、九龙坡区含谷镇含兴路53号3单元</w:t>
      </w:r>
      <w:r>
        <w:rPr>
          <w:rFonts w:eastAsia="方正仿宋_GBK" w:cs="Times New Roman"/>
          <w:kern w:val="0"/>
        </w:rPr>
        <w:t>及</w:t>
      </w:r>
      <w:r>
        <w:rPr>
          <w:rFonts w:eastAsia="方正仿宋_GBK" w:cs="Times New Roman"/>
          <w:bCs/>
        </w:rPr>
        <w:t>征收范围内认定为合法建筑的未登记建筑、</w:t>
      </w:r>
      <w:r>
        <w:rPr>
          <w:rFonts w:eastAsia="方正仿宋_GBK" w:cs="Times New Roman"/>
        </w:rPr>
        <w:t>其他附属物</w:t>
      </w:r>
      <w:r>
        <w:rPr>
          <w:rFonts w:eastAsia="方正仿宋_GBK" w:cs="Times New Roman"/>
          <w:color w:val="000000"/>
        </w:rPr>
        <w:t>实施征收，征收范围内的国有土地使用权一并收回。</w:t>
      </w:r>
    </w:p>
    <w:p w14:paraId="5B5A4E0C">
      <w:pPr>
        <w:spacing w:line="620" w:lineRule="exact"/>
        <w:ind w:firstLine="0" w:firstLineChars="0"/>
        <w:rPr>
          <w:rFonts w:ascii="方正仿宋_GBK" w:eastAsia="方正仿宋_GBK" w:cs="Times New Roman"/>
          <w:color w:val="000000"/>
        </w:rPr>
      </w:pPr>
      <w:r>
        <w:rPr>
          <w:rFonts w:hint="eastAsia" w:eastAsia="方正仿宋_GBK" w:cs="Times New Roman"/>
          <w:color w:val="000000"/>
        </w:rPr>
        <w:t xml:space="preserve">    </w:t>
      </w:r>
      <w:r>
        <w:rPr>
          <w:rFonts w:eastAsia="方正仿宋_GBK" w:cs="Times New Roman"/>
          <w:color w:val="000000"/>
        </w:rPr>
        <w:t>本房屋征收项目共涉及被征收人6户，房屋建筑面积440.55</w:t>
      </w:r>
      <w:r>
        <w:rPr>
          <w:rFonts w:hint="eastAsia" w:ascii="方正仿宋_GBK" w:eastAsia="方正仿宋_GBK" w:cs="Times New Roman"/>
          <w:color w:val="000000"/>
        </w:rPr>
        <w:t>平方米。</w:t>
      </w:r>
    </w:p>
    <w:p w14:paraId="5CB3FBA4">
      <w:pPr>
        <w:widowControl w:val="0"/>
        <w:spacing w:line="620" w:lineRule="exact"/>
        <w:ind w:firstLine="0" w:firstLineChars="0"/>
        <w:rPr>
          <w:rFonts w:eastAsia="方正仿宋_GBK" w:cs="Times New Roman"/>
          <w:color w:val="000000"/>
        </w:rPr>
      </w:pPr>
      <w:r>
        <w:rPr>
          <w:rFonts w:hint="eastAsia" w:eastAsia="方正仿宋_GBK" w:cs="Times New Roman"/>
        </w:rPr>
        <w:t xml:space="preserve">    </w:t>
      </w:r>
      <w:r>
        <w:rPr>
          <w:rFonts w:eastAsia="方正仿宋_GBK" w:cs="Times New Roman"/>
        </w:rPr>
        <w:t>重庆高新区管委会建设局</w:t>
      </w:r>
      <w:r>
        <w:rPr>
          <w:rFonts w:eastAsia="方正仿宋_GBK" w:cs="Times New Roman"/>
          <w:color w:val="000000"/>
        </w:rPr>
        <w:t>会同有关部门和单位，负责房屋征收的组织实施工作，依法保障被征收人合法权益，维护社会稳定。</w:t>
      </w:r>
    </w:p>
    <w:p w14:paraId="34F8209C">
      <w:pPr>
        <w:widowControl w:val="0"/>
        <w:spacing w:line="620" w:lineRule="exact"/>
        <w:ind w:firstLine="0" w:firstLineChars="0"/>
        <w:rPr>
          <w:rFonts w:eastAsia="方正仿宋_GBK" w:cs="Times New Roman"/>
          <w:color w:val="000000"/>
        </w:rPr>
      </w:pPr>
      <w:r>
        <w:rPr>
          <w:rFonts w:hint="eastAsia" w:eastAsia="方正仿宋_GBK" w:cs="Times New Roman"/>
          <w:color w:val="000000"/>
        </w:rPr>
        <w:t xml:space="preserve">    </w:t>
      </w:r>
      <w:r>
        <w:rPr>
          <w:rFonts w:eastAsia="方正仿宋_GBK" w:cs="Times New Roman"/>
          <w:color w:val="000000"/>
        </w:rPr>
        <w:t>被征收人对本征收决定不服的，可在征收决定公告之日起六十日内向重庆市人民政府申请行政复议，也可以在征收决定公告之日起六个月内向重庆市九龙坡区人民法院提起行政诉讼。</w:t>
      </w:r>
    </w:p>
    <w:p w14:paraId="03D24900">
      <w:pPr>
        <w:pStyle w:val="2"/>
        <w:widowControl w:val="0"/>
        <w:spacing w:line="620" w:lineRule="exact"/>
        <w:rPr>
          <w:rFonts w:ascii="Times New Roman" w:hAnsi="Times New Roman" w:cs="Times New Roman"/>
        </w:rPr>
      </w:pPr>
    </w:p>
    <w:p w14:paraId="2061A8CB">
      <w:pPr>
        <w:pStyle w:val="2"/>
        <w:widowControl w:val="0"/>
        <w:spacing w:line="620" w:lineRule="exact"/>
        <w:rPr>
          <w:rFonts w:ascii="Times New Roman" w:hAnsi="Times New Roman" w:cs="Times New Roman"/>
        </w:rPr>
      </w:pPr>
    </w:p>
    <w:p w14:paraId="58C4DF9E">
      <w:pPr>
        <w:pStyle w:val="2"/>
        <w:widowControl w:val="0"/>
        <w:spacing w:line="620" w:lineRule="exact"/>
        <w:rPr>
          <w:rFonts w:ascii="Times New Roman" w:hAnsi="Times New Roman" w:cs="Times New Roman"/>
        </w:rPr>
      </w:pPr>
    </w:p>
    <w:p w14:paraId="0BEDAA9A">
      <w:pPr>
        <w:spacing w:line="620" w:lineRule="exact"/>
        <w:ind w:firstLine="0" w:firstLineChars="0"/>
        <w:jc w:val="center"/>
        <w:rPr>
          <w:rFonts w:eastAsia="方正仿宋_GBK" w:cs="Times New Roman"/>
          <w:color w:val="000000"/>
        </w:rPr>
      </w:pPr>
      <w:r>
        <w:rPr>
          <w:rFonts w:hint="eastAsia" w:eastAsia="方正仿宋_GBK" w:cs="Times New Roman"/>
          <w:color w:val="000000"/>
        </w:rPr>
        <w:t xml:space="preserve">                                </w:t>
      </w:r>
      <w:r>
        <w:rPr>
          <w:rFonts w:eastAsia="方正仿宋_GBK" w:cs="Times New Roman"/>
          <w:color w:val="000000"/>
        </w:rPr>
        <w:t>重庆高新区管委会</w:t>
      </w:r>
    </w:p>
    <w:p w14:paraId="5215ACE0">
      <w:pPr>
        <w:spacing w:line="620" w:lineRule="exact"/>
        <w:ind w:firstLine="0" w:firstLineChars="0"/>
        <w:rPr>
          <w:rFonts w:eastAsia="方正仿宋_GBK" w:cs="Times New Roman"/>
          <w:color w:val="000000"/>
        </w:rPr>
      </w:pPr>
      <w:r>
        <w:rPr>
          <w:rFonts w:hint="eastAsia" w:eastAsia="方正仿宋_GBK" w:cs="Times New Roman"/>
          <w:color w:val="000000"/>
        </w:rPr>
        <w:t xml:space="preserve">    </w:t>
      </w:r>
      <w:r>
        <w:rPr>
          <w:rFonts w:eastAsia="方正仿宋_GBK" w:cs="Times New Roman"/>
          <w:color w:val="000000"/>
        </w:rPr>
        <w:t xml:space="preserve">                           </w:t>
      </w:r>
      <w:r>
        <w:rPr>
          <w:rFonts w:hint="eastAsia" w:eastAsia="方正仿宋_GBK" w:cs="Times New Roman"/>
          <w:color w:val="000000"/>
        </w:rPr>
        <w:t xml:space="preserve">     </w:t>
      </w:r>
      <w:r>
        <w:rPr>
          <w:rFonts w:eastAsia="方正仿宋_GBK" w:cs="Times New Roman"/>
          <w:color w:val="000000"/>
        </w:rPr>
        <w:t>202</w:t>
      </w:r>
      <w:r>
        <w:rPr>
          <w:rFonts w:hint="eastAsia" w:eastAsia="方正仿宋_GBK" w:cs="Times New Roman"/>
          <w:color w:val="000000"/>
        </w:rPr>
        <w:t>4</w:t>
      </w:r>
      <w:r>
        <w:rPr>
          <w:rFonts w:eastAsia="方正仿宋_GBK" w:cs="Times New Roman"/>
          <w:color w:val="000000"/>
        </w:rPr>
        <w:t>年</w:t>
      </w:r>
      <w:r>
        <w:rPr>
          <w:rFonts w:hint="eastAsia" w:eastAsia="方正仿宋_GBK" w:cs="Times New Roman"/>
          <w:color w:val="000000"/>
        </w:rPr>
        <w:t>12</w:t>
      </w:r>
      <w:r>
        <w:rPr>
          <w:rFonts w:eastAsia="方正仿宋_GBK" w:cs="Times New Roman"/>
          <w:color w:val="000000"/>
        </w:rPr>
        <w:t>月</w:t>
      </w:r>
      <w:r>
        <w:rPr>
          <w:rFonts w:hint="eastAsia" w:eastAsia="方正仿宋_GBK" w:cs="Times New Roman"/>
          <w:color w:val="000000"/>
        </w:rPr>
        <w:t>11</w:t>
      </w:r>
      <w:r>
        <w:rPr>
          <w:rFonts w:eastAsia="方正仿宋_GBK" w:cs="Times New Roman"/>
          <w:color w:val="000000"/>
        </w:rPr>
        <w:t>日</w:t>
      </w:r>
    </w:p>
    <w:p w14:paraId="6D91F537">
      <w:pPr>
        <w:ind w:firstLine="0" w:firstLineChars="0"/>
        <w:rPr>
          <w:rFonts w:cs="Times New Roman" w:eastAsiaTheme="minorEastAsia"/>
        </w:rPr>
      </w:pPr>
    </w:p>
    <w:p w14:paraId="5BC1C15A">
      <w:pPr>
        <w:ind w:firstLine="640"/>
        <w:rPr>
          <w:rFonts w:eastAsia="方正黑体_GBK" w:cs="Times New Roman"/>
        </w:rPr>
      </w:pPr>
      <w:r>
        <w:rPr>
          <w:rFonts w:eastAsia="方正黑体_GBK" w:cs="Times New Roman"/>
        </w:rPr>
        <w:br w:type="page"/>
      </w:r>
    </w:p>
    <w:p w14:paraId="7D74CE65">
      <w:pPr>
        <w:pStyle w:val="2"/>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14:paraId="02A1F6F9">
      <w:pPr>
        <w:pStyle w:val="2"/>
        <w:rPr>
          <w:rFonts w:ascii="Times New Roman" w:hAnsi="Times New Roman" w:eastAsia="方正黑体_GBK" w:cs="Times New Roman"/>
          <w:sz w:val="32"/>
          <w:szCs w:val="32"/>
        </w:rPr>
      </w:pPr>
    </w:p>
    <w:p w14:paraId="73E4C7D3">
      <w:pPr>
        <w:spacing w:line="240" w:lineRule="auto"/>
        <w:ind w:firstLine="0" w:firstLineChars="0"/>
        <w:jc w:val="center"/>
        <w:rPr>
          <w:rFonts w:eastAsia="方正黑体_GBK" w:cs="Times New Roman"/>
        </w:rPr>
      </w:pPr>
      <w:r>
        <w:rPr>
          <w:rFonts w:eastAsia="方正黑体_GBK" w:cs="Times New Roman"/>
        </w:rPr>
        <w:drawing>
          <wp:inline distT="0" distB="0" distL="0" distR="0">
            <wp:extent cx="5347335" cy="6926580"/>
            <wp:effectExtent l="0" t="0" r="5715" b="7620"/>
            <wp:docPr id="33001064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10645"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47335" cy="6926580"/>
                    </a:xfrm>
                    <a:prstGeom prst="rect">
                      <a:avLst/>
                    </a:prstGeom>
                    <a:noFill/>
                    <a:ln>
                      <a:noFill/>
                    </a:ln>
                  </pic:spPr>
                </pic:pic>
              </a:graphicData>
            </a:graphic>
          </wp:inline>
        </w:drawing>
      </w:r>
    </w:p>
    <w:p w14:paraId="59496833">
      <w:pPr>
        <w:widowControl w:val="0"/>
        <w:tabs>
          <w:tab w:val="left" w:pos="200"/>
        </w:tabs>
        <w:ind w:firstLine="0" w:firstLineChars="0"/>
        <w:jc w:val="left"/>
        <w:rPr>
          <w:rFonts w:eastAsia="方正黑体_GBK" w:cs="Times New Roman"/>
        </w:rPr>
      </w:pPr>
      <w:r>
        <w:rPr>
          <w:rFonts w:eastAsia="方正黑体_GBK" w:cs="Times New Roman"/>
        </w:rPr>
        <w:t>附件3</w:t>
      </w:r>
    </w:p>
    <w:p w14:paraId="74488220">
      <w:pPr>
        <w:pStyle w:val="2"/>
      </w:pPr>
    </w:p>
    <w:p w14:paraId="68AFC712">
      <w:pPr>
        <w:widowControl w:val="0"/>
        <w:ind w:firstLine="0" w:firstLineChars="0"/>
        <w:jc w:val="center"/>
        <w:rPr>
          <w:rFonts w:eastAsia="方正小标宋_GBK" w:cs="Times New Roman"/>
          <w:sz w:val="44"/>
          <w:szCs w:val="44"/>
        </w:rPr>
      </w:pPr>
      <w:r>
        <w:rPr>
          <w:rFonts w:eastAsia="方正小标宋_GBK" w:cs="Times New Roman"/>
          <w:sz w:val="44"/>
          <w:szCs w:val="44"/>
        </w:rPr>
        <w:t>梁滩河综合整治（含谷老场镇片区）国有土地上房屋征收项目</w:t>
      </w:r>
      <w:r>
        <w:rPr>
          <w:rFonts w:hint="eastAsia" w:eastAsia="方正小标宋_GBK" w:cs="Times New Roman"/>
          <w:sz w:val="44"/>
          <w:szCs w:val="44"/>
        </w:rPr>
        <w:t>（</w:t>
      </w:r>
      <w:r>
        <w:rPr>
          <w:rFonts w:eastAsia="方正小标宋_GBK" w:cs="Times New Roman"/>
          <w:sz w:val="44"/>
          <w:szCs w:val="44"/>
        </w:rPr>
        <w:t>三期</w:t>
      </w:r>
      <w:r>
        <w:rPr>
          <w:rFonts w:hint="eastAsia" w:eastAsia="方正小标宋_GBK" w:cs="Times New Roman"/>
          <w:sz w:val="44"/>
          <w:szCs w:val="44"/>
        </w:rPr>
        <w:t>）</w:t>
      </w:r>
      <w:r>
        <w:rPr>
          <w:rFonts w:eastAsia="方正小标宋_GBK" w:cs="Times New Roman"/>
          <w:sz w:val="44"/>
          <w:szCs w:val="44"/>
        </w:rPr>
        <w:t>征收补偿方案</w:t>
      </w:r>
    </w:p>
    <w:p w14:paraId="38EEB606">
      <w:pPr>
        <w:widowControl w:val="0"/>
        <w:autoSpaceDE w:val="0"/>
        <w:autoSpaceDN w:val="0"/>
        <w:adjustRightInd w:val="0"/>
        <w:ind w:firstLine="640"/>
        <w:rPr>
          <w:rFonts w:eastAsia="方正仿宋_GBK" w:cs="Times New Roman"/>
          <w:color w:val="000000"/>
        </w:rPr>
      </w:pPr>
    </w:p>
    <w:p w14:paraId="0D2143A3">
      <w:pPr>
        <w:widowControl w:val="0"/>
        <w:ind w:firstLine="640"/>
        <w:jc w:val="left"/>
        <w:rPr>
          <w:rFonts w:eastAsia="方正仿宋_GBK" w:cs="Times New Roman"/>
          <w:sz w:val="44"/>
          <w:szCs w:val="44"/>
        </w:rPr>
      </w:pPr>
      <w:r>
        <w:rPr>
          <w:rFonts w:eastAsia="方正仿宋_GBK" w:cs="Times New Roman"/>
          <w:color w:val="000000"/>
        </w:rPr>
        <w:t>为维护公共利益，保障被征收人的合法权益，根据《国有土地上房屋征收与补偿条例》《重庆市国有土地上房屋征收与补偿条例》等规定，结合该片区实际情况，特制定《梁滩河综合整治（含谷老场镇片区）国有土地上房屋征收项目（三期）征收补偿方案</w:t>
      </w:r>
      <w:r>
        <w:rPr>
          <w:rFonts w:hint="eastAsia" w:eastAsia="方正仿宋_GBK" w:cs="Times New Roman"/>
          <w:color w:val="000000"/>
          <w:lang w:eastAsia="zh-CN"/>
        </w:rPr>
        <w:t>（征求意见稿）》</w:t>
      </w:r>
      <w:r>
        <w:rPr>
          <w:rFonts w:eastAsia="方正仿宋_GBK" w:cs="Times New Roman"/>
          <w:color w:val="000000"/>
        </w:rPr>
        <w:t>如下：</w:t>
      </w:r>
    </w:p>
    <w:p w14:paraId="7F57879A">
      <w:pPr>
        <w:widowControl w:val="0"/>
        <w:ind w:firstLine="640"/>
        <w:rPr>
          <w:rFonts w:eastAsia="方正黑体_GBK" w:cs="Times New Roman"/>
          <w:color w:val="000000"/>
        </w:rPr>
      </w:pPr>
      <w:r>
        <w:rPr>
          <w:rFonts w:eastAsia="方正黑体_GBK" w:cs="Times New Roman"/>
          <w:color w:val="000000"/>
        </w:rPr>
        <w:t>一、拟征收范围、面积、户数及签约期限</w:t>
      </w:r>
    </w:p>
    <w:p w14:paraId="2168EC93">
      <w:pPr>
        <w:widowControl w:val="0"/>
        <w:ind w:firstLine="630" w:firstLineChars="0"/>
        <w:rPr>
          <w:rFonts w:eastAsia="方正仿宋_GBK" w:cs="Times New Roman"/>
          <w:sz w:val="21"/>
        </w:rPr>
      </w:pPr>
      <w:r>
        <w:rPr>
          <w:rFonts w:hint="eastAsia" w:ascii="方正楷体_GB2312" w:hAnsi="方正楷体_GB2312" w:eastAsia="方正楷体_GB2312" w:cs="方正楷体_GB2312"/>
          <w:color w:val="000000"/>
        </w:rPr>
        <w:t>（一）拟征收范围：</w:t>
      </w:r>
      <w:r>
        <w:rPr>
          <w:rFonts w:eastAsia="方正仿宋_GBK" w:cs="Times New Roman"/>
          <w:color w:val="000000"/>
        </w:rPr>
        <w:t>九龙坡区含谷镇含兴路53号3单元附5号、九龙坡区含谷镇含兴路53号附1号、九区含谷镇新街、九龙坡区含谷镇含兴路53号附3号、九龙坡区含谷镇含兴路53号附4号、九龙坡区含谷镇含兴路53号3单元</w:t>
      </w:r>
      <w:r>
        <w:rPr>
          <w:rFonts w:eastAsia="方正仿宋_GBK" w:cs="Times New Roman"/>
          <w:kern w:val="0"/>
        </w:rPr>
        <w:t>及</w:t>
      </w:r>
      <w:r>
        <w:rPr>
          <w:rFonts w:eastAsia="方正仿宋_GBK" w:cs="Times New Roman"/>
          <w:bCs/>
        </w:rPr>
        <w:t>征收范围内认定为合法建筑的未登记建筑、</w:t>
      </w:r>
      <w:r>
        <w:rPr>
          <w:rFonts w:eastAsia="方正仿宋_GBK" w:cs="Times New Roman"/>
        </w:rPr>
        <w:t>其他附属物，征收范围内的国有土地使用权一并收回。</w:t>
      </w:r>
    </w:p>
    <w:p w14:paraId="6EBD7AC7">
      <w:pPr>
        <w:widowControl w:val="0"/>
        <w:ind w:firstLine="640"/>
        <w:rPr>
          <w:rFonts w:eastAsia="方正仿宋_GBK" w:cs="Times New Roman"/>
        </w:rPr>
      </w:pPr>
      <w:r>
        <w:rPr>
          <w:rFonts w:hint="eastAsia" w:ascii="方正楷体_GB2312" w:hAnsi="方正楷体_GB2312" w:eastAsia="方正楷体_GB2312" w:cs="方正楷体_GB2312"/>
          <w:color w:val="000000"/>
        </w:rPr>
        <w:t>（二）拟征收面积：</w:t>
      </w:r>
      <w:r>
        <w:rPr>
          <w:rFonts w:eastAsia="方正仿宋_GBK" w:cs="Times New Roman"/>
          <w:color w:val="000000"/>
        </w:rPr>
        <w:t>有证房屋建筑面积440.55㎡</w:t>
      </w:r>
      <w:r>
        <w:rPr>
          <w:rFonts w:eastAsia="方正仿宋_GBK" w:cs="Times New Roman"/>
        </w:rPr>
        <w:t>，以及部分未登记建筑。</w:t>
      </w:r>
    </w:p>
    <w:p w14:paraId="75F9AB51">
      <w:pPr>
        <w:widowControl w:val="0"/>
        <w:ind w:left="6" w:firstLine="640"/>
        <w:rPr>
          <w:rFonts w:eastAsia="方正仿宋_GBK" w:cs="Times New Roman"/>
        </w:rPr>
      </w:pPr>
      <w:r>
        <w:rPr>
          <w:rFonts w:ascii="方正楷体_GB2312" w:hAnsi="方正楷体_GB2312" w:eastAsia="方正楷体_GB2312" w:cs="方正楷体_GB2312"/>
          <w:color w:val="000000"/>
        </w:rPr>
        <w:t>（三）拟征收户数：</w:t>
      </w:r>
      <w:r>
        <w:rPr>
          <w:rFonts w:eastAsia="方正仿宋_GBK" w:cs="Times New Roman"/>
        </w:rPr>
        <w:t>共6户。</w:t>
      </w:r>
    </w:p>
    <w:p w14:paraId="28B6CDFD">
      <w:pPr>
        <w:widowControl w:val="0"/>
        <w:ind w:firstLine="640"/>
        <w:rPr>
          <w:rFonts w:eastAsia="方正仿宋_GBK" w:cs="Times New Roman"/>
          <w:color w:val="000000"/>
        </w:rPr>
      </w:pPr>
      <w:r>
        <w:rPr>
          <w:rFonts w:ascii="方正楷体_GB2312" w:hAnsi="方正楷体_GB2312" w:eastAsia="方正楷体_GB2312" w:cs="方正楷体_GB2312"/>
          <w:color w:val="000000"/>
        </w:rPr>
        <w:t>（四）签约时间及期限：</w:t>
      </w:r>
      <w:r>
        <w:rPr>
          <w:rFonts w:eastAsia="方正仿宋_GBK" w:cs="Times New Roman"/>
          <w:color w:val="000000"/>
        </w:rPr>
        <w:t>以重庆高新区管委会发布的房屋征收公告为准。</w:t>
      </w:r>
    </w:p>
    <w:p w14:paraId="759F03CE">
      <w:pPr>
        <w:widowControl w:val="0"/>
        <w:ind w:firstLine="640"/>
        <w:rPr>
          <w:rFonts w:eastAsia="方正黑体_GBK" w:cs="Times New Roman"/>
          <w:color w:val="000000"/>
        </w:rPr>
      </w:pPr>
      <w:r>
        <w:rPr>
          <w:rFonts w:eastAsia="方正黑体_GBK" w:cs="Times New Roman"/>
          <w:color w:val="000000"/>
        </w:rPr>
        <w:t>二、房屋征收部门、房屋征收实施机构和评估机构</w:t>
      </w:r>
    </w:p>
    <w:p w14:paraId="1E1EEA2F">
      <w:pPr>
        <w:widowControl w:val="0"/>
        <w:ind w:firstLine="640"/>
        <w:rPr>
          <w:rFonts w:eastAsia="方正仿宋_GBK" w:cs="Times New Roman"/>
        </w:rPr>
      </w:pPr>
      <w:r>
        <w:rPr>
          <w:rFonts w:eastAsia="方正仿宋_GBK" w:cs="Times New Roman"/>
          <w:color w:val="000000"/>
        </w:rPr>
        <w:t>（一）该项目房屋征收部门为重庆高新区管委会建设局，房屋征收</w:t>
      </w:r>
      <w:r>
        <w:rPr>
          <w:rFonts w:eastAsia="方正仿宋_GBK" w:cs="Times New Roman"/>
        </w:rPr>
        <w:t>实施机构为</w:t>
      </w:r>
      <w:r>
        <w:rPr>
          <w:rFonts w:eastAsia="方正仿宋_GBK" w:cs="Times New Roman"/>
          <w:color w:val="000000"/>
        </w:rPr>
        <w:t>重庆高新区土地利用事务中心</w:t>
      </w:r>
      <w:r>
        <w:rPr>
          <w:rFonts w:eastAsia="方正仿宋_GBK" w:cs="Times New Roman"/>
        </w:rPr>
        <w:t>。</w:t>
      </w:r>
    </w:p>
    <w:p w14:paraId="24877C96">
      <w:pPr>
        <w:widowControl w:val="0"/>
        <w:ind w:firstLine="640"/>
        <w:rPr>
          <w:rFonts w:eastAsia="方正仿宋_GBK" w:cs="Times New Roman"/>
          <w:color w:val="000000"/>
        </w:rPr>
      </w:pPr>
      <w:r>
        <w:rPr>
          <w:rFonts w:eastAsia="方正仿宋_GBK" w:cs="Times New Roman"/>
          <w:color w:val="000000"/>
        </w:rPr>
        <w:t>（二）该项目国有土地上房屋征收评估工作，由依照法定程序确定的</w:t>
      </w:r>
      <w:r>
        <w:rPr>
          <w:rFonts w:eastAsia="方正仿宋_GBK" w:cs="Times New Roman"/>
        </w:rPr>
        <w:t>重庆渝汇资产评估房地产土地估价有限公司</w:t>
      </w:r>
      <w:r>
        <w:rPr>
          <w:rFonts w:eastAsia="方正仿宋_GBK" w:cs="Times New Roman"/>
          <w:color w:val="000000"/>
        </w:rPr>
        <w:t>承担。</w:t>
      </w:r>
    </w:p>
    <w:p w14:paraId="23537DC1">
      <w:pPr>
        <w:widowControl w:val="0"/>
        <w:ind w:firstLine="640"/>
        <w:rPr>
          <w:rFonts w:eastAsia="方正黑体_GBK" w:cs="Times New Roman"/>
          <w:color w:val="000000"/>
        </w:rPr>
      </w:pPr>
      <w:r>
        <w:rPr>
          <w:rFonts w:eastAsia="方正黑体_GBK" w:cs="Times New Roman"/>
          <w:color w:val="000000"/>
        </w:rPr>
        <w:t>三、征收补偿政策依据</w:t>
      </w:r>
    </w:p>
    <w:p w14:paraId="420D6E1C">
      <w:pPr>
        <w:widowControl w:val="0"/>
        <w:ind w:firstLine="640"/>
        <w:rPr>
          <w:rFonts w:eastAsia="方正仿宋_GBK" w:cs="Times New Roman"/>
          <w:color w:val="000000"/>
        </w:rPr>
      </w:pPr>
      <w:r>
        <w:rPr>
          <w:rFonts w:eastAsia="方正仿宋_GBK" w:cs="Times New Roman"/>
          <w:color w:val="000000"/>
        </w:rPr>
        <w:t>（一）《国有土地上房屋征收与补偿条例》；</w:t>
      </w:r>
    </w:p>
    <w:p w14:paraId="1200D505">
      <w:pPr>
        <w:widowControl w:val="0"/>
        <w:ind w:firstLine="640"/>
        <w:rPr>
          <w:rFonts w:eastAsia="方正仿宋_GBK" w:cs="Times New Roman"/>
          <w:color w:val="000000"/>
        </w:rPr>
      </w:pPr>
      <w:r>
        <w:rPr>
          <w:rFonts w:eastAsia="方正仿宋_GBK" w:cs="Times New Roman"/>
          <w:color w:val="000000"/>
        </w:rPr>
        <w:t>（二）《重庆市国有土地上房屋征收与补偿条例》；</w:t>
      </w:r>
    </w:p>
    <w:p w14:paraId="54DE1953">
      <w:pPr>
        <w:widowControl w:val="0"/>
        <w:ind w:firstLine="640"/>
        <w:rPr>
          <w:rFonts w:eastAsia="方正仿宋_GBK" w:cs="Times New Roman"/>
          <w:color w:val="000000"/>
        </w:rPr>
      </w:pPr>
      <w:r>
        <w:rPr>
          <w:rFonts w:eastAsia="方正仿宋_GBK" w:cs="Times New Roman"/>
          <w:color w:val="000000"/>
        </w:rPr>
        <w:t>（三）《重庆市国有土地上房屋征收与补偿条例实施细则》（渝府发〔2022〕26号）；</w:t>
      </w:r>
    </w:p>
    <w:p w14:paraId="6EC811F9">
      <w:pPr>
        <w:widowControl w:val="0"/>
        <w:ind w:firstLine="640"/>
        <w:rPr>
          <w:rFonts w:eastAsia="方正仿宋_GBK" w:cs="Times New Roman"/>
          <w:color w:val="000000"/>
        </w:rPr>
      </w:pPr>
      <w:r>
        <w:rPr>
          <w:rFonts w:eastAsia="方正仿宋_GBK" w:cs="Times New Roman"/>
          <w:color w:val="000000"/>
        </w:rPr>
        <w:t>（四）《重庆高新技术产业开发区国有土地上房屋征收与补偿实施办法》（渝高新发〔2022〕12号）；</w:t>
      </w:r>
    </w:p>
    <w:p w14:paraId="1DCB0513">
      <w:pPr>
        <w:widowControl w:val="0"/>
        <w:ind w:firstLine="640"/>
        <w:rPr>
          <w:rFonts w:eastAsia="方正仿宋_GBK" w:cs="Times New Roman"/>
          <w:color w:val="000000"/>
        </w:rPr>
      </w:pPr>
      <w:r>
        <w:rPr>
          <w:rFonts w:eastAsia="方正仿宋_GBK" w:cs="Times New Roman"/>
          <w:color w:val="000000"/>
        </w:rPr>
        <w:t>（五）国家相关法律法规和重庆市、重庆高新区相关配套政策文件。</w:t>
      </w:r>
    </w:p>
    <w:p w14:paraId="791531C8">
      <w:pPr>
        <w:widowControl w:val="0"/>
        <w:ind w:firstLine="640"/>
        <w:rPr>
          <w:rFonts w:eastAsia="方正黑体_GBK" w:cs="Times New Roman"/>
          <w:color w:val="000000"/>
        </w:rPr>
      </w:pPr>
      <w:r>
        <w:rPr>
          <w:rFonts w:eastAsia="方正黑体_GBK" w:cs="Times New Roman"/>
          <w:color w:val="000000"/>
        </w:rPr>
        <w:t>四、征收补偿原则</w:t>
      </w:r>
    </w:p>
    <w:p w14:paraId="48180AB9">
      <w:pPr>
        <w:widowControl w:val="0"/>
        <w:ind w:firstLine="640"/>
        <w:rPr>
          <w:rFonts w:eastAsia="方正仿宋_GBK" w:cs="Times New Roman"/>
          <w:color w:val="000000"/>
        </w:rPr>
      </w:pPr>
      <w:r>
        <w:rPr>
          <w:rFonts w:eastAsia="方正仿宋_GBK" w:cs="Times New Roman"/>
          <w:color w:val="000000"/>
        </w:rPr>
        <w:t>决策民主、程序正当、结果公开、公平合理、及时补偿的原则。</w:t>
      </w:r>
    </w:p>
    <w:p w14:paraId="2177AAD1">
      <w:pPr>
        <w:widowControl w:val="0"/>
        <w:ind w:firstLine="640"/>
        <w:rPr>
          <w:rFonts w:eastAsia="方正黑体_GBK" w:cs="Times New Roman"/>
          <w:color w:val="000000"/>
        </w:rPr>
      </w:pPr>
      <w:r>
        <w:rPr>
          <w:rFonts w:eastAsia="方正黑体_GBK" w:cs="Times New Roman"/>
          <w:color w:val="000000"/>
        </w:rPr>
        <w:t>五、征收补偿对象</w:t>
      </w:r>
    </w:p>
    <w:p w14:paraId="40D1538B">
      <w:pPr>
        <w:widowControl w:val="0"/>
        <w:ind w:firstLine="640"/>
        <w:rPr>
          <w:rFonts w:eastAsia="方正仿宋_GBK" w:cs="Times New Roman"/>
        </w:rPr>
      </w:pPr>
      <w:r>
        <w:rPr>
          <w:rFonts w:eastAsia="方正仿宋_GBK" w:cs="Times New Roman"/>
          <w:color w:val="000000"/>
        </w:rPr>
        <w:t>梁滩河综合整治（含谷老场镇片区）国有土地上房屋征收项目（三期）</w:t>
      </w:r>
      <w:r>
        <w:rPr>
          <w:rFonts w:eastAsia="方正仿宋_GBK" w:cs="Times New Roman"/>
        </w:rPr>
        <w:t>拟征收范围内持有房屋所有权证和国有土地使用权证（或房地产权证、不动产权证）的房屋所有权人。</w:t>
      </w:r>
    </w:p>
    <w:p w14:paraId="1739F348">
      <w:pPr>
        <w:widowControl w:val="0"/>
        <w:ind w:firstLine="640"/>
        <w:rPr>
          <w:rFonts w:eastAsia="方正黑体_GBK" w:cs="Times New Roman"/>
          <w:color w:val="000000"/>
        </w:rPr>
      </w:pPr>
      <w:r>
        <w:rPr>
          <w:rFonts w:eastAsia="方正黑体_GBK" w:cs="Times New Roman"/>
          <w:color w:val="000000"/>
        </w:rPr>
        <w:t>六、征收补偿方式</w:t>
      </w:r>
    </w:p>
    <w:p w14:paraId="426DAC84">
      <w:pPr>
        <w:widowControl w:val="0"/>
        <w:ind w:firstLine="640"/>
        <w:rPr>
          <w:rFonts w:eastAsia="方正仿宋_GBK" w:cs="Times New Roman"/>
        </w:rPr>
      </w:pPr>
      <w:r>
        <w:rPr>
          <w:rFonts w:eastAsia="方正仿宋_GBK" w:cs="Times New Roman"/>
        </w:rPr>
        <w:t>被征收人可以选择货币补偿，也可以选择房屋产权调换。</w:t>
      </w:r>
    </w:p>
    <w:p w14:paraId="76A60BE4">
      <w:pPr>
        <w:widowControl w:val="0"/>
        <w:ind w:firstLine="640"/>
        <w:rPr>
          <w:rFonts w:eastAsia="方正仿宋_GBK" w:cs="Times New Roman"/>
        </w:rPr>
      </w:pPr>
      <w:r>
        <w:rPr>
          <w:rFonts w:eastAsia="方正仿宋_GBK" w:cs="Times New Roman"/>
        </w:rPr>
        <w:t>（一）被征收人选择货币补偿，按被征收房屋补偿面积和评估价格计算货币补偿金额，由房屋征收实施机构按期支付，补偿终结。</w:t>
      </w:r>
    </w:p>
    <w:p w14:paraId="0BCF39F6">
      <w:pPr>
        <w:widowControl w:val="0"/>
        <w:ind w:firstLine="640"/>
        <w:rPr>
          <w:rFonts w:eastAsia="方正仿宋_GBK" w:cs="Times New Roman"/>
        </w:rPr>
      </w:pPr>
      <w:r>
        <w:rPr>
          <w:rFonts w:eastAsia="方正仿宋_GBK" w:cs="Times New Roman"/>
        </w:rPr>
        <w:t>（二）被征收人选择房屋产权调换，在本方案所列房源中选择用于产权调换的房屋，并按照房屋价值相等原则计算、结清被征收房屋价值与用于产权调换房屋价值的差价。</w:t>
      </w:r>
    </w:p>
    <w:p w14:paraId="59FEE98C">
      <w:pPr>
        <w:widowControl w:val="0"/>
        <w:ind w:firstLine="640"/>
        <w:rPr>
          <w:rFonts w:eastAsia="方正仿宋_GBK" w:cs="Times New Roman"/>
        </w:rPr>
      </w:pPr>
      <w:r>
        <w:rPr>
          <w:rFonts w:eastAsia="方正仿宋_GBK" w:cs="Times New Roman"/>
        </w:rPr>
        <w:t>（三）被征收住宅的</w:t>
      </w:r>
      <w:r>
        <w:fldChar w:fldCharType="begin"/>
      </w:r>
      <w:r>
        <w:instrText xml:space="preserve"> HYPERLINK "http://wenwen.soso.com/z/Search.e?sp=S%E5%85%AC%E6%91%8A%E7%B3%BB%E6%95%B0&amp;ch=w.search.intlink" \t "C:UsersAdministratorDesktop政府集资楼_blank" </w:instrText>
      </w:r>
      <w:r>
        <w:fldChar w:fldCharType="separate"/>
      </w:r>
      <w:r>
        <w:rPr>
          <w:rFonts w:eastAsia="方正仿宋_GBK" w:cs="Times New Roman"/>
        </w:rPr>
        <w:t>公摊系数</w:t>
      </w:r>
      <w:r>
        <w:rPr>
          <w:rFonts w:eastAsia="方正仿宋_GBK" w:cs="Times New Roman"/>
        </w:rPr>
        <w:fldChar w:fldCharType="end"/>
      </w:r>
      <w:r>
        <w:rPr>
          <w:rFonts w:eastAsia="方正仿宋_GBK" w:cs="Times New Roman"/>
        </w:rPr>
        <w:t>低于或者等于15%的，按照15%的公摊系数计算应补偿面积，被征收住宅的公摊系数高于15%的，按实际面积计算应补偿面积。</w:t>
      </w:r>
    </w:p>
    <w:p w14:paraId="26AED88D">
      <w:pPr>
        <w:widowControl w:val="0"/>
        <w:ind w:firstLine="640"/>
        <w:rPr>
          <w:rFonts w:eastAsia="方正仿宋_GBK" w:cs="Times New Roman"/>
        </w:rPr>
      </w:pPr>
      <w:r>
        <w:rPr>
          <w:rFonts w:eastAsia="方正仿宋_GBK" w:cs="Times New Roman"/>
        </w:rPr>
        <w:t>用于产权调换的住宅公摊系数低于或者等于15%的，其对应的公摊面积费用由被征收人承担；用于产权调换住宅的公摊系数高于15%的，其超过部分对应的公摊面积费用由房屋征收实施机构依法承担，未超过部分对应的公摊面积费用由被征收人承担。</w:t>
      </w:r>
    </w:p>
    <w:p w14:paraId="0E084055">
      <w:pPr>
        <w:widowControl w:val="0"/>
        <w:ind w:firstLine="640"/>
        <w:rPr>
          <w:rFonts w:eastAsia="方正仿宋_GBK" w:cs="Times New Roman"/>
        </w:rPr>
      </w:pPr>
      <w:r>
        <w:rPr>
          <w:rFonts w:eastAsia="方正仿宋_GBK" w:cs="Times New Roman"/>
        </w:rPr>
        <w:t>（四）产权调换房屋建筑面积小于或等于被征收房屋建筑面积的，其首次物业专项维修资金由房屋征收实施机构依法交纳；产权调换房屋建筑面积大于被征收房屋建筑面积的，与被征收房屋相等建筑面积部分的首次物业专项维修资金，由房屋征收实施机构依法交纳，超出面积部分由被征收人交纳。</w:t>
      </w:r>
    </w:p>
    <w:p w14:paraId="38BD8CCA">
      <w:pPr>
        <w:widowControl w:val="0"/>
        <w:ind w:firstLine="640"/>
        <w:rPr>
          <w:rFonts w:eastAsia="方正仿宋_GBK" w:cs="Times New Roman"/>
        </w:rPr>
      </w:pPr>
      <w:r>
        <w:rPr>
          <w:rFonts w:eastAsia="方正仿宋_GBK" w:cs="Times New Roman"/>
        </w:rPr>
        <w:t>产权调换后的房屋产权登记人应当为被征收人。若被征收人为自然人且死亡的，产权调换后的房屋产权登记人应当为被征收人的合法继承人或受赠人。</w:t>
      </w:r>
    </w:p>
    <w:p w14:paraId="4235E434">
      <w:pPr>
        <w:widowControl w:val="0"/>
        <w:ind w:firstLine="640"/>
        <w:rPr>
          <w:rFonts w:eastAsia="方正黑体_GBK" w:cs="Times New Roman"/>
        </w:rPr>
      </w:pPr>
      <w:r>
        <w:rPr>
          <w:rFonts w:eastAsia="方正黑体_GBK" w:cs="Times New Roman"/>
        </w:rPr>
        <w:t>七、面积、用途等说明</w:t>
      </w:r>
    </w:p>
    <w:p w14:paraId="3428BA5B">
      <w:pPr>
        <w:widowControl w:val="0"/>
        <w:ind w:firstLine="640"/>
        <w:rPr>
          <w:rFonts w:eastAsia="方正仿宋_GBK" w:cs="Times New Roman"/>
          <w:color w:val="000000"/>
        </w:rPr>
      </w:pPr>
      <w:r>
        <w:rPr>
          <w:rFonts w:eastAsia="方正仿宋_GBK" w:cs="Times New Roman"/>
          <w:color w:val="000000"/>
        </w:rPr>
        <w:t>被征收房屋的性质、用途和面积应以不动产权属证书和不动产登记簿的记载为准；不动产权属证书与不动产登记簿记载不一致的，除有证据证明不动产登记簿存在错误外，以不动产登记簿为准；不动产权属证书与不动产登记簿确无记载或者记载不明的，重庆高新区管委会组织相关部门进行认定。</w:t>
      </w:r>
    </w:p>
    <w:p w14:paraId="5743A20A">
      <w:pPr>
        <w:ind w:firstLine="640"/>
        <w:rPr>
          <w:rFonts w:eastAsia="方正黑体_GBK" w:cs="Times New Roman"/>
          <w:color w:val="000000"/>
        </w:rPr>
      </w:pPr>
      <w:r>
        <w:rPr>
          <w:rFonts w:eastAsia="方正黑体_GBK" w:cs="Times New Roman"/>
          <w:color w:val="000000"/>
        </w:rPr>
        <w:t>八、预评估结果</w:t>
      </w:r>
    </w:p>
    <w:tbl>
      <w:tblPr>
        <w:tblStyle w:val="9"/>
        <w:tblW w:w="5132" w:type="pct"/>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950"/>
        <w:gridCol w:w="1214"/>
        <w:gridCol w:w="1289"/>
        <w:gridCol w:w="1244"/>
        <w:gridCol w:w="1244"/>
        <w:gridCol w:w="1568"/>
      </w:tblGrid>
      <w:tr w14:paraId="2752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24" w:type="pct"/>
            <w:vAlign w:val="center"/>
          </w:tcPr>
          <w:p w14:paraId="1B372C86">
            <w:pPr>
              <w:autoSpaceDE w:val="0"/>
              <w:autoSpaceDN w:val="0"/>
              <w:adjustRightInd w:val="0"/>
              <w:ind w:firstLine="0" w:firstLineChars="0"/>
              <w:jc w:val="center"/>
              <w:rPr>
                <w:rFonts w:eastAsia="方正黑体_GBK" w:cs="Times New Roman"/>
                <w:color w:val="000000"/>
                <w:sz w:val="24"/>
                <w:szCs w:val="24"/>
              </w:rPr>
            </w:pPr>
            <w:r>
              <w:rPr>
                <w:rFonts w:eastAsia="方正黑体_GBK" w:cs="Times New Roman"/>
                <w:color w:val="000000"/>
                <w:sz w:val="24"/>
                <w:szCs w:val="24"/>
              </w:rPr>
              <w:t>序号</w:t>
            </w:r>
          </w:p>
        </w:tc>
        <w:tc>
          <w:tcPr>
            <w:tcW w:w="1047" w:type="pct"/>
            <w:vAlign w:val="center"/>
          </w:tcPr>
          <w:p w14:paraId="618CC0B3">
            <w:pPr>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坐落</w:t>
            </w:r>
          </w:p>
        </w:tc>
        <w:tc>
          <w:tcPr>
            <w:tcW w:w="653" w:type="pct"/>
            <w:vAlign w:val="center"/>
          </w:tcPr>
          <w:p w14:paraId="4A743384">
            <w:pPr>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房屋用途</w:t>
            </w:r>
          </w:p>
        </w:tc>
        <w:tc>
          <w:tcPr>
            <w:tcW w:w="693" w:type="pct"/>
            <w:vAlign w:val="center"/>
          </w:tcPr>
          <w:p w14:paraId="5A51A842">
            <w:pPr>
              <w:ind w:firstLine="0" w:firstLineChars="0"/>
              <w:jc w:val="center"/>
              <w:rPr>
                <w:rFonts w:eastAsia="方正黑体_GBK" w:cs="Times New Roman"/>
                <w:color w:val="000000"/>
                <w:kern w:val="0"/>
                <w:sz w:val="24"/>
                <w:szCs w:val="24"/>
              </w:rPr>
            </w:pPr>
            <w:r>
              <w:rPr>
                <w:rFonts w:eastAsia="方正黑体_GBK" w:cs="Times New Roman"/>
                <w:color w:val="000000"/>
                <w:kern w:val="0"/>
                <w:sz w:val="24"/>
                <w:szCs w:val="24"/>
              </w:rPr>
              <w:t>结构</w:t>
            </w:r>
          </w:p>
        </w:tc>
        <w:tc>
          <w:tcPr>
            <w:tcW w:w="669" w:type="pct"/>
            <w:vAlign w:val="center"/>
          </w:tcPr>
          <w:p w14:paraId="787D1E27">
            <w:pPr>
              <w:tabs>
                <w:tab w:val="left" w:pos="1574"/>
              </w:tabs>
              <w:spacing w:line="280" w:lineRule="exact"/>
              <w:ind w:firstLine="0" w:firstLineChars="0"/>
              <w:jc w:val="center"/>
              <w:rPr>
                <w:rFonts w:eastAsia="宋体" w:cs="Times New Roman"/>
                <w:sz w:val="24"/>
                <w:szCs w:val="24"/>
              </w:rPr>
            </w:pPr>
            <w:r>
              <w:rPr>
                <w:rFonts w:eastAsia="方正黑体_GBK" w:cs="Times New Roman"/>
                <w:color w:val="000000"/>
                <w:kern w:val="0"/>
                <w:sz w:val="24"/>
                <w:szCs w:val="24"/>
              </w:rPr>
              <w:t>土地使用权类型</w:t>
            </w:r>
          </w:p>
        </w:tc>
        <w:tc>
          <w:tcPr>
            <w:tcW w:w="669" w:type="pct"/>
            <w:vAlign w:val="center"/>
          </w:tcPr>
          <w:p w14:paraId="5951464B">
            <w:pPr>
              <w:tabs>
                <w:tab w:val="left" w:pos="1574"/>
              </w:tabs>
              <w:spacing w:line="280" w:lineRule="exact"/>
              <w:ind w:firstLine="0" w:firstLineChars="0"/>
              <w:jc w:val="center"/>
              <w:rPr>
                <w:rFonts w:eastAsia="宋体" w:cs="Times New Roman"/>
                <w:sz w:val="24"/>
                <w:szCs w:val="24"/>
              </w:rPr>
            </w:pPr>
            <w:r>
              <w:rPr>
                <w:rFonts w:eastAsia="方正黑体_GBK" w:cs="Times New Roman"/>
                <w:color w:val="000000"/>
                <w:kern w:val="0"/>
                <w:sz w:val="24"/>
                <w:szCs w:val="24"/>
              </w:rPr>
              <w:t>建筑年代</w:t>
            </w:r>
          </w:p>
        </w:tc>
        <w:tc>
          <w:tcPr>
            <w:tcW w:w="842" w:type="pct"/>
            <w:vAlign w:val="center"/>
          </w:tcPr>
          <w:p w14:paraId="6676B48B">
            <w:pPr>
              <w:tabs>
                <w:tab w:val="left" w:pos="1574"/>
              </w:tabs>
              <w:spacing w:line="280" w:lineRule="exact"/>
              <w:ind w:firstLine="0" w:firstLineChars="0"/>
              <w:jc w:val="center"/>
              <w:rPr>
                <w:rFonts w:eastAsia="宋体" w:cs="Times New Roman"/>
                <w:sz w:val="24"/>
                <w:szCs w:val="24"/>
              </w:rPr>
            </w:pPr>
            <w:r>
              <w:rPr>
                <w:rFonts w:eastAsia="方正黑体_GBK" w:cs="Times New Roman"/>
                <w:color w:val="000000"/>
                <w:kern w:val="0"/>
                <w:sz w:val="24"/>
                <w:szCs w:val="24"/>
              </w:rPr>
              <w:t>预评估单价（元/</w:t>
            </w:r>
            <w:r>
              <w:rPr>
                <w:rFonts w:eastAsia="方正仿宋_GBK" w:cs="Times New Roman"/>
                <w:color w:val="000000"/>
                <w:sz w:val="24"/>
                <w:szCs w:val="24"/>
              </w:rPr>
              <w:t>㎡</w:t>
            </w:r>
            <w:r>
              <w:rPr>
                <w:rFonts w:eastAsia="方正黑体_GBK" w:cs="Times New Roman"/>
                <w:color w:val="000000"/>
                <w:kern w:val="0"/>
                <w:sz w:val="24"/>
                <w:szCs w:val="24"/>
              </w:rPr>
              <w:t>）</w:t>
            </w:r>
          </w:p>
        </w:tc>
      </w:tr>
      <w:tr w14:paraId="6F2A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24" w:type="pct"/>
            <w:vAlign w:val="center"/>
          </w:tcPr>
          <w:p w14:paraId="4630A37D">
            <w:pPr>
              <w:autoSpaceDE w:val="0"/>
              <w:autoSpaceDN w:val="0"/>
              <w:adjustRightInd w:val="0"/>
              <w:ind w:firstLine="0" w:firstLineChars="0"/>
              <w:jc w:val="center"/>
              <w:rPr>
                <w:rFonts w:eastAsia="方正仿宋_GBK" w:cs="Times New Roman"/>
                <w:color w:val="000000"/>
                <w:sz w:val="24"/>
                <w:szCs w:val="24"/>
              </w:rPr>
            </w:pPr>
            <w:r>
              <w:rPr>
                <w:rFonts w:eastAsia="方正仿宋_GBK" w:cs="Times New Roman"/>
                <w:color w:val="000000"/>
                <w:sz w:val="24"/>
                <w:szCs w:val="24"/>
              </w:rPr>
              <w:t>1</w:t>
            </w:r>
          </w:p>
        </w:tc>
        <w:tc>
          <w:tcPr>
            <w:tcW w:w="1047" w:type="pct"/>
            <w:vAlign w:val="center"/>
          </w:tcPr>
          <w:p w14:paraId="089F42BE">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九龙坡区含谷镇含兴路53号</w:t>
            </w:r>
          </w:p>
        </w:tc>
        <w:tc>
          <w:tcPr>
            <w:tcW w:w="653" w:type="pct"/>
            <w:vAlign w:val="center"/>
          </w:tcPr>
          <w:p w14:paraId="34FED9B6">
            <w:pPr>
              <w:ind w:firstLine="0" w:firstLineChars="0"/>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住宅</w:t>
            </w:r>
          </w:p>
        </w:tc>
        <w:tc>
          <w:tcPr>
            <w:tcW w:w="693" w:type="pct"/>
            <w:vAlign w:val="center"/>
          </w:tcPr>
          <w:p w14:paraId="7B301851">
            <w:pPr>
              <w:ind w:firstLine="0" w:firstLineChars="0"/>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混合/砖混</w:t>
            </w:r>
          </w:p>
        </w:tc>
        <w:tc>
          <w:tcPr>
            <w:tcW w:w="669" w:type="pct"/>
            <w:vAlign w:val="center"/>
          </w:tcPr>
          <w:p w14:paraId="2351D57B">
            <w:pPr>
              <w:ind w:firstLine="0" w:firstLineChars="0"/>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出让</w:t>
            </w:r>
          </w:p>
        </w:tc>
        <w:tc>
          <w:tcPr>
            <w:tcW w:w="669" w:type="pct"/>
            <w:vAlign w:val="center"/>
          </w:tcPr>
          <w:p w14:paraId="0C70418E">
            <w:pPr>
              <w:ind w:firstLine="0" w:firstLineChars="0"/>
              <w:jc w:val="center"/>
              <w:rPr>
                <w:rFonts w:eastAsia="方正仿宋_GBK" w:cs="Times New Roman"/>
                <w:color w:val="000000"/>
                <w:sz w:val="24"/>
                <w:szCs w:val="24"/>
              </w:rPr>
            </w:pPr>
            <w:r>
              <w:rPr>
                <w:rFonts w:eastAsia="方正仿宋_GBK" w:cs="Times New Roman"/>
                <w:color w:val="000000"/>
                <w:sz w:val="24"/>
                <w:szCs w:val="24"/>
              </w:rPr>
              <w:t>1996年</w:t>
            </w:r>
          </w:p>
        </w:tc>
        <w:tc>
          <w:tcPr>
            <w:tcW w:w="842" w:type="pct"/>
            <w:vAlign w:val="center"/>
          </w:tcPr>
          <w:p w14:paraId="7D3B489A">
            <w:pPr>
              <w:ind w:firstLine="0" w:firstLineChars="0"/>
              <w:jc w:val="center"/>
              <w:rPr>
                <w:rFonts w:eastAsia="方正仿宋_GBK" w:cs="Times New Roman"/>
                <w:color w:val="000000"/>
                <w:sz w:val="24"/>
                <w:szCs w:val="24"/>
              </w:rPr>
            </w:pPr>
            <w:r>
              <w:rPr>
                <w:rFonts w:eastAsia="方正仿宋_GBK" w:cs="Times New Roman"/>
                <w:color w:val="000000"/>
                <w:sz w:val="24"/>
                <w:szCs w:val="24"/>
              </w:rPr>
              <w:t xml:space="preserve"> 7900</w:t>
            </w:r>
          </w:p>
        </w:tc>
      </w:tr>
      <w:tr w14:paraId="758A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24" w:type="pct"/>
            <w:vAlign w:val="center"/>
          </w:tcPr>
          <w:p w14:paraId="5F0EFAC7">
            <w:pPr>
              <w:autoSpaceDE w:val="0"/>
              <w:autoSpaceDN w:val="0"/>
              <w:adjustRightInd w:val="0"/>
              <w:ind w:firstLine="0" w:firstLineChars="0"/>
              <w:jc w:val="center"/>
              <w:rPr>
                <w:rFonts w:eastAsia="方正仿宋_GBK" w:cs="Times New Roman"/>
                <w:color w:val="000000"/>
                <w:sz w:val="24"/>
                <w:szCs w:val="24"/>
              </w:rPr>
            </w:pPr>
            <w:r>
              <w:rPr>
                <w:rFonts w:eastAsia="方正仿宋_GBK" w:cs="Times New Roman"/>
                <w:color w:val="000000"/>
                <w:sz w:val="24"/>
                <w:szCs w:val="24"/>
              </w:rPr>
              <w:t>2</w:t>
            </w:r>
          </w:p>
        </w:tc>
        <w:tc>
          <w:tcPr>
            <w:tcW w:w="1047" w:type="pct"/>
            <w:vAlign w:val="center"/>
          </w:tcPr>
          <w:p w14:paraId="6BC975B9">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九龙坡区含谷镇含兴路53号</w:t>
            </w:r>
          </w:p>
        </w:tc>
        <w:tc>
          <w:tcPr>
            <w:tcW w:w="653" w:type="pct"/>
            <w:vAlign w:val="center"/>
          </w:tcPr>
          <w:p w14:paraId="05F67467">
            <w:pPr>
              <w:ind w:firstLine="0" w:firstLineChars="0"/>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商服用房</w:t>
            </w:r>
          </w:p>
        </w:tc>
        <w:tc>
          <w:tcPr>
            <w:tcW w:w="693" w:type="pct"/>
            <w:vAlign w:val="center"/>
          </w:tcPr>
          <w:p w14:paraId="22AF7F6E">
            <w:pPr>
              <w:ind w:firstLine="0" w:firstLineChars="0"/>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混合/砖混</w:t>
            </w:r>
          </w:p>
        </w:tc>
        <w:tc>
          <w:tcPr>
            <w:tcW w:w="669" w:type="pct"/>
            <w:vAlign w:val="center"/>
          </w:tcPr>
          <w:p w14:paraId="27BC8380">
            <w:pPr>
              <w:ind w:firstLine="0" w:firstLineChars="0"/>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出让</w:t>
            </w:r>
          </w:p>
        </w:tc>
        <w:tc>
          <w:tcPr>
            <w:tcW w:w="669" w:type="pct"/>
            <w:vAlign w:val="center"/>
          </w:tcPr>
          <w:p w14:paraId="0FBC7A6D">
            <w:pPr>
              <w:ind w:firstLine="0" w:firstLineChars="0"/>
              <w:jc w:val="center"/>
              <w:rPr>
                <w:rFonts w:eastAsia="方正仿宋_GBK" w:cs="Times New Roman"/>
                <w:color w:val="000000"/>
                <w:sz w:val="24"/>
                <w:szCs w:val="24"/>
              </w:rPr>
            </w:pPr>
            <w:r>
              <w:rPr>
                <w:rFonts w:eastAsia="方正仿宋_GBK" w:cs="Times New Roman"/>
                <w:color w:val="000000"/>
                <w:sz w:val="24"/>
                <w:szCs w:val="24"/>
              </w:rPr>
              <w:t>1996年</w:t>
            </w:r>
          </w:p>
        </w:tc>
        <w:tc>
          <w:tcPr>
            <w:tcW w:w="842" w:type="pct"/>
            <w:vAlign w:val="center"/>
          </w:tcPr>
          <w:p w14:paraId="08528020">
            <w:pPr>
              <w:ind w:firstLine="0" w:firstLineChars="0"/>
              <w:jc w:val="center"/>
              <w:rPr>
                <w:rFonts w:eastAsia="方正仿宋_GBK" w:cs="Times New Roman"/>
                <w:color w:val="000000"/>
                <w:sz w:val="24"/>
                <w:szCs w:val="24"/>
              </w:rPr>
            </w:pPr>
            <w:r>
              <w:rPr>
                <w:rFonts w:eastAsia="方正仿宋_GBK" w:cs="Times New Roman"/>
                <w:color w:val="000000"/>
                <w:sz w:val="24"/>
                <w:szCs w:val="24"/>
              </w:rPr>
              <w:t>23800</w:t>
            </w:r>
          </w:p>
        </w:tc>
      </w:tr>
    </w:tbl>
    <w:p w14:paraId="2068DFB6">
      <w:pPr>
        <w:ind w:firstLine="640"/>
        <w:rPr>
          <w:rFonts w:eastAsia="宋体" w:cs="Times New Roman"/>
          <w:sz w:val="21"/>
          <w:szCs w:val="24"/>
        </w:rPr>
      </w:pPr>
      <w:r>
        <w:rPr>
          <w:rFonts w:eastAsia="方正黑体_GBK" w:cs="Times New Roman"/>
          <w:color w:val="000000"/>
        </w:rPr>
        <w:t>九、损失补偿和奖励补助标准</w:t>
      </w:r>
    </w:p>
    <w:tbl>
      <w:tblPr>
        <w:tblStyle w:val="9"/>
        <w:tblW w:w="51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717"/>
        <w:gridCol w:w="583"/>
        <w:gridCol w:w="794"/>
        <w:gridCol w:w="1648"/>
        <w:gridCol w:w="1336"/>
        <w:gridCol w:w="3788"/>
      </w:tblGrid>
      <w:tr w14:paraId="5DFA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blHeader/>
          <w:jc w:val="center"/>
        </w:trPr>
        <w:tc>
          <w:tcPr>
            <w:tcW w:w="255" w:type="pct"/>
            <w:noWrap/>
            <w:vAlign w:val="center"/>
          </w:tcPr>
          <w:p w14:paraId="567AAFA1">
            <w:pPr>
              <w:spacing w:line="280" w:lineRule="exact"/>
              <w:ind w:firstLine="0" w:firstLineChars="0"/>
              <w:jc w:val="center"/>
              <w:rPr>
                <w:rFonts w:eastAsia="方正黑体_GBK" w:cs="Times New Roman"/>
                <w:color w:val="000000"/>
                <w:sz w:val="24"/>
                <w:szCs w:val="24"/>
              </w:rPr>
            </w:pPr>
            <w:r>
              <w:rPr>
                <w:rFonts w:eastAsia="方正黑体_GBK" w:cs="Times New Roman"/>
                <w:color w:val="000000"/>
                <w:sz w:val="24"/>
                <w:szCs w:val="24"/>
              </w:rPr>
              <w:t>序号</w:t>
            </w:r>
          </w:p>
        </w:tc>
        <w:tc>
          <w:tcPr>
            <w:tcW w:w="383" w:type="pct"/>
            <w:noWrap/>
            <w:vAlign w:val="center"/>
          </w:tcPr>
          <w:p w14:paraId="7A48E49B">
            <w:pPr>
              <w:spacing w:line="280" w:lineRule="exact"/>
              <w:ind w:firstLine="0" w:firstLineChars="0"/>
              <w:jc w:val="center"/>
              <w:rPr>
                <w:rFonts w:eastAsia="方正黑体_GBK" w:cs="Times New Roman"/>
                <w:color w:val="000000"/>
                <w:sz w:val="24"/>
                <w:szCs w:val="24"/>
              </w:rPr>
            </w:pPr>
            <w:r>
              <w:rPr>
                <w:rFonts w:eastAsia="方正黑体_GBK" w:cs="Times New Roman"/>
                <w:color w:val="000000"/>
                <w:sz w:val="24"/>
                <w:szCs w:val="24"/>
              </w:rPr>
              <w:t>补偿</w:t>
            </w:r>
          </w:p>
          <w:p w14:paraId="6CC66DE0">
            <w:pPr>
              <w:spacing w:line="280" w:lineRule="exact"/>
              <w:ind w:firstLine="0" w:firstLineChars="0"/>
              <w:jc w:val="center"/>
              <w:rPr>
                <w:rFonts w:eastAsia="方正黑体_GBK" w:cs="Times New Roman"/>
                <w:color w:val="000000"/>
                <w:sz w:val="24"/>
                <w:szCs w:val="24"/>
              </w:rPr>
            </w:pPr>
            <w:r>
              <w:rPr>
                <w:rFonts w:eastAsia="方正黑体_GBK" w:cs="Times New Roman"/>
                <w:color w:val="000000"/>
                <w:sz w:val="24"/>
                <w:szCs w:val="24"/>
              </w:rPr>
              <w:t>科目</w:t>
            </w:r>
          </w:p>
        </w:tc>
        <w:tc>
          <w:tcPr>
            <w:tcW w:w="737" w:type="pct"/>
            <w:gridSpan w:val="2"/>
            <w:noWrap/>
            <w:vAlign w:val="center"/>
          </w:tcPr>
          <w:p w14:paraId="26BE6721">
            <w:pPr>
              <w:spacing w:line="280" w:lineRule="exact"/>
              <w:ind w:firstLine="0" w:firstLineChars="0"/>
              <w:jc w:val="center"/>
              <w:rPr>
                <w:rFonts w:eastAsia="方正黑体_GBK" w:cs="Times New Roman"/>
                <w:color w:val="000000"/>
                <w:sz w:val="24"/>
                <w:szCs w:val="24"/>
              </w:rPr>
            </w:pPr>
            <w:r>
              <w:rPr>
                <w:rFonts w:eastAsia="方正黑体_GBK" w:cs="Times New Roman"/>
                <w:color w:val="000000"/>
                <w:sz w:val="24"/>
                <w:szCs w:val="24"/>
              </w:rPr>
              <w:t>单项明细</w:t>
            </w:r>
          </w:p>
        </w:tc>
        <w:tc>
          <w:tcPr>
            <w:tcW w:w="1597" w:type="pct"/>
            <w:gridSpan w:val="2"/>
            <w:noWrap/>
            <w:vAlign w:val="center"/>
          </w:tcPr>
          <w:p w14:paraId="105F9DF9">
            <w:pPr>
              <w:spacing w:line="280" w:lineRule="exact"/>
              <w:ind w:firstLine="0" w:firstLineChars="0"/>
              <w:jc w:val="center"/>
              <w:rPr>
                <w:rFonts w:eastAsia="方正黑体_GBK" w:cs="Times New Roman"/>
                <w:sz w:val="24"/>
                <w:szCs w:val="24"/>
              </w:rPr>
            </w:pPr>
            <w:r>
              <w:rPr>
                <w:rFonts w:eastAsia="方正黑体_GBK" w:cs="Times New Roman"/>
                <w:sz w:val="24"/>
                <w:szCs w:val="24"/>
              </w:rPr>
              <w:t>补偿补助</w:t>
            </w:r>
          </w:p>
          <w:p w14:paraId="4252B7B3">
            <w:pPr>
              <w:spacing w:line="280" w:lineRule="exact"/>
              <w:ind w:firstLine="0" w:firstLineChars="0"/>
              <w:jc w:val="center"/>
              <w:rPr>
                <w:rFonts w:eastAsia="方正黑体_GBK" w:cs="Times New Roman"/>
                <w:color w:val="000000"/>
                <w:sz w:val="24"/>
                <w:szCs w:val="24"/>
              </w:rPr>
            </w:pPr>
            <w:r>
              <w:rPr>
                <w:rFonts w:eastAsia="方正黑体_GBK" w:cs="Times New Roman"/>
                <w:sz w:val="24"/>
                <w:szCs w:val="24"/>
              </w:rPr>
              <w:t>奖励标准</w:t>
            </w:r>
          </w:p>
        </w:tc>
        <w:tc>
          <w:tcPr>
            <w:tcW w:w="2026" w:type="pct"/>
            <w:noWrap/>
            <w:vAlign w:val="center"/>
          </w:tcPr>
          <w:p w14:paraId="30E46DDC">
            <w:pPr>
              <w:spacing w:line="280" w:lineRule="exact"/>
              <w:ind w:firstLine="0" w:firstLineChars="0"/>
              <w:jc w:val="center"/>
              <w:rPr>
                <w:rFonts w:eastAsia="方正黑体_GBK" w:cs="Times New Roman"/>
                <w:color w:val="000000"/>
                <w:sz w:val="24"/>
                <w:szCs w:val="24"/>
              </w:rPr>
            </w:pPr>
            <w:r>
              <w:rPr>
                <w:rFonts w:eastAsia="方正黑体_GBK" w:cs="Times New Roman"/>
                <w:color w:val="000000"/>
                <w:sz w:val="24"/>
                <w:szCs w:val="24"/>
              </w:rPr>
              <w:t>说明及要求</w:t>
            </w:r>
          </w:p>
        </w:tc>
      </w:tr>
      <w:tr w14:paraId="4E4C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blHeader/>
          <w:jc w:val="center"/>
        </w:trPr>
        <w:tc>
          <w:tcPr>
            <w:tcW w:w="255" w:type="pct"/>
            <w:noWrap/>
            <w:vAlign w:val="center"/>
          </w:tcPr>
          <w:p w14:paraId="1522D1C0">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1</w:t>
            </w:r>
          </w:p>
        </w:tc>
        <w:tc>
          <w:tcPr>
            <w:tcW w:w="383" w:type="pct"/>
            <w:noWrap/>
            <w:vAlign w:val="center"/>
          </w:tcPr>
          <w:p w14:paraId="562EE4B6">
            <w:pPr>
              <w:spacing w:line="280" w:lineRule="exact"/>
              <w:ind w:firstLine="0" w:firstLineChars="0"/>
              <w:jc w:val="center"/>
              <w:rPr>
                <w:rFonts w:eastAsia="方正仿宋_GBK" w:cs="Times New Roman"/>
                <w:color w:val="000000"/>
                <w:sz w:val="24"/>
                <w:szCs w:val="24"/>
              </w:rPr>
            </w:pPr>
            <w:r>
              <w:rPr>
                <w:rFonts w:eastAsia="方正黑体_GBK" w:cs="Times New Roman"/>
                <w:color w:val="000000"/>
                <w:sz w:val="24"/>
                <w:szCs w:val="24"/>
              </w:rPr>
              <w:t>价值补偿</w:t>
            </w:r>
          </w:p>
        </w:tc>
        <w:tc>
          <w:tcPr>
            <w:tcW w:w="737" w:type="pct"/>
            <w:gridSpan w:val="2"/>
            <w:noWrap/>
            <w:vAlign w:val="center"/>
          </w:tcPr>
          <w:p w14:paraId="11DBBBBF">
            <w:pPr>
              <w:spacing w:line="280" w:lineRule="exact"/>
              <w:ind w:firstLine="0" w:firstLineChars="0"/>
              <w:jc w:val="center"/>
              <w:rPr>
                <w:rFonts w:eastAsia="方正仿宋_GBK" w:cs="Times New Roman"/>
                <w:sz w:val="24"/>
              </w:rPr>
            </w:pPr>
            <w:r>
              <w:rPr>
                <w:rFonts w:eastAsia="方正仿宋_GBK" w:cs="Times New Roman"/>
                <w:sz w:val="24"/>
              </w:rPr>
              <w:t>被征收房屋价值</w:t>
            </w:r>
          </w:p>
          <w:p w14:paraId="23AAC0DF">
            <w:pPr>
              <w:spacing w:line="280" w:lineRule="exact"/>
              <w:ind w:firstLine="0" w:firstLineChars="0"/>
              <w:jc w:val="center"/>
              <w:rPr>
                <w:rFonts w:eastAsia="方正仿宋_GBK" w:cs="Times New Roman"/>
                <w:sz w:val="24"/>
              </w:rPr>
            </w:pPr>
            <w:r>
              <w:rPr>
                <w:rFonts w:eastAsia="方正仿宋_GBK" w:cs="Times New Roman"/>
                <w:sz w:val="24"/>
              </w:rPr>
              <w:t>补偿</w:t>
            </w:r>
          </w:p>
        </w:tc>
        <w:tc>
          <w:tcPr>
            <w:tcW w:w="1597" w:type="pct"/>
            <w:gridSpan w:val="2"/>
            <w:noWrap/>
            <w:vAlign w:val="center"/>
          </w:tcPr>
          <w:p w14:paraId="668BD8D0">
            <w:pPr>
              <w:spacing w:line="280" w:lineRule="exact"/>
              <w:ind w:firstLine="0" w:firstLineChars="0"/>
              <w:jc w:val="center"/>
              <w:rPr>
                <w:rFonts w:eastAsia="方正仿宋_GBK" w:cs="Times New Roman"/>
                <w:sz w:val="24"/>
              </w:rPr>
            </w:pPr>
            <w:r>
              <w:rPr>
                <w:rFonts w:eastAsia="方正仿宋_GBK" w:cs="Times New Roman"/>
                <w:sz w:val="24"/>
              </w:rPr>
              <w:t>被征收房屋补偿面积的</w:t>
            </w:r>
          </w:p>
          <w:p w14:paraId="4A04F7CB">
            <w:pPr>
              <w:spacing w:line="280" w:lineRule="exact"/>
              <w:ind w:firstLine="0" w:firstLineChars="0"/>
              <w:jc w:val="center"/>
              <w:rPr>
                <w:rFonts w:eastAsia="方正仿宋_GBK" w:cs="Times New Roman"/>
                <w:sz w:val="24"/>
              </w:rPr>
            </w:pPr>
            <w:r>
              <w:rPr>
                <w:rFonts w:eastAsia="方正仿宋_GBK" w:cs="Times New Roman"/>
                <w:sz w:val="24"/>
              </w:rPr>
              <w:t>评估价值</w:t>
            </w:r>
          </w:p>
        </w:tc>
        <w:tc>
          <w:tcPr>
            <w:tcW w:w="2026" w:type="pct"/>
            <w:noWrap/>
            <w:vAlign w:val="center"/>
          </w:tcPr>
          <w:p w14:paraId="1420568A">
            <w:pPr>
              <w:spacing w:line="280" w:lineRule="exact"/>
              <w:ind w:firstLine="480"/>
              <w:rPr>
                <w:rFonts w:eastAsia="方正仿宋_GBK" w:cs="Times New Roman"/>
                <w:sz w:val="24"/>
              </w:rPr>
            </w:pPr>
            <w:r>
              <w:rPr>
                <w:rFonts w:eastAsia="方正仿宋_GBK" w:cs="Times New Roman"/>
                <w:sz w:val="24"/>
              </w:rPr>
              <w:t>被征收房屋补偿面积包括被征收房屋产权证载建筑面积、按规定享受公摊系数补足部分的面积，以及按规定享受最低住房保障政策补足部分的面积。</w:t>
            </w:r>
          </w:p>
        </w:tc>
      </w:tr>
      <w:tr w14:paraId="5786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exact"/>
          <w:tblHeader/>
          <w:jc w:val="center"/>
        </w:trPr>
        <w:tc>
          <w:tcPr>
            <w:tcW w:w="255" w:type="pct"/>
            <w:vMerge w:val="restart"/>
            <w:noWrap/>
            <w:vAlign w:val="center"/>
          </w:tcPr>
          <w:p w14:paraId="55774C69">
            <w:pPr>
              <w:spacing w:line="26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2</w:t>
            </w:r>
          </w:p>
        </w:tc>
        <w:tc>
          <w:tcPr>
            <w:tcW w:w="383" w:type="pct"/>
            <w:vMerge w:val="restart"/>
            <w:noWrap/>
            <w:vAlign w:val="center"/>
          </w:tcPr>
          <w:p w14:paraId="2A90E253">
            <w:pPr>
              <w:spacing w:line="260" w:lineRule="exact"/>
              <w:ind w:firstLine="0" w:firstLineChars="0"/>
              <w:jc w:val="center"/>
              <w:rPr>
                <w:rFonts w:eastAsia="方正黑体_GBK" w:cs="Times New Roman"/>
                <w:color w:val="000000"/>
                <w:sz w:val="24"/>
                <w:szCs w:val="24"/>
              </w:rPr>
            </w:pPr>
          </w:p>
          <w:p w14:paraId="0326D1B3">
            <w:pPr>
              <w:spacing w:line="260" w:lineRule="exact"/>
              <w:ind w:firstLine="0" w:firstLineChars="0"/>
              <w:jc w:val="center"/>
              <w:rPr>
                <w:rFonts w:eastAsia="方正黑体_GBK" w:cs="Times New Roman"/>
                <w:color w:val="000000"/>
                <w:sz w:val="24"/>
                <w:szCs w:val="24"/>
              </w:rPr>
            </w:pPr>
          </w:p>
          <w:p w14:paraId="23A4AA14">
            <w:pPr>
              <w:spacing w:line="260" w:lineRule="exact"/>
              <w:ind w:firstLine="0" w:firstLineChars="0"/>
              <w:jc w:val="center"/>
              <w:rPr>
                <w:rFonts w:eastAsia="方正黑体_GBK" w:cs="Times New Roman"/>
                <w:color w:val="000000"/>
                <w:sz w:val="24"/>
                <w:szCs w:val="24"/>
              </w:rPr>
            </w:pPr>
          </w:p>
          <w:p w14:paraId="2B145CA2">
            <w:pPr>
              <w:spacing w:line="260" w:lineRule="exact"/>
              <w:ind w:firstLine="0" w:firstLineChars="0"/>
              <w:jc w:val="center"/>
              <w:rPr>
                <w:rFonts w:eastAsia="方正黑体_GBK" w:cs="Times New Roman"/>
                <w:color w:val="000000"/>
                <w:sz w:val="24"/>
                <w:szCs w:val="24"/>
              </w:rPr>
            </w:pPr>
          </w:p>
          <w:p w14:paraId="689F22CB">
            <w:pPr>
              <w:spacing w:line="260" w:lineRule="exact"/>
              <w:ind w:firstLine="0" w:firstLineChars="0"/>
              <w:jc w:val="center"/>
              <w:rPr>
                <w:rFonts w:eastAsia="方正黑体_GBK" w:cs="Times New Roman"/>
                <w:color w:val="000000"/>
                <w:sz w:val="24"/>
                <w:szCs w:val="24"/>
              </w:rPr>
            </w:pPr>
          </w:p>
          <w:p w14:paraId="3B87574E">
            <w:pPr>
              <w:spacing w:line="260" w:lineRule="exact"/>
              <w:ind w:firstLine="0" w:firstLineChars="0"/>
              <w:jc w:val="center"/>
              <w:rPr>
                <w:rFonts w:eastAsia="方正黑体_GBK" w:cs="Times New Roman"/>
                <w:color w:val="000000"/>
                <w:sz w:val="24"/>
                <w:szCs w:val="24"/>
              </w:rPr>
            </w:pPr>
          </w:p>
          <w:p w14:paraId="25F7BBCB">
            <w:pPr>
              <w:spacing w:line="260" w:lineRule="exact"/>
              <w:ind w:firstLine="0" w:firstLineChars="0"/>
              <w:jc w:val="center"/>
              <w:rPr>
                <w:rFonts w:eastAsia="方正黑体_GBK" w:cs="Times New Roman"/>
                <w:color w:val="000000"/>
                <w:sz w:val="24"/>
                <w:szCs w:val="24"/>
              </w:rPr>
            </w:pPr>
          </w:p>
          <w:p w14:paraId="46049C6F">
            <w:pPr>
              <w:spacing w:line="260" w:lineRule="exact"/>
              <w:ind w:firstLine="0" w:firstLineChars="0"/>
              <w:jc w:val="center"/>
              <w:rPr>
                <w:rFonts w:eastAsia="方正黑体_GBK" w:cs="Times New Roman"/>
                <w:color w:val="000000"/>
                <w:sz w:val="24"/>
                <w:szCs w:val="24"/>
              </w:rPr>
            </w:pPr>
          </w:p>
          <w:p w14:paraId="6EC2CB6E">
            <w:pPr>
              <w:spacing w:line="260" w:lineRule="exact"/>
              <w:ind w:firstLine="0" w:firstLineChars="0"/>
              <w:jc w:val="center"/>
              <w:rPr>
                <w:rFonts w:eastAsia="方正黑体_GBK" w:cs="Times New Roman"/>
                <w:color w:val="000000"/>
                <w:sz w:val="24"/>
                <w:szCs w:val="24"/>
              </w:rPr>
            </w:pPr>
          </w:p>
          <w:p w14:paraId="7B1D457C">
            <w:pPr>
              <w:spacing w:line="260" w:lineRule="exact"/>
              <w:ind w:firstLine="0" w:firstLineChars="0"/>
              <w:jc w:val="center"/>
              <w:rPr>
                <w:rFonts w:eastAsia="方正黑体_GBK" w:cs="Times New Roman"/>
                <w:color w:val="000000"/>
                <w:sz w:val="24"/>
                <w:szCs w:val="24"/>
              </w:rPr>
            </w:pPr>
          </w:p>
          <w:p w14:paraId="77E3A566">
            <w:pPr>
              <w:spacing w:line="260" w:lineRule="exact"/>
              <w:ind w:firstLine="0" w:firstLineChars="0"/>
              <w:jc w:val="center"/>
              <w:rPr>
                <w:rFonts w:eastAsia="方正黑体_GBK" w:cs="Times New Roman"/>
                <w:color w:val="000000"/>
                <w:sz w:val="24"/>
                <w:szCs w:val="24"/>
              </w:rPr>
            </w:pPr>
          </w:p>
          <w:p w14:paraId="454CCE78">
            <w:pPr>
              <w:spacing w:line="260" w:lineRule="exact"/>
              <w:ind w:firstLine="0" w:firstLineChars="0"/>
              <w:jc w:val="center"/>
              <w:rPr>
                <w:rFonts w:eastAsia="方正黑体_GBK" w:cs="Times New Roman"/>
                <w:color w:val="000000"/>
                <w:sz w:val="24"/>
                <w:szCs w:val="24"/>
              </w:rPr>
            </w:pPr>
          </w:p>
          <w:p w14:paraId="1BED8503">
            <w:pPr>
              <w:spacing w:line="260" w:lineRule="exact"/>
              <w:ind w:firstLine="0" w:firstLineChars="0"/>
              <w:jc w:val="center"/>
              <w:rPr>
                <w:rFonts w:eastAsia="方正黑体_GBK" w:cs="Times New Roman"/>
                <w:color w:val="000000"/>
                <w:sz w:val="24"/>
                <w:szCs w:val="24"/>
              </w:rPr>
            </w:pPr>
          </w:p>
          <w:p w14:paraId="3B369FA5">
            <w:pPr>
              <w:spacing w:line="260" w:lineRule="exact"/>
              <w:ind w:firstLine="0" w:firstLineChars="0"/>
              <w:jc w:val="center"/>
              <w:rPr>
                <w:rFonts w:eastAsia="方正黑体_GBK" w:cs="Times New Roman"/>
                <w:color w:val="000000"/>
                <w:sz w:val="24"/>
                <w:szCs w:val="24"/>
              </w:rPr>
            </w:pPr>
          </w:p>
          <w:p w14:paraId="50D1A823">
            <w:pPr>
              <w:spacing w:line="260" w:lineRule="exact"/>
              <w:ind w:firstLine="0" w:firstLineChars="0"/>
              <w:jc w:val="center"/>
              <w:rPr>
                <w:rFonts w:eastAsia="方正黑体_GBK" w:cs="Times New Roman"/>
                <w:color w:val="000000"/>
                <w:sz w:val="24"/>
                <w:szCs w:val="24"/>
              </w:rPr>
            </w:pPr>
          </w:p>
          <w:p w14:paraId="4D98B0EF">
            <w:pPr>
              <w:spacing w:line="260" w:lineRule="exact"/>
              <w:ind w:firstLine="0" w:firstLineChars="0"/>
              <w:jc w:val="center"/>
              <w:rPr>
                <w:rFonts w:eastAsia="方正黑体_GBK" w:cs="Times New Roman"/>
                <w:color w:val="000000"/>
                <w:sz w:val="24"/>
                <w:szCs w:val="24"/>
              </w:rPr>
            </w:pPr>
          </w:p>
          <w:p w14:paraId="4C1841FE">
            <w:pPr>
              <w:spacing w:line="260" w:lineRule="exact"/>
              <w:ind w:firstLine="0" w:firstLineChars="0"/>
              <w:jc w:val="center"/>
              <w:rPr>
                <w:rFonts w:eastAsia="方正黑体_GBK" w:cs="Times New Roman"/>
                <w:color w:val="000000"/>
                <w:sz w:val="24"/>
                <w:szCs w:val="24"/>
              </w:rPr>
            </w:pPr>
          </w:p>
          <w:p w14:paraId="50CED7CF">
            <w:pPr>
              <w:spacing w:line="260" w:lineRule="exact"/>
              <w:ind w:firstLine="0" w:firstLineChars="0"/>
              <w:jc w:val="center"/>
              <w:rPr>
                <w:rFonts w:eastAsia="方正黑体_GBK" w:cs="Times New Roman"/>
                <w:color w:val="000000"/>
                <w:sz w:val="24"/>
                <w:szCs w:val="24"/>
              </w:rPr>
            </w:pPr>
          </w:p>
          <w:p w14:paraId="6DD8B7EC">
            <w:pPr>
              <w:spacing w:line="260" w:lineRule="exact"/>
              <w:ind w:firstLine="0" w:firstLineChars="0"/>
              <w:jc w:val="center"/>
              <w:rPr>
                <w:rFonts w:eastAsia="方正黑体_GBK" w:cs="Times New Roman"/>
                <w:color w:val="000000"/>
                <w:sz w:val="24"/>
                <w:szCs w:val="24"/>
              </w:rPr>
            </w:pPr>
          </w:p>
          <w:p w14:paraId="5887C9FF">
            <w:pPr>
              <w:spacing w:line="260" w:lineRule="exact"/>
              <w:ind w:firstLine="0" w:firstLineChars="0"/>
              <w:jc w:val="center"/>
              <w:rPr>
                <w:rFonts w:eastAsia="方正黑体_GBK" w:cs="Times New Roman"/>
                <w:color w:val="000000"/>
                <w:sz w:val="24"/>
                <w:szCs w:val="24"/>
              </w:rPr>
            </w:pPr>
          </w:p>
          <w:p w14:paraId="188765E4">
            <w:pPr>
              <w:spacing w:line="260" w:lineRule="exact"/>
              <w:ind w:firstLine="0" w:firstLineChars="0"/>
              <w:jc w:val="center"/>
              <w:rPr>
                <w:rFonts w:eastAsia="方正黑体_GBK" w:cs="Times New Roman"/>
                <w:color w:val="000000"/>
                <w:sz w:val="24"/>
                <w:szCs w:val="24"/>
              </w:rPr>
            </w:pPr>
          </w:p>
          <w:p w14:paraId="4EF8008D">
            <w:pPr>
              <w:spacing w:line="260" w:lineRule="exact"/>
              <w:ind w:firstLine="0" w:firstLineChars="0"/>
              <w:jc w:val="center"/>
              <w:rPr>
                <w:rFonts w:eastAsia="方正黑体_GBK" w:cs="Times New Roman"/>
                <w:color w:val="000000"/>
                <w:sz w:val="24"/>
                <w:szCs w:val="24"/>
              </w:rPr>
            </w:pPr>
          </w:p>
          <w:p w14:paraId="567C9BEF">
            <w:pPr>
              <w:spacing w:line="260" w:lineRule="exact"/>
              <w:ind w:firstLine="0" w:firstLineChars="0"/>
              <w:jc w:val="center"/>
              <w:rPr>
                <w:rFonts w:eastAsia="方正黑体_GBK" w:cs="Times New Roman"/>
                <w:color w:val="000000"/>
                <w:sz w:val="24"/>
                <w:szCs w:val="24"/>
              </w:rPr>
            </w:pPr>
          </w:p>
          <w:p w14:paraId="667473D7">
            <w:pPr>
              <w:spacing w:line="260" w:lineRule="exact"/>
              <w:ind w:firstLine="0" w:firstLineChars="0"/>
              <w:jc w:val="center"/>
              <w:rPr>
                <w:rFonts w:eastAsia="方正黑体_GBK" w:cs="Times New Roman"/>
                <w:color w:val="000000"/>
                <w:sz w:val="24"/>
                <w:szCs w:val="24"/>
              </w:rPr>
            </w:pPr>
            <w:r>
              <w:rPr>
                <w:rFonts w:eastAsia="方正黑体_GBK" w:cs="Times New Roman"/>
                <w:color w:val="000000"/>
                <w:sz w:val="24"/>
                <w:szCs w:val="24"/>
              </w:rPr>
              <w:t>损失补偿</w:t>
            </w:r>
          </w:p>
          <w:p w14:paraId="556553DA">
            <w:pPr>
              <w:spacing w:line="260" w:lineRule="exact"/>
              <w:ind w:firstLine="0" w:firstLineChars="0"/>
              <w:jc w:val="center"/>
              <w:rPr>
                <w:rFonts w:eastAsia="方正黑体_GBK" w:cs="Times New Roman"/>
                <w:color w:val="000000"/>
                <w:sz w:val="24"/>
                <w:szCs w:val="24"/>
              </w:rPr>
            </w:pPr>
          </w:p>
          <w:p w14:paraId="6C59E2A0">
            <w:pPr>
              <w:spacing w:line="260" w:lineRule="exact"/>
              <w:ind w:firstLine="0" w:firstLineChars="0"/>
              <w:jc w:val="center"/>
              <w:rPr>
                <w:rFonts w:eastAsia="方正黑体_GBK" w:cs="Times New Roman"/>
                <w:color w:val="000000"/>
                <w:sz w:val="24"/>
                <w:szCs w:val="24"/>
              </w:rPr>
            </w:pPr>
          </w:p>
          <w:p w14:paraId="670ACA51">
            <w:pPr>
              <w:spacing w:line="260" w:lineRule="exact"/>
              <w:ind w:firstLine="0" w:firstLineChars="0"/>
              <w:jc w:val="center"/>
              <w:rPr>
                <w:rFonts w:eastAsia="方正黑体_GBK" w:cs="Times New Roman"/>
                <w:color w:val="000000"/>
                <w:sz w:val="24"/>
                <w:szCs w:val="24"/>
              </w:rPr>
            </w:pPr>
          </w:p>
          <w:p w14:paraId="305B34D9">
            <w:pPr>
              <w:spacing w:line="260" w:lineRule="exact"/>
              <w:ind w:firstLine="0" w:firstLineChars="0"/>
              <w:jc w:val="center"/>
              <w:rPr>
                <w:rFonts w:eastAsia="方正黑体_GBK" w:cs="Times New Roman"/>
                <w:color w:val="000000"/>
                <w:sz w:val="24"/>
                <w:szCs w:val="24"/>
              </w:rPr>
            </w:pPr>
          </w:p>
          <w:p w14:paraId="06C8D69D">
            <w:pPr>
              <w:spacing w:line="260" w:lineRule="exact"/>
              <w:ind w:firstLine="0" w:firstLineChars="0"/>
              <w:jc w:val="center"/>
              <w:rPr>
                <w:rFonts w:eastAsia="方正黑体_GBK" w:cs="Times New Roman"/>
                <w:color w:val="000000"/>
                <w:sz w:val="24"/>
                <w:szCs w:val="24"/>
              </w:rPr>
            </w:pPr>
          </w:p>
          <w:p w14:paraId="6369BF09">
            <w:pPr>
              <w:spacing w:line="260" w:lineRule="exact"/>
              <w:ind w:firstLine="0" w:firstLineChars="0"/>
              <w:jc w:val="center"/>
              <w:rPr>
                <w:rFonts w:eastAsia="方正黑体_GBK" w:cs="Times New Roman"/>
                <w:color w:val="000000"/>
                <w:sz w:val="24"/>
                <w:szCs w:val="24"/>
              </w:rPr>
            </w:pPr>
          </w:p>
          <w:p w14:paraId="02B89FBA">
            <w:pPr>
              <w:spacing w:line="260" w:lineRule="exact"/>
              <w:ind w:firstLine="0" w:firstLineChars="0"/>
              <w:jc w:val="center"/>
              <w:rPr>
                <w:rFonts w:eastAsia="方正黑体_GBK" w:cs="Times New Roman"/>
                <w:color w:val="000000"/>
                <w:sz w:val="24"/>
                <w:szCs w:val="24"/>
              </w:rPr>
            </w:pPr>
          </w:p>
          <w:p w14:paraId="347B73C1">
            <w:pPr>
              <w:spacing w:line="260" w:lineRule="exact"/>
              <w:ind w:firstLine="0" w:firstLineChars="0"/>
              <w:jc w:val="center"/>
              <w:rPr>
                <w:rFonts w:eastAsia="方正黑体_GBK" w:cs="Times New Roman"/>
                <w:color w:val="000000"/>
                <w:sz w:val="24"/>
                <w:szCs w:val="24"/>
              </w:rPr>
            </w:pPr>
          </w:p>
          <w:p w14:paraId="5C306342">
            <w:pPr>
              <w:spacing w:line="260" w:lineRule="exact"/>
              <w:ind w:firstLine="0" w:firstLineChars="0"/>
              <w:jc w:val="center"/>
              <w:rPr>
                <w:rFonts w:eastAsia="方正黑体_GBK" w:cs="Times New Roman"/>
                <w:color w:val="000000"/>
                <w:sz w:val="24"/>
                <w:szCs w:val="24"/>
              </w:rPr>
            </w:pPr>
          </w:p>
          <w:p w14:paraId="575DBE1D">
            <w:pPr>
              <w:spacing w:line="260" w:lineRule="exact"/>
              <w:ind w:firstLine="0" w:firstLineChars="0"/>
              <w:jc w:val="center"/>
              <w:rPr>
                <w:rFonts w:eastAsia="方正黑体_GBK" w:cs="Times New Roman"/>
                <w:color w:val="000000"/>
                <w:sz w:val="24"/>
                <w:szCs w:val="24"/>
              </w:rPr>
            </w:pPr>
          </w:p>
          <w:p w14:paraId="0C72594F">
            <w:pPr>
              <w:spacing w:line="260" w:lineRule="exact"/>
              <w:ind w:firstLine="0" w:firstLineChars="0"/>
              <w:jc w:val="center"/>
              <w:rPr>
                <w:rFonts w:eastAsia="方正黑体_GBK" w:cs="Times New Roman"/>
                <w:color w:val="000000"/>
                <w:sz w:val="24"/>
                <w:szCs w:val="24"/>
              </w:rPr>
            </w:pPr>
          </w:p>
          <w:p w14:paraId="410FB0BF">
            <w:pPr>
              <w:spacing w:line="260" w:lineRule="exact"/>
              <w:ind w:firstLine="0" w:firstLineChars="0"/>
              <w:jc w:val="center"/>
              <w:rPr>
                <w:rFonts w:eastAsia="方正黑体_GBK" w:cs="Times New Roman"/>
                <w:color w:val="000000"/>
                <w:sz w:val="24"/>
                <w:szCs w:val="24"/>
              </w:rPr>
            </w:pPr>
          </w:p>
          <w:p w14:paraId="17D6C616">
            <w:pPr>
              <w:spacing w:line="260" w:lineRule="exact"/>
              <w:ind w:firstLine="0" w:firstLineChars="0"/>
              <w:jc w:val="center"/>
              <w:rPr>
                <w:rFonts w:eastAsia="方正黑体_GBK" w:cs="Times New Roman"/>
                <w:color w:val="000000"/>
                <w:sz w:val="24"/>
                <w:szCs w:val="24"/>
              </w:rPr>
            </w:pPr>
          </w:p>
          <w:p w14:paraId="5AA547B7">
            <w:pPr>
              <w:spacing w:line="260" w:lineRule="exact"/>
              <w:ind w:firstLine="0" w:firstLineChars="0"/>
              <w:jc w:val="center"/>
              <w:rPr>
                <w:rFonts w:eastAsia="方正黑体_GBK" w:cs="Times New Roman"/>
                <w:color w:val="000000"/>
                <w:sz w:val="24"/>
                <w:szCs w:val="24"/>
              </w:rPr>
            </w:pPr>
          </w:p>
          <w:p w14:paraId="51E7EAEC">
            <w:pPr>
              <w:spacing w:line="260" w:lineRule="exact"/>
              <w:ind w:firstLine="0" w:firstLineChars="0"/>
              <w:jc w:val="center"/>
              <w:rPr>
                <w:rFonts w:eastAsia="方正黑体_GBK" w:cs="Times New Roman"/>
                <w:color w:val="000000"/>
                <w:sz w:val="24"/>
                <w:szCs w:val="24"/>
              </w:rPr>
            </w:pPr>
          </w:p>
          <w:p w14:paraId="2159CFA9">
            <w:pPr>
              <w:spacing w:line="260" w:lineRule="exact"/>
              <w:ind w:firstLine="0" w:firstLineChars="0"/>
              <w:jc w:val="center"/>
              <w:rPr>
                <w:rFonts w:eastAsia="方正黑体_GBK" w:cs="Times New Roman"/>
                <w:color w:val="000000"/>
                <w:sz w:val="24"/>
                <w:szCs w:val="24"/>
              </w:rPr>
            </w:pPr>
          </w:p>
          <w:p w14:paraId="62C0950B">
            <w:pPr>
              <w:spacing w:line="260" w:lineRule="exact"/>
              <w:ind w:firstLine="0" w:firstLineChars="0"/>
              <w:jc w:val="center"/>
              <w:rPr>
                <w:rFonts w:eastAsia="方正黑体_GBK" w:cs="Times New Roman"/>
                <w:color w:val="000000"/>
                <w:sz w:val="24"/>
                <w:szCs w:val="24"/>
              </w:rPr>
            </w:pPr>
          </w:p>
          <w:p w14:paraId="452976B5">
            <w:pPr>
              <w:spacing w:line="260" w:lineRule="exact"/>
              <w:ind w:firstLine="0" w:firstLineChars="0"/>
              <w:jc w:val="center"/>
              <w:rPr>
                <w:rFonts w:eastAsia="方正黑体_GBK" w:cs="Times New Roman"/>
                <w:color w:val="000000"/>
                <w:sz w:val="24"/>
                <w:szCs w:val="24"/>
              </w:rPr>
            </w:pPr>
          </w:p>
          <w:p w14:paraId="32F036AF">
            <w:pPr>
              <w:spacing w:line="260" w:lineRule="exact"/>
              <w:ind w:firstLine="0" w:firstLineChars="0"/>
              <w:jc w:val="center"/>
              <w:rPr>
                <w:rFonts w:eastAsia="方正黑体_GBK" w:cs="Times New Roman"/>
                <w:color w:val="000000"/>
                <w:sz w:val="24"/>
                <w:szCs w:val="24"/>
              </w:rPr>
            </w:pPr>
          </w:p>
          <w:p w14:paraId="25CC3020">
            <w:pPr>
              <w:spacing w:line="260" w:lineRule="exact"/>
              <w:ind w:firstLine="0" w:firstLineChars="0"/>
              <w:jc w:val="center"/>
              <w:rPr>
                <w:rFonts w:eastAsia="方正黑体_GBK" w:cs="Times New Roman"/>
                <w:color w:val="000000"/>
                <w:sz w:val="24"/>
                <w:szCs w:val="24"/>
              </w:rPr>
            </w:pPr>
          </w:p>
          <w:p w14:paraId="2E45EF58">
            <w:pPr>
              <w:spacing w:line="260" w:lineRule="exact"/>
              <w:ind w:firstLine="0" w:firstLineChars="0"/>
              <w:jc w:val="center"/>
              <w:rPr>
                <w:rFonts w:eastAsia="方正黑体_GBK" w:cs="Times New Roman"/>
                <w:color w:val="000000"/>
                <w:sz w:val="24"/>
                <w:szCs w:val="24"/>
              </w:rPr>
            </w:pPr>
          </w:p>
          <w:p w14:paraId="2A4B0997">
            <w:pPr>
              <w:spacing w:line="260" w:lineRule="exact"/>
              <w:ind w:firstLine="0" w:firstLineChars="0"/>
              <w:jc w:val="center"/>
              <w:rPr>
                <w:rFonts w:eastAsia="方正黑体_GBK" w:cs="Times New Roman"/>
                <w:color w:val="000000"/>
                <w:sz w:val="24"/>
                <w:szCs w:val="24"/>
              </w:rPr>
            </w:pPr>
          </w:p>
          <w:p w14:paraId="17836863">
            <w:pPr>
              <w:spacing w:line="260" w:lineRule="exact"/>
              <w:ind w:firstLine="0" w:firstLineChars="0"/>
              <w:jc w:val="center"/>
              <w:rPr>
                <w:rFonts w:eastAsia="方正黑体_GBK" w:cs="Times New Roman"/>
                <w:color w:val="000000"/>
                <w:sz w:val="24"/>
                <w:szCs w:val="24"/>
              </w:rPr>
            </w:pPr>
          </w:p>
          <w:p w14:paraId="431AE0C3">
            <w:pPr>
              <w:spacing w:line="260" w:lineRule="exact"/>
              <w:ind w:firstLine="0" w:firstLineChars="0"/>
              <w:jc w:val="center"/>
              <w:rPr>
                <w:rFonts w:eastAsia="方正黑体_GBK" w:cs="Times New Roman"/>
                <w:color w:val="000000"/>
                <w:sz w:val="24"/>
                <w:szCs w:val="24"/>
              </w:rPr>
            </w:pPr>
          </w:p>
          <w:p w14:paraId="7B59B69B">
            <w:pPr>
              <w:spacing w:line="260" w:lineRule="exact"/>
              <w:ind w:firstLine="0" w:firstLineChars="0"/>
              <w:jc w:val="center"/>
              <w:rPr>
                <w:rFonts w:eastAsia="方正黑体_GBK" w:cs="Times New Roman"/>
                <w:color w:val="000000"/>
                <w:sz w:val="24"/>
                <w:szCs w:val="24"/>
              </w:rPr>
            </w:pPr>
          </w:p>
          <w:p w14:paraId="17630FDA">
            <w:pPr>
              <w:spacing w:line="260" w:lineRule="exact"/>
              <w:ind w:firstLine="0" w:firstLineChars="0"/>
              <w:jc w:val="center"/>
              <w:rPr>
                <w:rFonts w:eastAsia="方正黑体_GBK" w:cs="Times New Roman"/>
                <w:color w:val="000000"/>
                <w:sz w:val="24"/>
                <w:szCs w:val="24"/>
              </w:rPr>
            </w:pPr>
          </w:p>
          <w:p w14:paraId="3FB695A6">
            <w:pPr>
              <w:spacing w:line="260" w:lineRule="exact"/>
              <w:ind w:firstLine="0" w:firstLineChars="0"/>
              <w:jc w:val="center"/>
              <w:rPr>
                <w:rFonts w:eastAsia="方正黑体_GBK" w:cs="Times New Roman"/>
                <w:color w:val="000000"/>
                <w:sz w:val="24"/>
                <w:szCs w:val="24"/>
              </w:rPr>
            </w:pPr>
          </w:p>
          <w:p w14:paraId="39059DA6">
            <w:pPr>
              <w:spacing w:line="260" w:lineRule="exact"/>
              <w:ind w:firstLine="0" w:firstLineChars="0"/>
              <w:jc w:val="center"/>
              <w:rPr>
                <w:rFonts w:eastAsia="方正黑体_GBK" w:cs="Times New Roman"/>
                <w:color w:val="000000"/>
                <w:sz w:val="24"/>
                <w:szCs w:val="24"/>
              </w:rPr>
            </w:pPr>
          </w:p>
          <w:p w14:paraId="7A802E88">
            <w:pPr>
              <w:spacing w:line="260" w:lineRule="exact"/>
              <w:ind w:firstLine="0" w:firstLineChars="0"/>
              <w:jc w:val="center"/>
              <w:rPr>
                <w:rFonts w:eastAsia="方正黑体_GBK" w:cs="Times New Roman"/>
                <w:color w:val="000000"/>
                <w:sz w:val="24"/>
                <w:szCs w:val="24"/>
              </w:rPr>
            </w:pPr>
          </w:p>
          <w:p w14:paraId="6E06F53E">
            <w:pPr>
              <w:spacing w:line="260" w:lineRule="exact"/>
              <w:ind w:firstLine="0" w:firstLineChars="0"/>
              <w:jc w:val="center"/>
              <w:rPr>
                <w:rFonts w:eastAsia="方正黑体_GBK" w:cs="Times New Roman"/>
                <w:color w:val="000000"/>
                <w:sz w:val="24"/>
                <w:szCs w:val="24"/>
              </w:rPr>
            </w:pPr>
          </w:p>
          <w:p w14:paraId="4FF40392">
            <w:pPr>
              <w:spacing w:line="260" w:lineRule="exact"/>
              <w:ind w:firstLine="0" w:firstLineChars="0"/>
              <w:jc w:val="center"/>
              <w:rPr>
                <w:rFonts w:eastAsia="方正黑体_GBK" w:cs="Times New Roman"/>
                <w:color w:val="000000"/>
                <w:sz w:val="24"/>
                <w:szCs w:val="24"/>
              </w:rPr>
            </w:pPr>
          </w:p>
          <w:p w14:paraId="4307A631">
            <w:pPr>
              <w:spacing w:line="260" w:lineRule="exact"/>
              <w:ind w:firstLine="0" w:firstLineChars="0"/>
              <w:jc w:val="center"/>
              <w:rPr>
                <w:rFonts w:eastAsia="方正黑体_GBK" w:cs="Times New Roman"/>
                <w:color w:val="000000"/>
                <w:sz w:val="24"/>
                <w:szCs w:val="24"/>
              </w:rPr>
            </w:pPr>
          </w:p>
          <w:p w14:paraId="1440FE4E">
            <w:pPr>
              <w:spacing w:line="260" w:lineRule="exact"/>
              <w:ind w:firstLine="0" w:firstLineChars="0"/>
              <w:jc w:val="center"/>
              <w:rPr>
                <w:rFonts w:eastAsia="方正黑体_GBK" w:cs="Times New Roman"/>
                <w:color w:val="000000"/>
                <w:sz w:val="24"/>
                <w:szCs w:val="24"/>
              </w:rPr>
            </w:pPr>
          </w:p>
          <w:p w14:paraId="50EBCF79">
            <w:pPr>
              <w:spacing w:line="260" w:lineRule="exact"/>
              <w:ind w:firstLine="0" w:firstLineChars="0"/>
              <w:jc w:val="center"/>
              <w:rPr>
                <w:rFonts w:eastAsia="方正黑体_GBK" w:cs="Times New Roman"/>
                <w:color w:val="000000"/>
                <w:sz w:val="24"/>
                <w:szCs w:val="24"/>
              </w:rPr>
            </w:pPr>
          </w:p>
          <w:p w14:paraId="3B2FB986">
            <w:pPr>
              <w:spacing w:line="260" w:lineRule="exact"/>
              <w:ind w:firstLine="0" w:firstLineChars="0"/>
              <w:jc w:val="center"/>
              <w:rPr>
                <w:rFonts w:eastAsia="方正黑体_GBK" w:cs="Times New Roman"/>
                <w:color w:val="000000"/>
                <w:sz w:val="24"/>
                <w:szCs w:val="24"/>
              </w:rPr>
            </w:pPr>
          </w:p>
          <w:p w14:paraId="47E9B0FA">
            <w:pPr>
              <w:spacing w:line="260" w:lineRule="exact"/>
              <w:ind w:firstLine="0" w:firstLineChars="0"/>
              <w:jc w:val="center"/>
              <w:rPr>
                <w:rFonts w:eastAsia="方正黑体_GBK" w:cs="Times New Roman"/>
                <w:color w:val="000000"/>
                <w:sz w:val="24"/>
                <w:szCs w:val="24"/>
              </w:rPr>
            </w:pPr>
          </w:p>
          <w:p w14:paraId="55B7348D">
            <w:pPr>
              <w:spacing w:line="260" w:lineRule="exact"/>
              <w:ind w:firstLine="0" w:firstLineChars="0"/>
              <w:jc w:val="center"/>
              <w:rPr>
                <w:rFonts w:eastAsia="方正黑体_GBK" w:cs="Times New Roman"/>
                <w:color w:val="000000"/>
                <w:sz w:val="24"/>
                <w:szCs w:val="24"/>
              </w:rPr>
            </w:pPr>
          </w:p>
          <w:p w14:paraId="2915B0BA">
            <w:pPr>
              <w:spacing w:line="260" w:lineRule="exact"/>
              <w:ind w:firstLine="0" w:firstLineChars="0"/>
              <w:jc w:val="center"/>
              <w:rPr>
                <w:rFonts w:eastAsia="方正黑体_GBK" w:cs="Times New Roman"/>
                <w:color w:val="000000"/>
                <w:sz w:val="24"/>
                <w:szCs w:val="24"/>
              </w:rPr>
            </w:pPr>
          </w:p>
          <w:p w14:paraId="6B05E532">
            <w:pPr>
              <w:spacing w:line="260" w:lineRule="exact"/>
              <w:ind w:firstLine="0" w:firstLineChars="0"/>
              <w:jc w:val="center"/>
              <w:rPr>
                <w:rFonts w:eastAsia="方正黑体_GBK" w:cs="Times New Roman"/>
                <w:color w:val="000000"/>
                <w:sz w:val="24"/>
                <w:szCs w:val="24"/>
              </w:rPr>
            </w:pPr>
          </w:p>
          <w:p w14:paraId="57479B4C">
            <w:pPr>
              <w:spacing w:line="260" w:lineRule="exact"/>
              <w:ind w:firstLine="0" w:firstLineChars="0"/>
              <w:jc w:val="center"/>
              <w:rPr>
                <w:rFonts w:eastAsia="方正黑体_GBK" w:cs="Times New Roman"/>
                <w:color w:val="000000"/>
                <w:sz w:val="24"/>
                <w:szCs w:val="24"/>
              </w:rPr>
            </w:pPr>
          </w:p>
          <w:p w14:paraId="2EBB22E3">
            <w:pPr>
              <w:spacing w:line="260" w:lineRule="exact"/>
              <w:ind w:firstLine="0" w:firstLineChars="0"/>
              <w:jc w:val="center"/>
              <w:rPr>
                <w:rFonts w:eastAsia="方正黑体_GBK" w:cs="Times New Roman"/>
                <w:color w:val="000000"/>
                <w:sz w:val="24"/>
                <w:szCs w:val="24"/>
              </w:rPr>
            </w:pPr>
          </w:p>
          <w:p w14:paraId="7B4288E8">
            <w:pPr>
              <w:spacing w:line="260" w:lineRule="exact"/>
              <w:ind w:firstLine="0" w:firstLineChars="0"/>
              <w:jc w:val="center"/>
              <w:rPr>
                <w:rFonts w:eastAsia="方正黑体_GBK" w:cs="Times New Roman"/>
                <w:color w:val="000000"/>
                <w:sz w:val="24"/>
                <w:szCs w:val="24"/>
              </w:rPr>
            </w:pPr>
          </w:p>
          <w:p w14:paraId="75B9765D">
            <w:pPr>
              <w:spacing w:line="260" w:lineRule="exact"/>
              <w:ind w:firstLine="0" w:firstLineChars="0"/>
              <w:jc w:val="center"/>
              <w:rPr>
                <w:rFonts w:eastAsia="宋体" w:cs="Times New Roman"/>
                <w:color w:val="000000"/>
                <w:sz w:val="24"/>
                <w:szCs w:val="24"/>
              </w:rPr>
            </w:pPr>
          </w:p>
          <w:p w14:paraId="068E4AA4">
            <w:pPr>
              <w:autoSpaceDE w:val="0"/>
              <w:autoSpaceDN w:val="0"/>
              <w:adjustRightInd w:val="0"/>
              <w:spacing w:line="260" w:lineRule="exact"/>
              <w:ind w:firstLine="480"/>
              <w:rPr>
                <w:rFonts w:ascii="Arial" w:hAnsi="Arial" w:eastAsia="宋体" w:cs="Arial"/>
                <w:color w:val="000000"/>
                <w:sz w:val="24"/>
                <w:szCs w:val="24"/>
              </w:rPr>
            </w:pPr>
          </w:p>
        </w:tc>
        <w:tc>
          <w:tcPr>
            <w:tcW w:w="312" w:type="pct"/>
            <w:vMerge w:val="restart"/>
            <w:noWrap/>
            <w:vAlign w:val="center"/>
          </w:tcPr>
          <w:p w14:paraId="1F69AE7E">
            <w:pPr>
              <w:spacing w:line="260" w:lineRule="exact"/>
              <w:ind w:firstLine="0" w:firstLineChars="0"/>
              <w:jc w:val="center"/>
              <w:rPr>
                <w:rFonts w:eastAsia="方正仿宋_GBK" w:cs="Times New Roman"/>
                <w:sz w:val="24"/>
              </w:rPr>
            </w:pPr>
            <w:r>
              <w:rPr>
                <w:rFonts w:eastAsia="方正仿宋_GBK" w:cs="Times New Roman"/>
                <w:sz w:val="24"/>
              </w:rPr>
              <w:t>非住宅停产停业补偿</w:t>
            </w:r>
          </w:p>
          <w:p w14:paraId="1A9F84D4">
            <w:pPr>
              <w:spacing w:line="260" w:lineRule="exact"/>
              <w:ind w:firstLine="0" w:firstLineChars="0"/>
              <w:jc w:val="center"/>
              <w:rPr>
                <w:rFonts w:eastAsia="方正仿宋_GBK" w:cs="Times New Roman"/>
                <w:sz w:val="24"/>
              </w:rPr>
            </w:pPr>
          </w:p>
        </w:tc>
        <w:tc>
          <w:tcPr>
            <w:tcW w:w="425" w:type="pct"/>
            <w:noWrap/>
            <w:vAlign w:val="center"/>
          </w:tcPr>
          <w:p w14:paraId="0A841169">
            <w:pPr>
              <w:spacing w:line="260" w:lineRule="exact"/>
              <w:ind w:firstLine="0" w:firstLineChars="0"/>
              <w:jc w:val="center"/>
              <w:rPr>
                <w:rFonts w:eastAsia="方正仿宋_GBK" w:cs="Times New Roman"/>
                <w:sz w:val="24"/>
              </w:rPr>
            </w:pPr>
            <w:r>
              <w:rPr>
                <w:rFonts w:eastAsia="方正仿宋_GBK" w:cs="Times New Roman"/>
                <w:sz w:val="24"/>
              </w:rPr>
              <w:t>被征收人选择货币补偿</w:t>
            </w:r>
          </w:p>
        </w:tc>
        <w:tc>
          <w:tcPr>
            <w:tcW w:w="1597" w:type="pct"/>
            <w:gridSpan w:val="2"/>
            <w:noWrap/>
            <w:vAlign w:val="center"/>
          </w:tcPr>
          <w:p w14:paraId="1EE96B7E">
            <w:pPr>
              <w:spacing w:line="260" w:lineRule="exact"/>
              <w:ind w:firstLine="0" w:firstLineChars="0"/>
              <w:jc w:val="center"/>
              <w:rPr>
                <w:rFonts w:eastAsia="方正仿宋_GBK" w:cs="Times New Roman"/>
                <w:sz w:val="24"/>
              </w:rPr>
            </w:pPr>
            <w:r>
              <w:rPr>
                <w:rFonts w:eastAsia="方正仿宋_GBK" w:cs="Times New Roman"/>
                <w:sz w:val="24"/>
              </w:rPr>
              <w:t>按被征收房屋评估价值的6%一次性补偿</w:t>
            </w:r>
          </w:p>
        </w:tc>
        <w:tc>
          <w:tcPr>
            <w:tcW w:w="2026" w:type="pct"/>
            <w:vMerge w:val="restart"/>
            <w:noWrap/>
            <w:vAlign w:val="center"/>
          </w:tcPr>
          <w:p w14:paraId="7AE629FA">
            <w:pPr>
              <w:spacing w:line="260" w:lineRule="exact"/>
              <w:ind w:firstLine="480"/>
              <w:rPr>
                <w:rFonts w:eastAsia="方正仿宋_GBK" w:cs="Times New Roman"/>
                <w:sz w:val="24"/>
              </w:rPr>
            </w:pPr>
            <w:r>
              <w:rPr>
                <w:rFonts w:eastAsia="方正仿宋_GBK" w:cs="Times New Roman"/>
                <w:sz w:val="24"/>
              </w:rPr>
              <w:t>1.房屋征收项目公布前两年内有合法有效营业执照及完税凭证的非住宅，给予停产停业损失补偿。</w:t>
            </w:r>
          </w:p>
          <w:p w14:paraId="652DBA01">
            <w:pPr>
              <w:spacing w:line="260" w:lineRule="exact"/>
              <w:ind w:firstLine="480"/>
              <w:rPr>
                <w:rFonts w:eastAsia="方正仿宋_GBK" w:cs="Times New Roman"/>
                <w:sz w:val="24"/>
              </w:rPr>
            </w:pPr>
            <w:r>
              <w:rPr>
                <w:rFonts w:eastAsia="方正仿宋_GBK" w:cs="Times New Roman"/>
                <w:sz w:val="24"/>
              </w:rPr>
              <w:t>2.被征收人选择的产权调换房屋为现房，给予6个月停产停业损失补偿；选择的产权调换房屋为期房的，以交付旧房时间起，至通知接房之日止计算过渡月数，并额外给予6个月停产停业损失补偿。房屋征收部门提供了临时周转房的，不支付停产停业损失补偿。</w:t>
            </w:r>
          </w:p>
          <w:p w14:paraId="09D1DBA0">
            <w:pPr>
              <w:spacing w:line="260" w:lineRule="exact"/>
              <w:ind w:firstLine="480"/>
              <w:rPr>
                <w:rFonts w:eastAsia="方正仿宋_GBK" w:cs="Times New Roman"/>
                <w:sz w:val="24"/>
              </w:rPr>
            </w:pPr>
            <w:r>
              <w:rPr>
                <w:rFonts w:eastAsia="方正仿宋_GBK" w:cs="Times New Roman"/>
                <w:sz w:val="24"/>
              </w:rPr>
              <w:t>3.房屋征收部门未按约定日期交付产权调换房屋，导致过渡期限延长的，自逾期之月起每月按照房屋评估价值的5‰加付停产停业损失补偿。</w:t>
            </w:r>
          </w:p>
          <w:p w14:paraId="6D63E3FA">
            <w:pPr>
              <w:spacing w:line="260" w:lineRule="exact"/>
              <w:ind w:firstLine="480"/>
              <w:rPr>
                <w:rFonts w:eastAsia="方正仿宋_GBK" w:cs="Times New Roman"/>
                <w:sz w:val="24"/>
              </w:rPr>
            </w:pPr>
            <w:r>
              <w:rPr>
                <w:rFonts w:eastAsia="方正仿宋_GBK" w:cs="Times New Roman"/>
                <w:sz w:val="24"/>
              </w:rPr>
              <w:t>4.用于生产制造的非住宅，停产停业损失的补偿标准可以适当提高，提高的幅度不超过补偿标准的50%。</w:t>
            </w:r>
          </w:p>
          <w:p w14:paraId="38755869">
            <w:pPr>
              <w:spacing w:line="260" w:lineRule="exact"/>
              <w:ind w:firstLine="480"/>
              <w:rPr>
                <w:rFonts w:eastAsia="方正仿宋_GBK" w:cs="Times New Roman"/>
                <w:sz w:val="24"/>
              </w:rPr>
            </w:pPr>
            <w:r>
              <w:rPr>
                <w:rFonts w:eastAsia="方正仿宋_GBK" w:cs="Times New Roman"/>
                <w:sz w:val="24"/>
              </w:rPr>
              <w:t>5.住宅改为非住宅使用的房屋，符合《重庆高新技术产业开发区国有土地上房屋征收与补偿实施办法》规定的，可以给予停产停业损失补偿。</w:t>
            </w:r>
          </w:p>
        </w:tc>
      </w:tr>
      <w:tr w14:paraId="28A78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6" w:hRule="atLeast"/>
          <w:tblHeader/>
          <w:jc w:val="center"/>
        </w:trPr>
        <w:tc>
          <w:tcPr>
            <w:tcW w:w="255" w:type="pct"/>
            <w:vMerge w:val="continue"/>
            <w:noWrap/>
            <w:vAlign w:val="center"/>
          </w:tcPr>
          <w:p w14:paraId="3BAF0DB4">
            <w:pPr>
              <w:spacing w:line="260" w:lineRule="exact"/>
              <w:ind w:firstLine="0" w:firstLineChars="0"/>
              <w:jc w:val="center"/>
              <w:rPr>
                <w:rFonts w:eastAsia="方正仿宋_GBK" w:cs="Times New Roman"/>
                <w:color w:val="000000"/>
                <w:sz w:val="24"/>
                <w:szCs w:val="24"/>
              </w:rPr>
            </w:pPr>
          </w:p>
        </w:tc>
        <w:tc>
          <w:tcPr>
            <w:tcW w:w="383" w:type="pct"/>
            <w:vMerge w:val="continue"/>
            <w:noWrap/>
            <w:vAlign w:val="center"/>
          </w:tcPr>
          <w:p w14:paraId="63DA2758">
            <w:pPr>
              <w:spacing w:line="260" w:lineRule="exact"/>
              <w:ind w:firstLine="0" w:firstLineChars="0"/>
              <w:jc w:val="center"/>
              <w:rPr>
                <w:rFonts w:eastAsia="方正仿宋_GBK" w:cs="Times New Roman"/>
                <w:color w:val="000000"/>
                <w:sz w:val="24"/>
                <w:szCs w:val="24"/>
              </w:rPr>
            </w:pPr>
          </w:p>
        </w:tc>
        <w:tc>
          <w:tcPr>
            <w:tcW w:w="312" w:type="pct"/>
            <w:vMerge w:val="continue"/>
            <w:noWrap/>
            <w:vAlign w:val="center"/>
          </w:tcPr>
          <w:p w14:paraId="1CC89C79">
            <w:pPr>
              <w:spacing w:line="260" w:lineRule="exact"/>
              <w:ind w:firstLine="0" w:firstLineChars="0"/>
              <w:jc w:val="center"/>
              <w:rPr>
                <w:rFonts w:eastAsia="方正仿宋_GBK" w:cs="Times New Roman"/>
                <w:color w:val="000000"/>
                <w:sz w:val="24"/>
                <w:szCs w:val="24"/>
              </w:rPr>
            </w:pPr>
          </w:p>
        </w:tc>
        <w:tc>
          <w:tcPr>
            <w:tcW w:w="425" w:type="pct"/>
            <w:noWrap/>
            <w:vAlign w:val="center"/>
          </w:tcPr>
          <w:p w14:paraId="4FCD9AF3">
            <w:pPr>
              <w:spacing w:line="26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被征收人选择产权调换</w:t>
            </w:r>
          </w:p>
        </w:tc>
        <w:tc>
          <w:tcPr>
            <w:tcW w:w="1597" w:type="pct"/>
            <w:gridSpan w:val="2"/>
            <w:noWrap/>
            <w:vAlign w:val="center"/>
          </w:tcPr>
          <w:p w14:paraId="5ACBDDCC">
            <w:pPr>
              <w:spacing w:line="260" w:lineRule="exact"/>
              <w:ind w:firstLine="0" w:firstLineChars="0"/>
              <w:rPr>
                <w:rFonts w:eastAsia="方正仿宋_GBK" w:cs="Times New Roman"/>
                <w:color w:val="000000"/>
                <w:sz w:val="24"/>
                <w:szCs w:val="24"/>
              </w:rPr>
            </w:pPr>
            <w:r>
              <w:rPr>
                <w:rFonts w:eastAsia="方正仿宋_GBK" w:cs="Times New Roman"/>
                <w:color w:val="000000"/>
                <w:sz w:val="24"/>
                <w:szCs w:val="24"/>
              </w:rPr>
              <w:t>每月按被征收房屋评估价值的5‰补偿</w:t>
            </w:r>
          </w:p>
        </w:tc>
        <w:tc>
          <w:tcPr>
            <w:tcW w:w="2026" w:type="pct"/>
            <w:vMerge w:val="continue"/>
            <w:noWrap/>
            <w:vAlign w:val="center"/>
          </w:tcPr>
          <w:p w14:paraId="44BF5DFE">
            <w:pPr>
              <w:spacing w:line="260" w:lineRule="exact"/>
              <w:ind w:firstLine="0" w:firstLineChars="0"/>
              <w:rPr>
                <w:rFonts w:eastAsia="方正仿宋_GBK" w:cs="Times New Roman"/>
                <w:color w:val="000000"/>
                <w:sz w:val="24"/>
                <w:szCs w:val="24"/>
              </w:rPr>
            </w:pPr>
          </w:p>
        </w:tc>
      </w:tr>
      <w:tr w14:paraId="782A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blHeader/>
          <w:jc w:val="center"/>
        </w:trPr>
        <w:tc>
          <w:tcPr>
            <w:tcW w:w="255" w:type="pct"/>
            <w:vMerge w:val="restart"/>
            <w:noWrap/>
            <w:vAlign w:val="center"/>
          </w:tcPr>
          <w:p w14:paraId="35C56F1A">
            <w:pPr>
              <w:spacing w:line="260" w:lineRule="exact"/>
              <w:ind w:firstLine="0" w:firstLineChars="0"/>
              <w:jc w:val="center"/>
              <w:rPr>
                <w:rFonts w:eastAsia="方正仿宋_GBK" w:cs="Times New Roman"/>
                <w:color w:val="000000"/>
                <w:sz w:val="24"/>
                <w:szCs w:val="24"/>
              </w:rPr>
            </w:pPr>
          </w:p>
          <w:p w14:paraId="39A5E8D9">
            <w:pPr>
              <w:spacing w:line="26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3</w:t>
            </w:r>
          </w:p>
        </w:tc>
        <w:tc>
          <w:tcPr>
            <w:tcW w:w="383" w:type="pct"/>
            <w:vMerge w:val="continue"/>
            <w:noWrap/>
            <w:vAlign w:val="center"/>
          </w:tcPr>
          <w:p w14:paraId="33658734">
            <w:pPr>
              <w:autoSpaceDE w:val="0"/>
              <w:autoSpaceDN w:val="0"/>
              <w:adjustRightInd w:val="0"/>
              <w:spacing w:line="260" w:lineRule="exact"/>
              <w:ind w:firstLine="480"/>
              <w:rPr>
                <w:rFonts w:ascii="Arial" w:hAnsi="Arial" w:eastAsia="宋体" w:cs="Arial"/>
                <w:color w:val="000000"/>
                <w:sz w:val="24"/>
                <w:szCs w:val="24"/>
              </w:rPr>
            </w:pPr>
          </w:p>
        </w:tc>
        <w:tc>
          <w:tcPr>
            <w:tcW w:w="312" w:type="pct"/>
            <w:vMerge w:val="restart"/>
            <w:noWrap/>
            <w:vAlign w:val="center"/>
          </w:tcPr>
          <w:p w14:paraId="2970A437">
            <w:pPr>
              <w:spacing w:line="26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室内装饰装修损失补偿</w:t>
            </w:r>
          </w:p>
        </w:tc>
        <w:tc>
          <w:tcPr>
            <w:tcW w:w="425" w:type="pct"/>
            <w:vMerge w:val="restart"/>
            <w:noWrap/>
            <w:vAlign w:val="center"/>
          </w:tcPr>
          <w:p w14:paraId="75700AD0">
            <w:pPr>
              <w:spacing w:line="26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住宅</w:t>
            </w:r>
          </w:p>
        </w:tc>
        <w:tc>
          <w:tcPr>
            <w:tcW w:w="1597" w:type="pct"/>
            <w:gridSpan w:val="2"/>
            <w:noWrap/>
            <w:vAlign w:val="center"/>
          </w:tcPr>
          <w:p w14:paraId="28BD5A95">
            <w:pPr>
              <w:spacing w:line="260" w:lineRule="exact"/>
              <w:ind w:firstLine="0" w:firstLineChars="0"/>
              <w:rPr>
                <w:rFonts w:eastAsia="方正仿宋_GBK" w:cs="Times New Roman"/>
                <w:color w:val="000000"/>
                <w:sz w:val="24"/>
                <w:szCs w:val="24"/>
              </w:rPr>
            </w:pPr>
            <w:r>
              <w:rPr>
                <w:rFonts w:eastAsia="方正仿宋_GBK" w:cs="Times New Roman"/>
                <w:color w:val="000000"/>
                <w:sz w:val="24"/>
                <w:szCs w:val="24"/>
              </w:rPr>
              <w:t>1999年12月31日前（含12月31日）修建的被征收房屋按350元/平方米补偿</w:t>
            </w:r>
          </w:p>
        </w:tc>
        <w:tc>
          <w:tcPr>
            <w:tcW w:w="2026" w:type="pct"/>
            <w:vMerge w:val="restart"/>
            <w:noWrap/>
            <w:vAlign w:val="center"/>
          </w:tcPr>
          <w:p w14:paraId="4FBAC551">
            <w:pPr>
              <w:spacing w:line="260" w:lineRule="exact"/>
              <w:ind w:firstLine="480"/>
              <w:rPr>
                <w:rFonts w:eastAsia="方正仿宋_GBK" w:cs="Times New Roman"/>
                <w:color w:val="000000"/>
                <w:sz w:val="24"/>
                <w:szCs w:val="24"/>
              </w:rPr>
            </w:pPr>
            <w:r>
              <w:rPr>
                <w:rFonts w:eastAsia="方正仿宋_GBK" w:cs="Times New Roman"/>
                <w:color w:val="000000"/>
                <w:sz w:val="24"/>
                <w:szCs w:val="24"/>
              </w:rPr>
              <w:t>1.房屋修建时间以被征收房屋不动产登记簿记载的修建时间为准。</w:t>
            </w:r>
          </w:p>
          <w:p w14:paraId="7DC2FCA8">
            <w:pPr>
              <w:spacing w:line="260" w:lineRule="exact"/>
              <w:ind w:firstLine="480"/>
              <w:rPr>
                <w:rFonts w:eastAsia="方正仿宋_GBK" w:cs="Times New Roman"/>
                <w:color w:val="000000"/>
                <w:sz w:val="24"/>
                <w:szCs w:val="24"/>
              </w:rPr>
            </w:pPr>
            <w:r>
              <w:rPr>
                <w:rFonts w:eastAsia="方正仿宋_GBK" w:cs="Times New Roman"/>
                <w:color w:val="000000"/>
                <w:sz w:val="24"/>
                <w:szCs w:val="24"/>
              </w:rPr>
              <w:t>2.被征收人对补偿金额有异议的，可提出书面申请由房屋征收项目评估机构对其室内装饰装修进行评估。经评估后，被征收房屋装饰装修损失须按评估价值补偿。</w:t>
            </w:r>
          </w:p>
        </w:tc>
      </w:tr>
      <w:tr w14:paraId="0E67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blHeader/>
          <w:jc w:val="center"/>
        </w:trPr>
        <w:tc>
          <w:tcPr>
            <w:tcW w:w="255" w:type="pct"/>
            <w:vMerge w:val="continue"/>
            <w:noWrap/>
            <w:vAlign w:val="center"/>
          </w:tcPr>
          <w:p w14:paraId="5AA0BAC7">
            <w:pPr>
              <w:spacing w:line="260" w:lineRule="exact"/>
              <w:ind w:firstLine="0" w:firstLineChars="0"/>
              <w:jc w:val="center"/>
              <w:rPr>
                <w:rFonts w:eastAsia="方正仿宋_GBK" w:cs="Times New Roman"/>
                <w:color w:val="000000"/>
                <w:sz w:val="24"/>
                <w:szCs w:val="24"/>
              </w:rPr>
            </w:pPr>
          </w:p>
        </w:tc>
        <w:tc>
          <w:tcPr>
            <w:tcW w:w="383" w:type="pct"/>
            <w:vMerge w:val="continue"/>
            <w:noWrap/>
            <w:vAlign w:val="center"/>
          </w:tcPr>
          <w:p w14:paraId="3020F700">
            <w:pPr>
              <w:spacing w:line="260" w:lineRule="exact"/>
              <w:ind w:firstLine="0" w:firstLineChars="0"/>
              <w:jc w:val="center"/>
              <w:rPr>
                <w:rFonts w:eastAsia="方正仿宋_GBK" w:cs="Times New Roman"/>
                <w:color w:val="000000"/>
                <w:sz w:val="24"/>
                <w:szCs w:val="24"/>
              </w:rPr>
            </w:pPr>
          </w:p>
        </w:tc>
        <w:tc>
          <w:tcPr>
            <w:tcW w:w="312" w:type="pct"/>
            <w:vMerge w:val="continue"/>
            <w:noWrap/>
            <w:vAlign w:val="center"/>
          </w:tcPr>
          <w:p w14:paraId="4708CC61">
            <w:pPr>
              <w:spacing w:line="260" w:lineRule="exact"/>
              <w:ind w:firstLine="0" w:firstLineChars="0"/>
              <w:jc w:val="center"/>
              <w:rPr>
                <w:rFonts w:eastAsia="方正仿宋_GBK" w:cs="Times New Roman"/>
                <w:color w:val="000000"/>
                <w:sz w:val="24"/>
                <w:szCs w:val="24"/>
              </w:rPr>
            </w:pPr>
          </w:p>
        </w:tc>
        <w:tc>
          <w:tcPr>
            <w:tcW w:w="425" w:type="pct"/>
            <w:vMerge w:val="continue"/>
            <w:noWrap/>
            <w:vAlign w:val="center"/>
          </w:tcPr>
          <w:p w14:paraId="5B580E1F">
            <w:pPr>
              <w:spacing w:line="260" w:lineRule="exact"/>
              <w:ind w:firstLine="0" w:firstLineChars="0"/>
              <w:jc w:val="center"/>
              <w:rPr>
                <w:rFonts w:eastAsia="方正仿宋_GBK" w:cs="Times New Roman"/>
                <w:color w:val="000000"/>
                <w:sz w:val="24"/>
                <w:szCs w:val="24"/>
              </w:rPr>
            </w:pPr>
          </w:p>
        </w:tc>
        <w:tc>
          <w:tcPr>
            <w:tcW w:w="1597" w:type="pct"/>
            <w:gridSpan w:val="2"/>
            <w:noWrap/>
            <w:vAlign w:val="center"/>
          </w:tcPr>
          <w:p w14:paraId="7FF91D15">
            <w:pPr>
              <w:spacing w:line="260" w:lineRule="exact"/>
              <w:ind w:firstLine="0" w:firstLineChars="0"/>
              <w:rPr>
                <w:rFonts w:eastAsia="方正仿宋_GBK" w:cs="Times New Roman"/>
                <w:color w:val="000000"/>
                <w:sz w:val="24"/>
                <w:szCs w:val="24"/>
              </w:rPr>
            </w:pPr>
            <w:r>
              <w:rPr>
                <w:rFonts w:eastAsia="方正仿宋_GBK" w:cs="Times New Roman"/>
                <w:color w:val="000000"/>
                <w:sz w:val="24"/>
                <w:szCs w:val="24"/>
              </w:rPr>
              <w:t>2000年1月1日后（含1月1日）修建的被征收房屋按500元/平方米补偿</w:t>
            </w:r>
          </w:p>
        </w:tc>
        <w:tc>
          <w:tcPr>
            <w:tcW w:w="2026" w:type="pct"/>
            <w:vMerge w:val="continue"/>
            <w:noWrap/>
            <w:vAlign w:val="center"/>
          </w:tcPr>
          <w:p w14:paraId="4AA99FE6">
            <w:pPr>
              <w:spacing w:line="260" w:lineRule="exact"/>
              <w:ind w:firstLine="0" w:firstLineChars="0"/>
              <w:rPr>
                <w:rFonts w:eastAsia="方正仿宋_GBK" w:cs="Times New Roman"/>
                <w:color w:val="000000"/>
                <w:sz w:val="24"/>
                <w:szCs w:val="24"/>
              </w:rPr>
            </w:pPr>
          </w:p>
        </w:tc>
      </w:tr>
      <w:tr w14:paraId="5E3B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blHeader/>
          <w:jc w:val="center"/>
        </w:trPr>
        <w:tc>
          <w:tcPr>
            <w:tcW w:w="255" w:type="pct"/>
            <w:vMerge w:val="continue"/>
            <w:noWrap/>
            <w:vAlign w:val="center"/>
          </w:tcPr>
          <w:p w14:paraId="6854FEFC">
            <w:pPr>
              <w:spacing w:line="260" w:lineRule="exact"/>
              <w:ind w:firstLine="0" w:firstLineChars="0"/>
              <w:jc w:val="center"/>
              <w:rPr>
                <w:rFonts w:eastAsia="方正仿宋_GBK" w:cs="Times New Roman"/>
                <w:color w:val="000000"/>
                <w:sz w:val="24"/>
                <w:szCs w:val="24"/>
              </w:rPr>
            </w:pPr>
          </w:p>
        </w:tc>
        <w:tc>
          <w:tcPr>
            <w:tcW w:w="383" w:type="pct"/>
            <w:vMerge w:val="continue"/>
            <w:noWrap/>
            <w:vAlign w:val="center"/>
          </w:tcPr>
          <w:p w14:paraId="42576F0B">
            <w:pPr>
              <w:spacing w:line="260" w:lineRule="exact"/>
              <w:ind w:firstLine="0" w:firstLineChars="0"/>
              <w:jc w:val="center"/>
              <w:rPr>
                <w:rFonts w:eastAsia="方正仿宋_GBK" w:cs="Times New Roman"/>
                <w:color w:val="000000"/>
                <w:sz w:val="24"/>
                <w:szCs w:val="24"/>
              </w:rPr>
            </w:pPr>
          </w:p>
        </w:tc>
        <w:tc>
          <w:tcPr>
            <w:tcW w:w="312" w:type="pct"/>
            <w:vMerge w:val="continue"/>
            <w:noWrap/>
            <w:vAlign w:val="center"/>
          </w:tcPr>
          <w:p w14:paraId="6629D820">
            <w:pPr>
              <w:spacing w:line="260" w:lineRule="exact"/>
              <w:ind w:firstLine="0" w:firstLineChars="0"/>
              <w:jc w:val="center"/>
              <w:rPr>
                <w:rFonts w:eastAsia="方正仿宋_GBK" w:cs="Times New Roman"/>
                <w:color w:val="000000"/>
                <w:sz w:val="24"/>
                <w:szCs w:val="24"/>
              </w:rPr>
            </w:pPr>
          </w:p>
        </w:tc>
        <w:tc>
          <w:tcPr>
            <w:tcW w:w="425" w:type="pct"/>
            <w:noWrap/>
            <w:vAlign w:val="center"/>
          </w:tcPr>
          <w:p w14:paraId="4BFF7818">
            <w:pPr>
              <w:spacing w:line="26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非住宅</w:t>
            </w:r>
          </w:p>
        </w:tc>
        <w:tc>
          <w:tcPr>
            <w:tcW w:w="1597" w:type="pct"/>
            <w:gridSpan w:val="2"/>
            <w:noWrap/>
            <w:vAlign w:val="center"/>
          </w:tcPr>
          <w:p w14:paraId="017ED39D">
            <w:pPr>
              <w:spacing w:line="260" w:lineRule="exact"/>
              <w:ind w:firstLine="0" w:firstLineChars="0"/>
              <w:rPr>
                <w:rFonts w:eastAsia="方正仿宋_GBK" w:cs="Times New Roman"/>
                <w:color w:val="000000"/>
                <w:sz w:val="24"/>
                <w:szCs w:val="24"/>
              </w:rPr>
            </w:pPr>
            <w:r>
              <w:rPr>
                <w:rFonts w:eastAsia="方正仿宋_GBK" w:cs="Times New Roman"/>
                <w:color w:val="000000"/>
                <w:sz w:val="24"/>
                <w:szCs w:val="24"/>
              </w:rPr>
              <w:t>商业、办公、业务用房参照住宅房屋标准执行，其他类型非住宅原则不予补偿</w:t>
            </w:r>
          </w:p>
        </w:tc>
        <w:tc>
          <w:tcPr>
            <w:tcW w:w="2026" w:type="pct"/>
            <w:vMerge w:val="continue"/>
            <w:noWrap/>
            <w:vAlign w:val="center"/>
          </w:tcPr>
          <w:p w14:paraId="19EE2F7E">
            <w:pPr>
              <w:spacing w:line="260" w:lineRule="exact"/>
              <w:ind w:firstLine="0" w:firstLineChars="0"/>
              <w:rPr>
                <w:rFonts w:eastAsia="方正仿宋_GBK" w:cs="Times New Roman"/>
                <w:color w:val="000000"/>
                <w:sz w:val="24"/>
                <w:szCs w:val="24"/>
              </w:rPr>
            </w:pPr>
          </w:p>
        </w:tc>
      </w:tr>
      <w:tr w14:paraId="7585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255" w:type="pct"/>
            <w:vMerge w:val="restart"/>
            <w:noWrap/>
            <w:vAlign w:val="center"/>
          </w:tcPr>
          <w:p w14:paraId="003FD383">
            <w:pPr>
              <w:spacing w:line="26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4</w:t>
            </w:r>
          </w:p>
        </w:tc>
        <w:tc>
          <w:tcPr>
            <w:tcW w:w="383" w:type="pct"/>
            <w:vMerge w:val="continue"/>
            <w:noWrap/>
            <w:vAlign w:val="center"/>
          </w:tcPr>
          <w:p w14:paraId="1890C95A">
            <w:pPr>
              <w:spacing w:line="260" w:lineRule="exact"/>
              <w:ind w:firstLine="0" w:firstLineChars="0"/>
              <w:jc w:val="center"/>
              <w:rPr>
                <w:rFonts w:eastAsia="方正仿宋_GBK" w:cs="Times New Roman"/>
                <w:color w:val="000000"/>
                <w:sz w:val="24"/>
                <w:szCs w:val="24"/>
              </w:rPr>
            </w:pPr>
          </w:p>
        </w:tc>
        <w:tc>
          <w:tcPr>
            <w:tcW w:w="312" w:type="pct"/>
            <w:vMerge w:val="restart"/>
            <w:noWrap/>
            <w:vAlign w:val="center"/>
          </w:tcPr>
          <w:p w14:paraId="316EA09F">
            <w:pPr>
              <w:spacing w:line="26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附属设施补偿</w:t>
            </w:r>
          </w:p>
        </w:tc>
        <w:tc>
          <w:tcPr>
            <w:tcW w:w="425" w:type="pct"/>
            <w:vMerge w:val="restart"/>
            <w:noWrap/>
            <w:vAlign w:val="center"/>
          </w:tcPr>
          <w:p w14:paraId="0E6987AC">
            <w:pPr>
              <w:spacing w:line="26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民用</w:t>
            </w:r>
          </w:p>
        </w:tc>
        <w:tc>
          <w:tcPr>
            <w:tcW w:w="882" w:type="pct"/>
            <w:noWrap/>
            <w:vAlign w:val="center"/>
          </w:tcPr>
          <w:p w14:paraId="72DE5519">
            <w:pPr>
              <w:spacing w:line="26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水表</w:t>
            </w:r>
          </w:p>
        </w:tc>
        <w:tc>
          <w:tcPr>
            <w:tcW w:w="714" w:type="pct"/>
            <w:noWrap/>
            <w:vAlign w:val="center"/>
          </w:tcPr>
          <w:p w14:paraId="61F751F8">
            <w:pPr>
              <w:spacing w:line="26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600元/户</w:t>
            </w:r>
          </w:p>
        </w:tc>
        <w:tc>
          <w:tcPr>
            <w:tcW w:w="2026" w:type="pct"/>
            <w:vMerge w:val="restart"/>
            <w:noWrap/>
            <w:vAlign w:val="center"/>
          </w:tcPr>
          <w:p w14:paraId="310F20D3">
            <w:pPr>
              <w:spacing w:line="260" w:lineRule="exact"/>
              <w:ind w:firstLine="480"/>
              <w:rPr>
                <w:rFonts w:eastAsia="方正仿宋_GBK" w:cs="Times New Roman"/>
                <w:color w:val="000000"/>
                <w:sz w:val="24"/>
                <w:szCs w:val="24"/>
              </w:rPr>
            </w:pPr>
            <w:r>
              <w:rPr>
                <w:rFonts w:eastAsia="方正仿宋_GBK" w:cs="Times New Roman"/>
                <w:color w:val="000000"/>
                <w:sz w:val="24"/>
                <w:szCs w:val="24"/>
              </w:rPr>
              <w:t>1.如有行业收费标准的，从其标准规定，否则执行本标准规定。</w:t>
            </w:r>
          </w:p>
          <w:p w14:paraId="07C354CA">
            <w:pPr>
              <w:spacing w:line="260" w:lineRule="exact"/>
              <w:ind w:firstLine="480"/>
              <w:rPr>
                <w:rFonts w:eastAsia="方正仿宋_GBK" w:cs="Times New Roman"/>
                <w:color w:val="000000"/>
                <w:sz w:val="24"/>
                <w:szCs w:val="24"/>
              </w:rPr>
            </w:pPr>
            <w:r>
              <w:rPr>
                <w:rFonts w:eastAsia="方正仿宋_GBK" w:cs="Times New Roman"/>
                <w:color w:val="000000"/>
                <w:sz w:val="24"/>
                <w:szCs w:val="24"/>
              </w:rPr>
              <w:t>2.选择货币补偿方式的，按本标准规定给予补偿；选择产权调换方式的，不予补偿。</w:t>
            </w:r>
          </w:p>
          <w:p w14:paraId="488D0285">
            <w:pPr>
              <w:spacing w:line="260" w:lineRule="exact"/>
              <w:ind w:firstLine="480"/>
              <w:rPr>
                <w:rFonts w:eastAsia="方正仿宋_GBK" w:cs="Times New Roman"/>
                <w:color w:val="000000"/>
                <w:sz w:val="24"/>
                <w:szCs w:val="24"/>
              </w:rPr>
            </w:pPr>
            <w:r>
              <w:rPr>
                <w:rFonts w:eastAsia="方正仿宋_GBK" w:cs="Times New Roman"/>
                <w:color w:val="000000"/>
                <w:sz w:val="24"/>
                <w:szCs w:val="24"/>
              </w:rPr>
              <w:t>3.本条此处所指“户”以缴费户为单位。</w:t>
            </w:r>
          </w:p>
        </w:tc>
      </w:tr>
      <w:tr w14:paraId="2A08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255" w:type="pct"/>
            <w:vMerge w:val="continue"/>
            <w:noWrap/>
            <w:vAlign w:val="center"/>
          </w:tcPr>
          <w:p w14:paraId="6EC384F6">
            <w:pPr>
              <w:spacing w:line="280" w:lineRule="exact"/>
              <w:ind w:firstLine="0" w:firstLineChars="0"/>
              <w:jc w:val="center"/>
              <w:rPr>
                <w:rFonts w:eastAsia="方正仿宋_GBK" w:cs="Times New Roman"/>
                <w:color w:val="000000"/>
                <w:sz w:val="24"/>
                <w:szCs w:val="24"/>
              </w:rPr>
            </w:pPr>
          </w:p>
        </w:tc>
        <w:tc>
          <w:tcPr>
            <w:tcW w:w="383" w:type="pct"/>
            <w:vMerge w:val="continue"/>
            <w:noWrap/>
            <w:vAlign w:val="center"/>
          </w:tcPr>
          <w:p w14:paraId="14DB61B2">
            <w:pPr>
              <w:spacing w:line="280" w:lineRule="exact"/>
              <w:ind w:firstLine="0" w:firstLineChars="0"/>
              <w:jc w:val="center"/>
              <w:rPr>
                <w:rFonts w:eastAsia="方正仿宋_GBK" w:cs="Times New Roman"/>
                <w:color w:val="000000"/>
                <w:sz w:val="24"/>
                <w:szCs w:val="24"/>
              </w:rPr>
            </w:pPr>
          </w:p>
        </w:tc>
        <w:tc>
          <w:tcPr>
            <w:tcW w:w="312" w:type="pct"/>
            <w:vMerge w:val="continue"/>
            <w:noWrap/>
            <w:vAlign w:val="center"/>
          </w:tcPr>
          <w:p w14:paraId="6795B181">
            <w:pPr>
              <w:spacing w:line="280" w:lineRule="exact"/>
              <w:ind w:firstLine="0" w:firstLineChars="0"/>
              <w:jc w:val="center"/>
              <w:rPr>
                <w:rFonts w:eastAsia="方正仿宋_GBK" w:cs="Times New Roman"/>
                <w:color w:val="000000"/>
                <w:sz w:val="24"/>
                <w:szCs w:val="24"/>
              </w:rPr>
            </w:pPr>
          </w:p>
        </w:tc>
        <w:tc>
          <w:tcPr>
            <w:tcW w:w="425" w:type="pct"/>
            <w:vMerge w:val="continue"/>
            <w:noWrap/>
            <w:vAlign w:val="center"/>
          </w:tcPr>
          <w:p w14:paraId="048C7C37">
            <w:pPr>
              <w:spacing w:line="280" w:lineRule="exact"/>
              <w:ind w:firstLine="0" w:firstLineChars="0"/>
              <w:jc w:val="center"/>
              <w:rPr>
                <w:rFonts w:eastAsia="方正仿宋_GBK" w:cs="Times New Roman"/>
                <w:color w:val="000000"/>
                <w:sz w:val="24"/>
                <w:szCs w:val="24"/>
              </w:rPr>
            </w:pPr>
          </w:p>
        </w:tc>
        <w:tc>
          <w:tcPr>
            <w:tcW w:w="882" w:type="pct"/>
            <w:noWrap/>
            <w:vAlign w:val="center"/>
          </w:tcPr>
          <w:p w14:paraId="4CB09576">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电表</w:t>
            </w:r>
          </w:p>
        </w:tc>
        <w:tc>
          <w:tcPr>
            <w:tcW w:w="714" w:type="pct"/>
            <w:noWrap/>
            <w:vAlign w:val="center"/>
          </w:tcPr>
          <w:p w14:paraId="5D6582A3">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600元/户</w:t>
            </w:r>
          </w:p>
        </w:tc>
        <w:tc>
          <w:tcPr>
            <w:tcW w:w="2026" w:type="pct"/>
            <w:vMerge w:val="continue"/>
            <w:noWrap/>
            <w:vAlign w:val="center"/>
          </w:tcPr>
          <w:p w14:paraId="673F7DF5">
            <w:pPr>
              <w:spacing w:line="280" w:lineRule="exact"/>
              <w:ind w:firstLine="480"/>
              <w:rPr>
                <w:rFonts w:eastAsia="方正仿宋_GBK" w:cs="Times New Roman"/>
                <w:color w:val="000000"/>
                <w:sz w:val="24"/>
                <w:szCs w:val="24"/>
              </w:rPr>
            </w:pPr>
          </w:p>
        </w:tc>
      </w:tr>
      <w:tr w14:paraId="2ED1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255" w:type="pct"/>
            <w:vMerge w:val="continue"/>
            <w:noWrap/>
            <w:vAlign w:val="center"/>
          </w:tcPr>
          <w:p w14:paraId="09BE5500">
            <w:pPr>
              <w:spacing w:line="280" w:lineRule="exact"/>
              <w:ind w:firstLine="0" w:firstLineChars="0"/>
              <w:jc w:val="center"/>
              <w:rPr>
                <w:rFonts w:eastAsia="方正仿宋_GBK" w:cs="Times New Roman"/>
                <w:color w:val="000000"/>
                <w:sz w:val="24"/>
                <w:szCs w:val="24"/>
              </w:rPr>
            </w:pPr>
          </w:p>
        </w:tc>
        <w:tc>
          <w:tcPr>
            <w:tcW w:w="383" w:type="pct"/>
            <w:vMerge w:val="continue"/>
            <w:noWrap/>
            <w:vAlign w:val="center"/>
          </w:tcPr>
          <w:p w14:paraId="15FF6A4C">
            <w:pPr>
              <w:spacing w:line="280" w:lineRule="exact"/>
              <w:ind w:firstLine="0" w:firstLineChars="0"/>
              <w:jc w:val="center"/>
              <w:rPr>
                <w:rFonts w:eastAsia="方正仿宋_GBK" w:cs="Times New Roman"/>
                <w:color w:val="000000"/>
                <w:sz w:val="24"/>
                <w:szCs w:val="24"/>
              </w:rPr>
            </w:pPr>
          </w:p>
        </w:tc>
        <w:tc>
          <w:tcPr>
            <w:tcW w:w="312" w:type="pct"/>
            <w:vMerge w:val="continue"/>
            <w:noWrap/>
            <w:vAlign w:val="center"/>
          </w:tcPr>
          <w:p w14:paraId="4BC08E26">
            <w:pPr>
              <w:spacing w:line="280" w:lineRule="exact"/>
              <w:ind w:firstLine="0" w:firstLineChars="0"/>
              <w:jc w:val="center"/>
              <w:rPr>
                <w:rFonts w:eastAsia="方正仿宋_GBK" w:cs="Times New Roman"/>
                <w:color w:val="000000"/>
                <w:sz w:val="24"/>
                <w:szCs w:val="24"/>
              </w:rPr>
            </w:pPr>
          </w:p>
        </w:tc>
        <w:tc>
          <w:tcPr>
            <w:tcW w:w="425" w:type="pct"/>
            <w:vMerge w:val="continue"/>
            <w:noWrap/>
            <w:vAlign w:val="center"/>
          </w:tcPr>
          <w:p w14:paraId="4A39AEB0">
            <w:pPr>
              <w:spacing w:line="280" w:lineRule="exact"/>
              <w:ind w:firstLine="0" w:firstLineChars="0"/>
              <w:jc w:val="center"/>
              <w:rPr>
                <w:rFonts w:eastAsia="方正仿宋_GBK" w:cs="Times New Roman"/>
                <w:color w:val="000000"/>
                <w:sz w:val="24"/>
                <w:szCs w:val="24"/>
              </w:rPr>
            </w:pPr>
          </w:p>
        </w:tc>
        <w:tc>
          <w:tcPr>
            <w:tcW w:w="882" w:type="pct"/>
            <w:noWrap/>
            <w:vAlign w:val="center"/>
          </w:tcPr>
          <w:p w14:paraId="0B6D9EF6">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天然气</w:t>
            </w:r>
          </w:p>
        </w:tc>
        <w:tc>
          <w:tcPr>
            <w:tcW w:w="714" w:type="pct"/>
            <w:noWrap/>
            <w:vAlign w:val="center"/>
          </w:tcPr>
          <w:p w14:paraId="72ED0049">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3500元/户</w:t>
            </w:r>
          </w:p>
        </w:tc>
        <w:tc>
          <w:tcPr>
            <w:tcW w:w="2026" w:type="pct"/>
            <w:vMerge w:val="continue"/>
            <w:noWrap/>
            <w:vAlign w:val="center"/>
          </w:tcPr>
          <w:p w14:paraId="4EFC3A0D">
            <w:pPr>
              <w:spacing w:line="280" w:lineRule="exact"/>
              <w:ind w:firstLine="0" w:firstLineChars="0"/>
              <w:rPr>
                <w:rFonts w:eastAsia="方正仿宋_GBK" w:cs="Times New Roman"/>
                <w:color w:val="000000"/>
                <w:sz w:val="24"/>
                <w:szCs w:val="24"/>
              </w:rPr>
            </w:pPr>
          </w:p>
        </w:tc>
      </w:tr>
      <w:tr w14:paraId="76F5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255" w:type="pct"/>
            <w:vMerge w:val="continue"/>
            <w:noWrap/>
            <w:vAlign w:val="center"/>
          </w:tcPr>
          <w:p w14:paraId="06179151">
            <w:pPr>
              <w:spacing w:line="280" w:lineRule="exact"/>
              <w:ind w:firstLine="0" w:firstLineChars="0"/>
              <w:jc w:val="center"/>
              <w:rPr>
                <w:rFonts w:eastAsia="方正仿宋_GBK" w:cs="Times New Roman"/>
                <w:color w:val="000000"/>
                <w:sz w:val="24"/>
                <w:szCs w:val="24"/>
              </w:rPr>
            </w:pPr>
          </w:p>
        </w:tc>
        <w:tc>
          <w:tcPr>
            <w:tcW w:w="383" w:type="pct"/>
            <w:vMerge w:val="continue"/>
            <w:noWrap/>
            <w:vAlign w:val="center"/>
          </w:tcPr>
          <w:p w14:paraId="436AE3F7">
            <w:pPr>
              <w:spacing w:line="280" w:lineRule="exact"/>
              <w:ind w:firstLine="0" w:firstLineChars="0"/>
              <w:jc w:val="center"/>
              <w:rPr>
                <w:rFonts w:eastAsia="方正仿宋_GBK" w:cs="Times New Roman"/>
                <w:color w:val="000000"/>
                <w:sz w:val="24"/>
                <w:szCs w:val="24"/>
              </w:rPr>
            </w:pPr>
          </w:p>
        </w:tc>
        <w:tc>
          <w:tcPr>
            <w:tcW w:w="312" w:type="pct"/>
            <w:vMerge w:val="continue"/>
            <w:noWrap/>
            <w:vAlign w:val="center"/>
          </w:tcPr>
          <w:p w14:paraId="151168FC">
            <w:pPr>
              <w:spacing w:line="280" w:lineRule="exact"/>
              <w:ind w:firstLine="0" w:firstLineChars="0"/>
              <w:jc w:val="center"/>
              <w:rPr>
                <w:rFonts w:eastAsia="方正仿宋_GBK" w:cs="Times New Roman"/>
                <w:color w:val="000000"/>
                <w:sz w:val="24"/>
                <w:szCs w:val="24"/>
              </w:rPr>
            </w:pPr>
          </w:p>
        </w:tc>
        <w:tc>
          <w:tcPr>
            <w:tcW w:w="425" w:type="pct"/>
            <w:vMerge w:val="continue"/>
            <w:noWrap/>
            <w:vAlign w:val="center"/>
          </w:tcPr>
          <w:p w14:paraId="2B22A873">
            <w:pPr>
              <w:spacing w:line="280" w:lineRule="exact"/>
              <w:ind w:firstLine="0" w:firstLineChars="0"/>
              <w:jc w:val="center"/>
              <w:rPr>
                <w:rFonts w:eastAsia="方正仿宋_GBK" w:cs="Times New Roman"/>
                <w:color w:val="000000"/>
                <w:sz w:val="24"/>
                <w:szCs w:val="24"/>
              </w:rPr>
            </w:pPr>
          </w:p>
        </w:tc>
        <w:tc>
          <w:tcPr>
            <w:tcW w:w="882" w:type="pct"/>
            <w:noWrap/>
            <w:vAlign w:val="center"/>
          </w:tcPr>
          <w:p w14:paraId="4F32A0D0">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闭路</w:t>
            </w:r>
          </w:p>
        </w:tc>
        <w:tc>
          <w:tcPr>
            <w:tcW w:w="714" w:type="pct"/>
            <w:noWrap/>
            <w:vAlign w:val="center"/>
          </w:tcPr>
          <w:p w14:paraId="7338D87A">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450元/户</w:t>
            </w:r>
          </w:p>
        </w:tc>
        <w:tc>
          <w:tcPr>
            <w:tcW w:w="2026" w:type="pct"/>
            <w:vMerge w:val="continue"/>
            <w:noWrap/>
            <w:vAlign w:val="center"/>
          </w:tcPr>
          <w:p w14:paraId="3B6978E8">
            <w:pPr>
              <w:spacing w:line="280" w:lineRule="exact"/>
              <w:ind w:firstLine="0" w:firstLineChars="0"/>
              <w:rPr>
                <w:rFonts w:eastAsia="方正仿宋_GBK" w:cs="Times New Roman"/>
                <w:color w:val="000000"/>
                <w:sz w:val="24"/>
                <w:szCs w:val="24"/>
              </w:rPr>
            </w:pPr>
          </w:p>
        </w:tc>
      </w:tr>
      <w:tr w14:paraId="4610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blHeader/>
          <w:jc w:val="center"/>
        </w:trPr>
        <w:tc>
          <w:tcPr>
            <w:tcW w:w="255" w:type="pct"/>
            <w:vMerge w:val="continue"/>
            <w:noWrap/>
            <w:vAlign w:val="center"/>
          </w:tcPr>
          <w:p w14:paraId="474A4557">
            <w:pPr>
              <w:spacing w:line="280" w:lineRule="exact"/>
              <w:ind w:firstLine="0" w:firstLineChars="0"/>
              <w:jc w:val="center"/>
              <w:rPr>
                <w:rFonts w:eastAsia="方正仿宋_GBK" w:cs="Times New Roman"/>
                <w:color w:val="000000"/>
                <w:sz w:val="24"/>
                <w:szCs w:val="24"/>
              </w:rPr>
            </w:pPr>
          </w:p>
        </w:tc>
        <w:tc>
          <w:tcPr>
            <w:tcW w:w="383" w:type="pct"/>
            <w:vMerge w:val="continue"/>
            <w:noWrap/>
            <w:vAlign w:val="center"/>
          </w:tcPr>
          <w:p w14:paraId="09C3C4B7">
            <w:pPr>
              <w:spacing w:line="280" w:lineRule="exact"/>
              <w:ind w:firstLine="0" w:firstLineChars="0"/>
              <w:jc w:val="center"/>
              <w:rPr>
                <w:rFonts w:eastAsia="方正仿宋_GBK" w:cs="Times New Roman"/>
                <w:color w:val="000000"/>
                <w:sz w:val="24"/>
                <w:szCs w:val="24"/>
              </w:rPr>
            </w:pPr>
          </w:p>
        </w:tc>
        <w:tc>
          <w:tcPr>
            <w:tcW w:w="312" w:type="pct"/>
            <w:vMerge w:val="continue"/>
            <w:noWrap/>
            <w:vAlign w:val="center"/>
          </w:tcPr>
          <w:p w14:paraId="5F2B85E6">
            <w:pPr>
              <w:spacing w:line="280" w:lineRule="exact"/>
              <w:ind w:firstLine="0" w:firstLineChars="0"/>
              <w:jc w:val="center"/>
              <w:rPr>
                <w:rFonts w:eastAsia="方正仿宋_GBK" w:cs="Times New Roman"/>
                <w:color w:val="000000"/>
                <w:sz w:val="24"/>
                <w:szCs w:val="24"/>
              </w:rPr>
            </w:pPr>
          </w:p>
        </w:tc>
        <w:tc>
          <w:tcPr>
            <w:tcW w:w="425" w:type="pct"/>
            <w:vMerge w:val="continue"/>
            <w:noWrap/>
            <w:vAlign w:val="center"/>
          </w:tcPr>
          <w:p w14:paraId="398F5AF1">
            <w:pPr>
              <w:spacing w:line="280" w:lineRule="exact"/>
              <w:ind w:firstLine="0" w:firstLineChars="0"/>
              <w:jc w:val="center"/>
              <w:rPr>
                <w:rFonts w:eastAsia="方正仿宋_GBK" w:cs="Times New Roman"/>
                <w:color w:val="000000"/>
                <w:sz w:val="24"/>
                <w:szCs w:val="24"/>
              </w:rPr>
            </w:pPr>
          </w:p>
        </w:tc>
        <w:tc>
          <w:tcPr>
            <w:tcW w:w="882" w:type="pct"/>
            <w:noWrap/>
            <w:vAlign w:val="center"/>
          </w:tcPr>
          <w:p w14:paraId="395DC8D7">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宽带</w:t>
            </w:r>
          </w:p>
        </w:tc>
        <w:tc>
          <w:tcPr>
            <w:tcW w:w="714" w:type="pct"/>
            <w:noWrap/>
            <w:vAlign w:val="center"/>
          </w:tcPr>
          <w:p w14:paraId="13A994F8">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300元/户</w:t>
            </w:r>
          </w:p>
        </w:tc>
        <w:tc>
          <w:tcPr>
            <w:tcW w:w="2026" w:type="pct"/>
            <w:vMerge w:val="continue"/>
            <w:noWrap/>
            <w:vAlign w:val="center"/>
          </w:tcPr>
          <w:p w14:paraId="5BB47EC1">
            <w:pPr>
              <w:spacing w:line="280" w:lineRule="exact"/>
              <w:ind w:firstLine="0" w:firstLineChars="0"/>
              <w:rPr>
                <w:rFonts w:eastAsia="方正仿宋_GBK" w:cs="Times New Roman"/>
                <w:color w:val="000000"/>
                <w:sz w:val="24"/>
                <w:szCs w:val="24"/>
              </w:rPr>
            </w:pPr>
          </w:p>
        </w:tc>
      </w:tr>
      <w:tr w14:paraId="6F5C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blHeader/>
          <w:jc w:val="center"/>
        </w:trPr>
        <w:tc>
          <w:tcPr>
            <w:tcW w:w="255" w:type="pct"/>
            <w:vMerge w:val="continue"/>
            <w:noWrap/>
            <w:vAlign w:val="center"/>
          </w:tcPr>
          <w:p w14:paraId="085459C6">
            <w:pPr>
              <w:spacing w:line="280" w:lineRule="exact"/>
              <w:ind w:firstLine="0" w:firstLineChars="0"/>
              <w:jc w:val="center"/>
              <w:rPr>
                <w:rFonts w:eastAsia="方正仿宋_GBK" w:cs="Times New Roman"/>
                <w:color w:val="000000"/>
                <w:sz w:val="24"/>
                <w:szCs w:val="24"/>
              </w:rPr>
            </w:pPr>
          </w:p>
        </w:tc>
        <w:tc>
          <w:tcPr>
            <w:tcW w:w="383" w:type="pct"/>
            <w:vMerge w:val="continue"/>
            <w:noWrap/>
            <w:vAlign w:val="center"/>
          </w:tcPr>
          <w:p w14:paraId="2DC4B606">
            <w:pPr>
              <w:spacing w:line="280" w:lineRule="exact"/>
              <w:ind w:firstLine="0" w:firstLineChars="0"/>
              <w:jc w:val="center"/>
              <w:rPr>
                <w:rFonts w:eastAsia="方正仿宋_GBK" w:cs="Times New Roman"/>
                <w:color w:val="000000"/>
                <w:sz w:val="24"/>
                <w:szCs w:val="24"/>
              </w:rPr>
            </w:pPr>
          </w:p>
        </w:tc>
        <w:tc>
          <w:tcPr>
            <w:tcW w:w="312" w:type="pct"/>
            <w:vMerge w:val="continue"/>
            <w:noWrap/>
            <w:vAlign w:val="center"/>
          </w:tcPr>
          <w:p w14:paraId="48306D82">
            <w:pPr>
              <w:spacing w:line="280" w:lineRule="exact"/>
              <w:ind w:firstLine="0" w:firstLineChars="0"/>
              <w:jc w:val="center"/>
              <w:rPr>
                <w:rFonts w:eastAsia="方正仿宋_GBK" w:cs="Times New Roman"/>
                <w:color w:val="000000"/>
                <w:sz w:val="24"/>
                <w:szCs w:val="24"/>
              </w:rPr>
            </w:pPr>
          </w:p>
        </w:tc>
        <w:tc>
          <w:tcPr>
            <w:tcW w:w="425" w:type="pct"/>
            <w:noWrap/>
            <w:vAlign w:val="center"/>
          </w:tcPr>
          <w:p w14:paraId="2403FBE1">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非民用</w:t>
            </w:r>
          </w:p>
        </w:tc>
        <w:tc>
          <w:tcPr>
            <w:tcW w:w="3623" w:type="pct"/>
            <w:gridSpan w:val="3"/>
            <w:noWrap/>
            <w:vAlign w:val="center"/>
          </w:tcPr>
          <w:p w14:paraId="4DABE05F">
            <w:pPr>
              <w:spacing w:line="280" w:lineRule="exact"/>
              <w:ind w:firstLine="0" w:firstLineChars="0"/>
              <w:rPr>
                <w:rFonts w:eastAsia="方正仿宋_GBK" w:cs="Times New Roman"/>
                <w:color w:val="000000"/>
                <w:sz w:val="24"/>
                <w:szCs w:val="24"/>
              </w:rPr>
            </w:pPr>
            <w:r>
              <w:rPr>
                <w:rFonts w:eastAsia="方正仿宋_GBK" w:cs="Times New Roman"/>
                <w:color w:val="000000"/>
                <w:sz w:val="24"/>
                <w:szCs w:val="24"/>
              </w:rPr>
              <w:t>根据被征收人提供的安装合同、发票等据实补偿。</w:t>
            </w:r>
          </w:p>
        </w:tc>
      </w:tr>
      <w:tr w14:paraId="000F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blHeader/>
          <w:jc w:val="center"/>
        </w:trPr>
        <w:tc>
          <w:tcPr>
            <w:tcW w:w="255" w:type="pct"/>
            <w:vMerge w:val="restart"/>
            <w:noWrap/>
            <w:vAlign w:val="center"/>
          </w:tcPr>
          <w:p w14:paraId="77279A2E">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5</w:t>
            </w:r>
          </w:p>
        </w:tc>
        <w:tc>
          <w:tcPr>
            <w:tcW w:w="383" w:type="pct"/>
            <w:vMerge w:val="continue"/>
            <w:noWrap/>
            <w:vAlign w:val="center"/>
          </w:tcPr>
          <w:p w14:paraId="7B9159AE">
            <w:pPr>
              <w:spacing w:line="280" w:lineRule="exact"/>
              <w:ind w:firstLine="0" w:firstLineChars="0"/>
              <w:jc w:val="center"/>
              <w:rPr>
                <w:rFonts w:eastAsia="方正仿宋_GBK" w:cs="Times New Roman"/>
                <w:color w:val="000000"/>
                <w:sz w:val="24"/>
                <w:szCs w:val="24"/>
              </w:rPr>
            </w:pPr>
          </w:p>
        </w:tc>
        <w:tc>
          <w:tcPr>
            <w:tcW w:w="312" w:type="pct"/>
            <w:vMerge w:val="restart"/>
            <w:noWrap/>
            <w:vAlign w:val="center"/>
          </w:tcPr>
          <w:p w14:paraId="0AC19E46">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非住宅设施设备搬迁补偿</w:t>
            </w:r>
          </w:p>
        </w:tc>
        <w:tc>
          <w:tcPr>
            <w:tcW w:w="425" w:type="pct"/>
            <w:noWrap/>
            <w:vAlign w:val="center"/>
          </w:tcPr>
          <w:p w14:paraId="3EEDAC8F">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搬迁后不丧失使用价值</w:t>
            </w:r>
          </w:p>
        </w:tc>
        <w:tc>
          <w:tcPr>
            <w:tcW w:w="1597" w:type="pct"/>
            <w:gridSpan w:val="2"/>
            <w:noWrap/>
            <w:vAlign w:val="center"/>
          </w:tcPr>
          <w:p w14:paraId="40E77C8E">
            <w:pPr>
              <w:spacing w:line="280" w:lineRule="exact"/>
              <w:ind w:firstLine="0" w:firstLineChars="0"/>
              <w:rPr>
                <w:rFonts w:eastAsia="方正仿宋_GBK" w:cs="Times New Roman"/>
                <w:color w:val="000000"/>
                <w:sz w:val="24"/>
                <w:szCs w:val="24"/>
              </w:rPr>
            </w:pPr>
            <w:r>
              <w:rPr>
                <w:rFonts w:eastAsia="方正仿宋_GBK" w:cs="Times New Roman"/>
                <w:color w:val="000000"/>
                <w:sz w:val="24"/>
                <w:szCs w:val="24"/>
              </w:rPr>
              <w:t>按所搬迁设施设备折旧后评估净值的20%补偿</w:t>
            </w:r>
          </w:p>
        </w:tc>
        <w:tc>
          <w:tcPr>
            <w:tcW w:w="2026" w:type="pct"/>
            <w:vMerge w:val="restart"/>
            <w:noWrap/>
            <w:vAlign w:val="center"/>
          </w:tcPr>
          <w:p w14:paraId="0B856C21">
            <w:pPr>
              <w:spacing w:line="280" w:lineRule="exact"/>
              <w:ind w:firstLine="480"/>
              <w:rPr>
                <w:rFonts w:eastAsia="方正仿宋_GBK" w:cs="Times New Roman"/>
                <w:color w:val="000000"/>
                <w:sz w:val="24"/>
                <w:szCs w:val="24"/>
              </w:rPr>
            </w:pPr>
            <w:r>
              <w:rPr>
                <w:rFonts w:eastAsia="方正仿宋_GBK" w:cs="Times New Roman"/>
                <w:color w:val="000000"/>
                <w:sz w:val="24"/>
                <w:szCs w:val="24"/>
              </w:rPr>
              <w:t>1.房屋征收项目和房屋征收范围公布后添置的设施设备不予补偿。</w:t>
            </w:r>
          </w:p>
          <w:p w14:paraId="122AF7D1">
            <w:pPr>
              <w:spacing w:line="280" w:lineRule="exact"/>
              <w:ind w:firstLine="480"/>
              <w:rPr>
                <w:rFonts w:eastAsia="方正仿宋_GBK" w:cs="Times New Roman"/>
                <w:color w:val="000000"/>
                <w:sz w:val="24"/>
                <w:szCs w:val="24"/>
              </w:rPr>
            </w:pPr>
            <w:r>
              <w:rPr>
                <w:rFonts w:eastAsia="方正仿宋_GBK" w:cs="Times New Roman"/>
                <w:color w:val="000000"/>
                <w:sz w:val="24"/>
                <w:szCs w:val="24"/>
              </w:rPr>
              <w:t>2.对设施设备进行评估的，企业等市场主体应当提供设施设备购置及品牌、编号等相关凭据。</w:t>
            </w:r>
          </w:p>
          <w:p w14:paraId="5ED5EF27">
            <w:pPr>
              <w:spacing w:line="280" w:lineRule="exact"/>
              <w:ind w:firstLine="480"/>
              <w:rPr>
                <w:rFonts w:eastAsia="方正仿宋_GBK" w:cs="Times New Roman"/>
                <w:color w:val="000000"/>
                <w:sz w:val="24"/>
                <w:szCs w:val="24"/>
              </w:rPr>
            </w:pPr>
            <w:r>
              <w:rPr>
                <w:rFonts w:eastAsia="方正仿宋_GBK" w:cs="Times New Roman"/>
                <w:color w:val="000000"/>
                <w:sz w:val="24"/>
                <w:szCs w:val="24"/>
              </w:rPr>
              <w:t>3.设施设备由企业等市场主体自行拆除、搬离。</w:t>
            </w:r>
          </w:p>
        </w:tc>
      </w:tr>
      <w:tr w14:paraId="7C2B5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blHeader/>
          <w:jc w:val="center"/>
        </w:trPr>
        <w:tc>
          <w:tcPr>
            <w:tcW w:w="255" w:type="pct"/>
            <w:vMerge w:val="continue"/>
            <w:noWrap/>
            <w:vAlign w:val="center"/>
          </w:tcPr>
          <w:p w14:paraId="70B5824D">
            <w:pPr>
              <w:spacing w:line="280" w:lineRule="exact"/>
              <w:ind w:firstLine="0" w:firstLineChars="0"/>
              <w:rPr>
                <w:rFonts w:eastAsia="宋体" w:cs="Times New Roman"/>
                <w:color w:val="000000"/>
                <w:sz w:val="24"/>
                <w:szCs w:val="24"/>
              </w:rPr>
            </w:pPr>
          </w:p>
        </w:tc>
        <w:tc>
          <w:tcPr>
            <w:tcW w:w="383" w:type="pct"/>
            <w:vMerge w:val="continue"/>
            <w:noWrap/>
            <w:vAlign w:val="center"/>
          </w:tcPr>
          <w:p w14:paraId="03C89F8C">
            <w:pPr>
              <w:spacing w:line="280" w:lineRule="exact"/>
              <w:ind w:firstLine="0" w:firstLineChars="0"/>
              <w:jc w:val="center"/>
              <w:rPr>
                <w:rFonts w:eastAsia="宋体" w:cs="Times New Roman"/>
                <w:color w:val="000000"/>
                <w:sz w:val="24"/>
                <w:szCs w:val="24"/>
              </w:rPr>
            </w:pPr>
          </w:p>
        </w:tc>
        <w:tc>
          <w:tcPr>
            <w:tcW w:w="312" w:type="pct"/>
            <w:vMerge w:val="continue"/>
            <w:noWrap/>
            <w:vAlign w:val="center"/>
          </w:tcPr>
          <w:p w14:paraId="3FAE4C7C">
            <w:pPr>
              <w:spacing w:line="280" w:lineRule="exact"/>
              <w:ind w:firstLine="0" w:firstLineChars="0"/>
              <w:rPr>
                <w:rFonts w:eastAsia="宋体" w:cs="Times New Roman"/>
                <w:color w:val="000000"/>
                <w:sz w:val="24"/>
                <w:szCs w:val="24"/>
              </w:rPr>
            </w:pPr>
          </w:p>
        </w:tc>
        <w:tc>
          <w:tcPr>
            <w:tcW w:w="425" w:type="pct"/>
            <w:noWrap/>
            <w:vAlign w:val="center"/>
          </w:tcPr>
          <w:p w14:paraId="5C3A9C04">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搬迁后丧失使用价值</w:t>
            </w:r>
          </w:p>
        </w:tc>
        <w:tc>
          <w:tcPr>
            <w:tcW w:w="1597" w:type="pct"/>
            <w:gridSpan w:val="2"/>
            <w:noWrap/>
            <w:vAlign w:val="center"/>
          </w:tcPr>
          <w:p w14:paraId="3217CCBB">
            <w:pPr>
              <w:spacing w:line="280" w:lineRule="exact"/>
              <w:ind w:firstLine="0" w:firstLineChars="0"/>
              <w:rPr>
                <w:rFonts w:eastAsia="方正仿宋_GBK" w:cs="Times New Roman"/>
                <w:color w:val="000000"/>
                <w:sz w:val="24"/>
                <w:szCs w:val="24"/>
              </w:rPr>
            </w:pPr>
            <w:r>
              <w:rPr>
                <w:rFonts w:eastAsia="方正仿宋_GBK" w:cs="Times New Roman"/>
                <w:color w:val="000000"/>
                <w:sz w:val="24"/>
                <w:szCs w:val="24"/>
              </w:rPr>
              <w:t>按所搬迁设施设备折旧后评估净值补偿</w:t>
            </w:r>
          </w:p>
        </w:tc>
        <w:tc>
          <w:tcPr>
            <w:tcW w:w="2026" w:type="pct"/>
            <w:vMerge w:val="continue"/>
            <w:noWrap/>
            <w:vAlign w:val="center"/>
          </w:tcPr>
          <w:p w14:paraId="5A16DD3D">
            <w:pPr>
              <w:spacing w:line="280" w:lineRule="exact"/>
              <w:ind w:firstLine="0" w:firstLineChars="0"/>
              <w:rPr>
                <w:rFonts w:eastAsia="方正仿宋_GBK" w:cs="Times New Roman"/>
                <w:color w:val="000000"/>
                <w:sz w:val="24"/>
                <w:szCs w:val="24"/>
              </w:rPr>
            </w:pPr>
          </w:p>
        </w:tc>
      </w:tr>
      <w:tr w14:paraId="0672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blHeader/>
          <w:jc w:val="center"/>
        </w:trPr>
        <w:tc>
          <w:tcPr>
            <w:tcW w:w="255" w:type="pct"/>
            <w:vMerge w:val="restart"/>
            <w:noWrap/>
            <w:vAlign w:val="center"/>
          </w:tcPr>
          <w:p w14:paraId="0D4D82AE">
            <w:pPr>
              <w:spacing w:line="280" w:lineRule="exact"/>
              <w:ind w:firstLine="0" w:firstLineChars="0"/>
              <w:jc w:val="center"/>
              <w:rPr>
                <w:rFonts w:eastAsia="方正黑体_GBK" w:cs="Times New Roman"/>
                <w:color w:val="000000"/>
                <w:sz w:val="24"/>
                <w:szCs w:val="24"/>
              </w:rPr>
            </w:pPr>
          </w:p>
          <w:p w14:paraId="799E4838">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6</w:t>
            </w:r>
          </w:p>
          <w:p w14:paraId="33AC087F">
            <w:pPr>
              <w:spacing w:line="280" w:lineRule="exact"/>
              <w:ind w:firstLine="0" w:firstLineChars="0"/>
              <w:jc w:val="center"/>
              <w:rPr>
                <w:rFonts w:eastAsia="方正仿宋_GBK" w:cs="Times New Roman"/>
                <w:color w:val="000000"/>
                <w:sz w:val="24"/>
                <w:szCs w:val="24"/>
              </w:rPr>
            </w:pPr>
          </w:p>
        </w:tc>
        <w:tc>
          <w:tcPr>
            <w:tcW w:w="383" w:type="pct"/>
            <w:vMerge w:val="restart"/>
            <w:noWrap/>
            <w:vAlign w:val="center"/>
          </w:tcPr>
          <w:p w14:paraId="038246FF">
            <w:pPr>
              <w:spacing w:line="280" w:lineRule="exact"/>
              <w:ind w:firstLine="0" w:firstLineChars="0"/>
              <w:jc w:val="left"/>
              <w:rPr>
                <w:rFonts w:eastAsia="宋体" w:cs="Times New Roman"/>
                <w:color w:val="000000"/>
                <w:sz w:val="24"/>
                <w:szCs w:val="24"/>
              </w:rPr>
            </w:pPr>
            <w:r>
              <w:rPr>
                <w:rFonts w:eastAsia="方正黑体_GBK" w:cs="Times New Roman"/>
                <w:color w:val="000000"/>
                <w:sz w:val="24"/>
                <w:szCs w:val="24"/>
              </w:rPr>
              <w:t>奖励补助</w:t>
            </w:r>
          </w:p>
        </w:tc>
        <w:tc>
          <w:tcPr>
            <w:tcW w:w="312" w:type="pct"/>
            <w:vMerge w:val="restart"/>
            <w:noWrap/>
            <w:vAlign w:val="center"/>
          </w:tcPr>
          <w:p w14:paraId="73719799">
            <w:pPr>
              <w:spacing w:line="280" w:lineRule="exact"/>
              <w:ind w:firstLine="0" w:firstLineChars="0"/>
              <w:jc w:val="center"/>
              <w:rPr>
                <w:rFonts w:eastAsia="方正仿宋_GBK" w:cs="Times New Roman"/>
                <w:color w:val="000000"/>
                <w:sz w:val="24"/>
                <w:szCs w:val="24"/>
              </w:rPr>
            </w:pPr>
          </w:p>
          <w:p w14:paraId="52836C9E">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货币补偿奖励</w:t>
            </w:r>
          </w:p>
          <w:p w14:paraId="102FFCCE">
            <w:pPr>
              <w:spacing w:line="280" w:lineRule="exact"/>
              <w:ind w:firstLine="0" w:firstLineChars="0"/>
              <w:jc w:val="center"/>
              <w:rPr>
                <w:rFonts w:eastAsia="方正仿宋_GBK" w:cs="Times New Roman"/>
                <w:color w:val="000000"/>
                <w:sz w:val="24"/>
                <w:szCs w:val="24"/>
              </w:rPr>
            </w:pPr>
          </w:p>
        </w:tc>
        <w:tc>
          <w:tcPr>
            <w:tcW w:w="425" w:type="pct"/>
            <w:vMerge w:val="restart"/>
            <w:noWrap/>
            <w:vAlign w:val="center"/>
          </w:tcPr>
          <w:p w14:paraId="6593FC88">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住宅</w:t>
            </w:r>
          </w:p>
        </w:tc>
        <w:tc>
          <w:tcPr>
            <w:tcW w:w="1597" w:type="pct"/>
            <w:gridSpan w:val="2"/>
            <w:noWrap/>
            <w:vAlign w:val="center"/>
          </w:tcPr>
          <w:p w14:paraId="570D0C31">
            <w:pPr>
              <w:spacing w:line="280" w:lineRule="exact"/>
              <w:ind w:firstLine="0" w:firstLineChars="0"/>
              <w:rPr>
                <w:rFonts w:eastAsia="方正仿宋_GBK" w:cs="Times New Roman"/>
                <w:color w:val="000000"/>
                <w:sz w:val="24"/>
                <w:szCs w:val="24"/>
              </w:rPr>
            </w:pPr>
            <w:r>
              <w:rPr>
                <w:rFonts w:eastAsia="方正仿宋_GBK" w:cs="Times New Roman"/>
                <w:color w:val="000000"/>
                <w:sz w:val="24"/>
                <w:szCs w:val="24"/>
              </w:rPr>
              <w:t>按被征收房屋评估价值的12%奖励</w:t>
            </w:r>
          </w:p>
        </w:tc>
        <w:tc>
          <w:tcPr>
            <w:tcW w:w="2026" w:type="pct"/>
            <w:vMerge w:val="restart"/>
            <w:noWrap/>
            <w:vAlign w:val="center"/>
          </w:tcPr>
          <w:p w14:paraId="7A5AE7F1">
            <w:pPr>
              <w:spacing w:line="280" w:lineRule="exact"/>
              <w:ind w:firstLine="480"/>
              <w:rPr>
                <w:rFonts w:eastAsia="方正仿宋_GBK" w:cs="Times New Roman"/>
                <w:color w:val="000000"/>
                <w:sz w:val="24"/>
                <w:szCs w:val="24"/>
              </w:rPr>
            </w:pPr>
            <w:r>
              <w:rPr>
                <w:rFonts w:eastAsia="方正仿宋_GBK" w:cs="Times New Roman"/>
                <w:color w:val="000000"/>
                <w:sz w:val="24"/>
                <w:szCs w:val="24"/>
              </w:rPr>
              <w:t>1.选择货币补偿方式的，给予货币补偿奖励。</w:t>
            </w:r>
          </w:p>
          <w:p w14:paraId="3A67B39E">
            <w:pPr>
              <w:spacing w:line="280" w:lineRule="exact"/>
              <w:ind w:firstLine="480"/>
              <w:rPr>
                <w:rFonts w:eastAsia="方正仿宋_GBK" w:cs="Times New Roman"/>
                <w:color w:val="000000"/>
                <w:sz w:val="24"/>
                <w:szCs w:val="24"/>
              </w:rPr>
            </w:pPr>
            <w:r>
              <w:rPr>
                <w:rFonts w:eastAsia="方正仿宋_GBK" w:cs="Times New Roman"/>
                <w:color w:val="000000"/>
                <w:sz w:val="24"/>
                <w:szCs w:val="24"/>
              </w:rPr>
              <w:t>2.同一产权房屋中既有住宅又有非住宅的，分别根据评估价值计算货币补偿奖励。</w:t>
            </w:r>
          </w:p>
          <w:p w14:paraId="2FC94DA8">
            <w:pPr>
              <w:spacing w:line="280" w:lineRule="exact"/>
              <w:ind w:firstLine="480"/>
              <w:rPr>
                <w:rFonts w:eastAsia="方正仿宋_GBK" w:cs="Times New Roman"/>
                <w:color w:val="000000"/>
                <w:sz w:val="24"/>
                <w:szCs w:val="24"/>
              </w:rPr>
            </w:pPr>
          </w:p>
        </w:tc>
      </w:tr>
      <w:tr w14:paraId="29FA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blHeader/>
          <w:jc w:val="center"/>
        </w:trPr>
        <w:tc>
          <w:tcPr>
            <w:tcW w:w="255" w:type="pct"/>
            <w:vMerge w:val="continue"/>
            <w:noWrap/>
            <w:vAlign w:val="center"/>
          </w:tcPr>
          <w:p w14:paraId="1986F638">
            <w:pPr>
              <w:spacing w:line="280" w:lineRule="exact"/>
              <w:ind w:firstLine="0" w:firstLineChars="0"/>
              <w:rPr>
                <w:rFonts w:eastAsia="宋体" w:cs="Times New Roman"/>
                <w:color w:val="000000"/>
                <w:sz w:val="24"/>
                <w:szCs w:val="24"/>
              </w:rPr>
            </w:pPr>
          </w:p>
        </w:tc>
        <w:tc>
          <w:tcPr>
            <w:tcW w:w="383" w:type="pct"/>
            <w:vMerge w:val="continue"/>
            <w:noWrap/>
            <w:vAlign w:val="center"/>
          </w:tcPr>
          <w:p w14:paraId="0124CABC">
            <w:pPr>
              <w:spacing w:line="280" w:lineRule="exact"/>
              <w:ind w:firstLine="0" w:firstLineChars="0"/>
              <w:rPr>
                <w:rFonts w:eastAsia="宋体" w:cs="Times New Roman"/>
                <w:color w:val="000000"/>
                <w:sz w:val="24"/>
                <w:szCs w:val="24"/>
              </w:rPr>
            </w:pPr>
          </w:p>
        </w:tc>
        <w:tc>
          <w:tcPr>
            <w:tcW w:w="312" w:type="pct"/>
            <w:vMerge w:val="continue"/>
            <w:noWrap/>
            <w:vAlign w:val="center"/>
          </w:tcPr>
          <w:p w14:paraId="5FA01D0C">
            <w:pPr>
              <w:spacing w:line="280" w:lineRule="exact"/>
              <w:ind w:firstLine="0" w:firstLineChars="0"/>
              <w:rPr>
                <w:rFonts w:eastAsia="宋体" w:cs="Times New Roman"/>
                <w:color w:val="000000"/>
                <w:sz w:val="24"/>
                <w:szCs w:val="24"/>
              </w:rPr>
            </w:pPr>
          </w:p>
        </w:tc>
        <w:tc>
          <w:tcPr>
            <w:tcW w:w="425" w:type="pct"/>
            <w:vMerge w:val="continue"/>
            <w:noWrap/>
            <w:vAlign w:val="center"/>
          </w:tcPr>
          <w:p w14:paraId="64D6037B">
            <w:pPr>
              <w:spacing w:line="280" w:lineRule="exact"/>
              <w:ind w:firstLine="0" w:firstLineChars="0"/>
              <w:rPr>
                <w:rFonts w:eastAsia="宋体" w:cs="Times New Roman"/>
                <w:color w:val="000000"/>
                <w:sz w:val="24"/>
                <w:szCs w:val="24"/>
              </w:rPr>
            </w:pPr>
          </w:p>
        </w:tc>
        <w:tc>
          <w:tcPr>
            <w:tcW w:w="1597" w:type="pct"/>
            <w:gridSpan w:val="2"/>
            <w:noWrap/>
            <w:vAlign w:val="center"/>
          </w:tcPr>
          <w:p w14:paraId="22A4B28C">
            <w:pPr>
              <w:spacing w:line="280" w:lineRule="exact"/>
              <w:ind w:firstLine="0" w:firstLineChars="0"/>
              <w:rPr>
                <w:rFonts w:eastAsia="方正仿宋_GBK" w:cs="Times New Roman"/>
                <w:color w:val="000000"/>
                <w:sz w:val="24"/>
                <w:szCs w:val="24"/>
              </w:rPr>
            </w:pPr>
            <w:r>
              <w:rPr>
                <w:rFonts w:eastAsia="方正仿宋_GBK" w:cs="Times New Roman"/>
                <w:color w:val="000000"/>
                <w:sz w:val="24"/>
                <w:szCs w:val="24"/>
              </w:rPr>
              <w:t>在房屋征收项目补偿方案规定的签约期内签约并按补偿协议（预签协议）约定期限搬迁的，按照被征收房屋评估单价给予被征收人5平方米的奖励</w:t>
            </w:r>
          </w:p>
        </w:tc>
        <w:tc>
          <w:tcPr>
            <w:tcW w:w="2026" w:type="pct"/>
            <w:vMerge w:val="continue"/>
            <w:noWrap/>
            <w:vAlign w:val="center"/>
          </w:tcPr>
          <w:p w14:paraId="01268344">
            <w:pPr>
              <w:spacing w:line="280" w:lineRule="exact"/>
              <w:ind w:firstLine="0" w:firstLineChars="0"/>
              <w:rPr>
                <w:rFonts w:eastAsia="方正仿宋_GBK" w:cs="Times New Roman"/>
                <w:color w:val="000000"/>
                <w:sz w:val="24"/>
                <w:szCs w:val="24"/>
              </w:rPr>
            </w:pPr>
          </w:p>
        </w:tc>
      </w:tr>
      <w:tr w14:paraId="46CE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blHeader/>
          <w:jc w:val="center"/>
        </w:trPr>
        <w:tc>
          <w:tcPr>
            <w:tcW w:w="255" w:type="pct"/>
            <w:vMerge w:val="continue"/>
            <w:noWrap/>
            <w:vAlign w:val="center"/>
          </w:tcPr>
          <w:p w14:paraId="2E7ECBA4">
            <w:pPr>
              <w:spacing w:line="280" w:lineRule="exact"/>
              <w:ind w:firstLine="0" w:firstLineChars="0"/>
              <w:jc w:val="center"/>
              <w:rPr>
                <w:rFonts w:eastAsia="方正仿宋_GBK" w:cs="Times New Roman"/>
                <w:color w:val="000000"/>
                <w:sz w:val="24"/>
                <w:szCs w:val="24"/>
              </w:rPr>
            </w:pPr>
          </w:p>
        </w:tc>
        <w:tc>
          <w:tcPr>
            <w:tcW w:w="383" w:type="pct"/>
            <w:vMerge w:val="continue"/>
            <w:noWrap/>
            <w:vAlign w:val="center"/>
          </w:tcPr>
          <w:p w14:paraId="0FB30F6A">
            <w:pPr>
              <w:spacing w:line="280" w:lineRule="exact"/>
              <w:ind w:firstLine="0" w:firstLineChars="0"/>
              <w:jc w:val="center"/>
              <w:rPr>
                <w:rFonts w:eastAsia="方正仿宋_GBK" w:cs="Times New Roman"/>
                <w:color w:val="000000"/>
                <w:sz w:val="24"/>
                <w:szCs w:val="24"/>
              </w:rPr>
            </w:pPr>
          </w:p>
        </w:tc>
        <w:tc>
          <w:tcPr>
            <w:tcW w:w="312" w:type="pct"/>
            <w:vMerge w:val="continue"/>
            <w:noWrap/>
            <w:vAlign w:val="center"/>
          </w:tcPr>
          <w:p w14:paraId="478557BE">
            <w:pPr>
              <w:spacing w:line="280" w:lineRule="exact"/>
              <w:ind w:firstLine="0" w:firstLineChars="0"/>
              <w:jc w:val="center"/>
              <w:rPr>
                <w:rFonts w:eastAsia="方正仿宋_GBK" w:cs="Times New Roman"/>
                <w:color w:val="000000"/>
                <w:sz w:val="24"/>
                <w:szCs w:val="24"/>
              </w:rPr>
            </w:pPr>
          </w:p>
        </w:tc>
        <w:tc>
          <w:tcPr>
            <w:tcW w:w="425" w:type="pct"/>
            <w:noWrap/>
            <w:vAlign w:val="center"/>
          </w:tcPr>
          <w:p w14:paraId="387C5063">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非住宅</w:t>
            </w:r>
          </w:p>
        </w:tc>
        <w:tc>
          <w:tcPr>
            <w:tcW w:w="1597" w:type="pct"/>
            <w:gridSpan w:val="2"/>
            <w:noWrap/>
            <w:vAlign w:val="center"/>
          </w:tcPr>
          <w:p w14:paraId="2196A813">
            <w:pPr>
              <w:spacing w:line="280" w:lineRule="exact"/>
              <w:ind w:firstLine="0" w:firstLineChars="0"/>
              <w:rPr>
                <w:rFonts w:eastAsia="方正仿宋_GBK" w:cs="Times New Roman"/>
                <w:color w:val="000000"/>
                <w:sz w:val="24"/>
                <w:szCs w:val="24"/>
              </w:rPr>
            </w:pPr>
            <w:r>
              <w:rPr>
                <w:rFonts w:eastAsia="方正仿宋_GBK" w:cs="Times New Roman"/>
                <w:color w:val="000000"/>
                <w:sz w:val="24"/>
                <w:szCs w:val="24"/>
              </w:rPr>
              <w:t>按被征收房屋评估价值的5%奖励</w:t>
            </w:r>
          </w:p>
        </w:tc>
        <w:tc>
          <w:tcPr>
            <w:tcW w:w="2026" w:type="pct"/>
            <w:vMerge w:val="continue"/>
            <w:noWrap/>
            <w:vAlign w:val="center"/>
          </w:tcPr>
          <w:p w14:paraId="0D540A3B">
            <w:pPr>
              <w:spacing w:line="280" w:lineRule="exact"/>
              <w:ind w:firstLine="0" w:firstLineChars="0"/>
              <w:rPr>
                <w:rFonts w:eastAsia="方正仿宋_GBK" w:cs="Times New Roman"/>
                <w:color w:val="000000"/>
                <w:sz w:val="24"/>
                <w:szCs w:val="24"/>
              </w:rPr>
            </w:pPr>
          </w:p>
        </w:tc>
      </w:tr>
      <w:tr w14:paraId="334C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blHeader/>
          <w:jc w:val="center"/>
        </w:trPr>
        <w:tc>
          <w:tcPr>
            <w:tcW w:w="255" w:type="pct"/>
            <w:vMerge w:val="restart"/>
            <w:noWrap/>
            <w:vAlign w:val="center"/>
          </w:tcPr>
          <w:p w14:paraId="5A145388">
            <w:pPr>
              <w:spacing w:line="280" w:lineRule="exact"/>
              <w:ind w:firstLine="0" w:firstLineChars="0"/>
              <w:jc w:val="center"/>
              <w:rPr>
                <w:rFonts w:eastAsia="方正仿宋_GBK" w:cs="Times New Roman"/>
                <w:color w:val="000000"/>
                <w:sz w:val="24"/>
                <w:szCs w:val="24"/>
              </w:rPr>
            </w:pPr>
            <w:r>
              <w:rPr>
                <w:rFonts w:hint="eastAsia" w:eastAsia="方正仿宋_GBK" w:cs="Times New Roman"/>
                <w:color w:val="000000"/>
                <w:sz w:val="24"/>
                <w:szCs w:val="24"/>
              </w:rPr>
              <w:t>7</w:t>
            </w:r>
          </w:p>
        </w:tc>
        <w:tc>
          <w:tcPr>
            <w:tcW w:w="383" w:type="pct"/>
            <w:vMerge w:val="continue"/>
            <w:noWrap/>
            <w:vAlign w:val="center"/>
          </w:tcPr>
          <w:p w14:paraId="0EBC447E">
            <w:pPr>
              <w:spacing w:line="280" w:lineRule="exact"/>
              <w:ind w:firstLine="0" w:firstLineChars="0"/>
              <w:jc w:val="center"/>
              <w:rPr>
                <w:rFonts w:eastAsia="方正仿宋_GBK" w:cs="Times New Roman"/>
                <w:color w:val="000000"/>
                <w:sz w:val="24"/>
                <w:szCs w:val="24"/>
              </w:rPr>
            </w:pPr>
          </w:p>
        </w:tc>
        <w:tc>
          <w:tcPr>
            <w:tcW w:w="312" w:type="pct"/>
            <w:vMerge w:val="restart"/>
            <w:noWrap/>
            <w:vAlign w:val="center"/>
          </w:tcPr>
          <w:p w14:paraId="030E1C98">
            <w:pPr>
              <w:spacing w:line="280" w:lineRule="exact"/>
              <w:ind w:firstLine="0" w:firstLineChars="0"/>
              <w:jc w:val="center"/>
              <w:rPr>
                <w:rFonts w:eastAsia="方正仿宋_GBK" w:cs="Times New Roman"/>
                <w:color w:val="000000"/>
                <w:sz w:val="24"/>
                <w:szCs w:val="24"/>
              </w:rPr>
            </w:pPr>
          </w:p>
          <w:p w14:paraId="6F033ED0">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单户提前签约奖励</w:t>
            </w:r>
          </w:p>
          <w:p w14:paraId="5F603E40">
            <w:pPr>
              <w:spacing w:line="280" w:lineRule="exact"/>
              <w:ind w:firstLine="0" w:firstLineChars="0"/>
              <w:jc w:val="center"/>
              <w:rPr>
                <w:rFonts w:eastAsia="方正仿宋_GBK" w:cs="Times New Roman"/>
                <w:color w:val="000000"/>
                <w:sz w:val="24"/>
                <w:szCs w:val="24"/>
              </w:rPr>
            </w:pPr>
          </w:p>
        </w:tc>
        <w:tc>
          <w:tcPr>
            <w:tcW w:w="425" w:type="pct"/>
            <w:noWrap/>
            <w:vAlign w:val="center"/>
          </w:tcPr>
          <w:p w14:paraId="4A82A404">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住宅</w:t>
            </w:r>
          </w:p>
        </w:tc>
        <w:tc>
          <w:tcPr>
            <w:tcW w:w="1597" w:type="pct"/>
            <w:gridSpan w:val="2"/>
            <w:noWrap/>
            <w:vAlign w:val="center"/>
          </w:tcPr>
          <w:p w14:paraId="7456127D">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500元/户·日</w:t>
            </w:r>
          </w:p>
        </w:tc>
        <w:tc>
          <w:tcPr>
            <w:tcW w:w="2026" w:type="pct"/>
            <w:vMerge w:val="restart"/>
            <w:noWrap/>
            <w:vAlign w:val="center"/>
          </w:tcPr>
          <w:p w14:paraId="14F5A027">
            <w:pPr>
              <w:spacing w:line="280" w:lineRule="exact"/>
              <w:ind w:firstLine="480"/>
              <w:rPr>
                <w:rFonts w:eastAsia="方正仿宋_GBK" w:cs="Times New Roman"/>
                <w:color w:val="000000"/>
                <w:sz w:val="24"/>
                <w:szCs w:val="24"/>
              </w:rPr>
            </w:pPr>
            <w:r>
              <w:rPr>
                <w:rFonts w:hint="eastAsia" w:eastAsia="方正仿宋_GBK" w:cs="Times New Roman"/>
                <w:color w:val="000000"/>
                <w:sz w:val="24"/>
                <w:szCs w:val="24"/>
              </w:rPr>
              <w:t>1.</w:t>
            </w:r>
            <w:r>
              <w:rPr>
                <w:rFonts w:eastAsia="方正仿宋_GBK" w:cs="Times New Roman"/>
                <w:color w:val="000000"/>
                <w:sz w:val="24"/>
                <w:szCs w:val="24"/>
              </w:rPr>
              <w:t>提前天数自签约之日起计算，截至签约期限届满之日。</w:t>
            </w:r>
          </w:p>
          <w:p w14:paraId="7F9B1B29">
            <w:pPr>
              <w:spacing w:line="280" w:lineRule="exact"/>
              <w:ind w:firstLine="480"/>
              <w:rPr>
                <w:rFonts w:eastAsia="方正仿宋_GBK" w:cs="Times New Roman"/>
                <w:color w:val="000000"/>
                <w:sz w:val="24"/>
                <w:szCs w:val="24"/>
              </w:rPr>
            </w:pPr>
            <w:r>
              <w:rPr>
                <w:rFonts w:eastAsia="方正仿宋_GBK" w:cs="Times New Roman"/>
                <w:color w:val="000000"/>
                <w:sz w:val="24"/>
                <w:szCs w:val="24"/>
              </w:rPr>
              <w:t>2.同一产权房屋中既有住宅又有非住宅的，分别计算提前签约奖励。</w:t>
            </w:r>
          </w:p>
        </w:tc>
      </w:tr>
      <w:tr w14:paraId="1F37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blHeader/>
          <w:jc w:val="center"/>
        </w:trPr>
        <w:tc>
          <w:tcPr>
            <w:tcW w:w="255" w:type="pct"/>
            <w:vMerge w:val="continue"/>
            <w:noWrap/>
            <w:vAlign w:val="center"/>
          </w:tcPr>
          <w:p w14:paraId="457B76D1">
            <w:pPr>
              <w:spacing w:line="280" w:lineRule="exact"/>
              <w:ind w:firstLine="0" w:firstLineChars="0"/>
              <w:jc w:val="center"/>
              <w:rPr>
                <w:rFonts w:eastAsia="方正仿宋_GBK" w:cs="Times New Roman"/>
                <w:color w:val="000000"/>
                <w:sz w:val="24"/>
                <w:szCs w:val="24"/>
              </w:rPr>
            </w:pPr>
          </w:p>
        </w:tc>
        <w:tc>
          <w:tcPr>
            <w:tcW w:w="383" w:type="pct"/>
            <w:vMerge w:val="continue"/>
            <w:noWrap/>
            <w:vAlign w:val="center"/>
          </w:tcPr>
          <w:p w14:paraId="5F413227">
            <w:pPr>
              <w:spacing w:line="280" w:lineRule="exact"/>
              <w:ind w:firstLine="0" w:firstLineChars="0"/>
              <w:jc w:val="center"/>
              <w:rPr>
                <w:rFonts w:eastAsia="方正仿宋_GBK" w:cs="Times New Roman"/>
                <w:color w:val="000000"/>
                <w:sz w:val="24"/>
                <w:szCs w:val="24"/>
              </w:rPr>
            </w:pPr>
          </w:p>
        </w:tc>
        <w:tc>
          <w:tcPr>
            <w:tcW w:w="312" w:type="pct"/>
            <w:vMerge w:val="continue"/>
            <w:noWrap/>
            <w:vAlign w:val="center"/>
          </w:tcPr>
          <w:p w14:paraId="10CFA07E">
            <w:pPr>
              <w:spacing w:line="280" w:lineRule="exact"/>
              <w:ind w:firstLine="0" w:firstLineChars="0"/>
              <w:jc w:val="center"/>
              <w:rPr>
                <w:rFonts w:eastAsia="方正仿宋_GBK" w:cs="Times New Roman"/>
                <w:color w:val="000000"/>
                <w:sz w:val="24"/>
                <w:szCs w:val="24"/>
              </w:rPr>
            </w:pPr>
          </w:p>
        </w:tc>
        <w:tc>
          <w:tcPr>
            <w:tcW w:w="425" w:type="pct"/>
            <w:noWrap/>
            <w:vAlign w:val="center"/>
          </w:tcPr>
          <w:p w14:paraId="2436DD17">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非住宅</w:t>
            </w:r>
          </w:p>
        </w:tc>
        <w:tc>
          <w:tcPr>
            <w:tcW w:w="1597" w:type="pct"/>
            <w:gridSpan w:val="2"/>
            <w:noWrap/>
            <w:vAlign w:val="center"/>
          </w:tcPr>
          <w:p w14:paraId="59C7EB6C">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20元/平方米·日</w:t>
            </w:r>
          </w:p>
        </w:tc>
        <w:tc>
          <w:tcPr>
            <w:tcW w:w="2026" w:type="pct"/>
            <w:vMerge w:val="continue"/>
            <w:noWrap/>
            <w:vAlign w:val="center"/>
          </w:tcPr>
          <w:p w14:paraId="42775E4F">
            <w:pPr>
              <w:spacing w:line="280" w:lineRule="exact"/>
              <w:ind w:firstLine="0" w:firstLineChars="0"/>
              <w:rPr>
                <w:rFonts w:eastAsia="方正仿宋_GBK" w:cs="Times New Roman"/>
                <w:color w:val="000000"/>
                <w:sz w:val="24"/>
                <w:szCs w:val="24"/>
              </w:rPr>
            </w:pPr>
          </w:p>
        </w:tc>
      </w:tr>
      <w:tr w14:paraId="163C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tblHeader/>
          <w:jc w:val="center"/>
        </w:trPr>
        <w:tc>
          <w:tcPr>
            <w:tcW w:w="255" w:type="pct"/>
            <w:noWrap/>
            <w:vAlign w:val="center"/>
          </w:tcPr>
          <w:p w14:paraId="00012330">
            <w:pPr>
              <w:spacing w:line="280" w:lineRule="exact"/>
              <w:ind w:firstLine="0" w:firstLineChars="0"/>
              <w:jc w:val="center"/>
              <w:rPr>
                <w:rFonts w:eastAsia="方正仿宋_GBK" w:cs="Times New Roman"/>
                <w:color w:val="000000"/>
                <w:sz w:val="24"/>
                <w:szCs w:val="24"/>
              </w:rPr>
            </w:pPr>
            <w:r>
              <w:rPr>
                <w:rFonts w:hint="eastAsia" w:eastAsia="方正仿宋_GBK" w:cs="Times New Roman"/>
                <w:color w:val="000000"/>
                <w:sz w:val="24"/>
                <w:szCs w:val="24"/>
              </w:rPr>
              <w:t>8</w:t>
            </w:r>
          </w:p>
        </w:tc>
        <w:tc>
          <w:tcPr>
            <w:tcW w:w="383" w:type="pct"/>
            <w:vMerge w:val="continue"/>
            <w:noWrap/>
            <w:vAlign w:val="center"/>
          </w:tcPr>
          <w:p w14:paraId="14670C80">
            <w:pPr>
              <w:spacing w:line="280" w:lineRule="exact"/>
              <w:ind w:firstLine="0" w:firstLineChars="0"/>
              <w:jc w:val="center"/>
              <w:rPr>
                <w:rFonts w:eastAsia="方正仿宋_GBK" w:cs="Times New Roman"/>
                <w:color w:val="000000"/>
                <w:sz w:val="24"/>
                <w:szCs w:val="24"/>
              </w:rPr>
            </w:pPr>
          </w:p>
        </w:tc>
        <w:tc>
          <w:tcPr>
            <w:tcW w:w="312" w:type="pct"/>
            <w:noWrap/>
            <w:vAlign w:val="center"/>
          </w:tcPr>
          <w:p w14:paraId="402A29B7">
            <w:pPr>
              <w:spacing w:line="280" w:lineRule="exact"/>
              <w:ind w:firstLine="0" w:firstLineChars="0"/>
              <w:jc w:val="center"/>
              <w:rPr>
                <w:rFonts w:eastAsia="方正仿宋_GBK" w:cs="Times New Roman"/>
                <w:color w:val="000000"/>
                <w:sz w:val="24"/>
                <w:szCs w:val="24"/>
              </w:rPr>
            </w:pPr>
          </w:p>
          <w:p w14:paraId="3DF65D1E">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住宅按期搬迁奖励</w:t>
            </w:r>
          </w:p>
          <w:p w14:paraId="25238546">
            <w:pPr>
              <w:spacing w:line="280" w:lineRule="exact"/>
              <w:ind w:firstLine="0" w:firstLineChars="0"/>
              <w:jc w:val="center"/>
              <w:rPr>
                <w:rFonts w:eastAsia="方正仿宋_GBK" w:cs="Times New Roman"/>
                <w:color w:val="000000"/>
                <w:sz w:val="24"/>
                <w:szCs w:val="24"/>
              </w:rPr>
            </w:pPr>
          </w:p>
        </w:tc>
        <w:tc>
          <w:tcPr>
            <w:tcW w:w="425" w:type="pct"/>
            <w:noWrap/>
            <w:vAlign w:val="center"/>
          </w:tcPr>
          <w:p w14:paraId="65A09553">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住宅</w:t>
            </w:r>
          </w:p>
        </w:tc>
        <w:tc>
          <w:tcPr>
            <w:tcW w:w="1597" w:type="pct"/>
            <w:gridSpan w:val="2"/>
            <w:noWrap/>
            <w:vAlign w:val="center"/>
          </w:tcPr>
          <w:p w14:paraId="26696441">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30000元/户</w:t>
            </w:r>
          </w:p>
        </w:tc>
        <w:tc>
          <w:tcPr>
            <w:tcW w:w="2026" w:type="pct"/>
            <w:noWrap/>
            <w:vAlign w:val="center"/>
          </w:tcPr>
          <w:p w14:paraId="726187E3">
            <w:pPr>
              <w:spacing w:line="280" w:lineRule="exact"/>
              <w:ind w:firstLine="480"/>
              <w:rPr>
                <w:rFonts w:eastAsia="方正仿宋_GBK" w:cs="Times New Roman"/>
                <w:color w:val="000000"/>
                <w:sz w:val="24"/>
                <w:szCs w:val="24"/>
              </w:rPr>
            </w:pPr>
            <w:r>
              <w:rPr>
                <w:rFonts w:eastAsia="方正仿宋_GBK" w:cs="Times New Roman"/>
                <w:color w:val="000000"/>
                <w:sz w:val="24"/>
                <w:szCs w:val="24"/>
              </w:rPr>
              <w:t>在房屋征收项目补偿方案规定的签约期内签约并按补偿协议（预签协议）约定期限搬迁的住宅被征收人，给予按期搬迁奖励。</w:t>
            </w:r>
          </w:p>
        </w:tc>
      </w:tr>
      <w:tr w14:paraId="5164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255" w:type="pct"/>
            <w:vMerge w:val="restart"/>
            <w:noWrap/>
            <w:vAlign w:val="center"/>
          </w:tcPr>
          <w:p w14:paraId="37DDB68B">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9</w:t>
            </w:r>
          </w:p>
        </w:tc>
        <w:tc>
          <w:tcPr>
            <w:tcW w:w="383" w:type="pct"/>
            <w:vMerge w:val="restart"/>
            <w:noWrap/>
            <w:vAlign w:val="center"/>
          </w:tcPr>
          <w:p w14:paraId="695C09A0">
            <w:pPr>
              <w:spacing w:line="280" w:lineRule="exact"/>
              <w:ind w:firstLine="0" w:firstLineChars="0"/>
              <w:jc w:val="center"/>
              <w:rPr>
                <w:rFonts w:eastAsia="方正仿宋_GBK" w:cs="Times New Roman"/>
                <w:color w:val="000000"/>
                <w:sz w:val="24"/>
                <w:szCs w:val="24"/>
              </w:rPr>
            </w:pPr>
            <w:r>
              <w:rPr>
                <w:rFonts w:eastAsia="方正黑体_GBK" w:cs="Times New Roman"/>
                <w:color w:val="000000"/>
                <w:sz w:val="24"/>
                <w:szCs w:val="24"/>
              </w:rPr>
              <w:t>奖励补助</w:t>
            </w:r>
          </w:p>
        </w:tc>
        <w:tc>
          <w:tcPr>
            <w:tcW w:w="312" w:type="pct"/>
            <w:vMerge w:val="restart"/>
            <w:noWrap/>
            <w:vAlign w:val="center"/>
          </w:tcPr>
          <w:p w14:paraId="3E0F6223">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搬迁补助</w:t>
            </w:r>
          </w:p>
        </w:tc>
        <w:tc>
          <w:tcPr>
            <w:tcW w:w="425" w:type="pct"/>
            <w:noWrap/>
            <w:vAlign w:val="center"/>
          </w:tcPr>
          <w:p w14:paraId="20917A5C">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住宅</w:t>
            </w:r>
          </w:p>
        </w:tc>
        <w:tc>
          <w:tcPr>
            <w:tcW w:w="1597" w:type="pct"/>
            <w:gridSpan w:val="2"/>
            <w:noWrap/>
            <w:vAlign w:val="center"/>
          </w:tcPr>
          <w:p w14:paraId="530400D6">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2000元/户·次</w:t>
            </w:r>
          </w:p>
        </w:tc>
        <w:tc>
          <w:tcPr>
            <w:tcW w:w="2026" w:type="pct"/>
            <w:vMerge w:val="restart"/>
            <w:noWrap/>
            <w:vAlign w:val="center"/>
          </w:tcPr>
          <w:p w14:paraId="60EB7E3B">
            <w:pPr>
              <w:spacing w:line="280" w:lineRule="exact"/>
              <w:ind w:firstLine="480"/>
              <w:rPr>
                <w:rFonts w:eastAsia="方正仿宋_GBK" w:cs="Times New Roman"/>
                <w:color w:val="000000"/>
                <w:sz w:val="24"/>
                <w:szCs w:val="24"/>
              </w:rPr>
            </w:pPr>
            <w:r>
              <w:rPr>
                <w:rFonts w:eastAsia="方正仿宋_GBK" w:cs="Times New Roman"/>
                <w:color w:val="000000"/>
                <w:sz w:val="24"/>
                <w:szCs w:val="24"/>
              </w:rPr>
              <w:t>1.住宅房屋被征收人选择货币补偿方式的，给予1次搬迁补助；选择产权调换方式，且须按期搬离被征收房屋的，给予2次搬迁补助。</w:t>
            </w:r>
          </w:p>
          <w:p w14:paraId="487AFF75">
            <w:pPr>
              <w:spacing w:line="280" w:lineRule="exact"/>
              <w:ind w:firstLine="480"/>
              <w:rPr>
                <w:rFonts w:eastAsia="方正仿宋_GBK" w:cs="Times New Roman"/>
                <w:color w:val="000000"/>
                <w:sz w:val="24"/>
                <w:szCs w:val="24"/>
              </w:rPr>
            </w:pPr>
            <w:r>
              <w:rPr>
                <w:rFonts w:eastAsia="方正仿宋_GBK" w:cs="Times New Roman"/>
                <w:color w:val="000000"/>
                <w:sz w:val="24"/>
                <w:szCs w:val="24"/>
              </w:rPr>
              <w:t>2.非住宅房屋给予1次搬迁补助。</w:t>
            </w:r>
          </w:p>
          <w:p w14:paraId="5CC592F8">
            <w:pPr>
              <w:spacing w:line="280" w:lineRule="exact"/>
              <w:ind w:firstLine="480"/>
              <w:rPr>
                <w:rFonts w:eastAsia="方正仿宋_GBK" w:cs="Times New Roman"/>
                <w:color w:val="000000"/>
                <w:sz w:val="24"/>
                <w:szCs w:val="24"/>
              </w:rPr>
            </w:pPr>
            <w:r>
              <w:rPr>
                <w:rFonts w:eastAsia="方正仿宋_GBK" w:cs="Times New Roman"/>
                <w:color w:val="000000"/>
                <w:sz w:val="24"/>
                <w:szCs w:val="24"/>
              </w:rPr>
              <w:t>3.同一产权房屋中既有住宅又有非住宅的，分别计算搬迁补助。</w:t>
            </w:r>
          </w:p>
        </w:tc>
      </w:tr>
      <w:tr w14:paraId="0CAE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blHeader/>
          <w:jc w:val="center"/>
        </w:trPr>
        <w:tc>
          <w:tcPr>
            <w:tcW w:w="255" w:type="pct"/>
            <w:vMerge w:val="continue"/>
            <w:noWrap/>
            <w:vAlign w:val="center"/>
          </w:tcPr>
          <w:p w14:paraId="372F676D">
            <w:pPr>
              <w:spacing w:line="280" w:lineRule="exact"/>
              <w:ind w:firstLine="0" w:firstLineChars="0"/>
              <w:jc w:val="center"/>
              <w:rPr>
                <w:rFonts w:eastAsia="方正仿宋_GBK" w:cs="Times New Roman"/>
                <w:color w:val="000000"/>
                <w:sz w:val="24"/>
                <w:szCs w:val="24"/>
              </w:rPr>
            </w:pPr>
          </w:p>
        </w:tc>
        <w:tc>
          <w:tcPr>
            <w:tcW w:w="383" w:type="pct"/>
            <w:vMerge w:val="continue"/>
            <w:noWrap/>
            <w:vAlign w:val="center"/>
          </w:tcPr>
          <w:p w14:paraId="3A323100">
            <w:pPr>
              <w:spacing w:line="280" w:lineRule="exact"/>
              <w:ind w:firstLine="0" w:firstLineChars="0"/>
              <w:jc w:val="center"/>
              <w:rPr>
                <w:rFonts w:eastAsia="方正仿宋_GBK" w:cs="Times New Roman"/>
                <w:color w:val="000000"/>
                <w:sz w:val="24"/>
                <w:szCs w:val="24"/>
              </w:rPr>
            </w:pPr>
          </w:p>
        </w:tc>
        <w:tc>
          <w:tcPr>
            <w:tcW w:w="312" w:type="pct"/>
            <w:vMerge w:val="continue"/>
            <w:noWrap/>
            <w:vAlign w:val="center"/>
          </w:tcPr>
          <w:p w14:paraId="44493DCB">
            <w:pPr>
              <w:spacing w:line="280" w:lineRule="exact"/>
              <w:ind w:firstLine="0" w:firstLineChars="0"/>
              <w:jc w:val="center"/>
              <w:rPr>
                <w:rFonts w:eastAsia="方正仿宋_GBK" w:cs="Times New Roman"/>
                <w:color w:val="000000"/>
                <w:sz w:val="24"/>
                <w:szCs w:val="24"/>
              </w:rPr>
            </w:pPr>
          </w:p>
        </w:tc>
        <w:tc>
          <w:tcPr>
            <w:tcW w:w="425" w:type="pct"/>
            <w:noWrap/>
            <w:vAlign w:val="center"/>
          </w:tcPr>
          <w:p w14:paraId="7FE59993">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非住宅</w:t>
            </w:r>
          </w:p>
        </w:tc>
        <w:tc>
          <w:tcPr>
            <w:tcW w:w="1597" w:type="pct"/>
            <w:gridSpan w:val="2"/>
            <w:noWrap/>
            <w:vAlign w:val="center"/>
          </w:tcPr>
          <w:p w14:paraId="7F10F578">
            <w:pPr>
              <w:spacing w:line="280" w:lineRule="exact"/>
              <w:ind w:firstLine="0" w:firstLineChars="0"/>
              <w:jc w:val="left"/>
              <w:rPr>
                <w:rFonts w:eastAsia="方正仿宋_GBK" w:cs="Times New Roman"/>
                <w:color w:val="000000"/>
                <w:sz w:val="24"/>
                <w:szCs w:val="24"/>
              </w:rPr>
            </w:pPr>
            <w:r>
              <w:rPr>
                <w:rFonts w:eastAsia="方正仿宋_GBK" w:cs="Times New Roman"/>
                <w:color w:val="000000"/>
                <w:sz w:val="24"/>
                <w:szCs w:val="24"/>
              </w:rPr>
              <w:t>1.商业、办公、业务用房：每户30元/平方米·次</w:t>
            </w:r>
          </w:p>
          <w:p w14:paraId="5CC4565F">
            <w:pPr>
              <w:spacing w:line="280" w:lineRule="exact"/>
              <w:ind w:firstLine="0" w:firstLineChars="0"/>
              <w:jc w:val="left"/>
              <w:rPr>
                <w:rFonts w:eastAsia="方正仿宋_GBK" w:cs="Times New Roman"/>
                <w:color w:val="000000"/>
                <w:sz w:val="24"/>
                <w:szCs w:val="24"/>
              </w:rPr>
            </w:pPr>
            <w:r>
              <w:rPr>
                <w:rFonts w:eastAsia="方正仿宋_GBK" w:cs="Times New Roman"/>
                <w:color w:val="000000"/>
                <w:sz w:val="24"/>
                <w:szCs w:val="24"/>
              </w:rPr>
              <w:t>2.生产用房：每户40元/平方米·次</w:t>
            </w:r>
          </w:p>
        </w:tc>
        <w:tc>
          <w:tcPr>
            <w:tcW w:w="2026" w:type="pct"/>
            <w:vMerge w:val="continue"/>
            <w:noWrap/>
            <w:vAlign w:val="center"/>
          </w:tcPr>
          <w:p w14:paraId="1F9C1468">
            <w:pPr>
              <w:spacing w:line="280" w:lineRule="exact"/>
              <w:ind w:firstLine="480"/>
              <w:rPr>
                <w:rFonts w:eastAsia="方正仿宋_GBK" w:cs="Times New Roman"/>
                <w:color w:val="000000"/>
                <w:sz w:val="24"/>
                <w:szCs w:val="24"/>
              </w:rPr>
            </w:pPr>
          </w:p>
        </w:tc>
      </w:tr>
      <w:tr w14:paraId="2670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6" w:hRule="atLeast"/>
          <w:tblHeader/>
          <w:jc w:val="center"/>
        </w:trPr>
        <w:tc>
          <w:tcPr>
            <w:tcW w:w="255" w:type="pct"/>
            <w:noWrap/>
            <w:vAlign w:val="center"/>
          </w:tcPr>
          <w:p w14:paraId="4472849F">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10</w:t>
            </w:r>
          </w:p>
        </w:tc>
        <w:tc>
          <w:tcPr>
            <w:tcW w:w="383" w:type="pct"/>
            <w:vMerge w:val="continue"/>
            <w:noWrap/>
            <w:vAlign w:val="center"/>
          </w:tcPr>
          <w:p w14:paraId="0A4D36B3">
            <w:pPr>
              <w:spacing w:line="280" w:lineRule="exact"/>
              <w:ind w:firstLine="0" w:firstLineChars="0"/>
              <w:jc w:val="center"/>
              <w:rPr>
                <w:rFonts w:eastAsia="方正仿宋_GBK" w:cs="Times New Roman"/>
                <w:color w:val="000000"/>
                <w:sz w:val="24"/>
                <w:szCs w:val="24"/>
              </w:rPr>
            </w:pPr>
          </w:p>
        </w:tc>
        <w:tc>
          <w:tcPr>
            <w:tcW w:w="312" w:type="pct"/>
            <w:noWrap/>
            <w:vAlign w:val="center"/>
          </w:tcPr>
          <w:p w14:paraId="1464AE1B">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临时安置补助</w:t>
            </w:r>
          </w:p>
        </w:tc>
        <w:tc>
          <w:tcPr>
            <w:tcW w:w="425" w:type="pct"/>
            <w:noWrap/>
            <w:vAlign w:val="center"/>
          </w:tcPr>
          <w:p w14:paraId="78E9591C">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住宅</w:t>
            </w:r>
          </w:p>
        </w:tc>
        <w:tc>
          <w:tcPr>
            <w:tcW w:w="1597" w:type="pct"/>
            <w:gridSpan w:val="2"/>
            <w:noWrap/>
            <w:vAlign w:val="center"/>
          </w:tcPr>
          <w:p w14:paraId="63F7B6A8">
            <w:pPr>
              <w:spacing w:line="280" w:lineRule="exact"/>
              <w:ind w:firstLine="0" w:firstLineChars="0"/>
              <w:jc w:val="center"/>
              <w:rPr>
                <w:rFonts w:eastAsia="方正仿宋_GBK" w:cs="Times New Roman"/>
                <w:color w:val="000000"/>
                <w:sz w:val="24"/>
                <w:szCs w:val="24"/>
              </w:rPr>
            </w:pPr>
            <w:r>
              <w:rPr>
                <w:rFonts w:eastAsia="方正仿宋_GBK" w:cs="Times New Roman"/>
                <w:color w:val="000000"/>
                <w:sz w:val="24"/>
                <w:szCs w:val="24"/>
              </w:rPr>
              <w:t>每户20元/平方米·月</w:t>
            </w:r>
          </w:p>
        </w:tc>
        <w:tc>
          <w:tcPr>
            <w:tcW w:w="2026" w:type="pct"/>
            <w:noWrap/>
            <w:vAlign w:val="center"/>
          </w:tcPr>
          <w:p w14:paraId="585863DD">
            <w:pPr>
              <w:spacing w:line="280" w:lineRule="exact"/>
              <w:ind w:firstLine="480"/>
              <w:rPr>
                <w:rFonts w:eastAsia="方正仿宋_GBK" w:cs="Times New Roman"/>
                <w:color w:val="000000"/>
                <w:sz w:val="24"/>
                <w:szCs w:val="24"/>
              </w:rPr>
            </w:pPr>
            <w:r>
              <w:rPr>
                <w:rFonts w:hint="eastAsia" w:eastAsia="方正仿宋_GBK" w:cs="Times New Roman"/>
                <w:color w:val="000000"/>
                <w:sz w:val="24"/>
                <w:szCs w:val="24"/>
              </w:rPr>
              <w:t>1.</w:t>
            </w:r>
            <w:r>
              <w:rPr>
                <w:rFonts w:eastAsia="方正仿宋_GBK" w:cs="Times New Roman"/>
                <w:color w:val="000000"/>
                <w:sz w:val="24"/>
                <w:szCs w:val="24"/>
              </w:rPr>
              <w:t>住宅房屋被征收人选择产权调换方式，且房屋征收部门未提供临时周转房屋的，按照被征收房屋面积，给予临时安置补助。</w:t>
            </w:r>
          </w:p>
          <w:p w14:paraId="69407E35">
            <w:pPr>
              <w:spacing w:line="280" w:lineRule="exact"/>
              <w:ind w:firstLine="480"/>
              <w:rPr>
                <w:rFonts w:eastAsia="方正仿宋_GBK" w:cs="Times New Roman"/>
                <w:color w:val="000000"/>
                <w:sz w:val="24"/>
                <w:szCs w:val="24"/>
              </w:rPr>
            </w:pPr>
            <w:r>
              <w:rPr>
                <w:rFonts w:hint="eastAsia" w:eastAsia="方正仿宋_GBK" w:cs="Times New Roman"/>
                <w:color w:val="000000"/>
                <w:sz w:val="24"/>
                <w:szCs w:val="24"/>
              </w:rPr>
              <w:t>2.</w:t>
            </w:r>
            <w:r>
              <w:rPr>
                <w:rFonts w:eastAsia="方正仿宋_GBK" w:cs="Times New Roman"/>
                <w:color w:val="000000"/>
                <w:sz w:val="24"/>
                <w:szCs w:val="24"/>
              </w:rPr>
              <w:t>选择的产权调换房屋为现房的，给予6个月临时安置补助。选择的产权调换房屋为期房的，以交付旧房时间起，至通知接房之日止计算临时安置月数，并额外给予6个月临时安置补助。</w:t>
            </w:r>
          </w:p>
          <w:p w14:paraId="070315EB">
            <w:pPr>
              <w:spacing w:line="280" w:lineRule="exact"/>
              <w:ind w:firstLine="480"/>
              <w:rPr>
                <w:rFonts w:eastAsia="方正仿宋_GBK" w:cs="Times New Roman"/>
                <w:color w:val="000000"/>
                <w:sz w:val="24"/>
                <w:szCs w:val="24"/>
              </w:rPr>
            </w:pPr>
            <w:r>
              <w:rPr>
                <w:rFonts w:hint="eastAsia" w:eastAsia="方正仿宋_GBK" w:cs="Times New Roman"/>
                <w:color w:val="000000"/>
                <w:sz w:val="24"/>
                <w:szCs w:val="24"/>
              </w:rPr>
              <w:t>3.</w:t>
            </w:r>
            <w:r>
              <w:rPr>
                <w:rFonts w:eastAsia="方正仿宋_GBK" w:cs="Times New Roman"/>
                <w:color w:val="000000"/>
                <w:sz w:val="24"/>
                <w:szCs w:val="24"/>
              </w:rPr>
              <w:t>临时安置月数不足1个月按1个月计算。</w:t>
            </w:r>
          </w:p>
        </w:tc>
      </w:tr>
    </w:tbl>
    <w:p w14:paraId="41D36080">
      <w:pPr>
        <w:widowControl w:val="0"/>
        <w:ind w:firstLine="640"/>
        <w:rPr>
          <w:rFonts w:eastAsia="方正仿宋_GBK" w:cs="Times New Roman"/>
          <w:color w:val="000000"/>
        </w:rPr>
      </w:pPr>
      <w:r>
        <w:rPr>
          <w:rFonts w:eastAsia="方正仿宋_GBK" w:cs="Times New Roman"/>
          <w:color w:val="000000"/>
        </w:rPr>
        <w:t>除有特别说明外，补偿和奖励标准涉及的</w:t>
      </w:r>
      <w:r>
        <w:rPr>
          <w:rFonts w:hint="eastAsia" w:eastAsia="方正仿宋_GBK" w:cs="Times New Roman"/>
          <w:color w:val="000000"/>
        </w:rPr>
        <w:t>“</w:t>
      </w:r>
      <w:r>
        <w:rPr>
          <w:rFonts w:eastAsia="方正仿宋_GBK" w:cs="Times New Roman"/>
          <w:color w:val="000000"/>
        </w:rPr>
        <w:t>户</w:t>
      </w:r>
      <w:r>
        <w:rPr>
          <w:rFonts w:hint="eastAsia" w:eastAsia="方正仿宋_GBK" w:cs="Times New Roman"/>
          <w:color w:val="000000"/>
        </w:rPr>
        <w:t>”</w:t>
      </w:r>
      <w:r>
        <w:rPr>
          <w:rFonts w:eastAsia="方正仿宋_GBK" w:cs="Times New Roman"/>
          <w:color w:val="000000"/>
        </w:rPr>
        <w:t>指被征收房屋的产权户，以合法有效的房屋产权证书计算。</w:t>
      </w:r>
    </w:p>
    <w:p w14:paraId="1C047E44">
      <w:pPr>
        <w:widowControl w:val="0"/>
        <w:ind w:firstLine="640"/>
        <w:rPr>
          <w:rFonts w:eastAsia="方正黑体_GBK" w:cs="Times New Roman"/>
          <w:color w:val="000000"/>
        </w:rPr>
      </w:pPr>
      <w:r>
        <w:rPr>
          <w:rFonts w:eastAsia="方正黑体_GBK" w:cs="Times New Roman"/>
          <w:color w:val="000000"/>
        </w:rPr>
        <w:t>十、未登记建筑补偿补助标准</w:t>
      </w:r>
    </w:p>
    <w:p w14:paraId="67125016">
      <w:pPr>
        <w:widowControl w:val="0"/>
        <w:autoSpaceDE w:val="0"/>
        <w:autoSpaceDN w:val="0"/>
        <w:adjustRightInd w:val="0"/>
        <w:ind w:firstLine="640"/>
        <w:rPr>
          <w:rFonts w:eastAsia="方正仿宋_GBK" w:cs="Times New Roman"/>
        </w:rPr>
      </w:pPr>
      <w:r>
        <w:rPr>
          <w:rFonts w:eastAsia="方正仿宋_GBK" w:cs="Times New Roman"/>
        </w:rPr>
        <w:t>房屋征收项目范围内未登记建筑经调查和认定后，分类进行处理：</w:t>
      </w:r>
    </w:p>
    <w:p w14:paraId="2DC4F32E">
      <w:pPr>
        <w:widowControl w:val="0"/>
        <w:autoSpaceDE w:val="0"/>
        <w:autoSpaceDN w:val="0"/>
        <w:adjustRightInd w:val="0"/>
        <w:ind w:firstLine="640"/>
        <w:rPr>
          <w:rFonts w:eastAsia="方正仿宋_GBK" w:cs="Times New Roman"/>
        </w:rPr>
      </w:pPr>
      <w:r>
        <w:rPr>
          <w:rFonts w:eastAsia="方正楷体_GBK" w:cs="Times New Roman"/>
        </w:rPr>
        <w:t>（一）认定为合法建筑的未登记建筑</w:t>
      </w:r>
    </w:p>
    <w:p w14:paraId="3070FB5C">
      <w:pPr>
        <w:widowControl w:val="0"/>
        <w:autoSpaceDE w:val="0"/>
        <w:autoSpaceDN w:val="0"/>
        <w:adjustRightInd w:val="0"/>
        <w:ind w:firstLine="640"/>
        <w:rPr>
          <w:rFonts w:eastAsia="方正仿宋_GBK" w:cs="Times New Roman"/>
        </w:rPr>
      </w:pPr>
      <w:r>
        <w:rPr>
          <w:rFonts w:eastAsia="方正仿宋_GBK" w:cs="Times New Roman"/>
        </w:rPr>
        <w:t>经认定为合法建筑的未登记建筑，对未登记建筑当事人给予相应补偿。</w:t>
      </w:r>
    </w:p>
    <w:p w14:paraId="03436163">
      <w:pPr>
        <w:widowControl w:val="0"/>
        <w:autoSpaceDE w:val="0"/>
        <w:autoSpaceDN w:val="0"/>
        <w:adjustRightInd w:val="0"/>
        <w:ind w:firstLine="640"/>
        <w:rPr>
          <w:rFonts w:eastAsia="方正仿宋_GBK" w:cs="Times New Roman"/>
        </w:rPr>
      </w:pPr>
      <w:r>
        <w:rPr>
          <w:rFonts w:eastAsia="方正仿宋_GBK" w:cs="Times New Roman"/>
        </w:rPr>
        <w:t>1.参照房屋征收范围内同类有证建筑评估价格80%的标准给予货币补偿，但最高不得超过按同区位、同结构、同年代有证住宅房屋评估的价格。</w:t>
      </w:r>
    </w:p>
    <w:p w14:paraId="2047381B">
      <w:pPr>
        <w:widowControl w:val="0"/>
        <w:autoSpaceDE w:val="0"/>
        <w:autoSpaceDN w:val="0"/>
        <w:adjustRightInd w:val="0"/>
        <w:ind w:firstLine="640"/>
        <w:rPr>
          <w:rFonts w:eastAsia="方正仿宋_GBK" w:cs="Times New Roman"/>
        </w:rPr>
      </w:pPr>
      <w:r>
        <w:rPr>
          <w:rFonts w:eastAsia="方正仿宋_GBK" w:cs="Times New Roman"/>
        </w:rPr>
        <w:t>2.临时建筑在批准期限内的，结合剩余使用期限，按照评估重置价结合成新给予货币补偿。</w:t>
      </w:r>
    </w:p>
    <w:p w14:paraId="200690CE">
      <w:pPr>
        <w:widowControl w:val="0"/>
        <w:autoSpaceDE w:val="0"/>
        <w:autoSpaceDN w:val="0"/>
        <w:adjustRightInd w:val="0"/>
        <w:ind w:firstLine="640"/>
        <w:rPr>
          <w:rFonts w:eastAsia="方正楷体_GBK" w:cs="Times New Roman"/>
        </w:rPr>
      </w:pPr>
      <w:r>
        <w:rPr>
          <w:rFonts w:eastAsia="方正楷体_GBK" w:cs="Times New Roman"/>
        </w:rPr>
        <w:t>（二）认定为违法建筑的未登记建筑</w:t>
      </w:r>
    </w:p>
    <w:p w14:paraId="23BBBB1C">
      <w:pPr>
        <w:widowControl w:val="0"/>
        <w:autoSpaceDE w:val="0"/>
        <w:autoSpaceDN w:val="0"/>
        <w:adjustRightInd w:val="0"/>
        <w:ind w:firstLine="640"/>
        <w:rPr>
          <w:rFonts w:eastAsia="方正仿宋_GBK" w:cs="Times New Roman"/>
        </w:rPr>
      </w:pPr>
      <w:r>
        <w:rPr>
          <w:rFonts w:eastAsia="方正仿宋_GBK" w:cs="Times New Roman"/>
        </w:rPr>
        <w:t>经认定为违法建筑的未登记建筑，不予补偿。经认定为违法的未登记建筑当事人在房屋征收项目签约期内签约，并在规定时间内搬迁的，可以给予适当补助。</w:t>
      </w:r>
    </w:p>
    <w:p w14:paraId="057A8390">
      <w:pPr>
        <w:widowControl w:val="0"/>
        <w:autoSpaceDE w:val="0"/>
        <w:autoSpaceDN w:val="0"/>
        <w:adjustRightInd w:val="0"/>
        <w:ind w:firstLine="640"/>
        <w:rPr>
          <w:rFonts w:eastAsia="方正仿宋_GBK" w:cs="Times New Roman"/>
        </w:rPr>
      </w:pPr>
      <w:r>
        <w:rPr>
          <w:rFonts w:eastAsia="方正仿宋_GBK" w:cs="Times New Roman"/>
        </w:rPr>
        <w:t>1.1990年4月1日—2007年12月31日（含12月31日）《中华人民共和国城乡规划法》（中华人民共和国主席令第74号）实施之前修建的未登记建筑，按评估重置价结合成新给予货币补助。</w:t>
      </w:r>
    </w:p>
    <w:p w14:paraId="47554C9B">
      <w:pPr>
        <w:widowControl w:val="0"/>
        <w:autoSpaceDE w:val="0"/>
        <w:autoSpaceDN w:val="0"/>
        <w:adjustRightInd w:val="0"/>
        <w:ind w:firstLine="640"/>
        <w:rPr>
          <w:rFonts w:eastAsia="方正仿宋_GBK" w:cs="Times New Roman"/>
        </w:rPr>
      </w:pPr>
      <w:r>
        <w:rPr>
          <w:rFonts w:eastAsia="方正仿宋_GBK" w:cs="Times New Roman"/>
        </w:rPr>
        <w:t>2.2007年12月31日—2014年10月16日（含10月16日）《重庆市查处违法建筑若干规定》（重庆市人民政府令第282号）实施之前修建的未登记建筑，按简易结构200元/㎡、砖木结构400元/㎡、砖混结构600元/㎡的标准给予残值补助。</w:t>
      </w:r>
    </w:p>
    <w:p w14:paraId="3FACF369">
      <w:pPr>
        <w:widowControl w:val="0"/>
        <w:autoSpaceDE w:val="0"/>
        <w:autoSpaceDN w:val="0"/>
        <w:adjustRightInd w:val="0"/>
        <w:ind w:firstLine="640"/>
        <w:rPr>
          <w:rFonts w:eastAsia="方正仿宋_GBK" w:cs="Times New Roman"/>
        </w:rPr>
      </w:pPr>
      <w:r>
        <w:rPr>
          <w:rFonts w:eastAsia="方正仿宋_GBK" w:cs="Times New Roman"/>
        </w:rPr>
        <w:t>3.2014年10月16日后修建的未登记建筑，不予补助。</w:t>
      </w:r>
    </w:p>
    <w:p w14:paraId="0883F9C9">
      <w:pPr>
        <w:widowControl w:val="0"/>
        <w:autoSpaceDE w:val="0"/>
        <w:autoSpaceDN w:val="0"/>
        <w:adjustRightInd w:val="0"/>
        <w:ind w:firstLine="640"/>
        <w:rPr>
          <w:rFonts w:eastAsia="方正仿宋_GBK" w:cs="Times New Roman"/>
        </w:rPr>
      </w:pPr>
      <w:r>
        <w:rPr>
          <w:rFonts w:eastAsia="方正仿宋_GBK" w:cs="Times New Roman"/>
        </w:rPr>
        <w:t>4.临时建筑超过批准期限的，不予补助。</w:t>
      </w:r>
    </w:p>
    <w:p w14:paraId="5BAAECED">
      <w:pPr>
        <w:widowControl w:val="0"/>
        <w:autoSpaceDE w:val="0"/>
        <w:autoSpaceDN w:val="0"/>
        <w:adjustRightInd w:val="0"/>
        <w:ind w:firstLine="640"/>
        <w:rPr>
          <w:rFonts w:eastAsia="方正楷体_GBK" w:cs="Times New Roman"/>
        </w:rPr>
      </w:pPr>
      <w:r>
        <w:rPr>
          <w:rFonts w:eastAsia="方正楷体_GBK" w:cs="Times New Roman"/>
        </w:rPr>
        <w:t>（三）其他规定</w:t>
      </w:r>
    </w:p>
    <w:p w14:paraId="7D1AB20C">
      <w:pPr>
        <w:widowControl w:val="0"/>
        <w:autoSpaceDE w:val="0"/>
        <w:autoSpaceDN w:val="0"/>
        <w:adjustRightInd w:val="0"/>
        <w:ind w:firstLine="640"/>
        <w:rPr>
          <w:rFonts w:eastAsia="方正仿宋_GBK" w:cs="Times New Roman"/>
        </w:rPr>
      </w:pPr>
      <w:r>
        <w:rPr>
          <w:rFonts w:eastAsia="方正仿宋_GBK" w:cs="Times New Roman"/>
        </w:rPr>
        <w:t>1.经认定为合法的未登记建筑不享受15%公摊补助政策，其他奖励、补助标准按照有证建筑进行处理。</w:t>
      </w:r>
    </w:p>
    <w:p w14:paraId="667EACFD">
      <w:pPr>
        <w:widowControl w:val="0"/>
        <w:autoSpaceDE w:val="0"/>
        <w:autoSpaceDN w:val="0"/>
        <w:adjustRightInd w:val="0"/>
        <w:ind w:firstLine="640"/>
        <w:rPr>
          <w:rFonts w:eastAsia="方正仿宋_GBK" w:cs="Times New Roman"/>
        </w:rPr>
      </w:pPr>
      <w:r>
        <w:rPr>
          <w:rFonts w:eastAsia="方正仿宋_GBK" w:cs="Times New Roman"/>
        </w:rPr>
        <w:t>2.经认定为合法的未登记建筑不享受45平方米最低住房保障政策，取得建设管理部门许可审批或国有企业分配手续的除外。</w:t>
      </w:r>
    </w:p>
    <w:p w14:paraId="5A96A67C">
      <w:pPr>
        <w:widowControl w:val="0"/>
        <w:autoSpaceDE w:val="0"/>
        <w:autoSpaceDN w:val="0"/>
        <w:adjustRightInd w:val="0"/>
        <w:ind w:firstLine="640"/>
        <w:rPr>
          <w:rFonts w:eastAsia="方正仿宋_GBK" w:cs="Times New Roman"/>
        </w:rPr>
      </w:pPr>
      <w:r>
        <w:rPr>
          <w:rFonts w:eastAsia="方正仿宋_GBK" w:cs="Times New Roman"/>
        </w:rPr>
        <w:t>3.同一房屋征收项目范围内，同一未登记建筑当事人既有有证建筑，又有一处或者多处经认定为合法的未登记建筑，经认定为合法的未登记建筑的奖励、补助、最低住房保障面积不得分户处置。</w:t>
      </w:r>
    </w:p>
    <w:p w14:paraId="3F06B31A">
      <w:pPr>
        <w:widowControl w:val="0"/>
        <w:autoSpaceDE w:val="0"/>
        <w:autoSpaceDN w:val="0"/>
        <w:adjustRightInd w:val="0"/>
        <w:ind w:firstLine="640"/>
        <w:rPr>
          <w:rFonts w:eastAsia="方正仿宋_GBK" w:cs="Times New Roman"/>
        </w:rPr>
      </w:pPr>
      <w:r>
        <w:rPr>
          <w:rFonts w:eastAsia="方正仿宋_GBK" w:cs="Times New Roman"/>
        </w:rPr>
        <w:t>4.具有合法土地使用权，且享受容积率小于1的空地补偿的，计算容积率时应当扣除经认定为合法的未登记建筑面积。</w:t>
      </w:r>
    </w:p>
    <w:p w14:paraId="7AD3EBD1">
      <w:pPr>
        <w:widowControl w:val="0"/>
        <w:ind w:firstLine="640"/>
        <w:rPr>
          <w:rFonts w:eastAsia="宋体" w:cs="Times New Roman"/>
          <w:sz w:val="21"/>
          <w:szCs w:val="24"/>
        </w:rPr>
      </w:pPr>
      <w:r>
        <w:rPr>
          <w:rFonts w:eastAsia="方正黑体_GBK" w:cs="Times New Roman"/>
        </w:rPr>
        <w:t>十一、产权调换房源地点、面积及价格等情况（详见附件）</w:t>
      </w:r>
    </w:p>
    <w:p w14:paraId="6578780C">
      <w:pPr>
        <w:widowControl w:val="0"/>
        <w:ind w:firstLine="640"/>
        <w:rPr>
          <w:rFonts w:eastAsia="方正黑体_GBK" w:cs="Times New Roman"/>
          <w:color w:val="000000"/>
        </w:rPr>
      </w:pPr>
      <w:r>
        <w:rPr>
          <w:rFonts w:eastAsia="方正黑体_GBK" w:cs="Times New Roman"/>
          <w:color w:val="000000"/>
        </w:rPr>
        <w:t>十二、方案制定单位</w:t>
      </w:r>
    </w:p>
    <w:p w14:paraId="27EAFBA6">
      <w:pPr>
        <w:widowControl w:val="0"/>
        <w:ind w:firstLine="640"/>
        <w:rPr>
          <w:rFonts w:eastAsia="方正仿宋_GBK" w:cs="Times New Roman"/>
          <w:color w:val="000000"/>
        </w:rPr>
      </w:pPr>
      <w:r>
        <w:rPr>
          <w:rFonts w:eastAsia="方正仿宋_GBK" w:cs="Times New Roman"/>
          <w:color w:val="000000"/>
        </w:rPr>
        <w:t>本方案制定单位为重庆高新区管委会建设局，通讯地址：重庆高新区高新大道</w:t>
      </w:r>
      <w:r>
        <w:rPr>
          <w:rFonts w:eastAsia="方正仿宋_GBK" w:cs="Times New Roman"/>
        </w:rPr>
        <w:t>6号4号楼205室，联系电话：023-68609118</w:t>
      </w:r>
      <w:r>
        <w:rPr>
          <w:rFonts w:eastAsia="方正仿宋_GBK" w:cs="Times New Roman"/>
          <w:color w:val="000000"/>
        </w:rPr>
        <w:t>。</w:t>
      </w:r>
    </w:p>
    <w:p w14:paraId="0FC65A66">
      <w:pPr>
        <w:ind w:firstLine="640"/>
        <w:rPr>
          <w:rFonts w:eastAsia="方正黑体_GBK" w:cs="Times New Roman"/>
          <w:color w:val="000000"/>
        </w:rPr>
      </w:pPr>
      <w:r>
        <w:rPr>
          <w:rFonts w:eastAsia="方正黑体_GBK" w:cs="Times New Roman"/>
        </w:rPr>
        <w:t>十三、</w:t>
      </w:r>
      <w:r>
        <w:rPr>
          <w:rFonts w:hint="eastAsia" w:eastAsia="方正黑体_GBK" w:cs="Times New Roman"/>
        </w:rPr>
        <w:t>其他</w:t>
      </w:r>
      <w:r>
        <w:rPr>
          <w:rFonts w:eastAsia="方正黑体_GBK" w:cs="Times New Roman"/>
          <w:color w:val="000000"/>
        </w:rPr>
        <w:t>事项</w:t>
      </w:r>
    </w:p>
    <w:p w14:paraId="7F8EA636">
      <w:pPr>
        <w:ind w:firstLine="640"/>
        <w:rPr>
          <w:rFonts w:eastAsia="方正仿宋_GBK" w:cs="Times New Roman"/>
          <w:color w:val="000000"/>
        </w:rPr>
      </w:pPr>
      <w:r>
        <w:rPr>
          <w:rFonts w:eastAsia="方正仿宋_GBK" w:cs="Times New Roman"/>
          <w:color w:val="000000"/>
          <w:kern w:val="0"/>
        </w:rPr>
        <w:t>本方案中未予明确规定的事项，按照</w:t>
      </w:r>
      <w:r>
        <w:rPr>
          <w:rFonts w:eastAsia="方正仿宋_GBK" w:cs="Times New Roman"/>
          <w:color w:val="000000"/>
        </w:rPr>
        <w:t>国家相关法律法规和重庆市、重庆高新区国有土地上房屋征收相关政策文件执行。</w:t>
      </w:r>
    </w:p>
    <w:p w14:paraId="7029506B">
      <w:pPr>
        <w:ind w:firstLine="707" w:firstLineChars="221"/>
        <w:rPr>
          <w:rFonts w:eastAsia="方正仿宋_GBK" w:cs="Times New Roman"/>
          <w:color w:val="000000"/>
        </w:rPr>
      </w:pPr>
    </w:p>
    <w:p w14:paraId="071B7C54">
      <w:pPr>
        <w:ind w:left="1600" w:leftChars="200" w:hanging="960" w:hangingChars="300"/>
        <w:jc w:val="left"/>
        <w:rPr>
          <w:rFonts w:eastAsia="方正仿宋_GBK" w:cs="Times New Roman"/>
          <w:color w:val="000000"/>
        </w:rPr>
      </w:pPr>
      <w:r>
        <w:rPr>
          <w:rFonts w:eastAsia="方正仿宋_GBK" w:cs="Times New Roman"/>
          <w:color w:val="000000"/>
        </w:rPr>
        <w:t>附件：梁滩河综合整治（含谷老场镇片区）国有土地上房屋征收项目（三期）产权调换房屋明细</w:t>
      </w:r>
    </w:p>
    <w:p w14:paraId="40133484">
      <w:pPr>
        <w:wordWrap w:val="0"/>
        <w:ind w:right="480" w:firstLine="0" w:firstLineChars="0"/>
        <w:jc w:val="left"/>
        <w:rPr>
          <w:rFonts w:eastAsia="方正仿宋_GBK" w:cs="Times New Roman"/>
          <w:color w:val="000000"/>
          <w:kern w:val="0"/>
        </w:rPr>
      </w:pPr>
    </w:p>
    <w:p w14:paraId="131AE73D">
      <w:pPr>
        <w:autoSpaceDE w:val="0"/>
        <w:autoSpaceDN w:val="0"/>
        <w:adjustRightInd w:val="0"/>
        <w:ind w:firstLine="480"/>
        <w:rPr>
          <w:rFonts w:eastAsia="宋体" w:cs="Times New Roman"/>
          <w:color w:val="000000"/>
          <w:sz w:val="24"/>
          <w:szCs w:val="24"/>
        </w:rPr>
      </w:pPr>
    </w:p>
    <w:p w14:paraId="60FA5BF3">
      <w:pPr>
        <w:wordWrap w:val="0"/>
        <w:ind w:right="480" w:firstLine="0" w:firstLineChars="0"/>
        <w:jc w:val="left"/>
        <w:rPr>
          <w:rFonts w:eastAsia="方正仿宋_GBK" w:cs="Times New Roman"/>
          <w:color w:val="000000"/>
          <w:kern w:val="0"/>
        </w:rPr>
      </w:pPr>
      <w:r>
        <w:rPr>
          <w:rFonts w:eastAsia="方正仿宋_GBK" w:cs="Times New Roman"/>
          <w:color w:val="000000"/>
          <w:kern w:val="0"/>
        </w:rPr>
        <w:t xml:space="preserve">                   </w:t>
      </w:r>
      <w:r>
        <w:rPr>
          <w:rFonts w:hint="eastAsia" w:eastAsia="方正仿宋_GBK" w:cs="Times New Roman"/>
          <w:color w:val="000000"/>
          <w:kern w:val="0"/>
        </w:rPr>
        <w:t xml:space="preserve">                </w:t>
      </w:r>
      <w:r>
        <w:rPr>
          <w:rFonts w:eastAsia="方正仿宋_GBK" w:cs="Times New Roman"/>
          <w:color w:val="000000"/>
          <w:kern w:val="0"/>
        </w:rPr>
        <w:t xml:space="preserve"> 重庆高新区管委会</w:t>
      </w:r>
    </w:p>
    <w:p w14:paraId="77FC6121">
      <w:pPr>
        <w:wordWrap w:val="0"/>
        <w:ind w:right="480" w:firstLine="640"/>
        <w:jc w:val="left"/>
        <w:rPr>
          <w:rFonts w:eastAsia="方正仿宋_GBK"/>
          <w:color w:val="000000"/>
          <w:kern w:val="0"/>
        </w:rPr>
        <w:sectPr>
          <w:footerReference r:id="rId5" w:type="default"/>
          <w:pgSz w:w="11906" w:h="16838"/>
          <w:pgMar w:top="2098" w:right="1531" w:bottom="1984" w:left="1531" w:header="851" w:footer="1531" w:gutter="0"/>
          <w:cols w:space="0" w:num="1"/>
          <w:docGrid w:type="lines" w:linePitch="312" w:charSpace="0"/>
        </w:sectPr>
      </w:pPr>
      <w:r>
        <w:rPr>
          <w:rFonts w:eastAsia="方正仿宋_GBK" w:cs="Times New Roman"/>
          <w:color w:val="000000"/>
          <w:kern w:val="0"/>
        </w:rPr>
        <w:t xml:space="preserve">                           </w:t>
      </w:r>
      <w:r>
        <w:rPr>
          <w:rFonts w:hint="eastAsia" w:eastAsia="方正仿宋_GBK" w:cs="Times New Roman"/>
          <w:color w:val="000000"/>
          <w:kern w:val="0"/>
        </w:rPr>
        <w:t xml:space="preserve">     </w:t>
      </w:r>
      <w:r>
        <w:rPr>
          <w:rFonts w:eastAsia="方正仿宋_GBK" w:cs="Times New Roman"/>
          <w:color w:val="000000"/>
          <w:kern w:val="0"/>
        </w:rPr>
        <w:t>2024年</w:t>
      </w:r>
      <w:r>
        <w:rPr>
          <w:rFonts w:hint="eastAsia" w:eastAsia="方正仿宋_GBK" w:cs="Times New Roman"/>
          <w:color w:val="000000"/>
          <w:kern w:val="0"/>
        </w:rPr>
        <w:t>12</w:t>
      </w:r>
      <w:r>
        <w:rPr>
          <w:rFonts w:eastAsia="方正仿宋_GBK" w:cs="Times New Roman"/>
          <w:color w:val="000000"/>
          <w:kern w:val="0"/>
        </w:rPr>
        <w:t>月</w:t>
      </w:r>
      <w:r>
        <w:rPr>
          <w:rFonts w:hint="eastAsia" w:eastAsia="方正仿宋_GBK" w:cs="Times New Roman"/>
          <w:color w:val="000000"/>
          <w:kern w:val="0"/>
        </w:rPr>
        <w:t>11</w:t>
      </w:r>
      <w:r>
        <w:rPr>
          <w:rFonts w:eastAsia="方正仿宋_GBK" w:cs="Times New Roman"/>
          <w:color w:val="000000"/>
          <w:kern w:val="0"/>
        </w:rPr>
        <w:t>日</w:t>
      </w:r>
    </w:p>
    <w:p w14:paraId="1980CF52">
      <w:pPr>
        <w:widowControl w:val="0"/>
        <w:ind w:firstLine="0" w:firstLineChars="0"/>
        <w:rPr>
          <w:rFonts w:eastAsia="方正黑体_GBK" w:cs="Times New Roman"/>
          <w:kern w:val="0"/>
        </w:rPr>
      </w:pPr>
      <w:r>
        <w:rPr>
          <w:rFonts w:eastAsia="方正黑体_GBK" w:cs="Times New Roman"/>
          <w:kern w:val="0"/>
        </w:rPr>
        <w:t>附件</w:t>
      </w:r>
    </w:p>
    <w:p w14:paraId="3E243578">
      <w:pPr>
        <w:pStyle w:val="2"/>
      </w:pPr>
    </w:p>
    <w:p w14:paraId="3878C01E">
      <w:pPr>
        <w:widowControl w:val="0"/>
        <w:ind w:firstLine="0" w:firstLineChars="0"/>
        <w:jc w:val="center"/>
        <w:rPr>
          <w:rFonts w:eastAsia="方正小标宋_GBK" w:cs="Times New Roman"/>
          <w:sz w:val="44"/>
          <w:szCs w:val="44"/>
        </w:rPr>
      </w:pPr>
      <w:r>
        <w:rPr>
          <w:rFonts w:eastAsia="方正小标宋_GBK" w:cs="Times New Roman"/>
          <w:sz w:val="44"/>
          <w:szCs w:val="44"/>
        </w:rPr>
        <w:t>梁滩河综合整治（含谷老场镇片区）国有土地上房屋征收项目（三期）产权调换房屋明细</w:t>
      </w:r>
    </w:p>
    <w:p w14:paraId="236371C5">
      <w:pPr>
        <w:autoSpaceDE w:val="0"/>
        <w:autoSpaceDN w:val="0"/>
        <w:adjustRightInd w:val="0"/>
        <w:ind w:firstLine="480"/>
        <w:rPr>
          <w:rFonts w:ascii="Arial" w:hAnsi="Arial" w:eastAsia="宋体" w:cs="Arial"/>
          <w:color w:val="000000"/>
          <w:sz w:val="24"/>
          <w:szCs w:val="24"/>
        </w:rPr>
      </w:pPr>
    </w:p>
    <w:tbl>
      <w:tblPr>
        <w:tblStyle w:val="10"/>
        <w:tblW w:w="5648" w:type="pct"/>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91"/>
        <w:gridCol w:w="1009"/>
        <w:gridCol w:w="1029"/>
        <w:gridCol w:w="1761"/>
        <w:gridCol w:w="815"/>
        <w:gridCol w:w="2790"/>
        <w:gridCol w:w="914"/>
        <w:gridCol w:w="1260"/>
        <w:gridCol w:w="1216"/>
        <w:gridCol w:w="1216"/>
        <w:gridCol w:w="718"/>
      </w:tblGrid>
      <w:tr w14:paraId="252B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50" w:type="pct"/>
            <w:vAlign w:val="center"/>
          </w:tcPr>
          <w:p w14:paraId="6AC5F99D">
            <w:pPr>
              <w:widowControl/>
              <w:spacing w:line="400" w:lineRule="exact"/>
              <w:ind w:firstLine="0" w:firstLineChars="0"/>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序号</w:t>
            </w:r>
          </w:p>
        </w:tc>
        <w:tc>
          <w:tcPr>
            <w:tcW w:w="405" w:type="pct"/>
            <w:vAlign w:val="center"/>
          </w:tcPr>
          <w:p w14:paraId="30AA2628">
            <w:pPr>
              <w:widowControl/>
              <w:spacing w:line="400" w:lineRule="exact"/>
              <w:ind w:firstLine="0" w:firstLineChars="0"/>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产权调换房屋名称</w:t>
            </w:r>
          </w:p>
        </w:tc>
        <w:tc>
          <w:tcPr>
            <w:tcW w:w="344" w:type="pct"/>
            <w:vAlign w:val="center"/>
          </w:tcPr>
          <w:p w14:paraId="3221A26F">
            <w:pPr>
              <w:widowControl/>
              <w:spacing w:line="400" w:lineRule="exact"/>
              <w:ind w:firstLine="0" w:firstLineChars="0"/>
              <w:jc w:val="center"/>
              <w:textAlignment w:val="center"/>
              <w:rPr>
                <w:rFonts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房屋类型</w:t>
            </w:r>
          </w:p>
        </w:tc>
        <w:tc>
          <w:tcPr>
            <w:tcW w:w="351" w:type="pct"/>
            <w:vAlign w:val="center"/>
          </w:tcPr>
          <w:p w14:paraId="1DF0DD51">
            <w:pPr>
              <w:widowControl/>
              <w:spacing w:line="400" w:lineRule="exact"/>
              <w:ind w:firstLine="0" w:firstLineChars="0"/>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房屋用途</w:t>
            </w:r>
          </w:p>
        </w:tc>
        <w:tc>
          <w:tcPr>
            <w:tcW w:w="600" w:type="pct"/>
            <w:vAlign w:val="center"/>
          </w:tcPr>
          <w:p w14:paraId="55A58437">
            <w:pPr>
              <w:widowControl/>
              <w:spacing w:line="400" w:lineRule="exact"/>
              <w:ind w:firstLine="0" w:firstLineChars="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产权调换房屋预评估单价（</w:t>
            </w:r>
            <w:r>
              <w:rPr>
                <w:rFonts w:hint="eastAsia" w:ascii="方正黑体_GBK" w:hAnsi="方正黑体_GBK" w:eastAsia="方正黑体_GBK" w:cs="方正黑体_GBK"/>
                <w:color w:val="000000"/>
                <w:sz w:val="24"/>
                <w:szCs w:val="24"/>
              </w:rPr>
              <w:t>元/m²</w:t>
            </w:r>
            <w:r>
              <w:rPr>
                <w:rFonts w:hint="eastAsia" w:ascii="方正黑体_GBK" w:hAnsi="方正黑体_GBK" w:eastAsia="方正黑体_GBK" w:cs="方正黑体_GBK"/>
                <w:color w:val="000000"/>
                <w:kern w:val="0"/>
                <w:sz w:val="24"/>
                <w:szCs w:val="24"/>
              </w:rPr>
              <w:t>）</w:t>
            </w:r>
          </w:p>
        </w:tc>
        <w:tc>
          <w:tcPr>
            <w:tcW w:w="278" w:type="pct"/>
            <w:vAlign w:val="center"/>
          </w:tcPr>
          <w:p w14:paraId="000DB10C">
            <w:pPr>
              <w:widowControl/>
              <w:spacing w:line="400" w:lineRule="exact"/>
              <w:ind w:firstLine="0" w:firstLineChars="0"/>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栋号</w:t>
            </w:r>
          </w:p>
        </w:tc>
        <w:tc>
          <w:tcPr>
            <w:tcW w:w="951" w:type="pct"/>
            <w:vAlign w:val="center"/>
          </w:tcPr>
          <w:p w14:paraId="7324B465">
            <w:pPr>
              <w:widowControl/>
              <w:spacing w:line="400" w:lineRule="exact"/>
              <w:ind w:firstLine="0" w:firstLineChars="0"/>
              <w:jc w:val="center"/>
              <w:textAlignment w:val="center"/>
              <w:rPr>
                <w:rFonts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套号</w:t>
            </w:r>
          </w:p>
        </w:tc>
        <w:tc>
          <w:tcPr>
            <w:tcW w:w="312" w:type="pct"/>
            <w:vAlign w:val="center"/>
          </w:tcPr>
          <w:p w14:paraId="56754CBA">
            <w:pPr>
              <w:widowControl/>
              <w:spacing w:line="400" w:lineRule="exact"/>
              <w:ind w:firstLine="0" w:firstLineChars="0"/>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户型</w:t>
            </w:r>
          </w:p>
        </w:tc>
        <w:tc>
          <w:tcPr>
            <w:tcW w:w="429" w:type="pct"/>
            <w:vAlign w:val="center"/>
          </w:tcPr>
          <w:p w14:paraId="24728BA1">
            <w:pPr>
              <w:widowControl/>
              <w:spacing w:line="400" w:lineRule="exact"/>
              <w:ind w:firstLine="0" w:firstLineChars="0"/>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建筑面积（㎡）</w:t>
            </w:r>
          </w:p>
        </w:tc>
        <w:tc>
          <w:tcPr>
            <w:tcW w:w="414" w:type="pct"/>
            <w:vAlign w:val="center"/>
          </w:tcPr>
          <w:p w14:paraId="6F7E60B9">
            <w:pPr>
              <w:widowControl/>
              <w:spacing w:line="400" w:lineRule="exact"/>
              <w:ind w:firstLine="0" w:firstLineChars="0"/>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套内面积（㎡）</w:t>
            </w:r>
          </w:p>
        </w:tc>
        <w:tc>
          <w:tcPr>
            <w:tcW w:w="414" w:type="pct"/>
            <w:vAlign w:val="center"/>
          </w:tcPr>
          <w:p w14:paraId="2044138A">
            <w:pPr>
              <w:widowControl/>
              <w:spacing w:line="400" w:lineRule="exact"/>
              <w:ind w:firstLine="0" w:firstLineChars="0"/>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rPr>
              <w:t>公摊面积（㎡）</w:t>
            </w:r>
          </w:p>
        </w:tc>
        <w:tc>
          <w:tcPr>
            <w:tcW w:w="245" w:type="pct"/>
            <w:vAlign w:val="center"/>
          </w:tcPr>
          <w:p w14:paraId="4526CED7">
            <w:pPr>
              <w:widowControl/>
              <w:spacing w:line="400" w:lineRule="exact"/>
              <w:ind w:firstLine="0" w:firstLineChars="0"/>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备注</w:t>
            </w:r>
          </w:p>
        </w:tc>
      </w:tr>
      <w:tr w14:paraId="253F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0" w:type="pct"/>
            <w:vAlign w:val="center"/>
          </w:tcPr>
          <w:p w14:paraId="159A6330">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1</w:t>
            </w:r>
          </w:p>
        </w:tc>
        <w:tc>
          <w:tcPr>
            <w:tcW w:w="405" w:type="pct"/>
            <w:vMerge w:val="restart"/>
            <w:vAlign w:val="center"/>
          </w:tcPr>
          <w:p w14:paraId="6E003B6F">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裕安佳园</w:t>
            </w:r>
          </w:p>
        </w:tc>
        <w:tc>
          <w:tcPr>
            <w:tcW w:w="344" w:type="pct"/>
            <w:vMerge w:val="restart"/>
            <w:vAlign w:val="center"/>
          </w:tcPr>
          <w:p w14:paraId="117D335F">
            <w:pPr>
              <w:widowControl/>
              <w:ind w:firstLine="0" w:firstLineChars="0"/>
              <w:jc w:val="center"/>
              <w:textAlignment w:val="center"/>
              <w:rPr>
                <w:rFonts w:eastAsia="方正仿宋_GBK" w:cs="Times New Roman"/>
                <w:sz w:val="24"/>
                <w:szCs w:val="24"/>
              </w:rPr>
            </w:pPr>
            <w:r>
              <w:rPr>
                <w:rFonts w:eastAsia="方正仿宋_GBK" w:cs="Times New Roman"/>
                <w:sz w:val="24"/>
                <w:szCs w:val="24"/>
              </w:rPr>
              <w:t>现房</w:t>
            </w:r>
          </w:p>
        </w:tc>
        <w:tc>
          <w:tcPr>
            <w:tcW w:w="351" w:type="pct"/>
            <w:vMerge w:val="restart"/>
            <w:vAlign w:val="center"/>
          </w:tcPr>
          <w:p w14:paraId="7A786605">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住宅</w:t>
            </w:r>
          </w:p>
        </w:tc>
        <w:tc>
          <w:tcPr>
            <w:tcW w:w="600" w:type="pct"/>
            <w:vMerge w:val="restart"/>
            <w:vAlign w:val="center"/>
          </w:tcPr>
          <w:p w14:paraId="5C88C3B8">
            <w:pPr>
              <w:widowControl/>
              <w:ind w:firstLine="0" w:firstLineChars="0"/>
              <w:jc w:val="center"/>
              <w:textAlignment w:val="center"/>
              <w:rPr>
                <w:rFonts w:eastAsia="方正仿宋_GBK" w:cs="Times New Roman"/>
                <w:color w:val="000000"/>
                <w:sz w:val="24"/>
                <w:szCs w:val="24"/>
                <w:highlight w:val="yellow"/>
              </w:rPr>
            </w:pPr>
            <w:r>
              <w:rPr>
                <w:rFonts w:eastAsia="方正仿宋_GBK" w:cs="Times New Roman"/>
                <w:color w:val="000000"/>
                <w:sz w:val="24"/>
                <w:szCs w:val="24"/>
              </w:rPr>
              <w:t>7950</w:t>
            </w:r>
          </w:p>
        </w:tc>
        <w:tc>
          <w:tcPr>
            <w:tcW w:w="278" w:type="pct"/>
            <w:vMerge w:val="restart"/>
            <w:vAlign w:val="center"/>
          </w:tcPr>
          <w:p w14:paraId="125B642A">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3栋</w:t>
            </w:r>
          </w:p>
        </w:tc>
        <w:tc>
          <w:tcPr>
            <w:tcW w:w="951" w:type="pct"/>
            <w:vAlign w:val="center"/>
          </w:tcPr>
          <w:p w14:paraId="2423C8EB">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2号房（4、5、7层）</w:t>
            </w:r>
          </w:p>
        </w:tc>
        <w:tc>
          <w:tcPr>
            <w:tcW w:w="312" w:type="pct"/>
            <w:vAlign w:val="center"/>
          </w:tcPr>
          <w:p w14:paraId="11CD0818">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两室</w:t>
            </w:r>
          </w:p>
        </w:tc>
        <w:tc>
          <w:tcPr>
            <w:tcW w:w="429" w:type="pct"/>
            <w:vAlign w:val="center"/>
          </w:tcPr>
          <w:p w14:paraId="591A13E0">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66.28</w:t>
            </w:r>
          </w:p>
        </w:tc>
        <w:tc>
          <w:tcPr>
            <w:tcW w:w="414" w:type="pct"/>
            <w:vAlign w:val="center"/>
          </w:tcPr>
          <w:p w14:paraId="0AB99838">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52.65</w:t>
            </w:r>
          </w:p>
        </w:tc>
        <w:tc>
          <w:tcPr>
            <w:tcW w:w="414" w:type="pct"/>
            <w:vAlign w:val="center"/>
          </w:tcPr>
          <w:p w14:paraId="6ACC9F55">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13.63</w:t>
            </w:r>
          </w:p>
        </w:tc>
        <w:tc>
          <w:tcPr>
            <w:tcW w:w="245" w:type="pct"/>
            <w:vAlign w:val="center"/>
          </w:tcPr>
          <w:p w14:paraId="053E912F">
            <w:pPr>
              <w:widowControl/>
              <w:ind w:firstLine="0" w:firstLineChars="0"/>
              <w:jc w:val="center"/>
              <w:textAlignment w:val="center"/>
              <w:rPr>
                <w:rFonts w:eastAsia="方正仿宋_GBK" w:cs="Times New Roman"/>
                <w:color w:val="000000"/>
                <w:sz w:val="24"/>
                <w:szCs w:val="24"/>
              </w:rPr>
            </w:pPr>
          </w:p>
        </w:tc>
      </w:tr>
      <w:tr w14:paraId="3C9E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0" w:type="pct"/>
            <w:vAlign w:val="center"/>
          </w:tcPr>
          <w:p w14:paraId="21ED5DB4">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2</w:t>
            </w:r>
          </w:p>
        </w:tc>
        <w:tc>
          <w:tcPr>
            <w:tcW w:w="405" w:type="pct"/>
            <w:vMerge w:val="continue"/>
            <w:vAlign w:val="center"/>
          </w:tcPr>
          <w:p w14:paraId="75D9F756">
            <w:pPr>
              <w:widowControl/>
              <w:ind w:firstLine="0" w:firstLineChars="0"/>
              <w:jc w:val="center"/>
              <w:textAlignment w:val="center"/>
              <w:rPr>
                <w:rFonts w:eastAsia="方正仿宋_GBK" w:cs="Times New Roman"/>
                <w:color w:val="000000"/>
                <w:sz w:val="24"/>
                <w:szCs w:val="24"/>
              </w:rPr>
            </w:pPr>
          </w:p>
        </w:tc>
        <w:tc>
          <w:tcPr>
            <w:tcW w:w="344" w:type="pct"/>
            <w:vMerge w:val="continue"/>
            <w:vAlign w:val="center"/>
          </w:tcPr>
          <w:p w14:paraId="23F56362">
            <w:pPr>
              <w:widowControl/>
              <w:ind w:firstLine="0" w:firstLineChars="0"/>
              <w:jc w:val="center"/>
              <w:textAlignment w:val="center"/>
              <w:rPr>
                <w:rFonts w:eastAsia="方正仿宋_GBK" w:cs="Times New Roman"/>
                <w:color w:val="FF0000"/>
                <w:sz w:val="24"/>
                <w:szCs w:val="24"/>
              </w:rPr>
            </w:pPr>
          </w:p>
        </w:tc>
        <w:tc>
          <w:tcPr>
            <w:tcW w:w="351" w:type="pct"/>
            <w:vMerge w:val="continue"/>
            <w:vAlign w:val="center"/>
          </w:tcPr>
          <w:p w14:paraId="1931E245">
            <w:pPr>
              <w:widowControl/>
              <w:ind w:firstLine="0" w:firstLineChars="0"/>
              <w:jc w:val="center"/>
              <w:textAlignment w:val="center"/>
              <w:rPr>
                <w:rFonts w:eastAsia="方正仿宋_GBK" w:cs="Times New Roman"/>
                <w:color w:val="000000"/>
                <w:sz w:val="24"/>
                <w:szCs w:val="24"/>
              </w:rPr>
            </w:pPr>
          </w:p>
        </w:tc>
        <w:tc>
          <w:tcPr>
            <w:tcW w:w="600" w:type="pct"/>
            <w:vMerge w:val="continue"/>
            <w:vAlign w:val="center"/>
          </w:tcPr>
          <w:p w14:paraId="365F15B1">
            <w:pPr>
              <w:widowControl/>
              <w:ind w:firstLine="0" w:firstLineChars="0"/>
              <w:jc w:val="center"/>
              <w:textAlignment w:val="center"/>
              <w:rPr>
                <w:rFonts w:eastAsia="方正仿宋_GBK" w:cs="Times New Roman"/>
                <w:color w:val="000000"/>
                <w:sz w:val="24"/>
                <w:szCs w:val="24"/>
                <w:highlight w:val="yellow"/>
              </w:rPr>
            </w:pPr>
          </w:p>
        </w:tc>
        <w:tc>
          <w:tcPr>
            <w:tcW w:w="278" w:type="pct"/>
            <w:vMerge w:val="continue"/>
            <w:vAlign w:val="center"/>
          </w:tcPr>
          <w:p w14:paraId="1B2014B9">
            <w:pPr>
              <w:widowControl/>
              <w:ind w:firstLine="0" w:firstLineChars="0"/>
              <w:jc w:val="center"/>
              <w:textAlignment w:val="center"/>
              <w:rPr>
                <w:rFonts w:eastAsia="方正仿宋_GBK" w:cs="Times New Roman"/>
                <w:color w:val="000000"/>
                <w:sz w:val="24"/>
                <w:szCs w:val="24"/>
              </w:rPr>
            </w:pPr>
          </w:p>
        </w:tc>
        <w:tc>
          <w:tcPr>
            <w:tcW w:w="951" w:type="pct"/>
            <w:vAlign w:val="center"/>
          </w:tcPr>
          <w:p w14:paraId="308971C0">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5号房（5、6、7层）</w:t>
            </w:r>
          </w:p>
        </w:tc>
        <w:tc>
          <w:tcPr>
            <w:tcW w:w="312" w:type="pct"/>
            <w:vAlign w:val="center"/>
          </w:tcPr>
          <w:p w14:paraId="7EB986EB">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两室</w:t>
            </w:r>
          </w:p>
        </w:tc>
        <w:tc>
          <w:tcPr>
            <w:tcW w:w="429" w:type="pct"/>
            <w:vAlign w:val="center"/>
          </w:tcPr>
          <w:p w14:paraId="40EAF106">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65.91</w:t>
            </w:r>
          </w:p>
        </w:tc>
        <w:tc>
          <w:tcPr>
            <w:tcW w:w="414" w:type="pct"/>
            <w:vAlign w:val="center"/>
          </w:tcPr>
          <w:p w14:paraId="246BBE6C">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52.36</w:t>
            </w:r>
          </w:p>
        </w:tc>
        <w:tc>
          <w:tcPr>
            <w:tcW w:w="414" w:type="pct"/>
            <w:vAlign w:val="center"/>
          </w:tcPr>
          <w:p w14:paraId="53DF520D">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13.55</w:t>
            </w:r>
          </w:p>
        </w:tc>
        <w:tc>
          <w:tcPr>
            <w:tcW w:w="245" w:type="pct"/>
            <w:vAlign w:val="center"/>
          </w:tcPr>
          <w:p w14:paraId="15B5825B">
            <w:pPr>
              <w:widowControl/>
              <w:ind w:firstLine="0" w:firstLineChars="0"/>
              <w:jc w:val="center"/>
              <w:textAlignment w:val="center"/>
              <w:rPr>
                <w:rFonts w:eastAsia="方正仿宋_GBK" w:cs="Times New Roman"/>
                <w:color w:val="000000"/>
                <w:sz w:val="24"/>
                <w:szCs w:val="24"/>
              </w:rPr>
            </w:pPr>
          </w:p>
        </w:tc>
      </w:tr>
      <w:tr w14:paraId="334C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0" w:type="pct"/>
            <w:vAlign w:val="center"/>
          </w:tcPr>
          <w:p w14:paraId="74425CF3">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3</w:t>
            </w:r>
          </w:p>
        </w:tc>
        <w:tc>
          <w:tcPr>
            <w:tcW w:w="405" w:type="pct"/>
            <w:vMerge w:val="continue"/>
            <w:vAlign w:val="center"/>
          </w:tcPr>
          <w:p w14:paraId="59939980">
            <w:pPr>
              <w:widowControl/>
              <w:ind w:firstLine="0" w:firstLineChars="0"/>
              <w:jc w:val="center"/>
              <w:textAlignment w:val="center"/>
              <w:rPr>
                <w:rFonts w:eastAsia="方正仿宋_GBK" w:cs="Times New Roman"/>
                <w:color w:val="000000"/>
                <w:sz w:val="24"/>
                <w:szCs w:val="24"/>
              </w:rPr>
            </w:pPr>
          </w:p>
        </w:tc>
        <w:tc>
          <w:tcPr>
            <w:tcW w:w="344" w:type="pct"/>
            <w:vMerge w:val="continue"/>
            <w:vAlign w:val="center"/>
          </w:tcPr>
          <w:p w14:paraId="694C5F4A">
            <w:pPr>
              <w:widowControl/>
              <w:ind w:firstLine="0" w:firstLineChars="0"/>
              <w:jc w:val="center"/>
              <w:textAlignment w:val="center"/>
              <w:rPr>
                <w:rFonts w:eastAsia="方正仿宋_GBK" w:cs="Times New Roman"/>
                <w:color w:val="FF0000"/>
                <w:sz w:val="24"/>
                <w:szCs w:val="24"/>
              </w:rPr>
            </w:pPr>
          </w:p>
        </w:tc>
        <w:tc>
          <w:tcPr>
            <w:tcW w:w="351" w:type="pct"/>
            <w:vMerge w:val="continue"/>
            <w:vAlign w:val="center"/>
          </w:tcPr>
          <w:p w14:paraId="2DFC654A">
            <w:pPr>
              <w:widowControl/>
              <w:ind w:firstLine="0" w:firstLineChars="0"/>
              <w:jc w:val="center"/>
              <w:textAlignment w:val="center"/>
              <w:rPr>
                <w:rFonts w:eastAsia="方正仿宋_GBK" w:cs="Times New Roman"/>
                <w:color w:val="000000"/>
                <w:sz w:val="24"/>
                <w:szCs w:val="24"/>
              </w:rPr>
            </w:pPr>
          </w:p>
        </w:tc>
        <w:tc>
          <w:tcPr>
            <w:tcW w:w="600" w:type="pct"/>
            <w:vMerge w:val="continue"/>
            <w:vAlign w:val="center"/>
          </w:tcPr>
          <w:p w14:paraId="168A45B8">
            <w:pPr>
              <w:widowControl/>
              <w:ind w:firstLine="0" w:firstLineChars="0"/>
              <w:jc w:val="center"/>
              <w:textAlignment w:val="center"/>
              <w:rPr>
                <w:rFonts w:eastAsia="方正仿宋_GBK" w:cs="Times New Roman"/>
                <w:color w:val="000000"/>
                <w:sz w:val="24"/>
                <w:szCs w:val="24"/>
                <w:highlight w:val="yellow"/>
              </w:rPr>
            </w:pPr>
          </w:p>
        </w:tc>
        <w:tc>
          <w:tcPr>
            <w:tcW w:w="278" w:type="pct"/>
            <w:vMerge w:val="continue"/>
            <w:vAlign w:val="center"/>
          </w:tcPr>
          <w:p w14:paraId="56334C36">
            <w:pPr>
              <w:widowControl/>
              <w:ind w:firstLine="0" w:firstLineChars="0"/>
              <w:jc w:val="center"/>
              <w:textAlignment w:val="center"/>
              <w:rPr>
                <w:rFonts w:eastAsia="方正仿宋_GBK" w:cs="Times New Roman"/>
                <w:color w:val="000000"/>
                <w:sz w:val="24"/>
                <w:szCs w:val="24"/>
              </w:rPr>
            </w:pPr>
          </w:p>
        </w:tc>
        <w:tc>
          <w:tcPr>
            <w:tcW w:w="951" w:type="pct"/>
            <w:vAlign w:val="center"/>
          </w:tcPr>
          <w:p w14:paraId="22F41ED0">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6号房（5、6、7层）</w:t>
            </w:r>
          </w:p>
        </w:tc>
        <w:tc>
          <w:tcPr>
            <w:tcW w:w="312" w:type="pct"/>
            <w:vAlign w:val="center"/>
          </w:tcPr>
          <w:p w14:paraId="2FF07C89">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两室</w:t>
            </w:r>
          </w:p>
        </w:tc>
        <w:tc>
          <w:tcPr>
            <w:tcW w:w="429" w:type="pct"/>
            <w:vAlign w:val="center"/>
          </w:tcPr>
          <w:p w14:paraId="5C7CFA03">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65.91</w:t>
            </w:r>
          </w:p>
        </w:tc>
        <w:tc>
          <w:tcPr>
            <w:tcW w:w="414" w:type="pct"/>
            <w:vAlign w:val="center"/>
          </w:tcPr>
          <w:p w14:paraId="29871776">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52.36</w:t>
            </w:r>
          </w:p>
        </w:tc>
        <w:tc>
          <w:tcPr>
            <w:tcW w:w="414" w:type="pct"/>
            <w:vAlign w:val="center"/>
          </w:tcPr>
          <w:p w14:paraId="55A11B2C">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13.55</w:t>
            </w:r>
          </w:p>
        </w:tc>
        <w:tc>
          <w:tcPr>
            <w:tcW w:w="245" w:type="pct"/>
            <w:vAlign w:val="center"/>
          </w:tcPr>
          <w:p w14:paraId="31285068">
            <w:pPr>
              <w:widowControl/>
              <w:ind w:firstLine="0" w:firstLineChars="0"/>
              <w:jc w:val="center"/>
              <w:textAlignment w:val="center"/>
              <w:rPr>
                <w:rFonts w:eastAsia="方正仿宋_GBK" w:cs="Times New Roman"/>
                <w:color w:val="000000"/>
                <w:sz w:val="24"/>
                <w:szCs w:val="24"/>
              </w:rPr>
            </w:pPr>
          </w:p>
        </w:tc>
      </w:tr>
      <w:tr w14:paraId="1B58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0" w:type="pct"/>
            <w:vAlign w:val="center"/>
          </w:tcPr>
          <w:p w14:paraId="584B5E66">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4</w:t>
            </w:r>
          </w:p>
        </w:tc>
        <w:tc>
          <w:tcPr>
            <w:tcW w:w="405" w:type="pct"/>
            <w:vMerge w:val="continue"/>
            <w:vAlign w:val="center"/>
          </w:tcPr>
          <w:p w14:paraId="49AC3E33">
            <w:pPr>
              <w:widowControl/>
              <w:ind w:firstLine="0" w:firstLineChars="0"/>
              <w:jc w:val="center"/>
              <w:textAlignment w:val="center"/>
              <w:rPr>
                <w:rFonts w:eastAsia="方正仿宋_GBK" w:cs="Times New Roman"/>
                <w:color w:val="000000"/>
                <w:sz w:val="24"/>
                <w:szCs w:val="24"/>
              </w:rPr>
            </w:pPr>
          </w:p>
        </w:tc>
        <w:tc>
          <w:tcPr>
            <w:tcW w:w="344" w:type="pct"/>
            <w:vMerge w:val="continue"/>
            <w:vAlign w:val="center"/>
          </w:tcPr>
          <w:p w14:paraId="7F87B517">
            <w:pPr>
              <w:widowControl/>
              <w:ind w:firstLine="0" w:firstLineChars="0"/>
              <w:jc w:val="center"/>
              <w:textAlignment w:val="center"/>
              <w:rPr>
                <w:rFonts w:eastAsia="方正仿宋_GBK" w:cs="Times New Roman"/>
                <w:color w:val="FF0000"/>
                <w:sz w:val="24"/>
                <w:szCs w:val="24"/>
              </w:rPr>
            </w:pPr>
          </w:p>
        </w:tc>
        <w:tc>
          <w:tcPr>
            <w:tcW w:w="351" w:type="pct"/>
            <w:vMerge w:val="continue"/>
            <w:vAlign w:val="center"/>
          </w:tcPr>
          <w:p w14:paraId="125B5612">
            <w:pPr>
              <w:widowControl/>
              <w:ind w:firstLine="0" w:firstLineChars="0"/>
              <w:jc w:val="center"/>
              <w:textAlignment w:val="center"/>
              <w:rPr>
                <w:rFonts w:eastAsia="方正仿宋_GBK" w:cs="Times New Roman"/>
                <w:color w:val="000000"/>
                <w:sz w:val="24"/>
                <w:szCs w:val="24"/>
              </w:rPr>
            </w:pPr>
          </w:p>
        </w:tc>
        <w:tc>
          <w:tcPr>
            <w:tcW w:w="600" w:type="pct"/>
            <w:vMerge w:val="continue"/>
            <w:vAlign w:val="center"/>
          </w:tcPr>
          <w:p w14:paraId="1D9F2AC4">
            <w:pPr>
              <w:widowControl/>
              <w:ind w:firstLine="0" w:firstLineChars="0"/>
              <w:jc w:val="center"/>
              <w:textAlignment w:val="center"/>
              <w:rPr>
                <w:rFonts w:eastAsia="方正仿宋_GBK" w:cs="Times New Roman"/>
                <w:color w:val="000000"/>
                <w:sz w:val="24"/>
                <w:szCs w:val="24"/>
                <w:highlight w:val="yellow"/>
              </w:rPr>
            </w:pPr>
          </w:p>
        </w:tc>
        <w:tc>
          <w:tcPr>
            <w:tcW w:w="278" w:type="pct"/>
            <w:vMerge w:val="continue"/>
            <w:vAlign w:val="center"/>
          </w:tcPr>
          <w:p w14:paraId="1E454DFB">
            <w:pPr>
              <w:widowControl/>
              <w:ind w:firstLine="0" w:firstLineChars="0"/>
              <w:jc w:val="center"/>
              <w:textAlignment w:val="center"/>
              <w:rPr>
                <w:rFonts w:eastAsia="方正仿宋_GBK" w:cs="Times New Roman"/>
                <w:color w:val="000000"/>
                <w:sz w:val="24"/>
                <w:szCs w:val="24"/>
              </w:rPr>
            </w:pPr>
          </w:p>
        </w:tc>
        <w:tc>
          <w:tcPr>
            <w:tcW w:w="951" w:type="pct"/>
            <w:vAlign w:val="center"/>
          </w:tcPr>
          <w:p w14:paraId="409ABEC7">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9号房（4、5、6、7层）</w:t>
            </w:r>
          </w:p>
        </w:tc>
        <w:tc>
          <w:tcPr>
            <w:tcW w:w="312" w:type="pct"/>
            <w:vAlign w:val="center"/>
          </w:tcPr>
          <w:p w14:paraId="4EF6588D">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两室</w:t>
            </w:r>
          </w:p>
        </w:tc>
        <w:tc>
          <w:tcPr>
            <w:tcW w:w="429" w:type="pct"/>
            <w:vAlign w:val="center"/>
          </w:tcPr>
          <w:p w14:paraId="4E61FC1B">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66.28</w:t>
            </w:r>
          </w:p>
        </w:tc>
        <w:tc>
          <w:tcPr>
            <w:tcW w:w="414" w:type="pct"/>
            <w:vAlign w:val="center"/>
          </w:tcPr>
          <w:p w14:paraId="346580E0">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52.65</w:t>
            </w:r>
          </w:p>
        </w:tc>
        <w:tc>
          <w:tcPr>
            <w:tcW w:w="414" w:type="pct"/>
            <w:vAlign w:val="center"/>
          </w:tcPr>
          <w:p w14:paraId="47D67DB7">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13.63</w:t>
            </w:r>
          </w:p>
        </w:tc>
        <w:tc>
          <w:tcPr>
            <w:tcW w:w="245" w:type="pct"/>
            <w:vAlign w:val="center"/>
          </w:tcPr>
          <w:p w14:paraId="737BB658">
            <w:pPr>
              <w:widowControl/>
              <w:ind w:firstLine="0" w:firstLineChars="0"/>
              <w:jc w:val="center"/>
              <w:textAlignment w:val="center"/>
              <w:rPr>
                <w:rFonts w:eastAsia="方正仿宋_GBK" w:cs="Times New Roman"/>
                <w:color w:val="000000"/>
                <w:sz w:val="24"/>
                <w:szCs w:val="24"/>
              </w:rPr>
            </w:pPr>
          </w:p>
        </w:tc>
      </w:tr>
      <w:tr w14:paraId="193C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0" w:type="pct"/>
            <w:vAlign w:val="center"/>
          </w:tcPr>
          <w:p w14:paraId="3EBDB429">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5</w:t>
            </w:r>
          </w:p>
        </w:tc>
        <w:tc>
          <w:tcPr>
            <w:tcW w:w="405" w:type="pct"/>
            <w:vMerge w:val="continue"/>
            <w:vAlign w:val="center"/>
          </w:tcPr>
          <w:p w14:paraId="5D982680">
            <w:pPr>
              <w:widowControl/>
              <w:ind w:firstLine="0" w:firstLineChars="0"/>
              <w:jc w:val="center"/>
              <w:textAlignment w:val="center"/>
              <w:rPr>
                <w:rFonts w:eastAsia="方正仿宋_GBK" w:cs="Times New Roman"/>
                <w:color w:val="000000"/>
                <w:sz w:val="24"/>
                <w:szCs w:val="24"/>
              </w:rPr>
            </w:pPr>
          </w:p>
        </w:tc>
        <w:tc>
          <w:tcPr>
            <w:tcW w:w="344" w:type="pct"/>
            <w:vMerge w:val="continue"/>
            <w:vAlign w:val="center"/>
          </w:tcPr>
          <w:p w14:paraId="0591E3C6">
            <w:pPr>
              <w:widowControl/>
              <w:ind w:firstLine="0" w:firstLineChars="0"/>
              <w:jc w:val="center"/>
              <w:textAlignment w:val="center"/>
              <w:rPr>
                <w:rFonts w:eastAsia="方正仿宋_GBK" w:cs="Times New Roman"/>
                <w:color w:val="FF0000"/>
                <w:sz w:val="24"/>
                <w:szCs w:val="24"/>
              </w:rPr>
            </w:pPr>
          </w:p>
        </w:tc>
        <w:tc>
          <w:tcPr>
            <w:tcW w:w="351" w:type="pct"/>
            <w:vMerge w:val="continue"/>
            <w:vAlign w:val="center"/>
          </w:tcPr>
          <w:p w14:paraId="1DED639A">
            <w:pPr>
              <w:widowControl/>
              <w:ind w:firstLine="0" w:firstLineChars="0"/>
              <w:jc w:val="center"/>
              <w:textAlignment w:val="center"/>
              <w:rPr>
                <w:rFonts w:eastAsia="方正仿宋_GBK" w:cs="Times New Roman"/>
                <w:color w:val="000000"/>
                <w:sz w:val="24"/>
                <w:szCs w:val="24"/>
              </w:rPr>
            </w:pPr>
          </w:p>
        </w:tc>
        <w:tc>
          <w:tcPr>
            <w:tcW w:w="600" w:type="pct"/>
            <w:vMerge w:val="continue"/>
            <w:vAlign w:val="center"/>
          </w:tcPr>
          <w:p w14:paraId="24EF0191">
            <w:pPr>
              <w:widowControl/>
              <w:ind w:firstLine="0" w:firstLineChars="0"/>
              <w:jc w:val="center"/>
              <w:textAlignment w:val="center"/>
              <w:rPr>
                <w:rFonts w:eastAsia="方正仿宋_GBK" w:cs="Times New Roman"/>
                <w:color w:val="000000"/>
                <w:sz w:val="24"/>
                <w:szCs w:val="24"/>
                <w:highlight w:val="yellow"/>
              </w:rPr>
            </w:pPr>
          </w:p>
        </w:tc>
        <w:tc>
          <w:tcPr>
            <w:tcW w:w="278" w:type="pct"/>
            <w:vMerge w:val="continue"/>
            <w:vAlign w:val="center"/>
          </w:tcPr>
          <w:p w14:paraId="72CC4B48">
            <w:pPr>
              <w:widowControl/>
              <w:ind w:firstLine="0" w:firstLineChars="0"/>
              <w:jc w:val="center"/>
              <w:textAlignment w:val="center"/>
              <w:rPr>
                <w:rFonts w:eastAsia="方正仿宋_GBK" w:cs="Times New Roman"/>
                <w:color w:val="000000"/>
                <w:sz w:val="24"/>
                <w:szCs w:val="24"/>
              </w:rPr>
            </w:pPr>
          </w:p>
        </w:tc>
        <w:tc>
          <w:tcPr>
            <w:tcW w:w="951" w:type="pct"/>
            <w:vAlign w:val="center"/>
          </w:tcPr>
          <w:p w14:paraId="334F076D">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10号房（6、7层）</w:t>
            </w:r>
          </w:p>
        </w:tc>
        <w:tc>
          <w:tcPr>
            <w:tcW w:w="312" w:type="pct"/>
            <w:vAlign w:val="center"/>
          </w:tcPr>
          <w:p w14:paraId="3874C46B">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两室</w:t>
            </w:r>
          </w:p>
        </w:tc>
        <w:tc>
          <w:tcPr>
            <w:tcW w:w="429" w:type="pct"/>
            <w:vAlign w:val="center"/>
          </w:tcPr>
          <w:p w14:paraId="4588B73E">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66.69</w:t>
            </w:r>
          </w:p>
        </w:tc>
        <w:tc>
          <w:tcPr>
            <w:tcW w:w="414" w:type="pct"/>
            <w:vAlign w:val="center"/>
          </w:tcPr>
          <w:p w14:paraId="2839EC4B">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52.98</w:t>
            </w:r>
          </w:p>
        </w:tc>
        <w:tc>
          <w:tcPr>
            <w:tcW w:w="414" w:type="pct"/>
            <w:vAlign w:val="center"/>
          </w:tcPr>
          <w:p w14:paraId="0E911097">
            <w:pPr>
              <w:widowControl/>
              <w:ind w:firstLine="0" w:firstLineChars="0"/>
              <w:jc w:val="center"/>
              <w:textAlignment w:val="center"/>
              <w:rPr>
                <w:rFonts w:eastAsia="方正仿宋_GBK" w:cs="Times New Roman"/>
                <w:color w:val="000000"/>
                <w:sz w:val="24"/>
                <w:szCs w:val="24"/>
              </w:rPr>
            </w:pPr>
            <w:r>
              <w:rPr>
                <w:rFonts w:eastAsia="方正仿宋_GBK" w:cs="Times New Roman"/>
                <w:color w:val="000000"/>
                <w:sz w:val="24"/>
                <w:szCs w:val="24"/>
              </w:rPr>
              <w:t>13.71</w:t>
            </w:r>
          </w:p>
        </w:tc>
        <w:tc>
          <w:tcPr>
            <w:tcW w:w="245" w:type="pct"/>
            <w:vAlign w:val="center"/>
          </w:tcPr>
          <w:p w14:paraId="74E97F02">
            <w:pPr>
              <w:widowControl/>
              <w:ind w:firstLine="0" w:firstLineChars="0"/>
              <w:jc w:val="center"/>
              <w:textAlignment w:val="center"/>
              <w:rPr>
                <w:rFonts w:eastAsia="方正仿宋_GBK" w:cs="Times New Roman"/>
                <w:color w:val="000000"/>
                <w:sz w:val="24"/>
                <w:szCs w:val="24"/>
              </w:rPr>
            </w:pPr>
          </w:p>
        </w:tc>
      </w:tr>
    </w:tbl>
    <w:p w14:paraId="51C104E0">
      <w:pPr>
        <w:ind w:firstLine="880"/>
        <w:rPr>
          <w:rFonts w:eastAsia="方正小标宋_GBK" w:cs="Times New Roman"/>
          <w:color w:val="000000"/>
          <w:sz w:val="44"/>
          <w:szCs w:val="44"/>
        </w:rPr>
        <w:sectPr>
          <w:headerReference r:id="rId6" w:type="default"/>
          <w:footerReference r:id="rId7" w:type="default"/>
          <w:pgSz w:w="16838" w:h="11906" w:orient="landscape"/>
          <w:pgMar w:top="1531" w:right="2098" w:bottom="1531" w:left="1984" w:header="851" w:footer="1531" w:gutter="0"/>
          <w:cols w:space="0" w:num="1"/>
          <w:docGrid w:type="lines" w:linePitch="442" w:charSpace="0"/>
        </w:sectPr>
      </w:pPr>
    </w:p>
    <w:p w14:paraId="7746EE42">
      <w:pPr>
        <w:ind w:firstLine="0" w:firstLineChars="0"/>
        <w:jc w:val="center"/>
        <w:rPr>
          <w:rFonts w:eastAsia="方正小标宋_GBK" w:cs="Times New Roman"/>
          <w:color w:val="000000"/>
          <w:sz w:val="44"/>
          <w:szCs w:val="44"/>
        </w:rPr>
      </w:pPr>
      <w:r>
        <w:rPr>
          <w:rFonts w:hint="eastAsia" w:eastAsia="方正小标宋_GBK" w:cs="Times New Roman"/>
          <w:color w:val="000000"/>
          <w:sz w:val="44"/>
          <w:szCs w:val="44"/>
        </w:rPr>
        <w:t>重</w:t>
      </w:r>
      <w:r>
        <w:rPr>
          <w:rFonts w:eastAsia="方正小标宋_GBK" w:cs="Times New Roman"/>
          <w:color w:val="000000"/>
          <w:sz w:val="44"/>
          <w:szCs w:val="44"/>
        </w:rPr>
        <w:t>庆高新区管委会</w:t>
      </w:r>
    </w:p>
    <w:p w14:paraId="43B6BCFC">
      <w:pPr>
        <w:ind w:firstLine="0" w:firstLineChars="0"/>
        <w:jc w:val="center"/>
        <w:rPr>
          <w:rFonts w:cs="Times New Roman"/>
        </w:rPr>
      </w:pPr>
      <w:r>
        <w:rPr>
          <w:rFonts w:hint="eastAsia" w:eastAsia="方正小标宋_GBK" w:cs="Times New Roman"/>
          <w:color w:val="000000"/>
          <w:sz w:val="44"/>
          <w:szCs w:val="44"/>
        </w:rPr>
        <w:t>关于</w:t>
      </w:r>
      <w:r>
        <w:rPr>
          <w:rFonts w:eastAsia="方正小标宋_GBK" w:cs="Times New Roman"/>
          <w:sz w:val="44"/>
          <w:szCs w:val="44"/>
        </w:rPr>
        <w:t>梁滩河综合整治（含谷老场镇片区）国有土地上房屋征收项目</w:t>
      </w:r>
      <w:r>
        <w:rPr>
          <w:rFonts w:hint="eastAsia" w:eastAsia="方正小标宋_GBK" w:cs="Times New Roman"/>
          <w:sz w:val="44"/>
          <w:szCs w:val="44"/>
        </w:rPr>
        <w:t>（</w:t>
      </w:r>
      <w:r>
        <w:rPr>
          <w:rFonts w:eastAsia="方正小标宋_GBK" w:cs="Times New Roman"/>
          <w:sz w:val="44"/>
          <w:szCs w:val="44"/>
        </w:rPr>
        <w:t>三期</w:t>
      </w:r>
      <w:r>
        <w:rPr>
          <w:rFonts w:hint="eastAsia" w:eastAsia="方正小标宋_GBK" w:cs="Times New Roman"/>
          <w:sz w:val="44"/>
          <w:szCs w:val="44"/>
        </w:rPr>
        <w:t>）</w:t>
      </w:r>
      <w:r>
        <w:rPr>
          <w:rFonts w:eastAsia="方正小标宋_GBK" w:cs="Times New Roman"/>
          <w:sz w:val="44"/>
          <w:szCs w:val="44"/>
        </w:rPr>
        <w:t>补偿方案征求意见及修改情况说明</w:t>
      </w:r>
    </w:p>
    <w:p w14:paraId="38C669B8">
      <w:pPr>
        <w:ind w:firstLine="883"/>
        <w:rPr>
          <w:rFonts w:cs="Times New Roman"/>
          <w:b/>
          <w:sz w:val="44"/>
          <w:szCs w:val="44"/>
        </w:rPr>
      </w:pPr>
    </w:p>
    <w:p w14:paraId="0D5C053C">
      <w:pPr>
        <w:ind w:firstLine="640"/>
        <w:rPr>
          <w:rFonts w:eastAsia="方正仿宋_GBK" w:cs="Times New Roman"/>
        </w:rPr>
      </w:pPr>
      <w:r>
        <w:rPr>
          <w:rFonts w:hint="eastAsia" w:eastAsia="方正仿宋_GBK" w:cs="Times New Roman"/>
          <w:color w:val="000000"/>
        </w:rPr>
        <w:t>梁滩河综合整治（含谷老场镇片区）国有土地上房屋征收项目（三期）</w:t>
      </w:r>
      <w:r>
        <w:rPr>
          <w:rFonts w:eastAsia="方正仿宋_GBK" w:cs="Times New Roman"/>
        </w:rPr>
        <w:t>是经重庆高新区管委会同意实施的国有土地上房屋征收项目。根据</w:t>
      </w:r>
      <w:r>
        <w:rPr>
          <w:rFonts w:eastAsia="方正仿宋_GBK" w:cs="Times New Roman"/>
          <w:lang w:val="zh-CN"/>
        </w:rPr>
        <w:t>《</w:t>
      </w:r>
      <w:r>
        <w:rPr>
          <w:rFonts w:eastAsia="方正仿宋_GBK" w:cs="Times New Roman"/>
          <w:color w:val="000000" w:themeColor="text1"/>
          <w14:textFill>
            <w14:solidFill>
              <w14:schemeClr w14:val="tx1"/>
            </w14:solidFill>
          </w14:textFill>
        </w:rPr>
        <w:t>重庆市国有土地上房屋征收与补偿条例</w:t>
      </w:r>
      <w:r>
        <w:rPr>
          <w:rFonts w:eastAsia="方正仿宋_GBK" w:cs="Times New Roman"/>
          <w:lang w:val="zh-CN"/>
        </w:rPr>
        <w:t>》《</w:t>
      </w:r>
      <w:r>
        <w:rPr>
          <w:rFonts w:eastAsia="方正仿宋_GBK" w:cs="Times New Roman"/>
          <w:color w:val="000000" w:themeColor="text1"/>
          <w14:textFill>
            <w14:solidFill>
              <w14:schemeClr w14:val="tx1"/>
            </w14:solidFill>
          </w14:textFill>
        </w:rPr>
        <w:t>重庆市国有土地上房屋征收与补偿条例</w:t>
      </w:r>
      <w:r>
        <w:rPr>
          <w:rFonts w:eastAsia="方正仿宋_GBK" w:cs="Times New Roman"/>
          <w:lang w:val="zh-CN"/>
        </w:rPr>
        <w:t>》</w:t>
      </w:r>
      <w:r>
        <w:rPr>
          <w:rFonts w:eastAsia="方正仿宋_GBK" w:cs="Times New Roman"/>
        </w:rPr>
        <w:t>等，</w:t>
      </w:r>
      <w:r>
        <w:rPr>
          <w:rFonts w:hint="eastAsia" w:eastAsia="方正仿宋_GBK" w:cs="Times New Roman"/>
        </w:rPr>
        <w:t>2024</w:t>
      </w:r>
      <w:r>
        <w:rPr>
          <w:rFonts w:eastAsia="方正仿宋_GBK" w:cs="Times New Roman"/>
        </w:rPr>
        <w:t>年</w:t>
      </w:r>
      <w:r>
        <w:rPr>
          <w:rFonts w:hint="eastAsia" w:eastAsia="方正仿宋_GBK" w:cs="Times New Roman"/>
        </w:rPr>
        <w:t>11</w:t>
      </w:r>
      <w:r>
        <w:rPr>
          <w:rFonts w:eastAsia="方正仿宋_GBK" w:cs="Times New Roman"/>
        </w:rPr>
        <w:t>月</w:t>
      </w:r>
      <w:r>
        <w:rPr>
          <w:rFonts w:hint="eastAsia" w:eastAsia="方正仿宋_GBK" w:cs="Times New Roman"/>
        </w:rPr>
        <w:t>8</w:t>
      </w:r>
      <w:r>
        <w:rPr>
          <w:rFonts w:eastAsia="方正仿宋_GBK" w:cs="Times New Roman"/>
        </w:rPr>
        <w:t>日至</w:t>
      </w:r>
      <w:r>
        <w:rPr>
          <w:rFonts w:hint="eastAsia" w:eastAsia="方正仿宋_GBK" w:cs="Times New Roman"/>
        </w:rPr>
        <w:t>2024</w:t>
      </w:r>
      <w:r>
        <w:rPr>
          <w:rFonts w:eastAsia="方正仿宋_GBK" w:cs="Times New Roman"/>
        </w:rPr>
        <w:t>年</w:t>
      </w:r>
      <w:r>
        <w:rPr>
          <w:rFonts w:hint="eastAsia" w:eastAsia="方正仿宋_GBK" w:cs="Times New Roman"/>
        </w:rPr>
        <w:t>12</w:t>
      </w:r>
      <w:r>
        <w:rPr>
          <w:rFonts w:eastAsia="方正仿宋_GBK" w:cs="Times New Roman"/>
        </w:rPr>
        <w:t>月</w:t>
      </w:r>
      <w:r>
        <w:rPr>
          <w:rFonts w:hint="eastAsia" w:eastAsia="方正仿宋_GBK" w:cs="Times New Roman"/>
        </w:rPr>
        <w:t>7</w:t>
      </w:r>
      <w:r>
        <w:rPr>
          <w:rFonts w:eastAsia="方正仿宋_GBK" w:cs="Times New Roman"/>
        </w:rPr>
        <w:t>日，重庆高新区管委会依法公示了</w:t>
      </w:r>
      <w:r>
        <w:rPr>
          <w:rFonts w:eastAsia="方正仿宋_GBK" w:cs="Times New Roman"/>
          <w:lang w:val="zh-CN"/>
        </w:rPr>
        <w:t>《</w:t>
      </w:r>
      <w:r>
        <w:rPr>
          <w:rFonts w:hint="eastAsia" w:eastAsia="方正仿宋_GBK" w:cs="Times New Roman"/>
        </w:rPr>
        <w:t>梁滩河综合整治（含谷老场镇片区）</w:t>
      </w:r>
      <w:r>
        <w:rPr>
          <w:rFonts w:eastAsia="方正仿宋_GBK" w:cs="Times New Roman"/>
        </w:rPr>
        <w:t>国有土地上房屋征收项目</w:t>
      </w:r>
      <w:r>
        <w:rPr>
          <w:rFonts w:hint="eastAsia" w:eastAsia="方正仿宋_GBK" w:cs="Times New Roman"/>
        </w:rPr>
        <w:t>（三期）</w:t>
      </w:r>
      <w:r>
        <w:rPr>
          <w:rFonts w:eastAsia="方正仿宋_GBK" w:cs="Times New Roman"/>
        </w:rPr>
        <w:t>征收补偿方案（征求意见稿）》，各被征收人对</w:t>
      </w:r>
      <w:r>
        <w:rPr>
          <w:rFonts w:eastAsia="方正仿宋_GBK" w:cs="Times New Roman"/>
          <w:lang w:val="zh-CN"/>
        </w:rPr>
        <w:t>《</w:t>
      </w:r>
      <w:r>
        <w:rPr>
          <w:rFonts w:hint="eastAsia" w:eastAsia="方正仿宋_GBK" w:cs="Times New Roman"/>
          <w:color w:val="000000"/>
        </w:rPr>
        <w:t>梁滩河综合整治（含谷老场镇片区）</w:t>
      </w:r>
      <w:r>
        <w:rPr>
          <w:rFonts w:eastAsia="方正仿宋_GBK" w:cs="Times New Roman"/>
        </w:rPr>
        <w:t>国有土地上房屋征收项目</w:t>
      </w:r>
      <w:r>
        <w:rPr>
          <w:rFonts w:hint="eastAsia" w:eastAsia="方正仿宋_GBK" w:cs="Times New Roman"/>
        </w:rPr>
        <w:t>（三期）</w:t>
      </w:r>
      <w:r>
        <w:rPr>
          <w:rFonts w:eastAsia="方正仿宋_GBK" w:cs="Times New Roman"/>
        </w:rPr>
        <w:t>征收补偿方案（征求意见稿）》</w:t>
      </w:r>
      <w:r>
        <w:rPr>
          <w:rFonts w:hint="eastAsia" w:eastAsia="方正仿宋_GBK" w:cs="Times New Roman"/>
        </w:rPr>
        <w:t>未</w:t>
      </w:r>
      <w:r>
        <w:rPr>
          <w:rFonts w:eastAsia="方正仿宋_GBK" w:cs="Times New Roman"/>
        </w:rPr>
        <w:t>提出意见</w:t>
      </w:r>
      <w:r>
        <w:rPr>
          <w:rFonts w:hint="eastAsia" w:eastAsia="方正仿宋_GBK" w:cs="Times New Roman"/>
        </w:rPr>
        <w:t>，故正式方案未对征求意见稿内容进行修改。</w:t>
      </w:r>
    </w:p>
    <w:p w14:paraId="149A98ED">
      <w:pPr>
        <w:pStyle w:val="2"/>
        <w:spacing w:line="600" w:lineRule="exact"/>
        <w:rPr>
          <w:rFonts w:ascii="Times New Roman" w:hAnsi="Times New Roman" w:eastAsia="方正仿宋_GBK" w:cs="Times New Roman"/>
          <w:sz w:val="32"/>
          <w:szCs w:val="32"/>
        </w:rPr>
      </w:pPr>
    </w:p>
    <w:p w14:paraId="2F7BBF8C">
      <w:pPr>
        <w:pStyle w:val="2"/>
        <w:spacing w:line="600" w:lineRule="exact"/>
        <w:rPr>
          <w:rFonts w:ascii="Times New Roman" w:hAnsi="Times New Roman" w:eastAsia="方正仿宋_GBK" w:cs="Times New Roman"/>
          <w:sz w:val="32"/>
          <w:szCs w:val="32"/>
        </w:rPr>
      </w:pPr>
    </w:p>
    <w:p w14:paraId="1E1D99DB">
      <w:pPr>
        <w:ind w:right="640" w:firstLine="640"/>
        <w:jc w:val="right"/>
        <w:rPr>
          <w:rFonts w:eastAsia="方正仿宋_GBK" w:cs="Times New Roman"/>
        </w:rPr>
      </w:pPr>
      <w:r>
        <w:rPr>
          <w:rFonts w:eastAsia="方正仿宋_GBK" w:cs="Times New Roman"/>
        </w:rPr>
        <w:t xml:space="preserve">      </w:t>
      </w:r>
      <w:r>
        <w:rPr>
          <w:rFonts w:hint="eastAsia" w:eastAsia="方正仿宋_GBK" w:cs="Times New Roman"/>
        </w:rPr>
        <w:t xml:space="preserve">   </w:t>
      </w:r>
      <w:r>
        <w:rPr>
          <w:rFonts w:eastAsia="方正仿宋_GBK" w:cs="Times New Roman"/>
        </w:rPr>
        <w:t xml:space="preserve"> </w:t>
      </w:r>
      <w:r>
        <w:rPr>
          <w:rFonts w:hint="eastAsia" w:eastAsia="方正仿宋_GBK" w:cs="Times New Roman"/>
        </w:rPr>
        <w:t xml:space="preserve"> </w:t>
      </w:r>
      <w:r>
        <w:rPr>
          <w:rFonts w:eastAsia="方正仿宋_GBK" w:cs="Times New Roman"/>
        </w:rPr>
        <w:t>重庆高新区管委会</w:t>
      </w:r>
    </w:p>
    <w:p w14:paraId="287D92A6">
      <w:pPr>
        <w:ind w:firstLine="640"/>
        <w:jc w:val="center"/>
      </w:pPr>
      <w:r>
        <w:rPr>
          <w:rFonts w:eastAsia="方正仿宋_GBK" w:cs="Times New Roman"/>
        </w:rPr>
        <w:t xml:space="preserve"> </w:t>
      </w:r>
      <w:r>
        <w:rPr>
          <w:rFonts w:hint="eastAsia" w:eastAsia="方正仿宋_GBK" w:cs="Times New Roman"/>
        </w:rPr>
        <w:t xml:space="preserve">                          2024</w:t>
      </w:r>
      <w:r>
        <w:rPr>
          <w:rFonts w:eastAsia="方正仿宋_GBK" w:cs="Times New Roman"/>
        </w:rPr>
        <w:t>年</w:t>
      </w:r>
      <w:r>
        <w:rPr>
          <w:rFonts w:hint="eastAsia" w:eastAsia="方正仿宋_GBK" w:cs="Times New Roman"/>
        </w:rPr>
        <w:t>12</w:t>
      </w:r>
      <w:r>
        <w:rPr>
          <w:rFonts w:eastAsia="方正仿宋_GBK" w:cs="Times New Roman"/>
        </w:rPr>
        <w:t>月</w:t>
      </w:r>
      <w:r>
        <w:rPr>
          <w:rFonts w:hint="eastAsia" w:eastAsia="方正仿宋_GBK" w:cs="Times New Roman"/>
        </w:rPr>
        <w:t>11</w:t>
      </w:r>
      <w:r>
        <w:rPr>
          <w:rFonts w:eastAsia="方正仿宋_GBK" w:cs="Times New Roman"/>
        </w:rPr>
        <w:t>日</w:t>
      </w:r>
    </w:p>
    <w:p w14:paraId="2BAB19D3">
      <w:pPr>
        <w:pStyle w:val="2"/>
        <w:spacing w:line="600" w:lineRule="exact"/>
        <w:rPr>
          <w:rFonts w:eastAsia="方正黑体_GBK" w:cs="Times New Roman"/>
        </w:rPr>
      </w:pPr>
    </w:p>
    <w:sectPr>
      <w:pgSz w:w="11906" w:h="16838"/>
      <w:pgMar w:top="2098" w:right="1531" w:bottom="1984" w:left="1531" w:header="851" w:footer="1531" w:gutter="0"/>
      <w:cols w:space="0" w:num="1"/>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157FBB4-BA7E-41A2-832E-C1683693604F}"/>
  </w:font>
  <w:font w:name="Helvetica">
    <w:altName w:val="Arial"/>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embedRegular r:id="rId2" w:fontKey="{A63E95ED-0D49-4966-AB14-38F9695CDC8A}"/>
  </w:font>
  <w:font w:name="Courier">
    <w:altName w:val="Courier New"/>
    <w:panose1 w:val="02060409020205020404"/>
    <w:charset w:val="00"/>
    <w:family w:val="modern"/>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方正小标宋_GBK">
    <w:panose1 w:val="02000000000000000000"/>
    <w:charset w:val="86"/>
    <w:family w:val="script"/>
    <w:pitch w:val="default"/>
    <w:sig w:usb0="A00002BF" w:usb1="38CF7CFA" w:usb2="00082016" w:usb3="00000000" w:csb0="00040001" w:csb1="00000000"/>
    <w:embedRegular r:id="rId3" w:fontKey="{B38AE4BD-1EEB-44CA-8BE1-E46E3E3AE067}"/>
  </w:font>
  <w:font w:name="方正仿宋_GBK">
    <w:panose1 w:val="03000509000000000000"/>
    <w:charset w:val="86"/>
    <w:family w:val="script"/>
    <w:pitch w:val="default"/>
    <w:sig w:usb0="00000001" w:usb1="080E0000" w:usb2="00000000" w:usb3="00000000" w:csb0="00040000" w:csb1="00000000"/>
    <w:embedRegular r:id="rId4" w:fontKey="{02F70DE5-BBBB-4197-9A00-2FDE8EE4C2A2}"/>
  </w:font>
  <w:font w:name="方正黑体_GBK">
    <w:panose1 w:val="02010600010101010101"/>
    <w:charset w:val="86"/>
    <w:family w:val="script"/>
    <w:pitch w:val="default"/>
    <w:sig w:usb0="00000001" w:usb1="080E0000" w:usb2="00000000" w:usb3="00000000" w:csb0="00040000" w:csb1="00000000"/>
    <w:embedRegular r:id="rId5" w:fontKey="{9718C7C7-8BF6-48FB-871E-01E214AA8F6A}"/>
  </w:font>
  <w:font w:name="方正楷体_GB2312">
    <w:altName w:val="宋体"/>
    <w:panose1 w:val="00000000000000000000"/>
    <w:charset w:val="86"/>
    <w:family w:val="auto"/>
    <w:pitch w:val="default"/>
    <w:sig w:usb0="00000000" w:usb1="00000000" w:usb2="00000012" w:usb3="00000000" w:csb0="00040001" w:csb1="00000000"/>
    <w:embedRegular r:id="rId6" w:fontKey="{E48EF4FA-EC1A-4A1F-8B0E-A7F3CF7D019A}"/>
  </w:font>
  <w:font w:name="方正楷体_GBK">
    <w:panose1 w:val="02000000000000000000"/>
    <w:charset w:val="86"/>
    <w:family w:val="script"/>
    <w:pitch w:val="default"/>
    <w:sig w:usb0="800002BF" w:usb1="38CF7CFA" w:usb2="00000016" w:usb3="00000000" w:csb0="00040000" w:csb1="00000000"/>
    <w:embedRegular r:id="rId7" w:fontKey="{716ACB7B-E422-4A0A-9478-89317475ACCF}"/>
  </w:font>
  <w:font w:name="Courier New">
    <w:panose1 w:val="02070309020205020404"/>
    <w:charset w:val="00"/>
    <w:family w:val="auto"/>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A4FB9">
    <w:pPr>
      <w:widowControl w:val="0"/>
      <w:tabs>
        <w:tab w:val="center" w:pos="4153"/>
        <w:tab w:val="right" w:pos="8306"/>
      </w:tabs>
      <w:snapToGrid w:val="0"/>
      <w:ind w:firstLine="360"/>
      <w:jc w:val="left"/>
      <w:rPr>
        <w:rFonts w:eastAsia="宋体" w:cs="Times New Roman"/>
        <w:sz w:val="18"/>
        <w:szCs w:val="24"/>
      </w:rPr>
    </w:pPr>
    <w:r>
      <w:rPr>
        <w:rFonts w:eastAsia="宋体" w:cs="Times New Roman"/>
        <w:sz w:val="18"/>
        <w:szCs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1F4246">
                          <w:pPr>
                            <w:widowControl w:val="0"/>
                            <w:snapToGrid w:val="0"/>
                            <w:spacing w:line="240" w:lineRule="auto"/>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661F4246">
                    <w:pPr>
                      <w:widowControl w:val="0"/>
                      <w:snapToGrid w:val="0"/>
                      <w:spacing w:line="240" w:lineRule="auto"/>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71D47">
    <w:pPr>
      <w:pStyle w:val="6"/>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B8CFF">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73B8CFF">
                    <w:pPr>
                      <w:pStyle w:val="6"/>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8A54">
    <w:pPr>
      <w:pStyle w:val="2"/>
      <w:ind w:firstLine="8640" w:firstLineChars="27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63C2DA11">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146AF"/>
    <w:multiLevelType w:val="singleLevel"/>
    <w:tmpl w:val="CC4146AF"/>
    <w:lvl w:ilvl="0" w:tentative="0">
      <w:start w:val="2"/>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60"/>
  <w:drawingGridVerticalSpacing w:val="22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DNlMzUyMzE5YzkyMjMyYmY5Y2RlMGMyZDJhMzQifQ=="/>
  </w:docVars>
  <w:rsids>
    <w:rsidRoot w:val="2A116FF7"/>
    <w:rsid w:val="0029159C"/>
    <w:rsid w:val="005A7208"/>
    <w:rsid w:val="00693904"/>
    <w:rsid w:val="00803435"/>
    <w:rsid w:val="00944849"/>
    <w:rsid w:val="00984008"/>
    <w:rsid w:val="00B558BE"/>
    <w:rsid w:val="00D37B85"/>
    <w:rsid w:val="00D75FF9"/>
    <w:rsid w:val="00E84814"/>
    <w:rsid w:val="00EA7DF1"/>
    <w:rsid w:val="02704AC1"/>
    <w:rsid w:val="0370464D"/>
    <w:rsid w:val="041A2F36"/>
    <w:rsid w:val="04C531E4"/>
    <w:rsid w:val="04CD215A"/>
    <w:rsid w:val="05325276"/>
    <w:rsid w:val="05972365"/>
    <w:rsid w:val="05BB261F"/>
    <w:rsid w:val="05DE4FE8"/>
    <w:rsid w:val="063358E7"/>
    <w:rsid w:val="090715AF"/>
    <w:rsid w:val="09DC2A3C"/>
    <w:rsid w:val="0B981E88"/>
    <w:rsid w:val="0CAF3D4A"/>
    <w:rsid w:val="0CF762FE"/>
    <w:rsid w:val="0DEF71E2"/>
    <w:rsid w:val="0E5F51B4"/>
    <w:rsid w:val="0F065C80"/>
    <w:rsid w:val="0F2A6E85"/>
    <w:rsid w:val="0F9067A2"/>
    <w:rsid w:val="0FE87C08"/>
    <w:rsid w:val="11951E4E"/>
    <w:rsid w:val="11E9219A"/>
    <w:rsid w:val="14B22D17"/>
    <w:rsid w:val="15255831"/>
    <w:rsid w:val="157D3325"/>
    <w:rsid w:val="16A56C2E"/>
    <w:rsid w:val="18185587"/>
    <w:rsid w:val="199F0089"/>
    <w:rsid w:val="1A327A57"/>
    <w:rsid w:val="1ACE5DD4"/>
    <w:rsid w:val="1B5E64BF"/>
    <w:rsid w:val="1B981EE5"/>
    <w:rsid w:val="1BFD5425"/>
    <w:rsid w:val="1C5964ED"/>
    <w:rsid w:val="1C8F2C96"/>
    <w:rsid w:val="1D0F1AD3"/>
    <w:rsid w:val="1D425A4B"/>
    <w:rsid w:val="1DCB6BF8"/>
    <w:rsid w:val="1E454BFC"/>
    <w:rsid w:val="1F073058"/>
    <w:rsid w:val="1FDC0F1C"/>
    <w:rsid w:val="1FFB1A16"/>
    <w:rsid w:val="225467DF"/>
    <w:rsid w:val="22C02AA3"/>
    <w:rsid w:val="2309444A"/>
    <w:rsid w:val="23812232"/>
    <w:rsid w:val="24C7636B"/>
    <w:rsid w:val="253357AE"/>
    <w:rsid w:val="26361E29"/>
    <w:rsid w:val="28612632"/>
    <w:rsid w:val="28777BF4"/>
    <w:rsid w:val="290B7D31"/>
    <w:rsid w:val="29BF52CD"/>
    <w:rsid w:val="29BF5862"/>
    <w:rsid w:val="2A116FF7"/>
    <w:rsid w:val="2A3031E6"/>
    <w:rsid w:val="2A3C0619"/>
    <w:rsid w:val="2A91246C"/>
    <w:rsid w:val="2AE07BF6"/>
    <w:rsid w:val="2B737A33"/>
    <w:rsid w:val="2C15211D"/>
    <w:rsid w:val="2CCF5B36"/>
    <w:rsid w:val="2CF61E71"/>
    <w:rsid w:val="2D82724D"/>
    <w:rsid w:val="2E4C0C92"/>
    <w:rsid w:val="2E5D1AEE"/>
    <w:rsid w:val="2EF67531"/>
    <w:rsid w:val="30406BEB"/>
    <w:rsid w:val="30744ECD"/>
    <w:rsid w:val="31A812D2"/>
    <w:rsid w:val="31A82386"/>
    <w:rsid w:val="33DE1980"/>
    <w:rsid w:val="356814A4"/>
    <w:rsid w:val="37103BA1"/>
    <w:rsid w:val="37F60FE9"/>
    <w:rsid w:val="38CD0026"/>
    <w:rsid w:val="3AC239DE"/>
    <w:rsid w:val="3CD613E9"/>
    <w:rsid w:val="3DB241FD"/>
    <w:rsid w:val="3DD61FA8"/>
    <w:rsid w:val="3DEB2C72"/>
    <w:rsid w:val="3F1A23F7"/>
    <w:rsid w:val="3F87070A"/>
    <w:rsid w:val="3F8E7D59"/>
    <w:rsid w:val="4001124F"/>
    <w:rsid w:val="400A47AF"/>
    <w:rsid w:val="40D5689A"/>
    <w:rsid w:val="41523008"/>
    <w:rsid w:val="416845DA"/>
    <w:rsid w:val="41BB1F53"/>
    <w:rsid w:val="42F01CF9"/>
    <w:rsid w:val="438258D8"/>
    <w:rsid w:val="4467501D"/>
    <w:rsid w:val="458A2D71"/>
    <w:rsid w:val="459B4F7E"/>
    <w:rsid w:val="465313B5"/>
    <w:rsid w:val="478B0A13"/>
    <w:rsid w:val="485853A8"/>
    <w:rsid w:val="489932CB"/>
    <w:rsid w:val="49695393"/>
    <w:rsid w:val="49C16F7D"/>
    <w:rsid w:val="4A730277"/>
    <w:rsid w:val="4A7D4C52"/>
    <w:rsid w:val="4AFD2046"/>
    <w:rsid w:val="4D1B7B15"/>
    <w:rsid w:val="4D4E6D7A"/>
    <w:rsid w:val="4F2D4F3F"/>
    <w:rsid w:val="5156444F"/>
    <w:rsid w:val="521A320D"/>
    <w:rsid w:val="529F1132"/>
    <w:rsid w:val="535F3A8F"/>
    <w:rsid w:val="54693C11"/>
    <w:rsid w:val="557F3221"/>
    <w:rsid w:val="55FE467F"/>
    <w:rsid w:val="564927D4"/>
    <w:rsid w:val="57106E4E"/>
    <w:rsid w:val="583F08F6"/>
    <w:rsid w:val="58906498"/>
    <w:rsid w:val="594B184B"/>
    <w:rsid w:val="5C38389B"/>
    <w:rsid w:val="5C46388B"/>
    <w:rsid w:val="5D6513DC"/>
    <w:rsid w:val="5E1519EC"/>
    <w:rsid w:val="5EA17504"/>
    <w:rsid w:val="5F97010C"/>
    <w:rsid w:val="60C67C37"/>
    <w:rsid w:val="613B22A5"/>
    <w:rsid w:val="62AD4D91"/>
    <w:rsid w:val="63D026AC"/>
    <w:rsid w:val="64137F7D"/>
    <w:rsid w:val="66A722E3"/>
    <w:rsid w:val="66DF4A22"/>
    <w:rsid w:val="67D068B1"/>
    <w:rsid w:val="68476448"/>
    <w:rsid w:val="69C97A5C"/>
    <w:rsid w:val="6A224DE7"/>
    <w:rsid w:val="6A2D7FEB"/>
    <w:rsid w:val="6B2504C3"/>
    <w:rsid w:val="6BA67525"/>
    <w:rsid w:val="6BB57570"/>
    <w:rsid w:val="6C2B67AC"/>
    <w:rsid w:val="6CFA617E"/>
    <w:rsid w:val="6DC716CE"/>
    <w:rsid w:val="6FC82564"/>
    <w:rsid w:val="70A0309F"/>
    <w:rsid w:val="711C71F9"/>
    <w:rsid w:val="71CE08DA"/>
    <w:rsid w:val="722B6ADC"/>
    <w:rsid w:val="724A54B2"/>
    <w:rsid w:val="75263FB5"/>
    <w:rsid w:val="769A6A08"/>
    <w:rsid w:val="78E51A91"/>
    <w:rsid w:val="7AF2149E"/>
    <w:rsid w:val="7C480CB4"/>
    <w:rsid w:val="7CDB38D7"/>
    <w:rsid w:val="7EF24F07"/>
    <w:rsid w:val="7F2C0C33"/>
    <w:rsid w:val="7F303CC1"/>
    <w:rsid w:val="7F5B0CFF"/>
    <w:rsid w:val="7FFC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ind w:firstLine="200" w:firstLineChars="200"/>
      <w:jc w:val="both"/>
    </w:pPr>
    <w:rPr>
      <w:rFonts w:ascii="Times New Roman" w:hAnsi="Times New Roman" w:eastAsia="Helvetica" w:cs="黑体"/>
      <w:kern w:val="2"/>
      <w:sz w:val="32"/>
      <w:szCs w:val="32"/>
      <w:lang w:val="en-US" w:eastAsia="zh-CN" w:bidi="ar-SA"/>
    </w:rPr>
  </w:style>
  <w:style w:type="paragraph" w:styleId="3">
    <w:name w:val="heading 2"/>
    <w:basedOn w:val="1"/>
    <w:next w:val="1"/>
    <w:unhideWhenUsed/>
    <w:qFormat/>
    <w:uiPriority w:val="9"/>
    <w:pPr>
      <w:keepNext/>
      <w:keepLines/>
      <w:spacing w:before="260" w:after="260" w:line="416" w:lineRule="atLeast"/>
      <w:outlineLvl w:val="1"/>
    </w:pPr>
    <w:rPr>
      <w:rFonts w:ascii="等线 Light" w:hAnsi="等线 Light" w:eastAsia="等线 Light"/>
      <w:b/>
      <w:bCs/>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4">
    <w:name w:val="Body Text"/>
    <w:basedOn w:val="1"/>
    <w:next w:val="1"/>
    <w:qFormat/>
    <w:uiPriority w:val="1"/>
    <w:pPr>
      <w:ind w:left="100" w:firstLine="559"/>
      <w:jc w:val="left"/>
    </w:pPr>
    <w:rPr>
      <w:rFonts w:ascii="Courier" w:hAnsi="Courier" w:eastAsia="Courier"/>
      <w:kern w:val="0"/>
      <w:sz w:val="28"/>
      <w:szCs w:val="28"/>
      <w:lang w:eastAsia="en-US"/>
    </w:rPr>
  </w:style>
  <w:style w:type="paragraph" w:styleId="5">
    <w:name w:val="Balloon Text"/>
    <w:basedOn w:val="1"/>
    <w:link w:val="14"/>
    <w:uiPriority w:val="0"/>
    <w:pPr>
      <w:spacing w:line="240" w:lineRule="auto"/>
    </w:pPr>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Body Text First Indent"/>
    <w:basedOn w:val="4"/>
    <w:qFormat/>
    <w:uiPriority w:val="0"/>
    <w:pPr>
      <w:ind w:firstLine="420" w:firstLineChars="100"/>
    </w:pPr>
    <w:rPr>
      <w:rFonts w:ascii="Times New Roman" w:hAnsi="Times New Roman"/>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800080"/>
      <w:u w:val="single"/>
    </w:rPr>
  </w:style>
  <w:style w:type="character" w:customStyle="1" w:styleId="13">
    <w:name w:val="font21"/>
    <w:basedOn w:val="11"/>
    <w:qFormat/>
    <w:uiPriority w:val="0"/>
    <w:rPr>
      <w:rFonts w:hint="eastAsia" w:ascii="Helv" w:hAnsi="Helv" w:eastAsia="Helv" w:cs="Helv"/>
      <w:color w:val="000000"/>
      <w:sz w:val="32"/>
      <w:szCs w:val="32"/>
      <w:u w:val="none"/>
    </w:rPr>
  </w:style>
  <w:style w:type="character" w:customStyle="1" w:styleId="14">
    <w:name w:val="批注框文本 Char"/>
    <w:basedOn w:val="11"/>
    <w:link w:val="5"/>
    <w:uiPriority w:val="0"/>
    <w:rPr>
      <w:rFonts w:ascii="Times New Roman" w:hAnsi="Times New Roman" w:eastAsia="Helvetica"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5924</Words>
  <Characters>6259</Characters>
  <Lines>50</Lines>
  <Paragraphs>14</Paragraphs>
  <TotalTime>47</TotalTime>
  <ScaleCrop>false</ScaleCrop>
  <LinksUpToDate>false</LinksUpToDate>
  <CharactersWithSpaces>6521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2022-08-30T07:58:00Z</dcterms:created>
  <dc:creator>Administrator</dc:creator>
  <cp:lastModifiedBy>silence</cp:lastModifiedBy>
  <cp:lastPrinted>2024-12-10T09:31:00Z</cp:lastPrinted>
  <dcterms:modified xsi:type="dcterms:W3CDTF">2025-03-13T08:04:03Z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88D211B9465A4F5AAC223422259C12AC_13</vt:lpwstr>
  </property>
  <property fmtid="{D5CDD505-2E9C-101B-9397-08002B2CF9AE}" pid="4" name="KSOTemplateDocerSaveRecord">
    <vt:lpwstr>eyJoZGlkIjoiZjRmYWUxOWJhMWE5OGFmZGQyNzA0NjBkZTNhOGRjMDEiLCJ1c2VySWQiOiIyNDg4ODMzNzUifQ==</vt:lpwstr>
  </property>
</Properties>
</file>