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122BC">
      <w:pPr>
        <w:spacing w:line="600" w:lineRule="exact"/>
        <w:jc w:val="center"/>
        <w:rPr>
          <w:rFonts w:ascii="方正小标宋_GBK" w:hAnsi="华文中宋" w:eastAsia="方正小标宋_GBK" w:cs="华文中宋"/>
          <w:sz w:val="44"/>
          <w:szCs w:val="44"/>
        </w:rPr>
      </w:pPr>
      <w:bookmarkStart w:id="0" w:name="_GoBack"/>
      <w:bookmarkEnd w:id="0"/>
      <w:r>
        <w:rPr>
          <w:rFonts w:hint="eastAsia" w:ascii="方正小标宋_GBK" w:hAnsi="华文中宋" w:eastAsia="方正小标宋_GBK" w:cs="华文中宋"/>
          <w:sz w:val="44"/>
          <w:szCs w:val="44"/>
        </w:rPr>
        <w:t>重庆高新区政务服务和社会事务中心</w:t>
      </w:r>
    </w:p>
    <w:p w14:paraId="51EB4B53">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2025年部门预算公开情况说明</w:t>
      </w:r>
    </w:p>
    <w:p w14:paraId="06600907">
      <w:pPr>
        <w:spacing w:line="600" w:lineRule="exact"/>
        <w:ind w:firstLine="880" w:firstLineChars="200"/>
        <w:jc w:val="center"/>
        <w:rPr>
          <w:rFonts w:ascii="华文中宋" w:hAnsi="华文中宋" w:eastAsia="华文中宋" w:cs="华文中宋"/>
          <w:sz w:val="44"/>
          <w:szCs w:val="44"/>
        </w:rPr>
      </w:pPr>
    </w:p>
    <w:p w14:paraId="04E5620A">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一、部门基本情况</w:t>
      </w:r>
    </w:p>
    <w:p w14:paraId="7F833F2B">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（一）职能职责</w:t>
      </w:r>
    </w:p>
    <w:p w14:paraId="3D6F5912">
      <w:pPr>
        <w:tabs>
          <w:tab w:val="center" w:pos="4153"/>
          <w:tab w:val="left" w:pos="7275"/>
        </w:tabs>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承担高新区行政审批事项和服务事项集中办理服务；承担高新区体育、劳动就业、社会保障、医疗保障、残联等方面的具体事务性工作。负责人力社保工作中除专业技术人员管理、事业单位人事管理、工资福利和表彰奖励工作以外的事务性工作。</w:t>
      </w:r>
    </w:p>
    <w:p w14:paraId="2FBD4F7D">
      <w:pPr>
        <w:tabs>
          <w:tab w:val="center" w:pos="4153"/>
          <w:tab w:val="left" w:pos="7275"/>
        </w:tabs>
        <w:spacing w:line="600" w:lineRule="exact"/>
        <w:ind w:left="640"/>
        <w:rPr>
          <w:rFonts w:ascii="方正仿宋_GBK" w:hAnsi="仿宋_GB2312" w:eastAsia="方正仿宋_GBK" w:cs="仿宋_GB2312"/>
          <w:sz w:val="32"/>
          <w:szCs w:val="22"/>
        </w:rPr>
      </w:pPr>
      <w:r>
        <w:rPr>
          <w:rFonts w:hint="eastAsia" w:ascii="方正仿宋_GBK" w:hAnsi="仿宋_GB2312" w:eastAsia="方正仿宋_GBK" w:cs="仿宋_GB2312"/>
          <w:sz w:val="32"/>
          <w:szCs w:val="22"/>
        </w:rPr>
        <w:t>（二）部门构成</w:t>
      </w:r>
    </w:p>
    <w:p w14:paraId="47A6B410">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内设综合部、社会保障事务部、医疗保障事务部、劳动就业事务部、体育帮扶事务部、政务服务管理部、劳动人事争议仲裁院。无下属二级预算单位。</w:t>
      </w:r>
    </w:p>
    <w:p w14:paraId="132678D3">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二、部门收支总体情况</w:t>
      </w:r>
    </w:p>
    <w:p w14:paraId="35E80AF3">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一）收入预算：2025年年初预算数18938.23万元，其中：一般公共预算拨款17650.03万元，政府性基金预算拨款1284.2万元，国有资本经营预算收入4万元，无事业收入、事业单位经营收入及其他收入。收入较2024年减少3553.87万元，主要是一般公共预算拨款减少3619.67万元，政府性基金预算拨款增加65.8万元。</w:t>
      </w:r>
    </w:p>
    <w:p w14:paraId="5251AB30">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二）支出预算：2025年年初预算数18938.23万元，其中：社会保障和就业支出预算12999.6万元，卫生健康支出预算4309.23万元，农林水支出300万元，住房保障支出预算41.2万元，国有资本经营预算支出4万元，其他支出1284.2万元。支出预算较2024年减少3553.87万元，主要是基本支出预算增加72.7万元，项目支出预算减少3692.37万元，政府性基金预算财政拨款支出增加65.8万元。</w:t>
      </w:r>
    </w:p>
    <w:p w14:paraId="20640C6E">
      <w:pPr>
        <w:spacing w:line="600" w:lineRule="exact"/>
        <w:ind w:firstLine="640" w:firstLineChars="200"/>
        <w:rPr>
          <w:rFonts w:ascii="方正仿宋_GBK" w:hAnsi="黑体" w:eastAsia="方正仿宋_GBK" w:cs="仿宋_GB2312"/>
          <w:sz w:val="32"/>
          <w:szCs w:val="20"/>
        </w:rPr>
      </w:pPr>
      <w:r>
        <w:rPr>
          <w:rFonts w:hint="eastAsia" w:ascii="方正黑体_GBK" w:hAnsi="黑体" w:eastAsia="方正黑体_GBK" w:cs="仿宋_GB2312"/>
          <w:sz w:val="32"/>
          <w:szCs w:val="20"/>
        </w:rPr>
        <w:t>三</w:t>
      </w:r>
      <w:r>
        <w:rPr>
          <w:rFonts w:ascii="方正黑体_GBK" w:hAnsi="黑体" w:eastAsia="方正黑体_GBK" w:cs="仿宋_GB2312"/>
          <w:sz w:val="32"/>
          <w:szCs w:val="20"/>
        </w:rPr>
        <w:t>、</w:t>
      </w:r>
      <w:r>
        <w:rPr>
          <w:rFonts w:hint="eastAsia" w:ascii="方正黑体_GBK" w:hAnsi="黑体" w:eastAsia="方正黑体_GBK" w:cs="仿宋_GB2312"/>
          <w:sz w:val="32"/>
          <w:szCs w:val="20"/>
        </w:rPr>
        <w:t>部门预算情况说明</w:t>
      </w:r>
    </w:p>
    <w:p w14:paraId="0B6BCA9B">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2025年一般公共预算财政拨款收入17650.03万元，一般公共预算财政拨款支出17650.03万元，比2024年减少3619.67万元。其中：基本支出1582.47万元，比2024年增加72.7万元，主要原因是在职人数增加，主要用于保障在职人员工资福利及社会保险缴费等，保障单位正常运转的各项商品服务支出；项目支出16067.56万元，比2024年减少3692.37万元，主要原因是部分项目编报口径发生变化，本年度不在本单位编报，同时厉行节约，全力压减中心运行类支出预算。</w:t>
      </w:r>
    </w:p>
    <w:p w14:paraId="3EF4AD4B">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2025年政府性基金预算收入1284.2万元，政府性基金预算支出1284.2万元，比2024年增加65.8万元，主要原因是2025年体彩公益金区级分成增加，主要用于发展群众体育和竞技体育事业，开展体育设施建设等工作。</w:t>
      </w:r>
    </w:p>
    <w:p w14:paraId="36127B44">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2025年国有资本经营预算收入4万元，国有资本经营预算支出4万元，与2024年持平，主要用于国有企业退休人员社会化管理服务，让企业退休人员老有所养、老有所医</w:t>
      </w:r>
      <w:r>
        <w:rPr>
          <w:rFonts w:ascii="方正仿宋_GBK" w:hAnsi="仿宋_GB2312" w:eastAsia="方正仿宋_GBK" w:cs="仿宋_GB2312"/>
          <w:sz w:val="32"/>
          <w:szCs w:val="20"/>
        </w:rPr>
        <w:t>、</w:t>
      </w:r>
      <w:r>
        <w:rPr>
          <w:rFonts w:hint="eastAsia" w:ascii="方正仿宋_GBK" w:hAnsi="仿宋_GB2312" w:eastAsia="方正仿宋_GBK" w:cs="仿宋_GB2312"/>
          <w:sz w:val="32"/>
          <w:szCs w:val="20"/>
        </w:rPr>
        <w:t>老有所教</w:t>
      </w:r>
      <w:r>
        <w:rPr>
          <w:rFonts w:ascii="方正仿宋_GBK" w:hAnsi="仿宋_GB2312" w:eastAsia="方正仿宋_GBK" w:cs="仿宋_GB2312"/>
          <w:sz w:val="32"/>
          <w:szCs w:val="20"/>
        </w:rPr>
        <w:t xml:space="preserve">、 </w:t>
      </w:r>
    </w:p>
    <w:p w14:paraId="5D8FA652">
      <w:pPr>
        <w:spacing w:line="600" w:lineRule="exact"/>
        <w:jc w:val="left"/>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老有所学</w:t>
      </w:r>
      <w:r>
        <w:rPr>
          <w:rFonts w:ascii="方正仿宋_GBK" w:hAnsi="仿宋_GB2312" w:eastAsia="方正仿宋_GBK" w:cs="仿宋_GB2312"/>
          <w:sz w:val="32"/>
          <w:szCs w:val="20"/>
        </w:rPr>
        <w:t>、</w:t>
      </w:r>
      <w:r>
        <w:rPr>
          <w:rFonts w:hint="eastAsia" w:ascii="方正仿宋_GBK" w:hAnsi="仿宋_GB2312" w:eastAsia="方正仿宋_GBK" w:cs="仿宋_GB2312"/>
          <w:sz w:val="32"/>
          <w:szCs w:val="20"/>
        </w:rPr>
        <w:t>老有所为</w:t>
      </w:r>
      <w:r>
        <w:rPr>
          <w:rFonts w:ascii="方正仿宋_GBK" w:hAnsi="仿宋_GB2312" w:eastAsia="方正仿宋_GBK" w:cs="仿宋_GB2312"/>
          <w:sz w:val="32"/>
          <w:szCs w:val="20"/>
        </w:rPr>
        <w:t>、</w:t>
      </w:r>
      <w:r>
        <w:rPr>
          <w:rFonts w:hint="eastAsia" w:ascii="方正仿宋_GBK" w:hAnsi="仿宋_GB2312" w:eastAsia="方正仿宋_GBK" w:cs="仿宋_GB2312"/>
          <w:sz w:val="32"/>
          <w:szCs w:val="20"/>
        </w:rPr>
        <w:t>老有所乐。</w:t>
      </w:r>
    </w:p>
    <w:p w14:paraId="61785C0B">
      <w:pPr>
        <w:spacing w:line="600" w:lineRule="exact"/>
        <w:ind w:firstLine="640" w:firstLineChars="200"/>
        <w:rPr>
          <w:rFonts w:ascii="方正仿宋_GBK" w:hAnsi="黑体" w:eastAsia="方正仿宋_GBK" w:cs="仿宋_GB2312"/>
          <w:sz w:val="32"/>
          <w:szCs w:val="20"/>
        </w:rPr>
      </w:pPr>
      <w:r>
        <w:rPr>
          <w:rFonts w:hint="eastAsia" w:ascii="方正黑体_GBK" w:hAnsi="黑体" w:eastAsia="方正黑体_GBK" w:cs="仿宋_GB2312"/>
          <w:sz w:val="32"/>
          <w:szCs w:val="20"/>
        </w:rPr>
        <w:t>四</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“三公”经费情况说明</w:t>
      </w:r>
    </w:p>
    <w:p w14:paraId="083F9CF9">
      <w:pPr>
        <w:spacing w:line="600" w:lineRule="exact"/>
        <w:ind w:firstLine="6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2025年“三公”经费预算18万元，比2024年减少25万元。其中：因公出国（境）费用0万元，与2024年持平；公务接待费0万元，较2024年减少5万元；公务用车运行维护费18万元，较2024年减少2万元。</w:t>
      </w:r>
    </w:p>
    <w:p w14:paraId="4D0702CC">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五、其他重要事项的情况说明</w:t>
      </w:r>
    </w:p>
    <w:p w14:paraId="194A95AE">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1、我单位不在机关运行经费统计范围之内。</w:t>
      </w:r>
    </w:p>
    <w:p w14:paraId="0E402FC6">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2、政府采购情况。本单位政府采购预算总额310.76万元：政府采购服务预算310.76万元。</w:t>
      </w:r>
    </w:p>
    <w:p w14:paraId="5D57B3FE">
      <w:pPr>
        <w:spacing w:line="600" w:lineRule="exact"/>
        <w:ind w:firstLine="640" w:firstLineChars="200"/>
        <w:rPr>
          <w:rFonts w:ascii="方正仿宋_GBK" w:hAnsi="仿宋_GB2312" w:eastAsia="方正仿宋_GBK" w:cs="仿宋_GB2312"/>
          <w:color w:val="000000"/>
          <w:sz w:val="32"/>
          <w:szCs w:val="20"/>
        </w:rPr>
      </w:pPr>
      <w:r>
        <w:rPr>
          <w:rFonts w:hint="eastAsia" w:ascii="方正仿宋_GBK" w:hAnsi="仿宋_GB2312" w:eastAsia="方正仿宋_GBK" w:cs="仿宋_GB2312"/>
          <w:sz w:val="32"/>
          <w:szCs w:val="20"/>
        </w:rPr>
        <w:t>3、绩效目标设置情况。</w:t>
      </w:r>
      <w:r>
        <w:rPr>
          <w:rFonts w:hint="eastAsia" w:ascii="方正仿宋_GBK" w:hAnsi="仿宋_GB2312" w:eastAsia="方正仿宋_GBK" w:cs="仿宋_GB2312"/>
          <w:color w:val="000000"/>
          <w:sz w:val="32"/>
          <w:szCs w:val="20"/>
        </w:rPr>
        <w:t>2025年项目支出均实行了绩效目标管理，涉及一般公共预算当年财政拨款</w:t>
      </w:r>
      <w:r>
        <w:rPr>
          <w:rFonts w:hint="eastAsia" w:ascii="方正仿宋_GBK" w:hAnsi="仿宋_GB2312" w:eastAsia="方正仿宋_GBK" w:cs="仿宋_GB2312"/>
          <w:sz w:val="32"/>
          <w:szCs w:val="20"/>
        </w:rPr>
        <w:t>17650.03</w:t>
      </w:r>
      <w:r>
        <w:rPr>
          <w:rFonts w:hint="eastAsia" w:ascii="方正仿宋_GBK" w:hAnsi="仿宋_GB2312" w:eastAsia="方正仿宋_GBK" w:cs="仿宋_GB2312"/>
          <w:color w:val="000000"/>
          <w:sz w:val="32"/>
          <w:szCs w:val="20"/>
        </w:rPr>
        <w:t>万元。</w:t>
      </w:r>
    </w:p>
    <w:p w14:paraId="14CED7D0">
      <w:pPr>
        <w:spacing w:line="600" w:lineRule="exact"/>
        <w:ind w:firstLine="640" w:firstLineChars="200"/>
        <w:rPr>
          <w:rFonts w:ascii="方正仿宋_GBK" w:hAnsi="仿宋_GB2312" w:eastAsia="方正仿宋_GBK" w:cs="仿宋_GB2312"/>
          <w:color w:val="000000"/>
          <w:sz w:val="32"/>
          <w:szCs w:val="20"/>
        </w:rPr>
      </w:pPr>
      <w:r>
        <w:rPr>
          <w:rFonts w:hint="eastAsia" w:ascii="方正仿宋_GBK" w:hAnsi="仿宋_GB2312" w:eastAsia="方正仿宋_GBK" w:cs="仿宋_GB2312"/>
          <w:color w:val="000000"/>
          <w:sz w:val="32"/>
          <w:szCs w:val="20"/>
        </w:rPr>
        <w:t>4、国有资产占有使用情况。</w:t>
      </w:r>
      <w:r>
        <w:rPr>
          <w:rFonts w:hint="eastAsia" w:ascii="方正仿宋_GBK" w:hAnsi="仿宋_GB2312" w:eastAsia="方正仿宋_GBK" w:cs="仿宋_GB2312"/>
          <w:color w:val="000000"/>
          <w:sz w:val="32"/>
          <w:szCs w:val="20"/>
          <w:lang w:eastAsia="zh-CN"/>
        </w:rPr>
        <w:t>截至</w:t>
      </w:r>
      <w:r>
        <w:rPr>
          <w:rFonts w:hint="eastAsia" w:ascii="方正仿宋_GBK" w:hAnsi="仿宋_GB2312" w:eastAsia="方正仿宋_GBK" w:cs="仿宋_GB2312"/>
          <w:color w:val="000000"/>
          <w:sz w:val="32"/>
          <w:szCs w:val="20"/>
        </w:rPr>
        <w:t>2024年12月，本单位共有车辆4辆，其中一般公务用车4辆、执勤执法用车0辆。2025年一般公共预算未安排购置车辆。</w:t>
      </w:r>
    </w:p>
    <w:p w14:paraId="537B592B">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六</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专业性名词解释</w:t>
      </w:r>
    </w:p>
    <w:p w14:paraId="0B4D5752">
      <w:pPr>
        <w:tabs>
          <w:tab w:val="center" w:pos="4153"/>
          <w:tab w:val="left" w:pos="7275"/>
        </w:tabs>
        <w:spacing w:line="600" w:lineRule="exact"/>
        <w:ind w:firstLine="640" w:firstLineChars="200"/>
        <w:rPr>
          <w:rFonts w:ascii="方正仿宋_GBK" w:hAnsi="仿宋" w:eastAsia="方正仿宋_GBK" w:cs="Times New Roman"/>
          <w:sz w:val="32"/>
          <w:szCs w:val="32"/>
        </w:rPr>
      </w:pPr>
      <w:r>
        <w:rPr>
          <w:rFonts w:hint="eastAsia" w:ascii="方正仿宋_GBK" w:hAnsi="仿宋" w:eastAsia="方正仿宋_GBK" w:cs="Times New Roman"/>
          <w:sz w:val="32"/>
          <w:szCs w:val="32"/>
        </w:rPr>
        <w:t>（一）财政拨款收入：指本年度从本级财政部门取得的财政拨款，包括一般公共预算财政拨款和政府性基金预算财政拨款。</w:t>
      </w:r>
    </w:p>
    <w:p w14:paraId="21CB4B82">
      <w:pPr>
        <w:tabs>
          <w:tab w:val="center" w:pos="4153"/>
          <w:tab w:val="left" w:pos="7275"/>
        </w:tabs>
        <w:spacing w:line="600" w:lineRule="exact"/>
        <w:ind w:firstLine="640" w:firstLineChars="200"/>
        <w:rPr>
          <w:rFonts w:ascii="方正仿宋_GBK" w:hAnsi="仿宋" w:eastAsia="方正仿宋_GBK" w:cs="Times New Roman"/>
          <w:sz w:val="32"/>
          <w:szCs w:val="32"/>
        </w:rPr>
      </w:pPr>
      <w:r>
        <w:rPr>
          <w:rFonts w:hint="eastAsia" w:ascii="方正仿宋_GBK" w:hAnsi="仿宋" w:eastAsia="方正仿宋_GBK" w:cs="Times New Roman"/>
          <w:sz w:val="32"/>
          <w:szCs w:val="32"/>
        </w:rPr>
        <w:t>（二）其他收入：指单位取得的除“财政拨款收入”、“事业收入”、“经营收入”等以外的收入。</w:t>
      </w:r>
    </w:p>
    <w:p w14:paraId="7B76CE98">
      <w:pPr>
        <w:tabs>
          <w:tab w:val="center" w:pos="4153"/>
          <w:tab w:val="left" w:pos="7275"/>
        </w:tabs>
        <w:spacing w:line="600" w:lineRule="exact"/>
        <w:ind w:firstLine="640" w:firstLineChars="200"/>
        <w:rPr>
          <w:rFonts w:ascii="方正仿宋_GBK" w:hAnsi="仿宋" w:eastAsia="方正仿宋_GBK" w:cs="Times New Roman"/>
          <w:sz w:val="32"/>
          <w:szCs w:val="32"/>
        </w:rPr>
      </w:pPr>
      <w:r>
        <w:rPr>
          <w:rFonts w:hint="eastAsia" w:ascii="方正仿宋_GBK" w:hAnsi="仿宋" w:eastAsia="方正仿宋_GBK" w:cs="Times New Roman"/>
          <w:sz w:val="32"/>
          <w:szCs w:val="32"/>
        </w:rPr>
        <w:t>（三）基本支出：指为保障机构正常运转、完成日常工作任务而发生的人员经费和公用经费。</w:t>
      </w:r>
    </w:p>
    <w:p w14:paraId="7226B202">
      <w:pPr>
        <w:tabs>
          <w:tab w:val="center" w:pos="4153"/>
          <w:tab w:val="left" w:pos="7275"/>
        </w:tabs>
        <w:spacing w:line="600" w:lineRule="exact"/>
        <w:ind w:firstLine="640" w:firstLineChars="200"/>
        <w:rPr>
          <w:rFonts w:ascii="方正仿宋_GBK" w:hAnsi="仿宋" w:eastAsia="方正仿宋_GBK" w:cs="Times New Roman"/>
          <w:sz w:val="32"/>
          <w:szCs w:val="32"/>
        </w:rPr>
      </w:pPr>
      <w:r>
        <w:rPr>
          <w:rFonts w:hint="eastAsia" w:ascii="方正仿宋_GBK" w:hAnsi="仿宋" w:eastAsia="方正仿宋_GBK" w:cs="Times New Roman"/>
          <w:sz w:val="32"/>
          <w:szCs w:val="32"/>
        </w:rPr>
        <w:t>（四）项目支出：指在基本支出之外为完成特定行政任务和事业发展目标所发生的支出。</w:t>
      </w:r>
    </w:p>
    <w:p w14:paraId="474775A6">
      <w:pPr>
        <w:spacing w:line="600" w:lineRule="exact"/>
        <w:ind w:firstLine="640" w:firstLineChars="200"/>
        <w:rPr>
          <w:rFonts w:ascii="方正仿宋_GBK" w:hAnsi="仿宋_GB2312" w:eastAsia="方正仿宋_GBK" w:cs="仿宋_GB2312"/>
          <w:color w:val="000000"/>
          <w:sz w:val="32"/>
          <w:szCs w:val="20"/>
        </w:rPr>
      </w:pPr>
      <w:r>
        <w:rPr>
          <w:rFonts w:hint="eastAsia" w:ascii="方正仿宋_GBK"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0E2B661">
      <w:pPr>
        <w:spacing w:line="600" w:lineRule="exact"/>
        <w:ind w:firstLine="640" w:firstLineChars="200"/>
        <w:rPr>
          <w:rFonts w:ascii="方正仿宋_GBK" w:hAnsi="Times New Roman" w:eastAsia="方正仿宋_GBK" w:cs="Times New Roman"/>
          <w:sz w:val="32"/>
          <w:szCs w:val="20"/>
        </w:rPr>
      </w:pPr>
    </w:p>
    <w:p w14:paraId="4EAA3731">
      <w:pPr>
        <w:spacing w:line="600" w:lineRule="exact"/>
        <w:ind w:firstLine="640" w:firstLineChars="200"/>
        <w:rPr>
          <w:rFonts w:ascii="方正仿宋_GBK" w:eastAsia="方正仿宋_GBK"/>
          <w:sz w:val="32"/>
          <w:szCs w:val="32"/>
        </w:rPr>
      </w:pPr>
      <w:r>
        <w:rPr>
          <w:rFonts w:hint="eastAsia" w:ascii="方正仿宋_GBK" w:hAnsi="Times New Roman" w:eastAsia="方正仿宋_GBK" w:cs="Times New Roman"/>
          <w:sz w:val="32"/>
          <w:szCs w:val="20"/>
        </w:rPr>
        <w:t>（</w:t>
      </w:r>
      <w:r>
        <w:rPr>
          <w:rFonts w:hint="eastAsia" w:ascii="方正仿宋_GBK" w:hAnsi="仿宋_GB2312" w:eastAsia="方正仿宋_GBK" w:cs="仿宋_GB2312"/>
          <w:sz w:val="32"/>
          <w:szCs w:val="20"/>
        </w:rPr>
        <w:t>预算公开联系人：</w:t>
      </w:r>
      <w:r>
        <w:rPr>
          <w:rFonts w:hint="eastAsia" w:ascii="方正仿宋_GBK" w:hAnsi="Times New Roman" w:eastAsia="方正仿宋_GBK" w:cs="Times New Roman"/>
          <w:sz w:val="32"/>
          <w:szCs w:val="20"/>
        </w:rPr>
        <w:t>兰爽，联系方式：023-68680179）</w:t>
      </w:r>
    </w:p>
    <w:sectPr>
      <w:footerReference r:id="rId3" w:type="default"/>
      <w:footerReference r:id="rId4" w:type="even"/>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756DD5-797E-42CF-BA98-6C6E3646C1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2EA4B190-35A5-4999-9F40-631B297036D7}"/>
  </w:font>
  <w:font w:name="方正小标宋_GBK">
    <w:panose1 w:val="02000000000000000000"/>
    <w:charset w:val="86"/>
    <w:family w:val="script"/>
    <w:pitch w:val="default"/>
    <w:sig w:usb0="A00002BF" w:usb1="38CF7CFA" w:usb2="00082016" w:usb3="00000000" w:csb0="00040001" w:csb1="00000000"/>
    <w:embedRegular r:id="rId3" w:fontKey="{AD845389-D3A6-4256-A83E-976561803FDE}"/>
  </w:font>
  <w:font w:name="华文中宋">
    <w:altName w:val="宋体"/>
    <w:panose1 w:val="02010600040101010101"/>
    <w:charset w:val="86"/>
    <w:family w:val="auto"/>
    <w:pitch w:val="default"/>
    <w:sig w:usb0="00000000" w:usb1="00000000" w:usb2="00000010" w:usb3="00000000" w:csb0="0004009F" w:csb1="00000000"/>
    <w:embedRegular r:id="rId4" w:fontKey="{1BD37263-A4DB-4EF9-823D-4818EC51C088}"/>
  </w:font>
  <w:font w:name="方正黑体_GBK">
    <w:panose1 w:val="02010600010101010101"/>
    <w:charset w:val="86"/>
    <w:family w:val="script"/>
    <w:pitch w:val="default"/>
    <w:sig w:usb0="00000001" w:usb1="080E0000" w:usb2="00000000" w:usb3="00000000" w:csb0="00040000" w:csb1="00000000"/>
    <w:embedRegular r:id="rId5" w:fontKey="{EFF0B862-1B5D-429D-8C80-4A5119C033AA}"/>
  </w:font>
  <w:font w:name="方正仿宋_GBK">
    <w:panose1 w:val="03000509000000000000"/>
    <w:charset w:val="86"/>
    <w:family w:val="script"/>
    <w:pitch w:val="default"/>
    <w:sig w:usb0="00000001" w:usb1="080E0000" w:usb2="00000000" w:usb3="00000000" w:csb0="00040000" w:csb1="00000000"/>
    <w:embedRegular r:id="rId6" w:fontKey="{21986370-28F7-4DD4-8ED4-A80623C2667C}"/>
  </w:font>
  <w:font w:name="仿宋">
    <w:panose1 w:val="02010609060101010101"/>
    <w:charset w:val="86"/>
    <w:family w:val="modern"/>
    <w:pitch w:val="default"/>
    <w:sig w:usb0="800002BF" w:usb1="38CF7CFA" w:usb2="00000016" w:usb3="00000000" w:csb0="00040001" w:csb1="00000000"/>
    <w:embedRegular r:id="rId7" w:fontKey="{144B6622-027F-47FF-97DB-759325FDBD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66"/>
    </w:sdtPr>
    <w:sdtEndPr>
      <w:rPr>
        <w:rFonts w:hint="eastAsia" w:asciiTheme="majorEastAsia" w:hAnsiTheme="majorEastAsia" w:eastAsiaTheme="majorEastAsia" w:cstheme="majorEastAsia"/>
        <w:sz w:val="28"/>
        <w:szCs w:val="28"/>
      </w:rPr>
    </w:sdtEndPr>
    <w:sdtContent>
      <w:p w14:paraId="3B4C650E">
        <w:pPr>
          <w:pStyle w:val="6"/>
          <w:jc w:val="righ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lang w:val="zh-CN"/>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sdtContent>
  </w:sdt>
  <w:p w14:paraId="4E02F468">
    <w:pPr>
      <w:pStyle w:val="6"/>
    </w:pPr>
  </w:p>
  <w:p w14:paraId="383EE05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73"/>
    </w:sdtPr>
    <w:sdtContent>
      <w:p w14:paraId="123F2F47">
        <w:pPr>
          <w:pStyle w:val="6"/>
          <w:rPr>
            <w:sz w:val="21"/>
            <w:szCs w:val="24"/>
          </w:rPr>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4</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14:paraId="73B85D39">
    <w:pPr>
      <w:pStyle w:val="6"/>
    </w:pPr>
  </w:p>
  <w:p w14:paraId="17A91837"/>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TkyMTQyNzFjN2E5ZmFhNmY4ZGRiOTA0YmQ4N2MifQ=="/>
  </w:docVars>
  <w:rsids>
    <w:rsidRoot w:val="DDEFA33C"/>
    <w:rsid w:val="00000550"/>
    <w:rsid w:val="00002D64"/>
    <w:rsid w:val="00020764"/>
    <w:rsid w:val="0002749C"/>
    <w:rsid w:val="00047981"/>
    <w:rsid w:val="00050437"/>
    <w:rsid w:val="000537EE"/>
    <w:rsid w:val="00062654"/>
    <w:rsid w:val="000B03CB"/>
    <w:rsid w:val="00105658"/>
    <w:rsid w:val="00105DB3"/>
    <w:rsid w:val="00126DE5"/>
    <w:rsid w:val="001424BB"/>
    <w:rsid w:val="00147E03"/>
    <w:rsid w:val="00187BA3"/>
    <w:rsid w:val="001900F7"/>
    <w:rsid w:val="001A3B38"/>
    <w:rsid w:val="001C562C"/>
    <w:rsid w:val="001D3D78"/>
    <w:rsid w:val="001D5EF5"/>
    <w:rsid w:val="001F1C80"/>
    <w:rsid w:val="00207050"/>
    <w:rsid w:val="00221C30"/>
    <w:rsid w:val="00257FEE"/>
    <w:rsid w:val="002A393E"/>
    <w:rsid w:val="002A47A1"/>
    <w:rsid w:val="002B2A63"/>
    <w:rsid w:val="002C03A7"/>
    <w:rsid w:val="00325FD3"/>
    <w:rsid w:val="00331522"/>
    <w:rsid w:val="00357DD5"/>
    <w:rsid w:val="003625C5"/>
    <w:rsid w:val="0039593E"/>
    <w:rsid w:val="00395FFC"/>
    <w:rsid w:val="00397AEA"/>
    <w:rsid w:val="003A69E3"/>
    <w:rsid w:val="003B2F4B"/>
    <w:rsid w:val="003B680C"/>
    <w:rsid w:val="003D0A25"/>
    <w:rsid w:val="003D7D22"/>
    <w:rsid w:val="003E043C"/>
    <w:rsid w:val="003E0547"/>
    <w:rsid w:val="003F0F36"/>
    <w:rsid w:val="00406394"/>
    <w:rsid w:val="004411ED"/>
    <w:rsid w:val="0044491E"/>
    <w:rsid w:val="004551A7"/>
    <w:rsid w:val="004573AF"/>
    <w:rsid w:val="00462582"/>
    <w:rsid w:val="00463DA7"/>
    <w:rsid w:val="00467BE5"/>
    <w:rsid w:val="004829F8"/>
    <w:rsid w:val="00494C3B"/>
    <w:rsid w:val="0049564A"/>
    <w:rsid w:val="004A5113"/>
    <w:rsid w:val="004C3049"/>
    <w:rsid w:val="004D335C"/>
    <w:rsid w:val="004D34F4"/>
    <w:rsid w:val="004E72A4"/>
    <w:rsid w:val="00506D68"/>
    <w:rsid w:val="00523889"/>
    <w:rsid w:val="0053400B"/>
    <w:rsid w:val="00536729"/>
    <w:rsid w:val="005369E2"/>
    <w:rsid w:val="0055700B"/>
    <w:rsid w:val="0056748E"/>
    <w:rsid w:val="00573089"/>
    <w:rsid w:val="0058358D"/>
    <w:rsid w:val="005949AB"/>
    <w:rsid w:val="00596D47"/>
    <w:rsid w:val="005C0BC9"/>
    <w:rsid w:val="005D460C"/>
    <w:rsid w:val="005D6317"/>
    <w:rsid w:val="005E7261"/>
    <w:rsid w:val="005E7595"/>
    <w:rsid w:val="005F549F"/>
    <w:rsid w:val="006143BC"/>
    <w:rsid w:val="0063260E"/>
    <w:rsid w:val="00646723"/>
    <w:rsid w:val="0066455A"/>
    <w:rsid w:val="0069086E"/>
    <w:rsid w:val="00696E62"/>
    <w:rsid w:val="006A5DA1"/>
    <w:rsid w:val="006B7AC3"/>
    <w:rsid w:val="006C6826"/>
    <w:rsid w:val="006D2B23"/>
    <w:rsid w:val="006E2D81"/>
    <w:rsid w:val="00702401"/>
    <w:rsid w:val="00723989"/>
    <w:rsid w:val="007422B8"/>
    <w:rsid w:val="00746A00"/>
    <w:rsid w:val="00761782"/>
    <w:rsid w:val="00763107"/>
    <w:rsid w:val="00780A53"/>
    <w:rsid w:val="0078414E"/>
    <w:rsid w:val="007929CF"/>
    <w:rsid w:val="007A6E54"/>
    <w:rsid w:val="007B0EC2"/>
    <w:rsid w:val="007B2D3D"/>
    <w:rsid w:val="007C286D"/>
    <w:rsid w:val="007D1D85"/>
    <w:rsid w:val="007E5DFD"/>
    <w:rsid w:val="00830C81"/>
    <w:rsid w:val="008368E0"/>
    <w:rsid w:val="00850664"/>
    <w:rsid w:val="00866863"/>
    <w:rsid w:val="008721DA"/>
    <w:rsid w:val="00880D9C"/>
    <w:rsid w:val="00892833"/>
    <w:rsid w:val="008958F5"/>
    <w:rsid w:val="008C6EE3"/>
    <w:rsid w:val="008C748B"/>
    <w:rsid w:val="008D09B9"/>
    <w:rsid w:val="008E1FC6"/>
    <w:rsid w:val="008E3F98"/>
    <w:rsid w:val="008E75B3"/>
    <w:rsid w:val="008F11A0"/>
    <w:rsid w:val="008F2670"/>
    <w:rsid w:val="008F6BC0"/>
    <w:rsid w:val="00904291"/>
    <w:rsid w:val="0092429C"/>
    <w:rsid w:val="00962B3C"/>
    <w:rsid w:val="00986CE2"/>
    <w:rsid w:val="0099613A"/>
    <w:rsid w:val="009A0B9A"/>
    <w:rsid w:val="009B7187"/>
    <w:rsid w:val="009D23CE"/>
    <w:rsid w:val="009D2F7D"/>
    <w:rsid w:val="009E7B9D"/>
    <w:rsid w:val="00A07574"/>
    <w:rsid w:val="00A12BD5"/>
    <w:rsid w:val="00A641E4"/>
    <w:rsid w:val="00A74D89"/>
    <w:rsid w:val="00A90C82"/>
    <w:rsid w:val="00AB3A79"/>
    <w:rsid w:val="00AC42FA"/>
    <w:rsid w:val="00AF684F"/>
    <w:rsid w:val="00B07D1B"/>
    <w:rsid w:val="00B13BEE"/>
    <w:rsid w:val="00B23322"/>
    <w:rsid w:val="00B264B7"/>
    <w:rsid w:val="00B2792D"/>
    <w:rsid w:val="00B524D7"/>
    <w:rsid w:val="00B64346"/>
    <w:rsid w:val="00B80381"/>
    <w:rsid w:val="00BB17CC"/>
    <w:rsid w:val="00BC1F51"/>
    <w:rsid w:val="00BF3090"/>
    <w:rsid w:val="00C05D20"/>
    <w:rsid w:val="00C15F8C"/>
    <w:rsid w:val="00C42C32"/>
    <w:rsid w:val="00C43658"/>
    <w:rsid w:val="00C51C46"/>
    <w:rsid w:val="00C57659"/>
    <w:rsid w:val="00C72FDA"/>
    <w:rsid w:val="00C768CD"/>
    <w:rsid w:val="00C839E8"/>
    <w:rsid w:val="00C92B04"/>
    <w:rsid w:val="00CB209C"/>
    <w:rsid w:val="00CB626C"/>
    <w:rsid w:val="00CC1333"/>
    <w:rsid w:val="00D049C5"/>
    <w:rsid w:val="00D1414B"/>
    <w:rsid w:val="00D230DC"/>
    <w:rsid w:val="00D4510D"/>
    <w:rsid w:val="00DA4FB8"/>
    <w:rsid w:val="00DC6DEE"/>
    <w:rsid w:val="00DD1FA2"/>
    <w:rsid w:val="00DE5C3D"/>
    <w:rsid w:val="00E15E97"/>
    <w:rsid w:val="00E35738"/>
    <w:rsid w:val="00E46E77"/>
    <w:rsid w:val="00E47D68"/>
    <w:rsid w:val="00E51C72"/>
    <w:rsid w:val="00E65A21"/>
    <w:rsid w:val="00E801CC"/>
    <w:rsid w:val="00EA2BE7"/>
    <w:rsid w:val="00EB45D8"/>
    <w:rsid w:val="00EE5CD6"/>
    <w:rsid w:val="00EE740D"/>
    <w:rsid w:val="00F16F32"/>
    <w:rsid w:val="00F27CBF"/>
    <w:rsid w:val="00F63F57"/>
    <w:rsid w:val="00F66F1B"/>
    <w:rsid w:val="00F73BBA"/>
    <w:rsid w:val="00F84048"/>
    <w:rsid w:val="00F92C0C"/>
    <w:rsid w:val="00FA0793"/>
    <w:rsid w:val="00FA7B60"/>
    <w:rsid w:val="00FB29EC"/>
    <w:rsid w:val="00FB6B1D"/>
    <w:rsid w:val="00FC2FCB"/>
    <w:rsid w:val="00FE32F5"/>
    <w:rsid w:val="00FF4593"/>
    <w:rsid w:val="01421AD5"/>
    <w:rsid w:val="02ED581F"/>
    <w:rsid w:val="0AB37C41"/>
    <w:rsid w:val="0BCB6AF9"/>
    <w:rsid w:val="0DDE4FD5"/>
    <w:rsid w:val="0E4A08BC"/>
    <w:rsid w:val="0F796797"/>
    <w:rsid w:val="10581601"/>
    <w:rsid w:val="155838BF"/>
    <w:rsid w:val="16135A37"/>
    <w:rsid w:val="218E0668"/>
    <w:rsid w:val="23FC1963"/>
    <w:rsid w:val="25C66622"/>
    <w:rsid w:val="278C526B"/>
    <w:rsid w:val="28BE7A85"/>
    <w:rsid w:val="2A30169E"/>
    <w:rsid w:val="2C030012"/>
    <w:rsid w:val="315A2315"/>
    <w:rsid w:val="318B25BA"/>
    <w:rsid w:val="32195D2C"/>
    <w:rsid w:val="331F3816"/>
    <w:rsid w:val="36A06A70"/>
    <w:rsid w:val="374B6987"/>
    <w:rsid w:val="39003892"/>
    <w:rsid w:val="396430B4"/>
    <w:rsid w:val="3D0A4BEF"/>
    <w:rsid w:val="3F8E5FAB"/>
    <w:rsid w:val="40C06C58"/>
    <w:rsid w:val="45162DE9"/>
    <w:rsid w:val="468B4FF2"/>
    <w:rsid w:val="4B903FA6"/>
    <w:rsid w:val="4E4F4B57"/>
    <w:rsid w:val="4E636855"/>
    <w:rsid w:val="4E7E543D"/>
    <w:rsid w:val="4EFC16B4"/>
    <w:rsid w:val="53E43018"/>
    <w:rsid w:val="546D3F89"/>
    <w:rsid w:val="547E00EE"/>
    <w:rsid w:val="58586CFE"/>
    <w:rsid w:val="585A65D3"/>
    <w:rsid w:val="5B9C5154"/>
    <w:rsid w:val="5C377348"/>
    <w:rsid w:val="60430294"/>
    <w:rsid w:val="60733116"/>
    <w:rsid w:val="61630BEE"/>
    <w:rsid w:val="62734ADF"/>
    <w:rsid w:val="63043D0B"/>
    <w:rsid w:val="653348AC"/>
    <w:rsid w:val="65DC2D1D"/>
    <w:rsid w:val="676F7BC1"/>
    <w:rsid w:val="6B1B7E43"/>
    <w:rsid w:val="6C8B750A"/>
    <w:rsid w:val="6D2D20B0"/>
    <w:rsid w:val="704B0888"/>
    <w:rsid w:val="70BC0E22"/>
    <w:rsid w:val="74E97204"/>
    <w:rsid w:val="78FC193B"/>
    <w:rsid w:val="7A862E00"/>
    <w:rsid w:val="7EB4618D"/>
    <w:rsid w:val="DDEFA33C"/>
    <w:rsid w:val="ECD3B3C2"/>
    <w:rsid w:val="FB6F9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autoRedefine/>
    <w:qFormat/>
    <w:uiPriority w:val="0"/>
    <w:pPr>
      <w:suppressAutoHyphens/>
      <w:spacing w:beforeAutospacing="1" w:afterAutospacing="1"/>
      <w:jc w:val="left"/>
      <w:outlineLvl w:val="0"/>
    </w:pPr>
    <w:rPr>
      <w:rFonts w:hint="eastAsia" w:ascii="宋体" w:hAnsi="宋体" w:eastAsia="宋体"/>
      <w:b/>
      <w:kern w:val="44"/>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jc w:val="left"/>
    </w:pPr>
    <w:rPr>
      <w:rFonts w:ascii="Calibri" w:hAnsi="Calibri" w:eastAsia="宋体" w:cs="宋体"/>
      <w:szCs w:val="22"/>
    </w:rPr>
  </w:style>
  <w:style w:type="paragraph" w:styleId="4">
    <w:name w:val="Date"/>
    <w:basedOn w:val="1"/>
    <w:next w:val="1"/>
    <w:link w:val="21"/>
    <w:autoRedefine/>
    <w:qFormat/>
    <w:uiPriority w:val="0"/>
    <w:pPr>
      <w:ind w:left="100" w:leftChars="2500"/>
    </w:pPr>
  </w:style>
  <w:style w:type="paragraph" w:styleId="5">
    <w:name w:val="Balloon Text"/>
    <w:basedOn w:val="1"/>
    <w:link w:val="19"/>
    <w:autoRedefine/>
    <w:qFormat/>
    <w:uiPriority w:val="0"/>
    <w:rPr>
      <w:sz w:val="18"/>
      <w:szCs w:val="18"/>
    </w:rPr>
  </w:style>
  <w:style w:type="paragraph" w:styleId="6">
    <w:name w:val="footer"/>
    <w:basedOn w:val="1"/>
    <w:link w:val="15"/>
    <w:autoRedefine/>
    <w:qFormat/>
    <w:uiPriority w:val="0"/>
    <w:pPr>
      <w:tabs>
        <w:tab w:val="center" w:pos="4153"/>
        <w:tab w:val="right" w:pos="8306"/>
      </w:tabs>
      <w:snapToGrid w:val="0"/>
      <w:jc w:val="left"/>
    </w:pPr>
    <w:rPr>
      <w:sz w:val="18"/>
      <w:szCs w:val="18"/>
    </w:rPr>
  </w:style>
  <w:style w:type="paragraph" w:styleId="7">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cs="Times New Roman"/>
      <w:kern w:val="0"/>
      <w:sz w:val="24"/>
    </w:rPr>
  </w:style>
  <w:style w:type="table" w:styleId="10">
    <w:name w:val="Table Grid"/>
    <w:basedOn w:val="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qFormat/>
    <w:uiPriority w:val="99"/>
    <w:rPr>
      <w:sz w:val="21"/>
      <w:szCs w:val="21"/>
    </w:rPr>
  </w:style>
  <w:style w:type="paragraph" w:customStyle="1" w:styleId="13">
    <w:name w:val="Default"/>
    <w:autoRedefine/>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4">
    <w:name w:val="页眉 字符"/>
    <w:basedOn w:val="11"/>
    <w:link w:val="7"/>
    <w:autoRedefine/>
    <w:qFormat/>
    <w:uiPriority w:val="0"/>
    <w:rPr>
      <w:kern w:val="2"/>
      <w:sz w:val="18"/>
      <w:szCs w:val="18"/>
    </w:rPr>
  </w:style>
  <w:style w:type="character" w:customStyle="1" w:styleId="15">
    <w:name w:val="页脚 字符"/>
    <w:basedOn w:val="11"/>
    <w:link w:val="6"/>
    <w:autoRedefine/>
    <w:qFormat/>
    <w:uiPriority w:val="0"/>
    <w:rPr>
      <w:kern w:val="2"/>
      <w:sz w:val="18"/>
      <w:szCs w:val="18"/>
    </w:rPr>
  </w:style>
  <w:style w:type="paragraph" w:customStyle="1" w:styleId="16">
    <w:name w:val="UserStyle_0"/>
    <w:basedOn w:val="1"/>
    <w:autoRedefine/>
    <w:qFormat/>
    <w:uiPriority w:val="0"/>
    <w:pPr>
      <w:autoSpaceDE w:val="0"/>
      <w:autoSpaceDN w:val="0"/>
      <w:spacing w:after="160" w:line="278" w:lineRule="auto"/>
      <w:ind w:firstLine="200" w:firstLineChars="200"/>
      <w:jc w:val="left"/>
    </w:pPr>
    <w:rPr>
      <w:rFonts w:ascii="Calibri" w:hAnsi="Calibri" w:eastAsia="宋体" w:cs="Times New Roman"/>
      <w:color w:val="000000"/>
      <w:kern w:val="0"/>
      <w:sz w:val="22"/>
      <w:szCs w:val="21"/>
      <w:lang w:val="zh-CN" w:bidi="zh-CN"/>
    </w:rPr>
  </w:style>
  <w:style w:type="character" w:customStyle="1" w:styleId="17">
    <w:name w:val="Body text|1_"/>
    <w:link w:val="18"/>
    <w:autoRedefine/>
    <w:qFormat/>
    <w:uiPriority w:val="0"/>
    <w:rPr>
      <w:rFonts w:ascii="宋体" w:hAnsi="宋体" w:cs="宋体"/>
      <w:sz w:val="30"/>
      <w:szCs w:val="30"/>
      <w:lang w:val="zh-TW" w:eastAsia="zh-TW" w:bidi="zh-TW"/>
    </w:rPr>
  </w:style>
  <w:style w:type="paragraph" w:customStyle="1" w:styleId="18">
    <w:name w:val="Body text|1"/>
    <w:basedOn w:val="1"/>
    <w:link w:val="17"/>
    <w:autoRedefine/>
    <w:qFormat/>
    <w:uiPriority w:val="0"/>
    <w:pPr>
      <w:spacing w:line="408" w:lineRule="auto"/>
      <w:ind w:firstLine="400"/>
      <w:jc w:val="left"/>
    </w:pPr>
    <w:rPr>
      <w:rFonts w:ascii="宋体" w:hAnsi="宋体" w:cs="宋体"/>
      <w:kern w:val="0"/>
      <w:sz w:val="30"/>
      <w:szCs w:val="30"/>
      <w:lang w:val="zh-TW" w:eastAsia="zh-TW" w:bidi="zh-TW"/>
    </w:rPr>
  </w:style>
  <w:style w:type="character" w:customStyle="1" w:styleId="19">
    <w:name w:val="批注框文本 字符"/>
    <w:basedOn w:val="11"/>
    <w:link w:val="5"/>
    <w:autoRedefine/>
    <w:qFormat/>
    <w:uiPriority w:val="0"/>
    <w:rPr>
      <w:kern w:val="2"/>
      <w:sz w:val="18"/>
      <w:szCs w:val="18"/>
    </w:rPr>
  </w:style>
  <w:style w:type="character" w:customStyle="1" w:styleId="20">
    <w:name w:val="批注文字 字符"/>
    <w:basedOn w:val="11"/>
    <w:link w:val="3"/>
    <w:autoRedefine/>
    <w:qFormat/>
    <w:uiPriority w:val="99"/>
    <w:rPr>
      <w:rFonts w:ascii="Calibri" w:hAnsi="Calibri" w:eastAsia="宋体" w:cs="宋体"/>
      <w:kern w:val="2"/>
      <w:sz w:val="21"/>
      <w:szCs w:val="22"/>
    </w:rPr>
  </w:style>
  <w:style w:type="character" w:customStyle="1" w:styleId="21">
    <w:name w:val="日期 字符"/>
    <w:basedOn w:val="11"/>
    <w:link w:val="4"/>
    <w:autoRedefine/>
    <w:qFormat/>
    <w:uiPriority w:val="0"/>
    <w:rPr>
      <w:kern w:val="2"/>
      <w:sz w:val="21"/>
      <w:szCs w:val="24"/>
    </w:rPr>
  </w:style>
  <w:style w:type="character" w:customStyle="1" w:styleId="22">
    <w:name w:val="标题 1 字符"/>
    <w:basedOn w:val="11"/>
    <w:link w:val="2"/>
    <w:autoRedefine/>
    <w:qFormat/>
    <w:uiPriority w:val="0"/>
    <w:rPr>
      <w:rFonts w:ascii="宋体" w:hAnsi="宋体" w:eastAsia="宋体"/>
      <w:b/>
      <w:kern w:val="44"/>
      <w:sz w:val="48"/>
      <w:szCs w:val="48"/>
    </w:rPr>
  </w:style>
  <w:style w:type="paragraph" w:styleId="23">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9620D-CC79-4B3D-8DC1-369E8879D75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1584</Words>
  <Characters>1818</Characters>
  <Lines>13</Lines>
  <Paragraphs>3</Paragraphs>
  <TotalTime>17</TotalTime>
  <ScaleCrop>false</ScaleCrop>
  <LinksUpToDate>false</LinksUpToDate>
  <CharactersWithSpaces>1819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2024-02-02T08:58:00Z</dcterms:created>
  <dc:creator>风筝断了线</dc:creator>
  <cp:lastModifiedBy>silence</cp:lastModifiedBy>
  <cp:lastPrinted>2024-02-26T06:23:00Z</cp:lastPrinted>
  <dcterms:modified xsi:type="dcterms:W3CDTF">2025-05-06T09:19:41Z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224826A4BF91458CAD17A5ADD808FBDE_13</vt:lpwstr>
  </property>
  <property fmtid="{D5CDD505-2E9C-101B-9397-08002B2CF9AE}" pid="4" name="KSOTemplateDocerSaveRecord">
    <vt:lpwstr>eyJoZGlkIjoiZjRmYWUxOWJhMWE5OGFmZGQyNzA0NjBkZTNhOGRjMDEiLCJ1c2VySWQiOiIyNDg4ODMzNzUifQ==</vt:lpwstr>
  </property>
</Properties>
</file>