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19B8B">
      <w:pPr>
        <w:spacing w:line="600" w:lineRule="exact"/>
        <w:jc w:val="center"/>
        <w:rPr>
          <w:rFonts w:ascii="方正小标宋_GBK" w:hAnsi="华文中宋" w:eastAsia="方正小标宋_GBK" w:cs="华文中宋"/>
          <w:sz w:val="44"/>
          <w:szCs w:val="44"/>
        </w:rPr>
      </w:pPr>
      <w:r>
        <w:rPr>
          <w:rFonts w:hint="eastAsia" w:ascii="方正小标宋_GBK" w:hAnsi="华文中宋" w:eastAsia="方正小标宋_GBK" w:cs="华文中宋"/>
          <w:sz w:val="44"/>
          <w:szCs w:val="44"/>
        </w:rPr>
        <w:t>科技创新局（校地协同创新发展局）（本级）</w:t>
      </w:r>
    </w:p>
    <w:p w14:paraId="44AFE517">
      <w:pPr>
        <w:spacing w:line="600" w:lineRule="exact"/>
        <w:jc w:val="center"/>
        <w:rPr>
          <w:rFonts w:ascii="方正小标宋_GBK" w:hAnsi="华文中宋" w:eastAsia="方正小标宋_GBK" w:cs="华文中宋"/>
          <w:sz w:val="44"/>
          <w:szCs w:val="44"/>
        </w:rPr>
      </w:pPr>
      <w:r>
        <w:rPr>
          <w:rFonts w:hint="eastAsia" w:ascii="方正小标宋_GBK" w:hAnsi="华文中宋" w:eastAsia="方正小标宋_GBK" w:cs="华文中宋"/>
          <w:sz w:val="44"/>
          <w:szCs w:val="44"/>
        </w:rPr>
        <w:t>2026年单位预算情况说明</w:t>
      </w:r>
    </w:p>
    <w:p w14:paraId="67B5A2B4">
      <w:pPr>
        <w:spacing w:line="600" w:lineRule="exact"/>
        <w:ind w:firstLine="880" w:firstLineChars="200"/>
        <w:jc w:val="center"/>
        <w:rPr>
          <w:rFonts w:ascii="华文中宋" w:hAnsi="华文中宋" w:eastAsia="华文中宋" w:cs="华文中宋"/>
          <w:sz w:val="44"/>
          <w:szCs w:val="44"/>
        </w:rPr>
      </w:pPr>
    </w:p>
    <w:p w14:paraId="09AA516E">
      <w:pPr>
        <w:spacing w:line="600" w:lineRule="exact"/>
        <w:ind w:firstLine="640" w:firstLineChars="200"/>
        <w:rPr>
          <w:rFonts w:ascii="方正黑体_GBK" w:hAnsi="黑体" w:eastAsia="方正黑体_GBK" w:cs="仿宋_GB2312"/>
          <w:sz w:val="32"/>
          <w:szCs w:val="20"/>
        </w:rPr>
      </w:pPr>
      <w:r>
        <w:rPr>
          <w:rFonts w:hint="eastAsia" w:ascii="方正黑体_GBK" w:hAnsi="黑体" w:eastAsia="方正黑体_GBK" w:cs="仿宋_GB2312"/>
          <w:sz w:val="32"/>
          <w:szCs w:val="20"/>
        </w:rPr>
        <w:t>一、单位基本情况</w:t>
      </w:r>
    </w:p>
    <w:p w14:paraId="2F93E696">
      <w:pPr>
        <w:spacing w:line="600" w:lineRule="exact"/>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（一）职能职责</w:t>
      </w:r>
    </w:p>
    <w:p w14:paraId="0EB00392">
      <w:pPr>
        <w:spacing w:line="600" w:lineRule="exact"/>
        <w:ind w:firstLine="640" w:firstLineChars="200"/>
        <w:rPr>
          <w:rFonts w:ascii="方正仿宋_GBK" w:hAnsi="仿宋_GB2312" w:eastAsia="方正仿宋_GBK" w:cs="仿宋_GB2312"/>
          <w:sz w:val="32"/>
          <w:szCs w:val="20"/>
        </w:rPr>
      </w:pPr>
      <w:r>
        <w:rPr>
          <w:rFonts w:hint="eastAsia" w:eastAsia="方正仿宋_GBK"/>
          <w:color w:val="000000"/>
          <w:sz w:val="32"/>
          <w:szCs w:val="44"/>
        </w:rPr>
        <w:t>负责高新区科技创新和校地协同创新发展等工作。负责创新驱动发展战略及科</w:t>
      </w:r>
      <w:bookmarkStart w:id="0" w:name="_GoBack"/>
      <w:bookmarkEnd w:id="0"/>
      <w:r>
        <w:rPr>
          <w:rFonts w:hint="eastAsia" w:eastAsia="方正仿宋_GBK"/>
          <w:color w:val="000000"/>
          <w:sz w:val="32"/>
          <w:szCs w:val="44"/>
        </w:rPr>
        <w:t>技发展规划、科技创新体制改革、政策和措施研究；负责政产学研用协同创新和国际化科技创新技术交流、科技创新信息平台和科技创新载体的搭建和管理；负责科学城和大学城等校地协同创新项目引进、落地服务及相关活动组织实施；负责科技成果转化、技术转移等。</w:t>
      </w:r>
    </w:p>
    <w:p w14:paraId="04D4A223">
      <w:pPr>
        <w:tabs>
          <w:tab w:val="center" w:pos="4153"/>
          <w:tab w:val="left" w:pos="7275"/>
        </w:tabs>
        <w:spacing w:line="600" w:lineRule="exact"/>
        <w:ind w:left="640"/>
        <w:jc w:val="left"/>
        <w:rPr>
          <w:rFonts w:ascii="方正仿宋_GBK" w:hAnsi="仿宋_GB2312" w:eastAsia="方正仿宋_GBK" w:cs="仿宋_GB2312"/>
          <w:sz w:val="32"/>
          <w:szCs w:val="22"/>
        </w:rPr>
      </w:pPr>
      <w:r>
        <w:rPr>
          <w:rFonts w:hint="eastAsia" w:ascii="方正仿宋_GBK" w:hAnsi="仿宋_GB2312" w:eastAsia="方正仿宋_GBK" w:cs="仿宋_GB2312"/>
          <w:sz w:val="32"/>
          <w:szCs w:val="22"/>
        </w:rPr>
        <w:t>（二）单位构成</w:t>
      </w:r>
    </w:p>
    <w:p w14:paraId="7FB54DE7">
      <w:pPr>
        <w:spacing w:line="600" w:lineRule="exact"/>
        <w:ind w:firstLine="640" w:firstLineChars="200"/>
        <w:rPr>
          <w:rFonts w:eastAsia="方正仿宋_GBK"/>
          <w:color w:val="000000"/>
          <w:sz w:val="32"/>
          <w:szCs w:val="44"/>
        </w:rPr>
      </w:pPr>
      <w:r>
        <w:rPr>
          <w:rFonts w:eastAsia="方正仿宋_GBK"/>
          <w:color w:val="000000"/>
          <w:sz w:val="32"/>
          <w:szCs w:val="44"/>
        </w:rPr>
        <w:t>内设综合科、创新规划科、协同创新科和成果转化科。</w:t>
      </w:r>
    </w:p>
    <w:p w14:paraId="0B8DD4A7">
      <w:pPr>
        <w:spacing w:line="600" w:lineRule="exact"/>
        <w:ind w:firstLine="640" w:firstLineChars="200"/>
        <w:rPr>
          <w:rFonts w:ascii="方正黑体_GBK" w:hAnsi="黑体" w:eastAsia="方正黑体_GBK" w:cs="仿宋_GB2312"/>
          <w:sz w:val="32"/>
          <w:szCs w:val="20"/>
        </w:rPr>
      </w:pPr>
      <w:r>
        <w:rPr>
          <w:rFonts w:hint="eastAsia" w:ascii="方正黑体_GBK" w:hAnsi="黑体" w:eastAsia="方正黑体_GBK" w:cs="仿宋_GB2312"/>
          <w:sz w:val="32"/>
          <w:szCs w:val="20"/>
        </w:rPr>
        <w:t>二、单位收支总体情况</w:t>
      </w:r>
    </w:p>
    <w:p w14:paraId="4DF04AAC">
      <w:pPr>
        <w:spacing w:line="600" w:lineRule="exact"/>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一）收入预算：2026年年初预算数882.57万元，其中：一般公共预算拨款882.57万元，政府性基金预算拨款0万元，国有资本经营预算收入0万元，事业收入0万元，事业单位经营收入0万元，其他收入0万元。收入较2025年增加59.03万元，主要是两城融合发展专项经费拨款增加147万元。</w:t>
      </w:r>
    </w:p>
    <w:p w14:paraId="57D92712">
      <w:pPr>
        <w:spacing w:line="600" w:lineRule="exact"/>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二）支出预算：2026年年初预算数882.57万元，其中：一般公共服务支出预算10.93万元，教育支出预算0万元，社会保障和就业支出预算10.96万元，卫生健康支出预算5.5万元，住房保障支出预算9.8万元，科学技术支出预算845.38万元。支出预算较2025年增加59.03万元，主要是基本支出预算增加9.44万元，项目支出预算增加49.59万元。</w:t>
      </w:r>
    </w:p>
    <w:p w14:paraId="021B3F03">
      <w:pPr>
        <w:spacing w:line="600" w:lineRule="exact"/>
        <w:ind w:firstLine="640" w:firstLineChars="200"/>
        <w:rPr>
          <w:rFonts w:ascii="方正仿宋_GBK" w:hAnsi="黑体" w:eastAsia="方正仿宋_GBK" w:cs="仿宋_GB2312"/>
          <w:sz w:val="32"/>
          <w:szCs w:val="20"/>
        </w:rPr>
      </w:pPr>
      <w:r>
        <w:rPr>
          <w:rFonts w:hint="eastAsia" w:ascii="方正黑体_GBK" w:hAnsi="黑体" w:eastAsia="方正黑体_GBK" w:cs="仿宋_GB2312"/>
          <w:sz w:val="32"/>
          <w:szCs w:val="20"/>
        </w:rPr>
        <w:t>三</w:t>
      </w:r>
      <w:r>
        <w:rPr>
          <w:rFonts w:ascii="方正黑体_GBK" w:hAnsi="黑体" w:eastAsia="方正黑体_GBK" w:cs="仿宋_GB2312"/>
          <w:sz w:val="32"/>
          <w:szCs w:val="20"/>
        </w:rPr>
        <w:t>、</w:t>
      </w:r>
      <w:r>
        <w:rPr>
          <w:rFonts w:hint="eastAsia" w:ascii="方正黑体_GBK" w:hAnsi="黑体" w:eastAsia="方正黑体_GBK" w:cs="仿宋_GB2312"/>
          <w:sz w:val="32"/>
          <w:szCs w:val="20"/>
        </w:rPr>
        <w:t>单位预算情况说明</w:t>
      </w:r>
    </w:p>
    <w:p w14:paraId="288205A9">
      <w:pPr>
        <w:spacing w:line="600" w:lineRule="exact"/>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2026年一般公共预算财政拨款收入882.57万元，一般公共预算财政拨款支出882.57万元，比2025年增加59.03万元。其中：基本支出392.98万元，比2025年增加9.44万元，主要原因是科学技术支出经费增加9.44万元，主要用于保障在职人员工资福利及社会保险缴费等，保障部门正常运转的各项商品服务支出；项目支出489.59万元，比2025年增加49.59万元，主要原因是新增两城融合发展专项工作，科学技术支出增加39.59万元，增加科创平台审计项目，一般公共服务支出增加10万元。</w:t>
      </w:r>
    </w:p>
    <w:p w14:paraId="068543DC">
      <w:pPr>
        <w:spacing w:line="600" w:lineRule="exact"/>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高新区科技创新局2026年无使用政府性基金预算拨款安排的支出。</w:t>
      </w:r>
    </w:p>
    <w:p w14:paraId="375A066C">
      <w:pPr>
        <w:spacing w:line="600" w:lineRule="exact"/>
        <w:ind w:firstLine="640" w:firstLineChars="200"/>
        <w:rPr>
          <w:rFonts w:ascii="方正仿宋_GBK" w:hAnsi="黑体" w:eastAsia="方正仿宋_GBK" w:cs="仿宋_GB2312"/>
          <w:sz w:val="32"/>
          <w:szCs w:val="20"/>
        </w:rPr>
      </w:pPr>
      <w:r>
        <w:rPr>
          <w:rFonts w:hint="eastAsia" w:ascii="方正黑体_GBK" w:hAnsi="黑体" w:eastAsia="方正黑体_GBK" w:cs="仿宋_GB2312"/>
          <w:sz w:val="32"/>
          <w:szCs w:val="20"/>
        </w:rPr>
        <w:t>四</w:t>
      </w:r>
      <w:r>
        <w:rPr>
          <w:rFonts w:ascii="方正黑体_GBK" w:hAnsi="黑体" w:eastAsia="方正黑体_GBK" w:cs="仿宋_GB2312"/>
          <w:sz w:val="32"/>
          <w:szCs w:val="20"/>
        </w:rPr>
        <w:t>、</w:t>
      </w:r>
      <w:r>
        <w:rPr>
          <w:rFonts w:hint="eastAsia" w:ascii="方正黑体_GBK" w:hAnsi="黑体" w:eastAsia="方正黑体_GBK" w:cs="仿宋_GB2312"/>
          <w:sz w:val="32"/>
          <w:szCs w:val="20"/>
        </w:rPr>
        <w:t>“三公”经费情况说明</w:t>
      </w:r>
    </w:p>
    <w:p w14:paraId="4D9D7EA4">
      <w:pPr>
        <w:spacing w:line="600" w:lineRule="exact"/>
        <w:ind w:firstLine="6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2026年“三公”经费预算7.5万元，比2025年减少6.5万元。其中：因公出国（境）费用0万元，比2025年减少5万元，主要原因是厉行节约，控制因公出国（境）费用；公务接待费3万元，比2025年减少1.5万元，主要原因是控制公务接待范围；公务用车运行维护费4.5万元，比2025年减少0.5万元，主要原因是厉行节约，严控支出；公务用车购置费0万元，与2025年相比无变化。</w:t>
      </w:r>
    </w:p>
    <w:p w14:paraId="69C32BF0">
      <w:pPr>
        <w:spacing w:line="600" w:lineRule="exact"/>
        <w:ind w:firstLine="640" w:firstLineChars="200"/>
        <w:rPr>
          <w:rFonts w:ascii="方正黑体_GBK" w:hAnsi="黑体" w:eastAsia="方正黑体_GBK" w:cs="仿宋_GB2312"/>
          <w:sz w:val="32"/>
          <w:szCs w:val="20"/>
        </w:rPr>
      </w:pPr>
      <w:r>
        <w:rPr>
          <w:rFonts w:hint="eastAsia" w:ascii="方正黑体_GBK" w:hAnsi="黑体" w:eastAsia="方正黑体_GBK" w:cs="仿宋_GB2312"/>
          <w:sz w:val="32"/>
          <w:szCs w:val="20"/>
        </w:rPr>
        <w:t>五、其他重要事项的情况说明</w:t>
      </w:r>
    </w:p>
    <w:p w14:paraId="2969718F">
      <w:pPr>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一）机关运行经费。2026年一般公共预算财政拨款运行经费48.44万元，比上年增加0.1万元，主要原因是工会经费等计提费用增加。主要用于办公费、印刷费、邮电费、水电费、差旅费、会议费、培训费及其他商品和服务支出等。</w:t>
      </w:r>
    </w:p>
    <w:p w14:paraId="586130FC">
      <w:pPr>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二）政府采购情况。本单位政府采购预算总额1万元，其中，政府采购货物预算1万元、政府采购工程预算0万元、政府采购服务预算0万元；一般公共预算拨款政府采购1万元，其中，政府采购货物预算1万元、政府采购工程预算0万元、政府采购服务预算0万元。</w:t>
      </w:r>
    </w:p>
    <w:p w14:paraId="633DA7C6">
      <w:pPr>
        <w:ind w:firstLine="640" w:firstLineChars="200"/>
        <w:rPr>
          <w:rFonts w:ascii="方正仿宋_GBK" w:hAnsi="仿宋_GB2312" w:eastAsia="方正仿宋_GBK" w:cs="仿宋_GB2312"/>
          <w:color w:val="000000"/>
          <w:sz w:val="32"/>
          <w:szCs w:val="20"/>
        </w:rPr>
      </w:pPr>
      <w:r>
        <w:rPr>
          <w:rFonts w:hint="eastAsia" w:ascii="方正仿宋_GBK" w:hAnsi="仿宋_GB2312" w:eastAsia="方正仿宋_GBK" w:cs="仿宋_GB2312"/>
          <w:sz w:val="32"/>
          <w:szCs w:val="20"/>
        </w:rPr>
        <w:t>（三）绩效目标设置情况。</w:t>
      </w:r>
      <w:r>
        <w:rPr>
          <w:rFonts w:hint="eastAsia" w:ascii="方正仿宋_GBK" w:hAnsi="仿宋_GB2312" w:eastAsia="方正仿宋_GBK" w:cs="仿宋_GB2312"/>
          <w:color w:val="000000"/>
          <w:sz w:val="32"/>
          <w:szCs w:val="20"/>
        </w:rPr>
        <w:t>2026年项目支出均实行了绩效目标管理，涉及一般公共预算当年财政拨款489.59万元。</w:t>
      </w:r>
    </w:p>
    <w:p w14:paraId="3925A5A2">
      <w:pPr>
        <w:ind w:firstLine="640" w:firstLineChars="200"/>
        <w:rPr>
          <w:rFonts w:ascii="方正仿宋_GBK" w:hAnsi="仿宋_GB2312" w:eastAsia="方正仿宋_GBK" w:cs="仿宋_GB2312"/>
          <w:color w:val="000000"/>
          <w:sz w:val="32"/>
          <w:szCs w:val="20"/>
        </w:rPr>
      </w:pPr>
      <w:r>
        <w:rPr>
          <w:rFonts w:hint="eastAsia" w:ascii="方正仿宋_GBK" w:hAnsi="仿宋_GB2312" w:eastAsia="方正仿宋_GBK" w:cs="仿宋_GB2312"/>
          <w:color w:val="000000"/>
          <w:sz w:val="32"/>
          <w:szCs w:val="20"/>
        </w:rPr>
        <w:t>（四）国有资产占有使用情况。</w:t>
      </w:r>
      <w:r>
        <w:rPr>
          <w:rFonts w:hint="eastAsia" w:ascii="方正仿宋_GBK" w:hAnsi="仿宋_GB2312" w:eastAsia="方正仿宋_GBK" w:cs="仿宋_GB2312"/>
          <w:color w:val="000000"/>
          <w:sz w:val="32"/>
          <w:szCs w:val="20"/>
          <w:lang w:eastAsia="zh-CN"/>
        </w:rPr>
        <w:t>截至</w:t>
      </w:r>
      <w:r>
        <w:rPr>
          <w:rFonts w:hint="eastAsia" w:ascii="方正仿宋_GBK" w:hAnsi="仿宋_GB2312" w:eastAsia="方正仿宋_GBK" w:cs="仿宋_GB2312"/>
          <w:color w:val="000000"/>
          <w:sz w:val="32"/>
          <w:szCs w:val="20"/>
        </w:rPr>
        <w:t>2025年12月，本单位共有车辆1辆，其中一般公务用车1辆、执勤执法用车0辆。2026年一般公共预算安排购置车辆0辆。</w:t>
      </w:r>
    </w:p>
    <w:p w14:paraId="1EAD3DDC">
      <w:pPr>
        <w:ind w:firstLine="640" w:firstLineChars="200"/>
        <w:rPr>
          <w:rFonts w:ascii="方正仿宋_GBK" w:hAnsi="仿宋_GB2312" w:eastAsia="方正仿宋_GBK" w:cs="仿宋_GB2312"/>
          <w:color w:val="000000"/>
          <w:sz w:val="32"/>
          <w:szCs w:val="20"/>
        </w:rPr>
      </w:pPr>
      <w:r>
        <w:rPr>
          <w:rFonts w:hint="eastAsia" w:ascii="方正仿宋_GBK" w:hAnsi="仿宋_GB2312" w:eastAsia="方正仿宋_GBK" w:cs="仿宋_GB2312"/>
          <w:color w:val="000000"/>
          <w:sz w:val="32"/>
          <w:szCs w:val="20"/>
        </w:rPr>
        <w:t>（五）委托业务费情况。2026年委托业务费涉及财拨资金</w:t>
      </w:r>
      <w:r>
        <w:rPr>
          <w:rFonts w:hint="eastAsia" w:ascii="方正仿宋_GBK" w:hAnsi="仿宋_GB2312" w:eastAsia="方正仿宋_GBK" w:cs="仿宋_GB2312"/>
          <w:sz w:val="32"/>
          <w:szCs w:val="20"/>
        </w:rPr>
        <w:t>111.97万元，主要用于法律服务、技术评审鉴定评估服务、审计</w:t>
      </w:r>
      <w:r>
        <w:rPr>
          <w:rFonts w:hint="eastAsia" w:ascii="方正仿宋_GBK" w:hAnsi="仿宋_GB2312" w:eastAsia="方正仿宋_GBK" w:cs="仿宋_GB2312"/>
          <w:color w:val="000000"/>
          <w:sz w:val="32"/>
          <w:szCs w:val="20"/>
        </w:rPr>
        <w:t>服务等支出。</w:t>
      </w:r>
    </w:p>
    <w:p w14:paraId="0AA6A563">
      <w:pPr>
        <w:spacing w:line="600" w:lineRule="exact"/>
        <w:ind w:firstLine="640" w:firstLineChars="200"/>
        <w:rPr>
          <w:rFonts w:ascii="方正黑体_GBK" w:hAnsi="黑体" w:eastAsia="方正黑体_GBK" w:cs="仿宋_GB2312"/>
          <w:sz w:val="32"/>
          <w:szCs w:val="20"/>
        </w:rPr>
      </w:pPr>
      <w:r>
        <w:rPr>
          <w:rFonts w:hint="eastAsia" w:ascii="方正黑体_GBK" w:hAnsi="黑体" w:eastAsia="方正黑体_GBK" w:cs="仿宋_GB2312"/>
          <w:sz w:val="32"/>
          <w:szCs w:val="20"/>
        </w:rPr>
        <w:t>六</w:t>
      </w:r>
      <w:r>
        <w:rPr>
          <w:rFonts w:ascii="方正黑体_GBK" w:hAnsi="黑体" w:eastAsia="方正黑体_GBK" w:cs="仿宋_GB2312"/>
          <w:sz w:val="32"/>
          <w:szCs w:val="20"/>
        </w:rPr>
        <w:t>、</w:t>
      </w:r>
      <w:r>
        <w:rPr>
          <w:rFonts w:hint="eastAsia" w:ascii="方正黑体_GBK" w:hAnsi="黑体" w:eastAsia="方正黑体_GBK" w:cs="仿宋_GB2312"/>
          <w:sz w:val="32"/>
          <w:szCs w:val="20"/>
        </w:rPr>
        <w:t>专业性名词解释</w:t>
      </w:r>
    </w:p>
    <w:p w14:paraId="45F3B025">
      <w:pPr>
        <w:tabs>
          <w:tab w:val="center" w:pos="4153"/>
          <w:tab w:val="left" w:pos="7275"/>
        </w:tabs>
        <w:spacing w:line="600" w:lineRule="exact"/>
        <w:ind w:firstLine="640" w:firstLineChars="200"/>
        <w:jc w:val="left"/>
        <w:rPr>
          <w:rFonts w:ascii="方正仿宋_GBK" w:hAnsi="仿宋" w:eastAsia="方正仿宋_GBK" w:cs="Times New Roman"/>
          <w:sz w:val="32"/>
          <w:szCs w:val="32"/>
        </w:rPr>
      </w:pPr>
      <w:r>
        <w:rPr>
          <w:rFonts w:hint="eastAsia" w:ascii="方正仿宋_GBK" w:hAnsi="仿宋" w:eastAsia="方正仿宋_GBK" w:cs="Times New Roman"/>
          <w:sz w:val="32"/>
          <w:szCs w:val="32"/>
        </w:rPr>
        <w:t>（一）财政拨款收入：指本年度从本级财政部门取得的财政拨款，包括一般公共预算财政拨款和政府性基金预算财政拨款。</w:t>
      </w:r>
    </w:p>
    <w:p w14:paraId="160E5DAA">
      <w:pPr>
        <w:tabs>
          <w:tab w:val="center" w:pos="4153"/>
          <w:tab w:val="left" w:pos="7275"/>
        </w:tabs>
        <w:spacing w:line="600" w:lineRule="exact"/>
        <w:ind w:firstLine="640" w:firstLineChars="200"/>
        <w:jc w:val="left"/>
        <w:rPr>
          <w:rFonts w:ascii="方正仿宋_GBK" w:hAnsi="仿宋" w:eastAsia="方正仿宋_GBK" w:cs="Times New Roman"/>
          <w:sz w:val="32"/>
          <w:szCs w:val="32"/>
        </w:rPr>
      </w:pPr>
      <w:r>
        <w:rPr>
          <w:rFonts w:hint="eastAsia" w:ascii="方正仿宋_GBK" w:hAnsi="仿宋" w:eastAsia="方正仿宋_GBK" w:cs="Times New Roman"/>
          <w:sz w:val="32"/>
          <w:szCs w:val="32"/>
        </w:rPr>
        <w:t>（二）财政专户管理资金收入：指缴入财政专户、实行专项管理的高中以上学费、住宿费、高校委托培养费、函大、电大、夜大及短训班培训费等教育收费。单位根据教育收费标准、学生人数等合理预计。</w:t>
      </w:r>
    </w:p>
    <w:p w14:paraId="4C9F3D28">
      <w:pPr>
        <w:tabs>
          <w:tab w:val="center" w:pos="4153"/>
          <w:tab w:val="left" w:pos="7275"/>
        </w:tabs>
        <w:spacing w:line="600" w:lineRule="exact"/>
        <w:ind w:firstLine="640" w:firstLineChars="200"/>
        <w:jc w:val="left"/>
        <w:rPr>
          <w:rFonts w:ascii="方正仿宋_GBK" w:hAnsi="仿宋" w:eastAsia="方正仿宋_GBK" w:cs="Times New Roman"/>
          <w:sz w:val="32"/>
          <w:szCs w:val="32"/>
        </w:rPr>
      </w:pPr>
      <w:r>
        <w:rPr>
          <w:rFonts w:hint="eastAsia" w:ascii="方正仿宋_GBK" w:hAnsi="仿宋" w:eastAsia="方正仿宋_GBK" w:cs="Times New Roman"/>
          <w:sz w:val="32"/>
          <w:szCs w:val="32"/>
        </w:rPr>
        <w:t>（三）事业收入（不含教育收费）：指事业单位开展专业业务活动及其辅助活动取得的收入，不包括教育收费。单位根据本年度事业单位开展专业业务活动及其辅助活动计划，结合上年度收入等情况进行预计。</w:t>
      </w:r>
    </w:p>
    <w:p w14:paraId="5E526FF1">
      <w:pPr>
        <w:tabs>
          <w:tab w:val="center" w:pos="4153"/>
          <w:tab w:val="left" w:pos="7275"/>
        </w:tabs>
        <w:spacing w:line="600" w:lineRule="exact"/>
        <w:ind w:firstLine="640" w:firstLineChars="200"/>
        <w:jc w:val="left"/>
        <w:rPr>
          <w:rFonts w:ascii="方正仿宋_GBK" w:hAnsi="仿宋" w:eastAsia="方正仿宋_GBK" w:cs="Times New Roman"/>
          <w:sz w:val="32"/>
          <w:szCs w:val="32"/>
        </w:rPr>
      </w:pPr>
      <w:r>
        <w:rPr>
          <w:rFonts w:hint="eastAsia" w:ascii="方正仿宋_GBK" w:hAnsi="仿宋" w:eastAsia="方正仿宋_GBK" w:cs="Times New Roman"/>
          <w:sz w:val="32"/>
          <w:szCs w:val="32"/>
        </w:rPr>
        <w:t>（四）上级补助收入：指从主管部门或上级单位取得的财政拨款以外的其他补助收入。单位结合上年度上级补助收入等情况进行预计。</w:t>
      </w:r>
    </w:p>
    <w:p w14:paraId="02504ACF">
      <w:pPr>
        <w:tabs>
          <w:tab w:val="center" w:pos="4153"/>
          <w:tab w:val="left" w:pos="7275"/>
        </w:tabs>
        <w:spacing w:line="600" w:lineRule="exact"/>
        <w:ind w:firstLine="640" w:firstLineChars="200"/>
        <w:jc w:val="left"/>
        <w:rPr>
          <w:rFonts w:ascii="方正仿宋_GBK" w:hAnsi="仿宋" w:eastAsia="方正仿宋_GBK" w:cs="Times New Roman"/>
          <w:sz w:val="32"/>
          <w:szCs w:val="32"/>
        </w:rPr>
      </w:pPr>
      <w:r>
        <w:rPr>
          <w:rFonts w:hint="eastAsia" w:ascii="方正仿宋_GBK" w:hAnsi="仿宋" w:eastAsia="方正仿宋_GBK" w:cs="Times New Roman"/>
          <w:sz w:val="32"/>
          <w:szCs w:val="32"/>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14:paraId="032915A4">
      <w:pPr>
        <w:tabs>
          <w:tab w:val="center" w:pos="4153"/>
          <w:tab w:val="left" w:pos="7275"/>
        </w:tabs>
        <w:spacing w:line="600" w:lineRule="exact"/>
        <w:ind w:firstLine="640" w:firstLineChars="200"/>
        <w:jc w:val="left"/>
        <w:rPr>
          <w:rFonts w:ascii="方正仿宋_GBK" w:hAnsi="仿宋" w:eastAsia="方正仿宋_GBK" w:cs="Times New Roman"/>
          <w:sz w:val="32"/>
          <w:szCs w:val="32"/>
        </w:rPr>
      </w:pPr>
      <w:r>
        <w:rPr>
          <w:rFonts w:hint="eastAsia" w:ascii="方正仿宋_GBK" w:hAnsi="仿宋" w:eastAsia="方正仿宋_GBK" w:cs="Times New Roman"/>
          <w:sz w:val="32"/>
          <w:szCs w:val="32"/>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14:paraId="2F6DE9C4">
      <w:pPr>
        <w:tabs>
          <w:tab w:val="center" w:pos="4153"/>
          <w:tab w:val="left" w:pos="7275"/>
        </w:tabs>
        <w:spacing w:line="600" w:lineRule="exact"/>
        <w:ind w:firstLine="640" w:firstLineChars="200"/>
        <w:jc w:val="left"/>
        <w:rPr>
          <w:rFonts w:ascii="方正仿宋_GBK" w:hAnsi="仿宋" w:eastAsia="方正仿宋_GBK" w:cs="Times New Roman"/>
          <w:sz w:val="32"/>
          <w:szCs w:val="32"/>
        </w:rPr>
      </w:pPr>
      <w:r>
        <w:rPr>
          <w:rFonts w:hint="eastAsia" w:ascii="方正仿宋_GBK" w:hAnsi="仿宋" w:eastAsia="方正仿宋_GBK" w:cs="Times New Roman"/>
          <w:sz w:val="32"/>
          <w:szCs w:val="32"/>
        </w:rPr>
        <w:t>（七）其他收入：指债务收入、投资收益等收入，单位根据情况合理预计，全部编入预算。</w:t>
      </w:r>
    </w:p>
    <w:p w14:paraId="179EEC29">
      <w:pPr>
        <w:tabs>
          <w:tab w:val="center" w:pos="4153"/>
          <w:tab w:val="left" w:pos="7275"/>
        </w:tabs>
        <w:spacing w:line="600" w:lineRule="exact"/>
        <w:ind w:firstLine="640" w:firstLineChars="200"/>
        <w:jc w:val="left"/>
        <w:rPr>
          <w:rFonts w:ascii="方正仿宋_GBK" w:hAnsi="仿宋" w:eastAsia="方正仿宋_GBK" w:cs="Times New Roman"/>
          <w:sz w:val="32"/>
          <w:szCs w:val="32"/>
        </w:rPr>
      </w:pPr>
      <w:r>
        <w:rPr>
          <w:rFonts w:hint="eastAsia" w:ascii="方正仿宋_GBK" w:hAnsi="仿宋" w:eastAsia="方正仿宋_GBK" w:cs="Times New Roman"/>
          <w:sz w:val="32"/>
          <w:szCs w:val="32"/>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14:paraId="11A64415">
      <w:pPr>
        <w:tabs>
          <w:tab w:val="center" w:pos="4153"/>
          <w:tab w:val="left" w:pos="7275"/>
        </w:tabs>
        <w:spacing w:line="600" w:lineRule="exact"/>
        <w:ind w:firstLine="640" w:firstLineChars="200"/>
        <w:jc w:val="left"/>
        <w:rPr>
          <w:rFonts w:ascii="方正仿宋_GBK" w:hAnsi="仿宋" w:eastAsia="方正仿宋_GBK" w:cs="Times New Roman"/>
          <w:sz w:val="32"/>
          <w:szCs w:val="32"/>
        </w:rPr>
      </w:pPr>
      <w:r>
        <w:rPr>
          <w:rFonts w:hint="eastAsia" w:ascii="方正仿宋_GBK" w:hAnsi="仿宋" w:eastAsia="方正仿宋_GBK" w:cs="Times New Roman"/>
          <w:sz w:val="32"/>
          <w:szCs w:val="32"/>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A70DE8C">
      <w:pPr>
        <w:tabs>
          <w:tab w:val="center" w:pos="4153"/>
          <w:tab w:val="left" w:pos="7275"/>
        </w:tabs>
        <w:spacing w:line="600" w:lineRule="exact"/>
        <w:ind w:firstLine="640" w:firstLineChars="200"/>
        <w:jc w:val="left"/>
        <w:rPr>
          <w:rFonts w:ascii="方正仿宋_GBK" w:hAnsi="仿宋" w:eastAsia="方正仿宋_GBK" w:cs="Times New Roman"/>
          <w:sz w:val="32"/>
          <w:szCs w:val="32"/>
        </w:rPr>
      </w:pPr>
      <w:r>
        <w:rPr>
          <w:rFonts w:hint="eastAsia" w:ascii="方正仿宋_GBK" w:hAnsi="仿宋" w:eastAsia="方正仿宋_GBK" w:cs="Times New Roman"/>
          <w:sz w:val="32"/>
          <w:szCs w:val="32"/>
        </w:rPr>
        <w:t>（十）项目支出：指在基本支出之外为完成特定行政任务和事业发展目标所发生的支出。</w:t>
      </w:r>
    </w:p>
    <w:p w14:paraId="1626C9E8">
      <w:pPr>
        <w:tabs>
          <w:tab w:val="center" w:pos="4153"/>
          <w:tab w:val="left" w:pos="7275"/>
        </w:tabs>
        <w:spacing w:line="600" w:lineRule="exact"/>
        <w:ind w:firstLine="640" w:firstLineChars="200"/>
        <w:jc w:val="left"/>
        <w:rPr>
          <w:rFonts w:ascii="方正仿宋_GBK" w:hAnsi="仿宋" w:eastAsia="方正仿宋_GBK" w:cs="Times New Roman"/>
          <w:sz w:val="32"/>
          <w:szCs w:val="32"/>
        </w:rPr>
      </w:pPr>
      <w:r>
        <w:rPr>
          <w:rFonts w:hint="eastAsia" w:ascii="方正仿宋_GBK" w:hAnsi="仿宋" w:eastAsia="方正仿宋_GBK" w:cs="Times New Roman"/>
          <w:sz w:val="32"/>
          <w:szCs w:val="32"/>
        </w:rPr>
        <w:t>（十一）“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17DE40B">
      <w:pPr>
        <w:tabs>
          <w:tab w:val="center" w:pos="4153"/>
          <w:tab w:val="left" w:pos="7275"/>
        </w:tabs>
        <w:spacing w:line="600" w:lineRule="exact"/>
        <w:ind w:firstLine="640" w:firstLineChars="200"/>
        <w:jc w:val="left"/>
        <w:rPr>
          <w:rFonts w:ascii="方正仿宋_GBK" w:hAnsi="仿宋" w:eastAsia="方正仿宋_GBK" w:cs="Times New Roman"/>
          <w:sz w:val="32"/>
          <w:szCs w:val="32"/>
        </w:rPr>
      </w:pPr>
      <w:r>
        <w:rPr>
          <w:rFonts w:hint="eastAsia" w:ascii="方正仿宋_GBK" w:hAnsi="仿宋" w:eastAsia="方正仿宋_GBK" w:cs="Times New Roman"/>
          <w:sz w:val="32"/>
          <w:szCs w:val="32"/>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14:paraId="210020F7">
      <w:pPr>
        <w:tabs>
          <w:tab w:val="center" w:pos="4153"/>
          <w:tab w:val="left" w:pos="7275"/>
        </w:tabs>
        <w:spacing w:line="600" w:lineRule="exact"/>
        <w:ind w:firstLine="640" w:firstLineChars="200"/>
        <w:jc w:val="left"/>
        <w:rPr>
          <w:rFonts w:ascii="方正仿宋_GBK" w:hAnsi="仿宋" w:eastAsia="方正仿宋_GBK" w:cs="Times New Roman"/>
          <w:sz w:val="32"/>
          <w:szCs w:val="32"/>
        </w:rPr>
      </w:pPr>
      <w:r>
        <w:rPr>
          <w:rFonts w:hint="eastAsia" w:ascii="方正仿宋_GBK" w:hAnsi="仿宋" w:eastAsia="方正仿宋_GBK" w:cs="Times New Roman"/>
          <w:sz w:val="32"/>
          <w:szCs w:val="32"/>
        </w:rPr>
        <w:t>（十三）工资福利支出（支出经济分类科目类级）：反映单位开支的在职职工和编制外长期聘用人员的各类劳动报酬，以及为上述人员缴纳的各项社会保险费等。</w:t>
      </w:r>
    </w:p>
    <w:p w14:paraId="78AA829C">
      <w:pPr>
        <w:tabs>
          <w:tab w:val="center" w:pos="4153"/>
          <w:tab w:val="left" w:pos="7275"/>
        </w:tabs>
        <w:spacing w:line="600" w:lineRule="exact"/>
        <w:ind w:firstLine="640" w:firstLineChars="200"/>
        <w:jc w:val="left"/>
        <w:rPr>
          <w:rFonts w:ascii="方正仿宋_GBK" w:hAnsi="仿宋" w:eastAsia="方正仿宋_GBK" w:cs="Times New Roman"/>
          <w:sz w:val="32"/>
          <w:szCs w:val="32"/>
        </w:rPr>
      </w:pPr>
      <w:r>
        <w:rPr>
          <w:rFonts w:hint="eastAsia" w:ascii="方正仿宋_GBK" w:hAnsi="仿宋" w:eastAsia="方正仿宋_GBK" w:cs="Times New Roman"/>
          <w:sz w:val="32"/>
          <w:szCs w:val="32"/>
        </w:rPr>
        <w:t>（十四）商品和服务支出（支出经济分类科目类级）：反映单位购买商品和服务的支出（不包括用于购置固定资产的支出、战略性和应急储备支出）。</w:t>
      </w:r>
    </w:p>
    <w:p w14:paraId="2AB47191">
      <w:pPr>
        <w:tabs>
          <w:tab w:val="center" w:pos="4153"/>
          <w:tab w:val="left" w:pos="7275"/>
        </w:tabs>
        <w:spacing w:line="600" w:lineRule="exact"/>
        <w:ind w:firstLine="640" w:firstLineChars="200"/>
        <w:jc w:val="left"/>
        <w:rPr>
          <w:rFonts w:ascii="方正仿宋_GBK" w:hAnsi="仿宋" w:eastAsia="方正仿宋_GBK" w:cs="Times New Roman"/>
          <w:sz w:val="32"/>
          <w:szCs w:val="32"/>
        </w:rPr>
      </w:pPr>
      <w:r>
        <w:rPr>
          <w:rFonts w:hint="eastAsia" w:ascii="方正仿宋_GBK" w:hAnsi="仿宋" w:eastAsia="方正仿宋_GBK" w:cs="Times New Roman"/>
          <w:sz w:val="32"/>
          <w:szCs w:val="32"/>
        </w:rPr>
        <w:t>（十五）对个人和家庭的补助（支出经济分类科目类级）：反映用于对个人和家庭的补助支出。</w:t>
      </w:r>
    </w:p>
    <w:p w14:paraId="2906D088">
      <w:pPr>
        <w:ind w:firstLine="640" w:firstLineChars="200"/>
        <w:rPr>
          <w:rFonts w:ascii="方正仿宋_GBK" w:hAnsi="仿宋_GB2312" w:eastAsia="方正仿宋_GBK" w:cs="仿宋_GB2312"/>
          <w:color w:val="000000"/>
          <w:sz w:val="32"/>
          <w:szCs w:val="20"/>
        </w:rPr>
      </w:pPr>
      <w:r>
        <w:rPr>
          <w:rFonts w:hint="eastAsia" w:ascii="方正仿宋_GBK" w:hAnsi="仿宋" w:eastAsia="方正仿宋_GBK" w:cs="Times New Roman"/>
          <w:sz w:val="32"/>
          <w:szCs w:val="32"/>
        </w:rPr>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14:paraId="178D9E62">
      <w:pPr>
        <w:ind w:firstLine="640" w:firstLineChars="200"/>
        <w:rPr>
          <w:rFonts w:ascii="方正仿宋_GBK" w:hAnsi="仿宋_GB2312" w:eastAsia="方正仿宋_GBK" w:cs="仿宋_GB2312"/>
          <w:sz w:val="32"/>
          <w:szCs w:val="20"/>
        </w:rPr>
      </w:pPr>
    </w:p>
    <w:p w14:paraId="5E6A4B31">
      <w:pPr>
        <w:spacing w:line="600" w:lineRule="exact"/>
        <w:ind w:firstLine="640" w:firstLineChars="200"/>
        <w:rPr>
          <w:rFonts w:ascii="方正仿宋_GBK" w:eastAsia="方正仿宋_GBK"/>
          <w:sz w:val="32"/>
          <w:szCs w:val="32"/>
        </w:rPr>
      </w:pPr>
      <w:r>
        <w:rPr>
          <w:rFonts w:hint="eastAsia" w:ascii="方正仿宋_GBK" w:hAnsi="仿宋_GB2312" w:eastAsia="方正仿宋_GBK" w:cs="仿宋_GB2312"/>
          <w:sz w:val="32"/>
          <w:szCs w:val="20"/>
        </w:rPr>
        <w:t>单位预算公开联系人：朱花，联系电话：023-68609058</w:t>
      </w:r>
    </w:p>
    <w:sectPr>
      <w:footerReference r:id="rId3" w:type="default"/>
      <w:footerReference r:id="rId4" w:type="even"/>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73410B-F5CF-42B1-AF7A-AEAD2AA962F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83A6D1D-192D-4F8E-9D7A-0AC8434B0F71}"/>
  </w:font>
  <w:font w:name="仿宋_GB2312">
    <w:altName w:val="仿宋"/>
    <w:panose1 w:val="00000000000000000000"/>
    <w:charset w:val="86"/>
    <w:family w:val="modern"/>
    <w:pitch w:val="default"/>
    <w:sig w:usb0="00000000" w:usb1="00000000" w:usb2="00000010" w:usb3="00000000" w:csb0="00040000" w:csb1="00000000"/>
    <w:embedRegular r:id="rId3" w:fontKey="{CB5995E9-B8EF-4037-A16B-14657D4BA821}"/>
  </w:font>
  <w:font w:name="仿宋">
    <w:panose1 w:val="02010609060101010101"/>
    <w:charset w:val="86"/>
    <w:family w:val="modern"/>
    <w:pitch w:val="default"/>
    <w:sig w:usb0="800002BF" w:usb1="38CF7CFA" w:usb2="00000016" w:usb3="00000000" w:csb0="00040001" w:csb1="00000000"/>
    <w:embedRegular r:id="rId4" w:fontKey="{959202F1-7DEF-4D3E-B502-264807D5271A}"/>
  </w:font>
  <w:font w:name="方正小标宋_GBK">
    <w:panose1 w:val="02000000000000000000"/>
    <w:charset w:val="86"/>
    <w:family w:val="script"/>
    <w:pitch w:val="default"/>
    <w:sig w:usb0="A00002BF" w:usb1="38CF7CFA" w:usb2="00082016" w:usb3="00000000" w:csb0="00040001" w:csb1="00000000"/>
    <w:embedRegular r:id="rId5" w:fontKey="{3A397BEE-7DA6-40C1-B2B4-E6822F6CFFA5}"/>
  </w:font>
  <w:font w:name="华文中宋">
    <w:altName w:val="宋体"/>
    <w:panose1 w:val="02010600040101010101"/>
    <w:charset w:val="86"/>
    <w:family w:val="auto"/>
    <w:pitch w:val="default"/>
    <w:sig w:usb0="00000000" w:usb1="00000000" w:usb2="00000010" w:usb3="00000000" w:csb0="0004009F" w:csb1="00000000"/>
    <w:embedRegular r:id="rId6" w:fontKey="{B742B989-1BAE-42FB-B3C7-EA40C1B60376}"/>
  </w:font>
  <w:font w:name="汉仪中宋简">
    <w:altName w:val="宋体"/>
    <w:panose1 w:val="00000000000000000000"/>
    <w:charset w:val="00"/>
    <w:family w:val="auto"/>
    <w:pitch w:val="default"/>
    <w:sig w:usb0="00000000" w:usb1="00000000" w:usb2="00000000" w:usb3="00000000" w:csb0="00000000" w:csb1="00000000"/>
  </w:font>
  <w:font w:name="方正黑体_GBK">
    <w:panose1 w:val="02010600010101010101"/>
    <w:charset w:val="86"/>
    <w:family w:val="script"/>
    <w:pitch w:val="default"/>
    <w:sig w:usb0="00000001" w:usb1="080E0000" w:usb2="00000000" w:usb3="00000000" w:csb0="00040000" w:csb1="00000000"/>
    <w:embedRegular r:id="rId7" w:fontKey="{4B32FF00-7640-40B5-814E-BA020B1822EF}"/>
  </w:font>
  <w:font w:name="方正仿宋_GBK">
    <w:panose1 w:val="03000509000000000000"/>
    <w:charset w:val="86"/>
    <w:family w:val="script"/>
    <w:pitch w:val="default"/>
    <w:sig w:usb0="00000001" w:usb1="080E0000" w:usb2="00000000" w:usb3="00000000" w:csb0="00040000" w:csb1="00000000"/>
    <w:embedRegular r:id="rId8" w:fontKey="{C0966120-EE70-45FB-A9F0-310E03BF44C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600866"/>
    </w:sdtPr>
    <w:sdtContent>
      <w:p w14:paraId="0B743339">
        <w:pPr>
          <w:pStyle w:val="6"/>
          <w:jc w:val="right"/>
        </w:pPr>
        <w:r>
          <w:rPr>
            <w:rFonts w:hint="eastAsia" w:ascii="方正仿宋_GBK" w:eastAsia="方正仿宋_GBK"/>
            <w:sz w:val="28"/>
            <w:szCs w:val="28"/>
          </w:rPr>
          <w:t>—</w:t>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   \* MERGEFORMAT </w:instrText>
        </w:r>
        <w:r>
          <w:rPr>
            <w:rFonts w:hint="eastAsia" w:ascii="方正仿宋_GBK" w:eastAsia="方正仿宋_GBK"/>
            <w:sz w:val="28"/>
            <w:szCs w:val="28"/>
          </w:rPr>
          <w:fldChar w:fldCharType="separate"/>
        </w:r>
        <w:r>
          <w:rPr>
            <w:rFonts w:ascii="方正仿宋_GBK" w:eastAsia="方正仿宋_GBK"/>
            <w:sz w:val="28"/>
            <w:szCs w:val="28"/>
            <w:lang w:val="zh-CN"/>
          </w:rPr>
          <w:t>7</w:t>
        </w:r>
        <w:r>
          <w:rPr>
            <w:rFonts w:hint="eastAsia" w:ascii="方正仿宋_GBK" w:eastAsia="方正仿宋_GBK"/>
            <w:sz w:val="28"/>
            <w:szCs w:val="28"/>
          </w:rPr>
          <w:fldChar w:fldCharType="end"/>
        </w:r>
        <w:r>
          <w:rPr>
            <w:rFonts w:hint="eastAsia" w:ascii="方正仿宋_GBK" w:eastAsia="方正仿宋_GBK"/>
            <w:sz w:val="28"/>
            <w:szCs w:val="28"/>
          </w:rPr>
          <w:t>—</w:t>
        </w:r>
      </w:p>
    </w:sdtContent>
  </w:sdt>
  <w:p w14:paraId="1A16AE0D">
    <w:pPr>
      <w:pStyle w:val="6"/>
    </w:pPr>
  </w:p>
  <w:p w14:paraId="5497B83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600873"/>
    </w:sdtPr>
    <w:sdtContent>
      <w:p w14:paraId="0A4811C2">
        <w:pPr>
          <w:pStyle w:val="6"/>
          <w:rPr>
            <w:sz w:val="21"/>
            <w:szCs w:val="24"/>
          </w:rPr>
        </w:pPr>
        <w:r>
          <w:rPr>
            <w:rFonts w:hint="eastAsia" w:ascii="方正仿宋_GBK" w:eastAsia="方正仿宋_GBK"/>
            <w:sz w:val="28"/>
            <w:szCs w:val="28"/>
          </w:rPr>
          <w:t>—</w:t>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   \* MERGEFORMAT </w:instrText>
        </w:r>
        <w:r>
          <w:rPr>
            <w:rFonts w:hint="eastAsia" w:ascii="方正仿宋_GBK" w:eastAsia="方正仿宋_GBK"/>
            <w:sz w:val="28"/>
            <w:szCs w:val="28"/>
          </w:rPr>
          <w:fldChar w:fldCharType="separate"/>
        </w:r>
        <w:r>
          <w:rPr>
            <w:rFonts w:ascii="方正仿宋_GBK" w:eastAsia="方正仿宋_GBK"/>
            <w:sz w:val="28"/>
            <w:szCs w:val="28"/>
            <w:lang w:val="zh-CN"/>
          </w:rPr>
          <w:t>6</w:t>
        </w:r>
        <w:r>
          <w:rPr>
            <w:rFonts w:hint="eastAsia" w:ascii="方正仿宋_GBK" w:eastAsia="方正仿宋_GBK"/>
            <w:sz w:val="28"/>
            <w:szCs w:val="28"/>
          </w:rPr>
          <w:fldChar w:fldCharType="end"/>
        </w:r>
        <w:r>
          <w:rPr>
            <w:rFonts w:hint="eastAsia" w:ascii="方正仿宋_GBK" w:eastAsia="方正仿宋_GBK"/>
            <w:sz w:val="28"/>
            <w:szCs w:val="28"/>
          </w:rPr>
          <w:t>—</w:t>
        </w:r>
      </w:p>
    </w:sdtContent>
  </w:sdt>
  <w:p w14:paraId="6D7D5383">
    <w:pPr>
      <w:pStyle w:val="6"/>
    </w:pPr>
  </w:p>
  <w:p w14:paraId="237FAA2F"/>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zNDU0MzM3YWVkNzc1NmY4NmFjOTA5MjMwMDhlMWQifQ=="/>
  </w:docVars>
  <w:rsids>
    <w:rsidRoot w:val="DDEFA33C"/>
    <w:rsid w:val="00000550"/>
    <w:rsid w:val="00002D64"/>
    <w:rsid w:val="00020764"/>
    <w:rsid w:val="0002749C"/>
    <w:rsid w:val="00047981"/>
    <w:rsid w:val="00050437"/>
    <w:rsid w:val="00062654"/>
    <w:rsid w:val="000B03CB"/>
    <w:rsid w:val="00105658"/>
    <w:rsid w:val="00105DB3"/>
    <w:rsid w:val="00126DE5"/>
    <w:rsid w:val="001424BB"/>
    <w:rsid w:val="00147E03"/>
    <w:rsid w:val="00187BA3"/>
    <w:rsid w:val="001900F7"/>
    <w:rsid w:val="001A3B38"/>
    <w:rsid w:val="001C562C"/>
    <w:rsid w:val="001D3D78"/>
    <w:rsid w:val="001D5EF5"/>
    <w:rsid w:val="001F1C80"/>
    <w:rsid w:val="00207050"/>
    <w:rsid w:val="00221C30"/>
    <w:rsid w:val="00257FEE"/>
    <w:rsid w:val="002A393E"/>
    <w:rsid w:val="002A47A1"/>
    <w:rsid w:val="002B2A63"/>
    <w:rsid w:val="002C03A7"/>
    <w:rsid w:val="00325FD3"/>
    <w:rsid w:val="00331522"/>
    <w:rsid w:val="00357DD5"/>
    <w:rsid w:val="003625C5"/>
    <w:rsid w:val="0039593E"/>
    <w:rsid w:val="00395FFC"/>
    <w:rsid w:val="00397AEA"/>
    <w:rsid w:val="003A69E3"/>
    <w:rsid w:val="003B2F4B"/>
    <w:rsid w:val="003B680C"/>
    <w:rsid w:val="003D0A25"/>
    <w:rsid w:val="003D7D22"/>
    <w:rsid w:val="003E043C"/>
    <w:rsid w:val="003E0547"/>
    <w:rsid w:val="003F0F36"/>
    <w:rsid w:val="00406394"/>
    <w:rsid w:val="00434616"/>
    <w:rsid w:val="004411ED"/>
    <w:rsid w:val="0044491E"/>
    <w:rsid w:val="004551A7"/>
    <w:rsid w:val="004573AF"/>
    <w:rsid w:val="00462582"/>
    <w:rsid w:val="00463DA7"/>
    <w:rsid w:val="00467BE5"/>
    <w:rsid w:val="004829F8"/>
    <w:rsid w:val="00494C3B"/>
    <w:rsid w:val="0049564A"/>
    <w:rsid w:val="004A5113"/>
    <w:rsid w:val="004C3049"/>
    <w:rsid w:val="004D335C"/>
    <w:rsid w:val="004D34F4"/>
    <w:rsid w:val="004E72A4"/>
    <w:rsid w:val="00506D68"/>
    <w:rsid w:val="00523889"/>
    <w:rsid w:val="0053400B"/>
    <w:rsid w:val="00536729"/>
    <w:rsid w:val="005369E2"/>
    <w:rsid w:val="0055700B"/>
    <w:rsid w:val="0056748E"/>
    <w:rsid w:val="00573089"/>
    <w:rsid w:val="0058358D"/>
    <w:rsid w:val="005949AB"/>
    <w:rsid w:val="00596D47"/>
    <w:rsid w:val="005C0BC9"/>
    <w:rsid w:val="005D460C"/>
    <w:rsid w:val="005D6317"/>
    <w:rsid w:val="005E7261"/>
    <w:rsid w:val="005E7595"/>
    <w:rsid w:val="005F549F"/>
    <w:rsid w:val="006143BC"/>
    <w:rsid w:val="0063260E"/>
    <w:rsid w:val="0064008C"/>
    <w:rsid w:val="00646723"/>
    <w:rsid w:val="0066455A"/>
    <w:rsid w:val="0069086E"/>
    <w:rsid w:val="00696E62"/>
    <w:rsid w:val="006A5DA1"/>
    <w:rsid w:val="006B7AC3"/>
    <w:rsid w:val="006C6826"/>
    <w:rsid w:val="006D2B23"/>
    <w:rsid w:val="006E2D81"/>
    <w:rsid w:val="00702401"/>
    <w:rsid w:val="00723989"/>
    <w:rsid w:val="007422B8"/>
    <w:rsid w:val="00746A00"/>
    <w:rsid w:val="00755DF0"/>
    <w:rsid w:val="00761782"/>
    <w:rsid w:val="00763107"/>
    <w:rsid w:val="00770624"/>
    <w:rsid w:val="00780A53"/>
    <w:rsid w:val="0078414E"/>
    <w:rsid w:val="007929CF"/>
    <w:rsid w:val="007A6E54"/>
    <w:rsid w:val="007B0EC2"/>
    <w:rsid w:val="007B2D3D"/>
    <w:rsid w:val="007C286D"/>
    <w:rsid w:val="007D1D85"/>
    <w:rsid w:val="007E5DFD"/>
    <w:rsid w:val="00830C81"/>
    <w:rsid w:val="008368E0"/>
    <w:rsid w:val="00850664"/>
    <w:rsid w:val="00866863"/>
    <w:rsid w:val="008721DA"/>
    <w:rsid w:val="00880D9C"/>
    <w:rsid w:val="00892833"/>
    <w:rsid w:val="008958F5"/>
    <w:rsid w:val="008C6EE3"/>
    <w:rsid w:val="008C748B"/>
    <w:rsid w:val="008D09B9"/>
    <w:rsid w:val="008E1FC6"/>
    <w:rsid w:val="008E3F98"/>
    <w:rsid w:val="008E75B3"/>
    <w:rsid w:val="008F11A0"/>
    <w:rsid w:val="008F2670"/>
    <w:rsid w:val="008F6BC0"/>
    <w:rsid w:val="00904291"/>
    <w:rsid w:val="0092429C"/>
    <w:rsid w:val="00962B3C"/>
    <w:rsid w:val="00986CE2"/>
    <w:rsid w:val="0099613A"/>
    <w:rsid w:val="009A0B9A"/>
    <w:rsid w:val="009B7187"/>
    <w:rsid w:val="009D23CE"/>
    <w:rsid w:val="009D2F7D"/>
    <w:rsid w:val="009E7B9D"/>
    <w:rsid w:val="00A07574"/>
    <w:rsid w:val="00A12BD5"/>
    <w:rsid w:val="00A641E4"/>
    <w:rsid w:val="00A74D89"/>
    <w:rsid w:val="00A90C82"/>
    <w:rsid w:val="00AB3A79"/>
    <w:rsid w:val="00AC42FA"/>
    <w:rsid w:val="00AF684F"/>
    <w:rsid w:val="00B07D1B"/>
    <w:rsid w:val="00B13BEE"/>
    <w:rsid w:val="00B23322"/>
    <w:rsid w:val="00B264B7"/>
    <w:rsid w:val="00B524D7"/>
    <w:rsid w:val="00B64346"/>
    <w:rsid w:val="00B80381"/>
    <w:rsid w:val="00BB17CC"/>
    <w:rsid w:val="00BC1F51"/>
    <w:rsid w:val="00BF3090"/>
    <w:rsid w:val="00C05D20"/>
    <w:rsid w:val="00C15F8C"/>
    <w:rsid w:val="00C42C32"/>
    <w:rsid w:val="00C43658"/>
    <w:rsid w:val="00C51C46"/>
    <w:rsid w:val="00C57659"/>
    <w:rsid w:val="00C72FDA"/>
    <w:rsid w:val="00C768CD"/>
    <w:rsid w:val="00C839E8"/>
    <w:rsid w:val="00C92B04"/>
    <w:rsid w:val="00CB209C"/>
    <w:rsid w:val="00CB626C"/>
    <w:rsid w:val="00CC1333"/>
    <w:rsid w:val="00D049C5"/>
    <w:rsid w:val="00D1414B"/>
    <w:rsid w:val="00D230DC"/>
    <w:rsid w:val="00D4510D"/>
    <w:rsid w:val="00DA4FB8"/>
    <w:rsid w:val="00DC6DEE"/>
    <w:rsid w:val="00DD1FA2"/>
    <w:rsid w:val="00DE5C3D"/>
    <w:rsid w:val="00E15E97"/>
    <w:rsid w:val="00E35738"/>
    <w:rsid w:val="00E46E77"/>
    <w:rsid w:val="00E47D68"/>
    <w:rsid w:val="00E51C72"/>
    <w:rsid w:val="00E65A21"/>
    <w:rsid w:val="00E801CC"/>
    <w:rsid w:val="00EB45D8"/>
    <w:rsid w:val="00EE5CD6"/>
    <w:rsid w:val="00EE740D"/>
    <w:rsid w:val="00F16F32"/>
    <w:rsid w:val="00F27CBF"/>
    <w:rsid w:val="00F63F57"/>
    <w:rsid w:val="00F66F1B"/>
    <w:rsid w:val="00F73BBA"/>
    <w:rsid w:val="00F84048"/>
    <w:rsid w:val="00F92C0C"/>
    <w:rsid w:val="00FA0793"/>
    <w:rsid w:val="00FA7B60"/>
    <w:rsid w:val="00FB29EC"/>
    <w:rsid w:val="00FB6B1D"/>
    <w:rsid w:val="00FC2FCB"/>
    <w:rsid w:val="00FE32F5"/>
    <w:rsid w:val="00FF4593"/>
    <w:rsid w:val="035C3A65"/>
    <w:rsid w:val="036068E4"/>
    <w:rsid w:val="06C501D3"/>
    <w:rsid w:val="073E6F3C"/>
    <w:rsid w:val="0923288D"/>
    <w:rsid w:val="09EB0ED1"/>
    <w:rsid w:val="0D4252AC"/>
    <w:rsid w:val="0F6A2898"/>
    <w:rsid w:val="10305890"/>
    <w:rsid w:val="10DD376A"/>
    <w:rsid w:val="119A56B6"/>
    <w:rsid w:val="13B50586"/>
    <w:rsid w:val="13DA7FEC"/>
    <w:rsid w:val="148B7EDB"/>
    <w:rsid w:val="15F2239C"/>
    <w:rsid w:val="16F969DB"/>
    <w:rsid w:val="1711641B"/>
    <w:rsid w:val="1735378C"/>
    <w:rsid w:val="17465999"/>
    <w:rsid w:val="1A381056"/>
    <w:rsid w:val="1AB377E9"/>
    <w:rsid w:val="1B516D3B"/>
    <w:rsid w:val="1BEF2AA3"/>
    <w:rsid w:val="1BF12377"/>
    <w:rsid w:val="1C715266"/>
    <w:rsid w:val="1CBF2475"/>
    <w:rsid w:val="1DCF493A"/>
    <w:rsid w:val="1EB12291"/>
    <w:rsid w:val="1F2D7B6A"/>
    <w:rsid w:val="1F3157A5"/>
    <w:rsid w:val="1FDE0E64"/>
    <w:rsid w:val="1FE50445"/>
    <w:rsid w:val="217A313D"/>
    <w:rsid w:val="21AD6D40"/>
    <w:rsid w:val="21BF6A73"/>
    <w:rsid w:val="22244B28"/>
    <w:rsid w:val="2346744C"/>
    <w:rsid w:val="234C4337"/>
    <w:rsid w:val="27711F3F"/>
    <w:rsid w:val="28215D92"/>
    <w:rsid w:val="284B72B3"/>
    <w:rsid w:val="29675768"/>
    <w:rsid w:val="2B8411B7"/>
    <w:rsid w:val="2BA07916"/>
    <w:rsid w:val="2CC978CC"/>
    <w:rsid w:val="2D300825"/>
    <w:rsid w:val="2D83304B"/>
    <w:rsid w:val="2DDD6BFF"/>
    <w:rsid w:val="2E075A2A"/>
    <w:rsid w:val="2F96306E"/>
    <w:rsid w:val="314C343E"/>
    <w:rsid w:val="315C7E3B"/>
    <w:rsid w:val="32AE46C6"/>
    <w:rsid w:val="32D54349"/>
    <w:rsid w:val="333948D8"/>
    <w:rsid w:val="36612130"/>
    <w:rsid w:val="369242A1"/>
    <w:rsid w:val="36B50719"/>
    <w:rsid w:val="36FB1EA4"/>
    <w:rsid w:val="38CE5AC2"/>
    <w:rsid w:val="39224840"/>
    <w:rsid w:val="3A103EB8"/>
    <w:rsid w:val="3AC30F2B"/>
    <w:rsid w:val="3D6953E6"/>
    <w:rsid w:val="3EFF797D"/>
    <w:rsid w:val="40E67721"/>
    <w:rsid w:val="42C13FA2"/>
    <w:rsid w:val="42E63A08"/>
    <w:rsid w:val="436A5D90"/>
    <w:rsid w:val="436D260D"/>
    <w:rsid w:val="45EB3A89"/>
    <w:rsid w:val="47F46BC7"/>
    <w:rsid w:val="48EC3D42"/>
    <w:rsid w:val="49543DC1"/>
    <w:rsid w:val="49EC224C"/>
    <w:rsid w:val="4A871F75"/>
    <w:rsid w:val="4C3E34B4"/>
    <w:rsid w:val="4C455C43"/>
    <w:rsid w:val="4F0F42E7"/>
    <w:rsid w:val="50887115"/>
    <w:rsid w:val="50F96FFC"/>
    <w:rsid w:val="517D7C2E"/>
    <w:rsid w:val="54817A35"/>
    <w:rsid w:val="54C3004D"/>
    <w:rsid w:val="56095F34"/>
    <w:rsid w:val="5B874E3C"/>
    <w:rsid w:val="5DF41277"/>
    <w:rsid w:val="5F702B80"/>
    <w:rsid w:val="605A0612"/>
    <w:rsid w:val="612B4FB0"/>
    <w:rsid w:val="61B36598"/>
    <w:rsid w:val="633F207A"/>
    <w:rsid w:val="6404654E"/>
    <w:rsid w:val="64D24668"/>
    <w:rsid w:val="65E26A04"/>
    <w:rsid w:val="6603474E"/>
    <w:rsid w:val="680B5B3B"/>
    <w:rsid w:val="6AA574F6"/>
    <w:rsid w:val="6E31797E"/>
    <w:rsid w:val="6E7D2BC3"/>
    <w:rsid w:val="714874B8"/>
    <w:rsid w:val="717739D9"/>
    <w:rsid w:val="727C54D9"/>
    <w:rsid w:val="73B61051"/>
    <w:rsid w:val="73F161DC"/>
    <w:rsid w:val="741B2C62"/>
    <w:rsid w:val="751F6782"/>
    <w:rsid w:val="753A28EB"/>
    <w:rsid w:val="75A5137D"/>
    <w:rsid w:val="75D336F2"/>
    <w:rsid w:val="768E0063"/>
    <w:rsid w:val="772E00BE"/>
    <w:rsid w:val="77862625"/>
    <w:rsid w:val="79FC7092"/>
    <w:rsid w:val="7AFB303D"/>
    <w:rsid w:val="7CB400F8"/>
    <w:rsid w:val="7D7F24B4"/>
    <w:rsid w:val="7F39E01E"/>
    <w:rsid w:val="DDEFA33C"/>
    <w:rsid w:val="ECD3B3C2"/>
    <w:rsid w:val="FB6F9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qFormat/>
    <w:uiPriority w:val="0"/>
    <w:pPr>
      <w:suppressAutoHyphens/>
      <w:spacing w:beforeAutospacing="1" w:afterAutospacing="1"/>
      <w:jc w:val="left"/>
      <w:outlineLvl w:val="0"/>
    </w:pPr>
    <w:rPr>
      <w:rFonts w:hint="eastAsia" w:ascii="宋体" w:hAnsi="宋体" w:eastAsia="宋体"/>
      <w:b/>
      <w:kern w:val="44"/>
      <w:sz w:val="48"/>
      <w:szCs w:val="48"/>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qFormat/>
    <w:uiPriority w:val="99"/>
    <w:pPr>
      <w:jc w:val="left"/>
    </w:pPr>
    <w:rPr>
      <w:rFonts w:ascii="Calibri" w:hAnsi="Calibri" w:eastAsia="宋体" w:cs="宋体"/>
      <w:szCs w:val="22"/>
    </w:rPr>
  </w:style>
  <w:style w:type="paragraph" w:styleId="4">
    <w:name w:val="Date"/>
    <w:basedOn w:val="1"/>
    <w:next w:val="1"/>
    <w:link w:val="21"/>
    <w:qFormat/>
    <w:uiPriority w:val="0"/>
    <w:pPr>
      <w:ind w:left="100" w:leftChars="2500"/>
    </w:pPr>
  </w:style>
  <w:style w:type="paragraph" w:styleId="5">
    <w:name w:val="Balloon Text"/>
    <w:basedOn w:val="1"/>
    <w:link w:val="19"/>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basedOn w:val="11"/>
    <w:qFormat/>
    <w:uiPriority w:val="99"/>
    <w:rPr>
      <w:sz w:val="21"/>
      <w:szCs w:val="21"/>
    </w:rPr>
  </w:style>
  <w:style w:type="paragraph" w:customStyle="1" w:styleId="13">
    <w:name w:val="Default"/>
    <w:qFormat/>
    <w:uiPriority w:val="99"/>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4">
    <w:name w:val="页眉 Char"/>
    <w:basedOn w:val="11"/>
    <w:link w:val="7"/>
    <w:qFormat/>
    <w:uiPriority w:val="0"/>
    <w:rPr>
      <w:kern w:val="2"/>
      <w:sz w:val="18"/>
      <w:szCs w:val="18"/>
    </w:rPr>
  </w:style>
  <w:style w:type="character" w:customStyle="1" w:styleId="15">
    <w:name w:val="页脚 Char"/>
    <w:basedOn w:val="11"/>
    <w:link w:val="6"/>
    <w:qFormat/>
    <w:uiPriority w:val="0"/>
    <w:rPr>
      <w:kern w:val="2"/>
      <w:sz w:val="18"/>
      <w:szCs w:val="18"/>
    </w:rPr>
  </w:style>
  <w:style w:type="paragraph" w:customStyle="1" w:styleId="16">
    <w:name w:val="UserStyle_0"/>
    <w:basedOn w:val="1"/>
    <w:qFormat/>
    <w:uiPriority w:val="0"/>
    <w:pPr>
      <w:autoSpaceDE w:val="0"/>
      <w:autoSpaceDN w:val="0"/>
      <w:spacing w:after="160" w:line="278" w:lineRule="auto"/>
      <w:ind w:firstLine="200" w:firstLineChars="200"/>
      <w:jc w:val="left"/>
    </w:pPr>
    <w:rPr>
      <w:rFonts w:ascii="Calibri" w:hAnsi="Calibri" w:eastAsia="宋体" w:cs="Times New Roman"/>
      <w:color w:val="000000"/>
      <w:kern w:val="0"/>
      <w:sz w:val="22"/>
      <w:szCs w:val="21"/>
      <w:lang w:val="zh-CN" w:bidi="zh-CN"/>
    </w:rPr>
  </w:style>
  <w:style w:type="character" w:customStyle="1" w:styleId="17">
    <w:name w:val="Body text|1_"/>
    <w:link w:val="18"/>
    <w:qFormat/>
    <w:uiPriority w:val="0"/>
    <w:rPr>
      <w:rFonts w:ascii="宋体" w:hAnsi="宋体" w:cs="宋体"/>
      <w:sz w:val="30"/>
      <w:szCs w:val="30"/>
      <w:lang w:val="zh-TW" w:eastAsia="zh-TW" w:bidi="zh-TW"/>
    </w:rPr>
  </w:style>
  <w:style w:type="paragraph" w:customStyle="1" w:styleId="18">
    <w:name w:val="Body text|1"/>
    <w:basedOn w:val="1"/>
    <w:link w:val="17"/>
    <w:qFormat/>
    <w:uiPriority w:val="0"/>
    <w:pPr>
      <w:spacing w:line="408" w:lineRule="auto"/>
      <w:ind w:firstLine="400"/>
      <w:jc w:val="left"/>
    </w:pPr>
    <w:rPr>
      <w:rFonts w:ascii="宋体" w:hAnsi="宋体" w:cs="宋体"/>
      <w:kern w:val="0"/>
      <w:sz w:val="30"/>
      <w:szCs w:val="30"/>
      <w:lang w:val="zh-TW" w:eastAsia="zh-TW" w:bidi="zh-TW"/>
    </w:rPr>
  </w:style>
  <w:style w:type="character" w:customStyle="1" w:styleId="19">
    <w:name w:val="批注框文本 Char"/>
    <w:basedOn w:val="11"/>
    <w:link w:val="5"/>
    <w:qFormat/>
    <w:uiPriority w:val="0"/>
    <w:rPr>
      <w:kern w:val="2"/>
      <w:sz w:val="18"/>
      <w:szCs w:val="18"/>
    </w:rPr>
  </w:style>
  <w:style w:type="character" w:customStyle="1" w:styleId="20">
    <w:name w:val="批注文字 Char"/>
    <w:basedOn w:val="11"/>
    <w:link w:val="3"/>
    <w:qFormat/>
    <w:uiPriority w:val="99"/>
    <w:rPr>
      <w:rFonts w:ascii="Calibri" w:hAnsi="Calibri" w:eastAsia="宋体" w:cs="宋体"/>
      <w:kern w:val="2"/>
      <w:sz w:val="21"/>
      <w:szCs w:val="22"/>
    </w:rPr>
  </w:style>
  <w:style w:type="character" w:customStyle="1" w:styleId="21">
    <w:name w:val="日期 Char"/>
    <w:basedOn w:val="11"/>
    <w:link w:val="4"/>
    <w:qFormat/>
    <w:uiPriority w:val="0"/>
    <w:rPr>
      <w:kern w:val="2"/>
      <w:sz w:val="21"/>
      <w:szCs w:val="24"/>
    </w:rPr>
  </w:style>
  <w:style w:type="character" w:customStyle="1" w:styleId="22">
    <w:name w:val="标题 1 Char"/>
    <w:basedOn w:val="11"/>
    <w:link w:val="2"/>
    <w:qFormat/>
    <w:uiPriority w:val="0"/>
    <w:rPr>
      <w:rFonts w:ascii="宋体" w:hAnsi="宋体" w:eastAsia="宋体"/>
      <w:b/>
      <w:kern w:val="44"/>
      <w:sz w:val="48"/>
      <w:szCs w:val="48"/>
    </w:rPr>
  </w:style>
  <w:style w:type="paragraph" w:styleId="2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2856</Words>
  <Characters>3045</Characters>
  <Lines>21</Lines>
  <Paragraphs>6</Paragraphs>
  <TotalTime>0</TotalTime>
  <ScaleCrop>false</ScaleCrop>
  <LinksUpToDate>false</LinksUpToDate>
  <CharactersWithSpaces>3045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2024-02-02T16:58:00Z</dcterms:created>
  <dc:creator>风筝断了线</dc:creator>
  <cp:lastModifiedBy>silence</cp:lastModifiedBy>
  <cp:lastPrinted>2025-04-14T15:33:00Z</cp:lastPrinted>
  <dcterms:modified xsi:type="dcterms:W3CDTF">2026-07-06T08:09:43Z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C5AE0F298FD6FB09F81BE8648795229F_41</vt:lpwstr>
  </property>
  <property fmtid="{D5CDD505-2E9C-101B-9397-08002B2CF9AE}" pid="4" name="KSOTemplateDocerSaveRecord">
    <vt:lpwstr>eyJoZGlkIjoiZjRmYWUxOWJhMWE5OGFmZGQyNzA0NjBkZTNhOGRjMDEiLCJ1c2VySWQiOiIyNDg4ODMzNzUifQ==</vt:lpwstr>
  </property>
</Properties>
</file>