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0556E8" w14:textId="77777777" w:rsidR="000D6A0C" w:rsidRPr="002C7391" w:rsidRDefault="00000000">
      <w:pPr>
        <w:widowControl w:val="0"/>
        <w:spacing w:line="600" w:lineRule="exact"/>
        <w:jc w:val="center"/>
        <w:rPr>
          <w:rFonts w:ascii="方正小标宋_GBK" w:eastAsia="方正小标宋_GBK" w:hAnsi="方正小标宋_GBK" w:cs="方正小标宋_GBK"/>
          <w:kern w:val="2"/>
          <w:sz w:val="44"/>
          <w:szCs w:val="44"/>
        </w:rPr>
      </w:pPr>
      <w:r w:rsidRPr="002C7391">
        <w:rPr>
          <w:rFonts w:ascii="方正小标宋_GBK" w:eastAsia="方正小标宋_GBK" w:hAnsi="方正小标宋_GBK" w:cs="方正小标宋_GBK"/>
          <w:kern w:val="2"/>
          <w:sz w:val="44"/>
          <w:szCs w:val="44"/>
        </w:rPr>
        <w:t>重庆高新技术产业开发区城市建设事务中心</w:t>
      </w:r>
    </w:p>
    <w:p w14:paraId="03AD5AD5" w14:textId="7BD4E641" w:rsidR="000D6A0C" w:rsidRPr="002C7391" w:rsidRDefault="00000000">
      <w:pPr>
        <w:widowControl w:val="0"/>
        <w:spacing w:line="600" w:lineRule="exact"/>
        <w:jc w:val="center"/>
        <w:rPr>
          <w:rFonts w:ascii="方正小标宋_GBK" w:eastAsia="方正小标宋_GBK" w:hAnsi="方正小标宋_GBK" w:cs="方正小标宋_GBK"/>
          <w:kern w:val="2"/>
          <w:sz w:val="44"/>
          <w:szCs w:val="44"/>
        </w:rPr>
      </w:pPr>
      <w:r w:rsidRPr="002C7391">
        <w:rPr>
          <w:rFonts w:ascii="方正小标宋_GBK" w:eastAsia="方正小标宋_GBK" w:hAnsi="方正小标宋_GBK" w:cs="方正小标宋_GBK"/>
          <w:kern w:val="2"/>
          <w:sz w:val="44"/>
          <w:szCs w:val="44"/>
        </w:rPr>
        <w:t>2024年度</w:t>
      </w:r>
      <w:r w:rsidR="00863340">
        <w:rPr>
          <w:rFonts w:ascii="方正小标宋_GBK" w:eastAsia="方正小标宋_GBK" w:hAnsi="方正小标宋_GBK" w:cs="方正小标宋_GBK"/>
          <w:kern w:val="2"/>
          <w:sz w:val="44"/>
          <w:szCs w:val="44"/>
        </w:rPr>
        <w:t>部门</w:t>
      </w:r>
      <w:r w:rsidRPr="002C7391">
        <w:rPr>
          <w:rFonts w:ascii="方正小标宋_GBK" w:eastAsia="方正小标宋_GBK" w:hAnsi="方正小标宋_GBK" w:cs="方正小标宋_GBK"/>
          <w:kern w:val="2"/>
          <w:sz w:val="44"/>
          <w:szCs w:val="44"/>
        </w:rPr>
        <w:t>决算公开说明</w:t>
      </w:r>
    </w:p>
    <w:p w14:paraId="21CBCC69" w14:textId="77777777" w:rsidR="000D6A0C" w:rsidRPr="002C7391" w:rsidRDefault="00000000">
      <w:pPr>
        <w:pStyle w:val="Char"/>
        <w:autoSpaceDE w:val="0"/>
        <w:spacing w:beforeAutospacing="0" w:afterAutospacing="0" w:line="600" w:lineRule="exact"/>
        <w:jc w:val="center"/>
        <w:rPr>
          <w:rFonts w:ascii="方正小标宋_GBK" w:eastAsia="方正小标宋_GBK" w:hAnsi="方正小标宋_GBK" w:cs="方正小标宋_GBK"/>
          <w:sz w:val="44"/>
          <w:szCs w:val="44"/>
          <w:shd w:val="clear" w:color="auto" w:fill="FFFFFF"/>
        </w:rPr>
      </w:pPr>
      <w:r w:rsidRPr="002C7391">
        <w:rPr>
          <w:rFonts w:ascii="方正小标宋_GBK" w:eastAsia="方正小标宋_GBK" w:hAnsi="方正小标宋_GBK" w:cs="方正小标宋_GBK"/>
          <w:sz w:val="44"/>
          <w:szCs w:val="44"/>
          <w:shd w:val="clear" w:color="auto" w:fill="FFFFFF"/>
        </w:rPr>
        <w:t xml:space="preserve"> </w:t>
      </w:r>
    </w:p>
    <w:p w14:paraId="309EBCAB" w14:textId="77777777" w:rsidR="000D6A0C" w:rsidRPr="002C7391" w:rsidRDefault="00000000">
      <w:pPr>
        <w:pStyle w:val="Char"/>
        <w:numPr>
          <w:ilvl w:val="0"/>
          <w:numId w:val="1"/>
        </w:numP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17"/>
          <w:rFonts w:ascii="方正黑体_GBK" w:eastAsia="方正黑体_GBK" w:hAnsi="方正黑体_GBK" w:cs="方正黑体_GBK" w:hint="eastAsia"/>
          <w:sz w:val="32"/>
          <w:szCs w:val="32"/>
          <w:shd w:val="clear" w:color="auto" w:fill="FFFFFF"/>
        </w:rPr>
        <w:t>部门基本情况</w:t>
      </w:r>
    </w:p>
    <w:p w14:paraId="2D562FE2" w14:textId="77777777" w:rsidR="000D6A0C" w:rsidRPr="002C7391" w:rsidRDefault="00000000">
      <w:pPr>
        <w:pStyle w:val="Char"/>
        <w:autoSpaceDE w:val="0"/>
        <w:spacing w:beforeAutospacing="0" w:afterAutospacing="0" w:line="600" w:lineRule="exact"/>
        <w:ind w:leftChars="200" w:left="48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（一）职能职责</w:t>
      </w:r>
    </w:p>
    <w:p w14:paraId="6D298118" w14:textId="77777777" w:rsidR="000D6A0C" w:rsidRPr="002C7391" w:rsidRDefault="00000000">
      <w:pPr>
        <w:widowControl w:val="0"/>
        <w:autoSpaceDE w:val="0"/>
        <w:snapToGrid w:val="0"/>
        <w:spacing w:line="600" w:lineRule="exact"/>
        <w:ind w:firstLineChars="200" w:firstLine="640"/>
        <w:jc w:val="both"/>
        <w:rPr>
          <w:rFonts w:ascii="方正仿宋_GBK" w:eastAsia="方正仿宋_GBK" w:cs="宋体"/>
          <w:sz w:val="32"/>
          <w:szCs w:val="32"/>
        </w:rPr>
      </w:pPr>
      <w:r w:rsidRPr="002C7391">
        <w:rPr>
          <w:rFonts w:ascii="方正仿宋_GBK" w:eastAsia="方正仿宋_GBK" w:hAnsi="方正仿宋_GBK" w:cs="方正仿宋_GBK"/>
          <w:sz w:val="32"/>
          <w:szCs w:val="32"/>
        </w:rPr>
        <w:t>城市建设事务中心主要职责为：负责城市管理、交通运输管理等工作，包括市政、交通、供水三大板块，与高新区城市管理局合署办公。</w:t>
      </w:r>
    </w:p>
    <w:p w14:paraId="7B63C3C0" w14:textId="77777777" w:rsidR="000D6A0C" w:rsidRPr="002C7391" w:rsidRDefault="00000000">
      <w:pPr>
        <w:pStyle w:val="Char"/>
        <w:autoSpaceDE w:val="0"/>
        <w:spacing w:beforeAutospacing="0" w:afterAutospacing="0" w:line="600" w:lineRule="exact"/>
        <w:ind w:leftChars="200" w:left="48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（二）机构设置</w:t>
      </w:r>
    </w:p>
    <w:p w14:paraId="6ABB82E8" w14:textId="77777777" w:rsidR="000D6A0C" w:rsidRPr="002C7391" w:rsidRDefault="00000000">
      <w:pPr>
        <w:widowControl w:val="0"/>
        <w:autoSpaceDE w:val="0"/>
        <w:snapToGrid w:val="0"/>
        <w:spacing w:line="600" w:lineRule="exact"/>
        <w:ind w:firstLineChars="200" w:firstLine="640"/>
        <w:jc w:val="both"/>
        <w:rPr>
          <w:rFonts w:ascii="方正仿宋_GBK" w:eastAsia="方正仿宋_GBK" w:cs="宋体"/>
          <w:sz w:val="32"/>
          <w:szCs w:val="32"/>
        </w:rPr>
      </w:pPr>
      <w:r w:rsidRPr="002C7391">
        <w:rPr>
          <w:rFonts w:ascii="方正仿宋_GBK" w:eastAsia="方正仿宋_GBK" w:hAnsi="方正仿宋_GBK" w:cs="方正仿宋_GBK"/>
          <w:sz w:val="32"/>
          <w:szCs w:val="32"/>
        </w:rPr>
        <w:t>城市建设事务中心是高新区管委会直属正处级公益一类事业单位。下设8个内设机构：综合部、市政管理事务部、市政设施事务部、水务管理事务部、市容环卫事务部、园林绿化事务部、交通运管事务部、公路管理事务部。</w:t>
      </w:r>
    </w:p>
    <w:p w14:paraId="6055F9D5" w14:textId="77777777" w:rsidR="000D6A0C" w:rsidRPr="002C7391" w:rsidRDefault="00000000">
      <w:pPr>
        <w:pStyle w:val="Char"/>
        <w:autoSpaceDE w:val="0"/>
        <w:spacing w:beforeAutospacing="0" w:afterAutospacing="0" w:line="600" w:lineRule="exact"/>
        <w:ind w:firstLineChars="200" w:firstLine="640"/>
        <w:jc w:val="both"/>
        <w:rPr>
          <w:rFonts w:ascii="方正黑体_GBK" w:eastAsia="方正黑体_GBK" w:hAnsi="方正黑体_GBK" w:cs="方正黑体_GBK"/>
          <w:sz w:val="32"/>
          <w:szCs w:val="32"/>
          <w:shd w:val="clear" w:color="auto" w:fill="FFFFFF"/>
        </w:rPr>
      </w:pPr>
      <w:r w:rsidRPr="002C7391">
        <w:rPr>
          <w:rStyle w:val="17"/>
          <w:rFonts w:ascii="方正黑体_GBK" w:eastAsia="方正黑体_GBK" w:hAnsi="方正黑体_GBK" w:cs="方正黑体_GBK" w:hint="eastAsia"/>
          <w:sz w:val="32"/>
          <w:szCs w:val="32"/>
          <w:shd w:val="clear" w:color="auto" w:fill="FFFFFF"/>
        </w:rPr>
        <w:t>二、部门决算情况说明</w:t>
      </w:r>
    </w:p>
    <w:p w14:paraId="2F7C1E98" w14:textId="77777777" w:rsidR="000D6A0C" w:rsidRPr="002C7391" w:rsidRDefault="00000000">
      <w:pPr>
        <w:pStyle w:val="Char"/>
        <w:autoSpaceDE w:val="0"/>
        <w:spacing w:beforeAutospacing="0" w:afterAutospacing="0" w:line="600" w:lineRule="exact"/>
        <w:ind w:leftChars="200" w:left="48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（一）收入支出决算总体情况说明</w:t>
      </w:r>
    </w:p>
    <w:p w14:paraId="307F3F3C"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rPr>
        <w:t>1.总体情况。2024年度收、支总计均为40773.11万元。收、支与2023年度相比，减少11993.16万元，下降22.7%，主要原因是落实“过紧日子”要求，厉行节约，减少项目支出。</w:t>
      </w:r>
    </w:p>
    <w:p w14:paraId="7BE16F4D"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rPr>
        <w:t>2.收入情况。</w:t>
      </w:r>
      <w:r w:rsidRPr="002C7391">
        <w:rPr>
          <w:rFonts w:ascii="方正仿宋_GBK" w:eastAsia="方正仿宋_GBK" w:hAnsi="方正仿宋_GBK" w:cs="方正仿宋_GBK"/>
          <w:sz w:val="32"/>
          <w:szCs w:val="32"/>
          <w:shd w:val="clear" w:color="auto" w:fill="FFFFFF"/>
        </w:rPr>
        <w:t>2024年度收入合计40773.11万元，与2023年度相比，减少11993.16万元，下降22.7%，主要原因是</w:t>
      </w:r>
      <w:r w:rsidRPr="002C7391">
        <w:rPr>
          <w:rFonts w:ascii="方正仿宋_GBK" w:eastAsia="方正仿宋_GBK" w:hAnsi="方正仿宋_GBK" w:cs="方正仿宋_GBK"/>
          <w:sz w:val="32"/>
          <w:szCs w:val="32"/>
        </w:rPr>
        <w:t>落实“过紧日子”要求，厉行节约，减少项目支出</w:t>
      </w:r>
      <w:r w:rsidRPr="002C7391">
        <w:rPr>
          <w:rFonts w:ascii="方正仿宋_GBK" w:eastAsia="方正仿宋_GBK" w:hAnsi="方正仿宋_GBK" w:cs="方正仿宋_GBK"/>
          <w:sz w:val="32"/>
          <w:szCs w:val="32"/>
          <w:shd w:val="clear" w:color="auto" w:fill="FFFFFF"/>
        </w:rPr>
        <w:t>。</w:t>
      </w:r>
    </w:p>
    <w:p w14:paraId="130A2024"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rPr>
        <w:lastRenderedPageBreak/>
        <w:t>3.支出情况。</w:t>
      </w:r>
      <w:r w:rsidRPr="002C7391">
        <w:rPr>
          <w:rFonts w:ascii="方正仿宋_GBK" w:eastAsia="方正仿宋_GBK" w:hAnsi="方正仿宋_GBK" w:cs="方正仿宋_GBK"/>
          <w:sz w:val="32"/>
          <w:szCs w:val="32"/>
          <w:shd w:val="clear" w:color="auto" w:fill="FFFFFF"/>
        </w:rPr>
        <w:t>2024年度支出合计40773.11万元，与2023年度相比，减少11993.16万元，下降22.7%，主要原因是</w:t>
      </w:r>
      <w:r w:rsidRPr="002C7391">
        <w:rPr>
          <w:rFonts w:ascii="方正仿宋_GBK" w:eastAsia="方正仿宋_GBK" w:hAnsi="方正仿宋_GBK" w:cs="方正仿宋_GBK"/>
          <w:sz w:val="32"/>
          <w:szCs w:val="32"/>
        </w:rPr>
        <w:t>落实“过紧日子”要求，厉行节约，减少项目支出</w:t>
      </w:r>
      <w:r w:rsidRPr="002C7391">
        <w:rPr>
          <w:rFonts w:ascii="方正仿宋_GBK" w:eastAsia="方正仿宋_GBK" w:hAnsi="方正仿宋_GBK" w:cs="方正仿宋_GBK"/>
          <w:sz w:val="32"/>
          <w:szCs w:val="32"/>
          <w:shd w:val="clear" w:color="auto" w:fill="FFFFFF"/>
        </w:rPr>
        <w:t>。</w:t>
      </w:r>
    </w:p>
    <w:p w14:paraId="2E59A79E"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rPr>
        <w:t>4.结转结余情况。本单位2024年度年末无结转和结余。</w:t>
      </w:r>
    </w:p>
    <w:p w14:paraId="03FB495B" w14:textId="77777777" w:rsidR="000D6A0C" w:rsidRPr="002C7391" w:rsidRDefault="00000000">
      <w:pPr>
        <w:pStyle w:val="Char"/>
        <w:autoSpaceDE w:val="0"/>
        <w:spacing w:beforeAutospacing="0" w:afterAutospacing="0" w:line="600" w:lineRule="exact"/>
        <w:ind w:leftChars="200" w:left="48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（二）财政拨款收入支出决算总体情况说明</w:t>
      </w:r>
    </w:p>
    <w:p w14:paraId="40093C3A"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shd w:val="clear" w:color="auto" w:fill="FFFFFF"/>
        </w:rPr>
        <w:t>2024年度财政拨款收、支总计均为40773.11万元。与2023年度相比，财政拨款收、支总计各减少11993.16万元，下降22.7%。主要原因是</w:t>
      </w:r>
      <w:r w:rsidRPr="002C7391">
        <w:rPr>
          <w:rFonts w:ascii="方正仿宋_GBK" w:eastAsia="方正仿宋_GBK" w:hAnsi="方正仿宋_GBK" w:cs="方正仿宋_GBK"/>
          <w:sz w:val="32"/>
          <w:szCs w:val="32"/>
        </w:rPr>
        <w:t>落实“过紧日子”要求，厉行节约，减少项目支出</w:t>
      </w:r>
      <w:r w:rsidRPr="002C7391">
        <w:rPr>
          <w:rFonts w:ascii="方正仿宋_GBK" w:eastAsia="方正仿宋_GBK" w:hAnsi="方正仿宋_GBK" w:cs="方正仿宋_GBK"/>
          <w:sz w:val="32"/>
          <w:szCs w:val="32"/>
          <w:shd w:val="clear" w:color="auto" w:fill="FFFFFF"/>
        </w:rPr>
        <w:t>。</w:t>
      </w:r>
    </w:p>
    <w:p w14:paraId="037AF544" w14:textId="77777777" w:rsidR="000D6A0C" w:rsidRPr="002C7391" w:rsidRDefault="00000000">
      <w:pPr>
        <w:pStyle w:val="Char"/>
        <w:autoSpaceDE w:val="0"/>
        <w:spacing w:beforeAutospacing="0" w:afterAutospacing="0" w:line="600" w:lineRule="exact"/>
        <w:ind w:leftChars="200" w:left="48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（三）一般公共预算财政拨款收入支出决算情况说明</w:t>
      </w:r>
    </w:p>
    <w:p w14:paraId="7564DA79"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rPr>
        <w:t>1.收入情况。2024年度一般公共预算财政拨款收入40534.54万元，与2023年度相比，减少8564.46万元，下降17.4%。主要原因是公路基础设施建设等项目上级补助资金减少。</w:t>
      </w:r>
    </w:p>
    <w:p w14:paraId="0297FA56"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rPr>
        <w:t>2.支出情况。2024年度一般公共预算财政拨款支出40534.54万元，与2023年度相比，减少8564.46万元，下降17.4%。主要原因是公路基础设施建设等项目上级补助资金减少。</w:t>
      </w:r>
    </w:p>
    <w:p w14:paraId="6692FC5B"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rPr>
        <w:t>3.结转结余情况。2024年度年末一般公共预算财政拨款无结转和结余，较上年决算数无变化。</w:t>
      </w:r>
    </w:p>
    <w:p w14:paraId="17FC9D7C" w14:textId="77777777" w:rsidR="000D6A0C" w:rsidRPr="002C7391" w:rsidRDefault="00000000">
      <w:pPr>
        <w:pStyle w:val="Char"/>
        <w:autoSpaceDE w:val="0"/>
        <w:spacing w:beforeAutospacing="0" w:afterAutospacing="0" w:line="600" w:lineRule="exact"/>
        <w:ind w:firstLineChars="200" w:firstLine="640"/>
        <w:jc w:val="both"/>
        <w:rPr>
          <w:rFonts w:cs="宋体"/>
        </w:rPr>
      </w:pPr>
      <w:r w:rsidRPr="002C7391">
        <w:rPr>
          <w:rFonts w:ascii="方正仿宋_GBK" w:eastAsia="方正仿宋_GBK" w:hAnsi="方正仿宋_GBK" w:cs="方正仿宋_GBK"/>
          <w:sz w:val="32"/>
          <w:szCs w:val="32"/>
        </w:rPr>
        <w:t>4.比较情况。本部门2024年度一般公共预算财政拨款支出主要用途如下：</w:t>
      </w:r>
    </w:p>
    <w:p w14:paraId="64BF67B0"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lastRenderedPageBreak/>
        <w:t>（1）社会保障和就业支出147.86万元，占0.4%，较年初预算数增加75.19万元，增长103.5%，主要原因是人员调整致养老保险、职业年金等发生变化。</w:t>
      </w:r>
    </w:p>
    <w:p w14:paraId="43D798FC"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（2）卫生健康支出65.54万元，占0.2%，较年初预算数增加27.21万元，增长71.0%，主要原因是人员调整致医疗保险等发生变化。</w:t>
      </w:r>
    </w:p>
    <w:p w14:paraId="3423EA84"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（3）节能环保支出3322.69万元，占8.2%，较年初预算数增加2669.89万元，增长409.0%，主要原因是垃圾收运、清扫保洁等费用增加。</w:t>
      </w:r>
    </w:p>
    <w:p w14:paraId="50EEC97B"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shd w:val="clear" w:color="auto" w:fill="FFFFFF"/>
        </w:rPr>
        <w:t>（4）城乡社区支出33216.48万元，占82.0%，较年初预算数减少3004.27万元，下降8.3%，主要原因是严格落实“过紧日子”相关要求缩减项目开支。</w:t>
      </w:r>
    </w:p>
    <w:p w14:paraId="062CB318"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shd w:val="clear" w:color="auto" w:fill="FFFFFF"/>
        </w:rPr>
        <w:t>（5）</w:t>
      </w:r>
      <w:r w:rsidRPr="002C7391">
        <w:rPr>
          <w:rFonts w:ascii="方正仿宋_GBK" w:eastAsia="方正仿宋_GBK" w:hAnsi="方正仿宋_GBK" w:cs="方正仿宋_GBK"/>
          <w:sz w:val="32"/>
          <w:szCs w:val="32"/>
        </w:rPr>
        <w:t>农林水支出183.00万元，占0.5%，较年初预算数增加183.00万元，增长100.0%，主要原因是新增农村饮水建设项目。</w:t>
      </w:r>
    </w:p>
    <w:p w14:paraId="357CFE4A"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shd w:val="clear" w:color="auto" w:fill="FFFFFF"/>
        </w:rPr>
        <w:t>（6）</w:t>
      </w:r>
      <w:r w:rsidRPr="002C7391">
        <w:rPr>
          <w:rFonts w:ascii="方正仿宋_GBK" w:eastAsia="方正仿宋_GBK" w:hAnsi="方正仿宋_GBK" w:cs="方正仿宋_GBK"/>
          <w:sz w:val="32"/>
          <w:szCs w:val="32"/>
        </w:rPr>
        <w:t>交通运输支出3069.51万元，占7.6%，较年初预算数减少442.22万元，下降12.6%，主要原因是公路基础设施建设项目支出减少。</w:t>
      </w:r>
    </w:p>
    <w:p w14:paraId="2F1550BA"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（7）自然资源海洋气象等支出491.80万元，占1.2%，较年初预算数增加491.80万元，增长100.0%，主要原因是不动产登记中心人员支出列入此科目。</w:t>
      </w:r>
    </w:p>
    <w:p w14:paraId="0CFCD265"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b/>
          <w:sz w:val="32"/>
          <w:szCs w:val="32"/>
          <w:shd w:val="clear" w:color="auto" w:fill="FFFFFF"/>
        </w:rPr>
      </w:pPr>
      <w:r w:rsidRPr="002C7391">
        <w:rPr>
          <w:rFonts w:ascii="方正仿宋_GBK" w:eastAsia="方正仿宋_GBK" w:hAnsi="方正仿宋_GBK" w:cs="方正仿宋_GBK"/>
          <w:sz w:val="32"/>
          <w:szCs w:val="32"/>
          <w:shd w:val="clear" w:color="auto" w:fill="FFFFFF"/>
        </w:rPr>
        <w:lastRenderedPageBreak/>
        <w:t>（8）住房保障支出37.64万元，占0.1%，较年初预算数增加3.17万元，增长9.2%，主要原因是人员调整致住房公积金等发生变化。</w:t>
      </w:r>
    </w:p>
    <w:p w14:paraId="5D60D6F4"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（四）一般公共预算财政拨款基本支出决算情况说明</w:t>
      </w:r>
    </w:p>
    <w:p w14:paraId="191A92A7"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2024年度一般公共财政拨款基本支出2512.93万元。</w:t>
      </w:r>
    </w:p>
    <w:p w14:paraId="4182224A"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其中：</w:t>
      </w:r>
    </w:p>
    <w:p w14:paraId="298176EC"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人员经费2348.55万元，与2023年度相比，增加215.50万元，增长10.1%，主要原因是新增部分长期聘用人员。人员经费用途主要包括基本工资、津贴补贴、奖金、社会保障缴费等。</w:t>
      </w:r>
    </w:p>
    <w:p w14:paraId="04A2E5A7"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公用经费164.38万元，与2023年度相比，增加4.24万元，增长2.7%，主要原因是培训费等支出有所增加。公用经费用途主要包括办公费、邮电费、差旅费、三公经费、劳务费、宣传费、其他公用经费等。</w:t>
      </w:r>
    </w:p>
    <w:p w14:paraId="3352B01C"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（五）政府性基金预算收支决算情况说明</w:t>
      </w:r>
    </w:p>
    <w:p w14:paraId="7D50BCFC"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2024年度政府性基金预算财政拨款年初结转结余0.00万元，年末结转结余0.00万元。本年收入238.57万元，与2023年度相比，减少3428.70万元，下降93.5%，主要原因是公路等公共基础设施建设较上年项目减少。本年支出238.57万元，与2023年度相比，减少3428.70万元，下降93.5%，主要原因是公路等公共基础设施建设较上年项目减少。</w:t>
      </w:r>
    </w:p>
    <w:p w14:paraId="58431517"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（六）国有资本经营预算财政拨款支出决算情况说明</w:t>
      </w:r>
    </w:p>
    <w:p w14:paraId="1510F0F1" w14:textId="77777777" w:rsidR="000D6A0C" w:rsidRPr="002C7391" w:rsidRDefault="00000000">
      <w:pPr>
        <w:pStyle w:val="CharChar"/>
        <w:widowControl w:val="0"/>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lastRenderedPageBreak/>
        <w:t>本部门2024年度无国有资本经营预算财政拨款支出。</w:t>
      </w:r>
    </w:p>
    <w:p w14:paraId="6FA3D7EC" w14:textId="77777777" w:rsidR="000D6A0C" w:rsidRPr="002C7391" w:rsidRDefault="00000000">
      <w:pPr>
        <w:pStyle w:val="Char"/>
        <w:autoSpaceDE w:val="0"/>
        <w:spacing w:beforeAutospacing="0" w:afterAutospacing="0" w:line="600" w:lineRule="exact"/>
        <w:ind w:firstLineChars="200" w:firstLine="640"/>
        <w:jc w:val="both"/>
        <w:rPr>
          <w:rFonts w:ascii="方正黑体_GBK" w:eastAsia="方正黑体_GBK" w:hAnsi="方正黑体_GBK" w:cs="方正黑体_GBK"/>
          <w:sz w:val="32"/>
          <w:szCs w:val="32"/>
          <w:shd w:val="clear" w:color="auto" w:fill="FFFFFF"/>
        </w:rPr>
      </w:pPr>
      <w:r w:rsidRPr="002C7391">
        <w:rPr>
          <w:rStyle w:val="17"/>
          <w:rFonts w:ascii="方正黑体_GBK" w:eastAsia="方正黑体_GBK" w:hAnsi="方正黑体_GBK" w:cs="方正黑体_GBK" w:hint="eastAsia"/>
          <w:sz w:val="32"/>
          <w:szCs w:val="32"/>
          <w:shd w:val="clear" w:color="auto" w:fill="FFFFFF"/>
        </w:rPr>
        <w:t>三、“三公”经费情况说明</w:t>
      </w:r>
    </w:p>
    <w:p w14:paraId="5A855D56"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（一）“三公”经费支出总体情况说明</w:t>
      </w:r>
    </w:p>
    <w:p w14:paraId="114216FF" w14:textId="3D4D3550"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2024年度“三公”经费支出共计1.62万元，较年初预算数减少17.38万元，下降91.5%，主要原因是严格落实</w:t>
      </w:r>
      <w:r w:rsidR="005978E1" w:rsidRPr="002C7391">
        <w:rPr>
          <w:rFonts w:ascii="方正仿宋_GBK" w:eastAsia="方正仿宋_GBK" w:hAnsi="方正仿宋_GBK" w:cs="方正仿宋_GBK"/>
          <w:sz w:val="32"/>
          <w:szCs w:val="32"/>
          <w:shd w:val="clear" w:color="auto" w:fill="FFFFFF"/>
        </w:rPr>
        <w:t>“</w:t>
      </w:r>
      <w:r w:rsidRPr="002C7391">
        <w:rPr>
          <w:rFonts w:ascii="方正仿宋_GBK" w:eastAsia="方正仿宋_GBK" w:hAnsi="方正仿宋_GBK" w:cs="方正仿宋_GBK"/>
          <w:sz w:val="32"/>
          <w:szCs w:val="32"/>
          <w:shd w:val="clear" w:color="auto" w:fill="FFFFFF"/>
        </w:rPr>
        <w:t>过紧日子”要求，厉行节约。较上年支出数减少3.06万元，下降65.4%，主要原因是厉行节约，公务用车运行维护费减少。</w:t>
      </w:r>
    </w:p>
    <w:p w14:paraId="7D848E21"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（二）“三公”经费分项支出情况。</w:t>
      </w:r>
    </w:p>
    <w:p w14:paraId="51A4B37E" w14:textId="77777777" w:rsidR="000D6A0C" w:rsidRPr="002C7391" w:rsidRDefault="00000000">
      <w:pPr>
        <w:pStyle w:val="CharChar"/>
        <w:widowControl w:val="0"/>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2024年度本部门未发生因公出国（境）费用。</w:t>
      </w:r>
    </w:p>
    <w:p w14:paraId="4CFCA717" w14:textId="77777777" w:rsidR="000D6A0C" w:rsidRPr="002C7391" w:rsidRDefault="00000000">
      <w:pPr>
        <w:pStyle w:val="CharChar"/>
        <w:widowControl w:val="0"/>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2024年度本单位未购置公务车。</w:t>
      </w:r>
    </w:p>
    <w:p w14:paraId="704DE45A" w14:textId="77777777" w:rsidR="000D6A0C" w:rsidRPr="002C7391" w:rsidRDefault="00000000">
      <w:pPr>
        <w:pStyle w:val="CharChar"/>
        <w:widowControl w:val="0"/>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公务用车运行维护费1.62万元，主要用于支付公务用车保险费、维修维护费、燃油费等。费用支出较年初预算数减少13.38万元，下降89.2%，主要原因是主要原因是厉行节约，减少非刚性支出。较上年支出数减少2.91万元，下降64.2%，主要原因是燃油费及维修维护等费用减少。</w:t>
      </w:r>
    </w:p>
    <w:p w14:paraId="63E8D283"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2024年度本部门未发生公务接待费用。</w:t>
      </w:r>
    </w:p>
    <w:p w14:paraId="60AE53B6"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（三）“三公”经费实物量情况</w:t>
      </w:r>
    </w:p>
    <w:p w14:paraId="0940730B"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2024年度本部门因公出国（境）共计0个团组，0人；公务用车购置0辆，公务车保有量为3辆；国内公务接待0批次0人，其中：国内外事接待0批次，0人；国（境）外公务接待</w:t>
      </w:r>
      <w:r w:rsidRPr="002C7391">
        <w:rPr>
          <w:rFonts w:ascii="方正仿宋_GBK" w:eastAsia="方正仿宋_GBK" w:hAnsi="方正仿宋_GBK" w:cs="方正仿宋_GBK"/>
          <w:sz w:val="32"/>
          <w:szCs w:val="32"/>
          <w:shd w:val="clear" w:color="auto" w:fill="FFFFFF"/>
        </w:rPr>
        <w:lastRenderedPageBreak/>
        <w:t>0批次，0人。2024年本部门人均接待费0元，车均购置费0万元，车均维护费0.54万元。</w:t>
      </w:r>
    </w:p>
    <w:p w14:paraId="1BD9D33E" w14:textId="77777777" w:rsidR="000D6A0C" w:rsidRPr="002C7391" w:rsidRDefault="00000000">
      <w:pPr>
        <w:pStyle w:val="Char"/>
        <w:autoSpaceDE w:val="0"/>
        <w:spacing w:beforeAutospacing="0" w:afterAutospacing="0" w:line="600" w:lineRule="exact"/>
        <w:ind w:firstLineChars="200" w:firstLine="640"/>
        <w:jc w:val="both"/>
        <w:rPr>
          <w:rFonts w:ascii="方正黑体_GBK" w:eastAsia="方正黑体_GBK" w:hAnsi="方正黑体_GBK" w:cs="方正黑体_GBK"/>
          <w:sz w:val="32"/>
          <w:szCs w:val="32"/>
          <w:shd w:val="clear" w:color="auto" w:fill="FFFFFF"/>
        </w:rPr>
      </w:pPr>
      <w:r w:rsidRPr="002C7391">
        <w:rPr>
          <w:rStyle w:val="17"/>
          <w:rFonts w:ascii="方正黑体_GBK" w:eastAsia="方正黑体_GBK" w:hAnsi="方正黑体_GBK" w:cs="方正黑体_GBK" w:hint="eastAsia"/>
          <w:sz w:val="32"/>
          <w:szCs w:val="32"/>
          <w:shd w:val="clear" w:color="auto" w:fill="FFFFFF"/>
        </w:rPr>
        <w:t>四、其他需要说明的事项</w:t>
      </w:r>
    </w:p>
    <w:p w14:paraId="181F483A"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（一）财政拨款会议费、培训费和差旅费情况说明</w:t>
      </w:r>
    </w:p>
    <w:p w14:paraId="52CA4C93"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本年度会议费支出0.00万元，与2023年度相比，减少2.63万元，下降100.0%，主要原因是严控办会成本，非必要性会议尽量精简。本年度培训费支出10.67万元，与2023年度相比，增加6.21万元，增长139.2%，主要原因是为提高专业从业人员的技能水平组织相关培训增多。本年度差旅费支出6.12万元，与2023年度相比，减少7.60万元，下降55.4%，主要原因是严格审批差旅必要性，降低差旅支出。</w:t>
      </w:r>
    </w:p>
    <w:p w14:paraId="46C57E42"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（二）机关运行经费情况说明</w:t>
      </w:r>
    </w:p>
    <w:p w14:paraId="456EBB43" w14:textId="77777777" w:rsidR="000D6A0C" w:rsidRPr="002C7391" w:rsidRDefault="00000000">
      <w:pPr>
        <w:pStyle w:val="CharChar"/>
        <w:widowControl w:val="0"/>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本单位为事业单位，不在机关运行经费统计范围之内。</w:t>
      </w:r>
    </w:p>
    <w:p w14:paraId="7ED54A9C"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（三）国有资产占用情况说明</w:t>
      </w:r>
    </w:p>
    <w:p w14:paraId="798A3D68" w14:textId="77777777" w:rsidR="000D6A0C" w:rsidRPr="002C7391" w:rsidRDefault="00000000">
      <w:pPr>
        <w:pStyle w:val="a8"/>
        <w:snapToGrid w:val="0"/>
        <w:spacing w:beforeAutospacing="0" w:afterAutospacing="0" w:line="600" w:lineRule="exact"/>
        <w:ind w:firstLineChars="200" w:firstLine="640"/>
        <w:jc w:val="both"/>
        <w:rPr>
          <w:rFonts w:ascii="方正仿宋_GBK" w:eastAsia="方正仿宋_GBK" w:hAnsi="方正仿宋_GBK" w:cs="方正仿宋_GBK"/>
          <w:sz w:val="32"/>
          <w:szCs w:val="32"/>
        </w:rPr>
      </w:pPr>
      <w:r w:rsidRPr="002C7391">
        <w:rPr>
          <w:rFonts w:ascii="方正仿宋_GBK" w:eastAsia="方正仿宋_GBK" w:hAnsi="方正仿宋_GBK" w:cs="方正仿宋_GBK"/>
          <w:sz w:val="32"/>
          <w:szCs w:val="32"/>
          <w:shd w:val="clear" w:color="auto" w:fill="FFFFFF"/>
        </w:rPr>
        <w:t>截至2024年12月31日，本部门共有车辆3辆，其中，副部（省）级及以上领导用车0辆、主要负责人用车0辆、机要通信用车0辆、应急保障用车3辆、执法执勤用车0辆，特种专业技术用车0辆，离退休干部用车0辆。单价100万元（含）以上专用设备0台（套）。</w:t>
      </w:r>
    </w:p>
    <w:p w14:paraId="7874CE33" w14:textId="77777777" w:rsidR="000D6A0C" w:rsidRPr="002C7391" w:rsidRDefault="00000000">
      <w:pPr>
        <w:pStyle w:val="Char"/>
        <w:autoSpaceDE w:val="0"/>
        <w:spacing w:beforeAutospacing="0" w:afterAutospacing="0" w:line="600" w:lineRule="exact"/>
        <w:ind w:firstLineChars="200" w:firstLine="640"/>
        <w:jc w:val="both"/>
        <w:rPr>
          <w:rFonts w:ascii="方正楷体_GBK" w:eastAsia="方正楷体_GBK" w:hAnsi="方正楷体_GBK" w:cs="方正楷体_GBK"/>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（四）政府采购支出情况说明</w:t>
      </w:r>
    </w:p>
    <w:p w14:paraId="038C6A3E" w14:textId="77777777" w:rsidR="000D6A0C" w:rsidRPr="002C7391" w:rsidRDefault="00000000">
      <w:pPr>
        <w:pStyle w:val="Char"/>
        <w:autoSpaceDE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lastRenderedPageBreak/>
        <w:t>2024年度本部门政府采购支出总额31098.19万元，其中：政府采购货物支出637.38万元、政府采购工程支出1379.25万元、政府采购服务支出29081.56万元。授予中小企业合同金额15480.83万元，占政府采购支出总额的49.8%，其中：授予小微企业合同金额10158.24万元，占政府采购支出总额的32.7 %。主要用于采购市政劳务服务、垃圾收运服务等。</w:t>
      </w:r>
    </w:p>
    <w:p w14:paraId="10177242" w14:textId="77777777" w:rsidR="000D6A0C" w:rsidRPr="002C7391" w:rsidRDefault="00000000">
      <w:pPr>
        <w:pStyle w:val="Char"/>
        <w:autoSpaceDE w:val="0"/>
        <w:spacing w:beforeAutospacing="0" w:afterAutospacing="0" w:line="600" w:lineRule="exact"/>
        <w:ind w:firstLineChars="200" w:firstLine="640"/>
        <w:jc w:val="both"/>
        <w:rPr>
          <w:rFonts w:ascii="方正黑体_GBK" w:eastAsia="方正黑体_GBK" w:hAnsi="方正黑体_GBK" w:cs="方正黑体_GBK"/>
          <w:sz w:val="32"/>
          <w:szCs w:val="32"/>
          <w:shd w:val="clear" w:color="auto" w:fill="FFFFFF"/>
        </w:rPr>
      </w:pPr>
      <w:r w:rsidRPr="002C7391">
        <w:rPr>
          <w:rStyle w:val="17"/>
          <w:rFonts w:ascii="方正黑体_GBK" w:eastAsia="方正黑体_GBK" w:hAnsi="方正黑体_GBK" w:cs="方正黑体_GBK" w:hint="eastAsia"/>
          <w:sz w:val="32"/>
          <w:szCs w:val="32"/>
          <w:shd w:val="clear" w:color="auto" w:fill="FFFFFF"/>
        </w:rPr>
        <w:t>五、预算绩效管理情况说明</w:t>
      </w:r>
    </w:p>
    <w:p w14:paraId="41329E18" w14:textId="77777777" w:rsidR="000D6A0C" w:rsidRPr="002C7391" w:rsidRDefault="00000000">
      <w:pPr>
        <w:pStyle w:val="Char"/>
        <w:autoSpaceDE w:val="0"/>
        <w:spacing w:beforeAutospacing="0" w:afterAutospacing="0" w:line="600" w:lineRule="exact"/>
        <w:ind w:firstLineChars="200" w:firstLine="640"/>
        <w:jc w:val="both"/>
        <w:rPr>
          <w:rStyle w:val="22"/>
          <w:rFonts w:ascii="方正楷体_GBK" w:eastAsia="方正楷体_GBK" w:hAnsi="方正楷体_GBK" w:cs="方正楷体_GBK" w:hint="eastAsia"/>
          <w:b w:val="0"/>
          <w:bCs/>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（一）部门自评情况</w:t>
      </w:r>
    </w:p>
    <w:p w14:paraId="730CDF6B" w14:textId="77777777" w:rsidR="000D6A0C" w:rsidRPr="002C7391" w:rsidRDefault="00000000">
      <w:pPr>
        <w:pStyle w:val="Char"/>
        <w:autoSpaceDE w:val="0"/>
        <w:spacing w:beforeAutospacing="0" w:afterAutospacing="0" w:line="600" w:lineRule="exact"/>
        <w:ind w:firstLineChars="200" w:firstLine="640"/>
        <w:jc w:val="both"/>
        <w:rPr>
          <w:rStyle w:val="20"/>
          <w:rFonts w:ascii="宋体" w:hAnsi="宋体" w:cs="宋体" w:hint="eastAsia"/>
          <w:sz w:val="27"/>
          <w:szCs w:val="27"/>
          <w:shd w:val="clear" w:color="auto" w:fill="FFFFFF"/>
        </w:rPr>
      </w:pPr>
      <w:r w:rsidRPr="002C7391">
        <w:rPr>
          <w:rFonts w:ascii="方正仿宋_GBK" w:eastAsia="方正仿宋_GBK" w:hAnsi="方正仿宋_GBK" w:cs="方正仿宋_GBK"/>
          <w:sz w:val="32"/>
          <w:szCs w:val="32"/>
          <w:shd w:val="clear" w:color="auto" w:fill="FFFFFF"/>
        </w:rPr>
        <w:t>根据预算绩效管理要求，我部门对部门整体和23个二级项目开展了绩效自评，涉及财政拨款项目支出资金40773.11万元。其中部门整体绩效自评表详见附件1，项目公开绩效自评表（二级项目）详见附件2及附件3。</w:t>
      </w:r>
    </w:p>
    <w:p w14:paraId="09D302B3" w14:textId="77777777" w:rsidR="000D6A0C" w:rsidRPr="002C7391" w:rsidRDefault="00000000">
      <w:pPr>
        <w:pStyle w:val="Char"/>
        <w:numPr>
          <w:ilvl w:val="0"/>
          <w:numId w:val="2"/>
        </w:numPr>
        <w:autoSpaceDE w:val="0"/>
        <w:snapToGrid w:val="0"/>
        <w:spacing w:beforeAutospacing="0" w:afterAutospacing="0" w:line="600" w:lineRule="exact"/>
        <w:ind w:firstLineChars="200" w:firstLine="640"/>
        <w:jc w:val="both"/>
        <w:rPr>
          <w:rFonts w:ascii="方正楷体_GBK" w:eastAsia="方正楷体_GBK" w:hAnsi="方正楷体_GBK" w:cs="方正楷体_GBK"/>
          <w:sz w:val="32"/>
          <w:szCs w:val="32"/>
          <w:shd w:val="clear" w:color="auto" w:fill="FFFFFF"/>
        </w:rPr>
      </w:pPr>
      <w:r w:rsidRPr="002C7391">
        <w:rPr>
          <w:rFonts w:ascii="方正楷体_GBK" w:eastAsia="方正楷体_GBK" w:hAnsi="方正楷体_GBK" w:cs="方正楷体_GBK"/>
          <w:sz w:val="32"/>
          <w:szCs w:val="32"/>
          <w:shd w:val="clear" w:color="auto" w:fill="FFFFFF"/>
        </w:rPr>
        <w:t>部门绩效评价情况</w:t>
      </w:r>
    </w:p>
    <w:p w14:paraId="0BD47C90" w14:textId="77777777" w:rsidR="000D6A0C" w:rsidRPr="002C7391" w:rsidRDefault="00000000">
      <w:pPr>
        <w:pStyle w:val="Char"/>
        <w:autoSpaceDE w:val="0"/>
        <w:snapToGrid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我部门未组织开展绩效评价。</w:t>
      </w:r>
    </w:p>
    <w:p w14:paraId="1273A27E" w14:textId="77777777" w:rsidR="000D6A0C" w:rsidRPr="002C7391" w:rsidRDefault="00000000">
      <w:pPr>
        <w:pStyle w:val="Char"/>
        <w:numPr>
          <w:ilvl w:val="0"/>
          <w:numId w:val="2"/>
        </w:numPr>
        <w:autoSpaceDE w:val="0"/>
        <w:snapToGrid w:val="0"/>
        <w:spacing w:beforeAutospacing="0" w:afterAutospacing="0" w:line="600" w:lineRule="exact"/>
        <w:ind w:firstLineChars="200" w:firstLine="640"/>
        <w:jc w:val="both"/>
        <w:rPr>
          <w:rFonts w:ascii="方正楷体_GBK" w:eastAsia="方正楷体_GBK" w:hAnsi="方正楷体_GBK" w:cs="方正楷体_GBK"/>
          <w:sz w:val="32"/>
          <w:szCs w:val="32"/>
          <w:shd w:val="clear" w:color="auto" w:fill="FFFFFF"/>
        </w:rPr>
      </w:pPr>
      <w:r w:rsidRPr="002C7391">
        <w:rPr>
          <w:rFonts w:ascii="方正楷体_GBK" w:eastAsia="方正楷体_GBK" w:hAnsi="方正楷体_GBK" w:cs="方正楷体_GBK"/>
          <w:sz w:val="32"/>
          <w:szCs w:val="32"/>
          <w:shd w:val="clear" w:color="auto" w:fill="FFFFFF"/>
        </w:rPr>
        <w:t>财政绩效评价情况</w:t>
      </w:r>
    </w:p>
    <w:p w14:paraId="6767CA52" w14:textId="77777777" w:rsidR="000D6A0C" w:rsidRPr="002C7391" w:rsidRDefault="00000000">
      <w:pPr>
        <w:pStyle w:val="23"/>
        <w:autoSpaceDE w:val="0"/>
        <w:ind w:firstLine="640"/>
        <w:rPr>
          <w:rFonts w:ascii="方正仿宋_GBK" w:eastAsia="方正仿宋_GBK" w:hAnsi="方正仿宋_GBK" w:cs="方正仿宋_GBK" w:hint="eastAsia"/>
          <w:sz w:val="32"/>
          <w:szCs w:val="32"/>
          <w:shd w:val="clear" w:color="auto" w:fill="FFFFFF"/>
        </w:rPr>
      </w:pPr>
      <w:r w:rsidRPr="002C7391">
        <w:rPr>
          <w:rFonts w:ascii="方正仿宋_GBK" w:eastAsia="方正仿宋_GBK" w:hAnsi="方正仿宋_GBK" w:cs="方正仿宋_GBK" w:hint="eastAsia"/>
          <w:sz w:val="32"/>
          <w:szCs w:val="32"/>
          <w:shd w:val="clear" w:color="auto" w:fill="FFFFFF"/>
        </w:rPr>
        <w:t>区财政局未委托第三方对我部门开展绩效评价。</w:t>
      </w:r>
    </w:p>
    <w:p w14:paraId="7F4AA81E" w14:textId="77777777" w:rsidR="000D6A0C" w:rsidRPr="002C7391" w:rsidRDefault="00000000">
      <w:pPr>
        <w:pStyle w:val="Char"/>
        <w:autoSpaceDE w:val="0"/>
        <w:snapToGrid w:val="0"/>
        <w:spacing w:beforeAutospacing="0" w:afterAutospacing="0" w:line="600" w:lineRule="exact"/>
        <w:ind w:firstLineChars="200" w:firstLine="640"/>
        <w:jc w:val="both"/>
        <w:rPr>
          <w:rFonts w:ascii="方正黑体_GBK" w:eastAsia="方正黑体_GBK" w:hAnsi="方正黑体_GBK" w:cs="方正黑体_GBK"/>
          <w:sz w:val="32"/>
          <w:szCs w:val="32"/>
          <w:shd w:val="clear" w:color="auto" w:fill="FFFFFF"/>
        </w:rPr>
      </w:pPr>
      <w:r w:rsidRPr="002C7391">
        <w:rPr>
          <w:rStyle w:val="17"/>
          <w:rFonts w:ascii="方正黑体_GBK" w:eastAsia="方正黑体_GBK" w:hAnsi="方正黑体_GBK" w:cs="方正黑体_GBK" w:hint="eastAsia"/>
          <w:sz w:val="32"/>
          <w:szCs w:val="32"/>
          <w:shd w:val="clear" w:color="auto" w:fill="FFFFFF"/>
        </w:rPr>
        <w:t>六、专业名词解释</w:t>
      </w:r>
    </w:p>
    <w:p w14:paraId="37FF5D82"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（一）财政拨款收入：</w:t>
      </w:r>
      <w:r w:rsidRPr="002C7391">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14:paraId="7CFAEF86"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lastRenderedPageBreak/>
        <w:t>（二）事业收入：</w:t>
      </w:r>
      <w:r w:rsidRPr="002C7391">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782D7B5"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（三）经营收入：</w:t>
      </w:r>
      <w:r w:rsidRPr="002C7391">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14:paraId="21FFBF4E" w14:textId="77777777" w:rsidR="000D6A0C" w:rsidRPr="002C7391" w:rsidRDefault="00000000">
      <w:pPr>
        <w:pStyle w:val="Char"/>
        <w:autoSpaceDE w:val="0"/>
        <w:snapToGrid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（四）其他收入：</w:t>
      </w:r>
      <w:r w:rsidRPr="002C7391">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14C2163"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（五）使用非财政拨款结余：</w:t>
      </w:r>
      <w:r w:rsidRPr="002C7391">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8096AFC"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（六）年初结转和结余：</w:t>
      </w:r>
      <w:r w:rsidRPr="002C7391">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14:paraId="62445DA6"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（七）结余分配：</w:t>
      </w:r>
      <w:r w:rsidRPr="002C7391">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14:paraId="65BE3C38"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lastRenderedPageBreak/>
        <w:t>（八）年末结转和结余：</w:t>
      </w:r>
      <w:r w:rsidRPr="002C7391">
        <w:rPr>
          <w:rFonts w:ascii="方正仿宋_GBK" w:eastAsia="方正仿宋_GBK" w:hAnsi="方正仿宋_GBK" w:cs="方正仿宋_GBK"/>
          <w:sz w:val="32"/>
          <w:szCs w:val="32"/>
          <w:shd w:val="clear" w:color="auto" w:fill="FFFFFF"/>
        </w:rPr>
        <w:t>指单位结转下年的基本支出结转、项目支出结转和结余、经营结余。</w:t>
      </w:r>
    </w:p>
    <w:p w14:paraId="0F19476B" w14:textId="77777777" w:rsidR="000D6A0C" w:rsidRPr="002C7391" w:rsidRDefault="00000000">
      <w:pPr>
        <w:pStyle w:val="Char"/>
        <w:autoSpaceDE w:val="0"/>
        <w:snapToGrid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（九）基本支出：</w:t>
      </w:r>
      <w:r w:rsidRPr="002C7391">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A7B8E0C"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（十）项目支出：</w:t>
      </w:r>
      <w:r w:rsidRPr="002C7391">
        <w:rPr>
          <w:rFonts w:ascii="方正仿宋_GBK" w:eastAsia="方正仿宋_GBK" w:hAnsi="方正仿宋_GBK" w:cs="方正仿宋_GBK"/>
          <w:sz w:val="32"/>
          <w:szCs w:val="32"/>
          <w:shd w:val="clear" w:color="auto" w:fill="FFFFFF"/>
        </w:rPr>
        <w:t>指在基本支出之外为完成特定行政任务和事业发展目标所发生的支出。</w:t>
      </w:r>
    </w:p>
    <w:p w14:paraId="1264AF68"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（十一）经营支出：</w:t>
      </w:r>
      <w:r w:rsidRPr="002C7391">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14:paraId="4EBAA36F" w14:textId="77777777" w:rsidR="000D6A0C" w:rsidRPr="002C7391" w:rsidRDefault="00000000">
      <w:pPr>
        <w:pStyle w:val="Char"/>
        <w:autoSpaceDE w:val="0"/>
        <w:snapToGrid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t>（十二）“三公”经费：</w:t>
      </w:r>
      <w:r w:rsidRPr="002C7391">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76A07F" w14:textId="77777777" w:rsidR="000D6A0C" w:rsidRPr="002C7391" w:rsidRDefault="00000000">
      <w:pPr>
        <w:pStyle w:val="Char"/>
        <w:autoSpaceDE w:val="0"/>
        <w:snapToGrid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Style w:val="22"/>
          <w:rFonts w:ascii="方正楷体_GBK" w:eastAsia="方正楷体_GBK" w:hAnsi="方正楷体_GBK" w:cs="方正楷体_GBK" w:hint="eastAsia"/>
          <w:b w:val="0"/>
          <w:bCs/>
          <w:sz w:val="32"/>
          <w:szCs w:val="32"/>
          <w:shd w:val="clear" w:color="auto" w:fill="FFFFFF"/>
        </w:rPr>
        <w:lastRenderedPageBreak/>
        <w:t>（十三）机关运行经费：</w:t>
      </w:r>
      <w:r w:rsidRPr="002C7391">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06D9F3"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（十四）工资福利支出（支出经济分类科目类级）：</w:t>
      </w:r>
      <w:r w:rsidRPr="002C7391">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14:paraId="61F1C3DD"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（十五）商品和服务支出（支出经济分类科目类级）：</w:t>
      </w:r>
      <w:r w:rsidRPr="002C7391">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14:paraId="2EE3C9D1" w14:textId="77777777" w:rsidR="000D6A0C" w:rsidRPr="002C7391" w:rsidRDefault="00000000">
      <w:pPr>
        <w:pStyle w:val="Char"/>
        <w:autoSpaceDE w:val="0"/>
        <w:snapToGrid w:val="0"/>
        <w:spacing w:beforeAutospacing="0" w:afterAutospacing="0" w:line="600" w:lineRule="exact"/>
        <w:ind w:firstLineChars="200" w:firstLine="640"/>
        <w:jc w:val="both"/>
        <w:rPr>
          <w:rFonts w:cs="宋体"/>
        </w:rPr>
      </w:pPr>
      <w:r w:rsidRPr="002C7391">
        <w:rPr>
          <w:rStyle w:val="22"/>
          <w:rFonts w:ascii="方正楷体_GBK" w:eastAsia="方正楷体_GBK" w:hAnsi="方正楷体_GBK" w:cs="方正楷体_GBK" w:hint="eastAsia"/>
          <w:b w:val="0"/>
          <w:bCs/>
          <w:sz w:val="32"/>
          <w:szCs w:val="32"/>
          <w:shd w:val="clear" w:color="auto" w:fill="FFFFFF"/>
        </w:rPr>
        <w:t>（十六）对个人和家庭的补助（支出经济分类科目类级）：</w:t>
      </w:r>
      <w:r w:rsidRPr="002C7391">
        <w:rPr>
          <w:rFonts w:ascii="方正仿宋_GBK" w:eastAsia="方正仿宋_GBK" w:hAnsi="方正仿宋_GBK" w:cs="方正仿宋_GBK"/>
          <w:sz w:val="32"/>
          <w:szCs w:val="32"/>
          <w:shd w:val="clear" w:color="auto" w:fill="FFFFFF"/>
        </w:rPr>
        <w:t>反映用于对个人和家庭的补助支出。</w:t>
      </w:r>
    </w:p>
    <w:p w14:paraId="36F9A3F9" w14:textId="77777777" w:rsidR="000D6A0C" w:rsidRPr="002C7391" w:rsidRDefault="00000000">
      <w:pPr>
        <w:pStyle w:val="Char"/>
        <w:autoSpaceDE w:val="0"/>
        <w:snapToGrid w:val="0"/>
        <w:spacing w:beforeAutospacing="0" w:afterAutospacing="0" w:line="600" w:lineRule="exact"/>
        <w:ind w:firstLineChars="200" w:firstLine="640"/>
        <w:jc w:val="both"/>
        <w:rPr>
          <w:rFonts w:cs="宋体"/>
          <w:sz w:val="32"/>
          <w:szCs w:val="32"/>
        </w:rPr>
      </w:pPr>
      <w:r w:rsidRPr="002C7391">
        <w:rPr>
          <w:rStyle w:val="22"/>
          <w:rFonts w:ascii="方正楷体_GBK" w:eastAsia="方正楷体_GBK" w:hAnsi="方正楷体_GBK" w:cs="方正楷体_GBK" w:hint="eastAsia"/>
          <w:b w:val="0"/>
          <w:bCs/>
          <w:sz w:val="32"/>
          <w:szCs w:val="32"/>
          <w:shd w:val="clear" w:color="auto" w:fill="FFFFFF"/>
        </w:rPr>
        <w:t>（十七）其他资本性支出（支出经济分类科目类级）：</w:t>
      </w:r>
      <w:r w:rsidRPr="002C7391">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BCDDEDF" w14:textId="77777777" w:rsidR="000D6A0C" w:rsidRPr="002C7391" w:rsidRDefault="00000000">
      <w:pPr>
        <w:pStyle w:val="Char"/>
        <w:autoSpaceDE w:val="0"/>
        <w:snapToGrid w:val="0"/>
        <w:spacing w:beforeAutospacing="0" w:afterAutospacing="0" w:line="600" w:lineRule="exact"/>
        <w:ind w:firstLineChars="200" w:firstLine="640"/>
        <w:jc w:val="both"/>
        <w:rPr>
          <w:rFonts w:ascii="方正黑体_GBK" w:eastAsia="方正黑体_GBK" w:hAnsi="方正黑体_GBK" w:cs="方正黑体_GBK"/>
          <w:sz w:val="32"/>
          <w:szCs w:val="32"/>
          <w:shd w:val="clear" w:color="auto" w:fill="FFFFFF"/>
        </w:rPr>
      </w:pPr>
      <w:r w:rsidRPr="002C7391">
        <w:rPr>
          <w:rStyle w:val="17"/>
          <w:rFonts w:ascii="方正黑体_GBK" w:eastAsia="方正黑体_GBK" w:hAnsi="方正黑体_GBK" w:cs="方正黑体_GBK" w:hint="eastAsia"/>
          <w:sz w:val="32"/>
          <w:szCs w:val="32"/>
          <w:shd w:val="clear" w:color="auto" w:fill="FFFFFF"/>
        </w:rPr>
        <w:t>七、决算公开联系方式及信息反馈渠道</w:t>
      </w:r>
    </w:p>
    <w:p w14:paraId="655CB7B6" w14:textId="77777777" w:rsidR="000D6A0C" w:rsidRPr="002C7391" w:rsidRDefault="00000000">
      <w:pPr>
        <w:pStyle w:val="Char"/>
        <w:autoSpaceDE w:val="0"/>
        <w:snapToGrid w:val="0"/>
        <w:spacing w:beforeAutospacing="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2C7391">
        <w:rPr>
          <w:rFonts w:ascii="方正仿宋_GBK" w:eastAsia="方正仿宋_GBK" w:hAnsi="方正仿宋_GBK" w:cs="方正仿宋_GBK"/>
          <w:sz w:val="32"/>
          <w:szCs w:val="32"/>
          <w:shd w:val="clear" w:color="auto" w:fill="FFFFFF"/>
        </w:rPr>
        <w:t>本单位决算公开信息反馈和联系方式：</w:t>
      </w:r>
    </w:p>
    <w:p w14:paraId="6F860FB9" w14:textId="77777777" w:rsidR="000D6A0C" w:rsidRDefault="00000000">
      <w:pPr>
        <w:pStyle w:val="Char"/>
        <w:autoSpaceDE w:val="0"/>
        <w:snapToGrid w:val="0"/>
        <w:spacing w:beforeAutospacing="0" w:afterAutospacing="0" w:line="600" w:lineRule="exact"/>
        <w:ind w:firstLineChars="200" w:firstLine="640"/>
        <w:jc w:val="both"/>
        <w:rPr>
          <w:rFonts w:cs="宋体"/>
        </w:rPr>
      </w:pPr>
      <w:r w:rsidRPr="002C7391">
        <w:rPr>
          <w:rFonts w:ascii="方正仿宋_GBK" w:eastAsia="方正仿宋_GBK" w:hAnsi="方正仿宋_GBK" w:cs="方正仿宋_GBK"/>
          <w:sz w:val="32"/>
          <w:szCs w:val="32"/>
          <w:shd w:val="clear" w:color="auto" w:fill="FFFFFF"/>
        </w:rPr>
        <w:t>张正奕  023-68601276。</w:t>
      </w:r>
    </w:p>
    <w:sectPr w:rsidR="000D6A0C">
      <w:footerReference w:type="default" r:id="rId8"/>
      <w:pgSz w:w="11906" w:h="16838"/>
      <w:pgMar w:top="2098" w:right="1531" w:bottom="1984" w:left="1531" w:header="851" w:footer="992" w:gutter="0"/>
      <w:cols w:space="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9DAC" w14:textId="77777777" w:rsidR="00013C7F" w:rsidRDefault="00013C7F">
      <w:r>
        <w:separator/>
      </w:r>
    </w:p>
  </w:endnote>
  <w:endnote w:type="continuationSeparator" w:id="0">
    <w:p w14:paraId="7361C1E9" w14:textId="77777777" w:rsidR="00013C7F" w:rsidRDefault="0001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D138" w14:textId="77777777" w:rsidR="000D6A0C" w:rsidRDefault="00000000">
    <w:pPr>
      <w:pStyle w:val="a5"/>
      <w:tabs>
        <w:tab w:val="center" w:pos="4153"/>
        <w:tab w:val="right" w:pos="8306"/>
      </w:tabs>
      <w:ind w:left="360"/>
      <w:jc w:val="right"/>
      <w:rPr>
        <w:rFonts w:ascii="方正仿宋_GBK" w:eastAsia="方正仿宋_GBK"/>
        <w:sz w:val="28"/>
        <w:szCs w:val="28"/>
      </w:rPr>
    </w:pPr>
    <w:r>
      <w:rPr>
        <w:noProof/>
        <w:sz w:val="28"/>
      </w:rPr>
      <mc:AlternateContent>
        <mc:Choice Requires="wps">
          <w:drawing>
            <wp:anchor distT="0" distB="0" distL="114300" distR="114300" simplePos="0" relativeHeight="251659264" behindDoc="0" locked="0" layoutInCell="1" allowOverlap="1" wp14:anchorId="56030FA9" wp14:editId="4E7C98D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D3A8B" w14:textId="77777777" w:rsidR="000D6A0C" w:rsidRDefault="00000000">
                          <w:pPr>
                            <w:pStyle w:val="a5"/>
                            <w:tabs>
                              <w:tab w:val="center" w:pos="4153"/>
                              <w:tab w:val="right" w:pos="8306"/>
                            </w:tabs>
                            <w:ind w:left="360"/>
                            <w:jc w:val="right"/>
                          </w:pPr>
                          <w:r>
                            <w:rPr>
                              <w:rFonts w:ascii="方正仿宋_GBK" w:eastAsia="方正仿宋_GBK"/>
                              <w:sz w:val="28"/>
                              <w:szCs w:val="28"/>
                            </w:rPr>
                            <w:t xml:space="preserve">—  </w:t>
                          </w:r>
                          <w:r>
                            <w:rPr>
                              <w:rFonts w:ascii="方正仿宋_GBK" w:eastAsia="方正仿宋_GBK"/>
                              <w:sz w:val="28"/>
                              <w:szCs w:val="28"/>
                            </w:rPr>
                            <w:fldChar w:fldCharType="begin"/>
                          </w:r>
                          <w:r>
                            <w:rPr>
                              <w:rFonts w:ascii="方正仿宋_GBK" w:eastAsia="方正仿宋_GBK"/>
                              <w:sz w:val="28"/>
                              <w:szCs w:val="28"/>
                            </w:rPr>
                            <w:instrText>PAGE   \* MERGEFORMAT</w:instrText>
                          </w:r>
                          <w:r>
                            <w:rPr>
                              <w:rFonts w:ascii="方正仿宋_GBK" w:eastAsia="方正仿宋_GBK"/>
                              <w:sz w:val="28"/>
                              <w:szCs w:val="28"/>
                            </w:rPr>
                            <w:fldChar w:fldCharType="separate"/>
                          </w:r>
                          <w:r>
                            <w:rPr>
                              <w:rFonts w:ascii="方正仿宋_GBK" w:eastAsia="方正仿宋_GBK"/>
                              <w:sz w:val="28"/>
                              <w:szCs w:val="28"/>
                              <w:lang w:val="zh-CN"/>
                            </w:rPr>
                            <w:t>1</w:t>
                          </w:r>
                          <w:r>
                            <w:rPr>
                              <w:rFonts w:ascii="方正仿宋_GBK" w:eastAsia="方正仿宋_GBK"/>
                              <w:sz w:val="28"/>
                              <w:szCs w:val="28"/>
                            </w:rPr>
                            <w:fldChar w:fldCharType="end"/>
                          </w:r>
                          <w:r>
                            <w:rPr>
                              <w:rFonts w:ascii="方正仿宋_GBK" w:eastAsia="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030FA9"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ED3A8B" w14:textId="77777777" w:rsidR="000D6A0C" w:rsidRDefault="00000000">
                    <w:pPr>
                      <w:pStyle w:val="a5"/>
                      <w:tabs>
                        <w:tab w:val="center" w:pos="4153"/>
                        <w:tab w:val="right" w:pos="8306"/>
                      </w:tabs>
                      <w:ind w:left="360"/>
                      <w:jc w:val="right"/>
                    </w:pPr>
                    <w:r>
                      <w:rPr>
                        <w:rFonts w:ascii="方正仿宋_GBK" w:eastAsia="方正仿宋_GBK"/>
                        <w:sz w:val="28"/>
                        <w:szCs w:val="28"/>
                      </w:rPr>
                      <w:t xml:space="preserve">—  </w:t>
                    </w:r>
                    <w:r>
                      <w:rPr>
                        <w:rFonts w:ascii="方正仿宋_GBK" w:eastAsia="方正仿宋_GBK"/>
                        <w:sz w:val="28"/>
                        <w:szCs w:val="28"/>
                      </w:rPr>
                      <w:fldChar w:fldCharType="begin"/>
                    </w:r>
                    <w:r>
                      <w:rPr>
                        <w:rFonts w:ascii="方正仿宋_GBK" w:eastAsia="方正仿宋_GBK"/>
                        <w:sz w:val="28"/>
                        <w:szCs w:val="28"/>
                      </w:rPr>
                      <w:instrText>PAGE   \* MERGEFORMAT</w:instrText>
                    </w:r>
                    <w:r>
                      <w:rPr>
                        <w:rFonts w:ascii="方正仿宋_GBK" w:eastAsia="方正仿宋_GBK"/>
                        <w:sz w:val="28"/>
                        <w:szCs w:val="28"/>
                      </w:rPr>
                      <w:fldChar w:fldCharType="separate"/>
                    </w:r>
                    <w:r>
                      <w:rPr>
                        <w:rFonts w:ascii="方正仿宋_GBK" w:eastAsia="方正仿宋_GBK"/>
                        <w:sz w:val="28"/>
                        <w:szCs w:val="28"/>
                        <w:lang w:val="zh-CN"/>
                      </w:rPr>
                      <w:t>1</w:t>
                    </w:r>
                    <w:r>
                      <w:rPr>
                        <w:rFonts w:ascii="方正仿宋_GBK" w:eastAsia="方正仿宋_GBK"/>
                        <w:sz w:val="28"/>
                        <w:szCs w:val="28"/>
                      </w:rPr>
                      <w:fldChar w:fldCharType="end"/>
                    </w:r>
                    <w:r>
                      <w:rPr>
                        <w:rFonts w:ascii="方正仿宋_GBK" w:eastAsia="方正仿宋_GBK"/>
                        <w:sz w:val="28"/>
                        <w:szCs w:val="28"/>
                      </w:rPr>
                      <w:t xml:space="preserve">  —</w:t>
                    </w:r>
                  </w:p>
                </w:txbxContent>
              </v:textbox>
              <w10:wrap anchorx="margin"/>
            </v:shape>
          </w:pict>
        </mc:Fallback>
      </mc:AlternateContent>
    </w:r>
  </w:p>
  <w:p w14:paraId="2705529F" w14:textId="77777777" w:rsidR="000D6A0C" w:rsidRDefault="000D6A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73DA" w14:textId="77777777" w:rsidR="00013C7F" w:rsidRDefault="00013C7F">
      <w:r>
        <w:separator/>
      </w:r>
    </w:p>
  </w:footnote>
  <w:footnote w:type="continuationSeparator" w:id="0">
    <w:p w14:paraId="308CB11A" w14:textId="77777777" w:rsidR="00013C7F" w:rsidRDefault="00013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105A81"/>
    <w:multiLevelType w:val="singleLevel"/>
    <w:tmpl w:val="AE105A81"/>
    <w:lvl w:ilvl="0">
      <w:start w:val="2"/>
      <w:numFmt w:val="chineseCounting"/>
      <w:suff w:val="nothing"/>
      <w:lvlText w:val="（%1）"/>
      <w:lvlJc w:val="left"/>
      <w:rPr>
        <w:rFonts w:hint="eastAsia"/>
      </w:rPr>
    </w:lvl>
  </w:abstractNum>
  <w:abstractNum w:abstractNumId="1" w15:restartNumberingAfterBreak="0">
    <w:nsid w:val="7584642F"/>
    <w:multiLevelType w:val="multilevel"/>
    <w:tmpl w:val="7584642F"/>
    <w:lvl w:ilvl="0">
      <w:start w:val="1"/>
      <w:numFmt w:val="chineseCounting"/>
      <w:suff w:val="nothing"/>
      <w:lvlText w:val="%1、"/>
      <w:lvlJc w:val="left"/>
      <w:pPr>
        <w:tabs>
          <w:tab w:val="left" w:pos="0"/>
        </w:tabs>
        <w:ind w:left="0" w:firstLine="0"/>
      </w:pPr>
      <w:rPr>
        <w:rFonts w:ascii="方正黑体_GBK" w:eastAsia="方正黑体_GBK" w:hAnsi="方正黑体_GBK" w:cs="方正黑体_GBK"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16cid:durableId="279722815">
    <w:abstractNumId w:val="1"/>
  </w:num>
  <w:num w:numId="2" w16cid:durableId="63132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7"/>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I5NGQ4NWUxMTc4NGI4OWIyZWM1NzZmZmFkMmNmMGEifQ=="/>
  </w:docVars>
  <w:rsids>
    <w:rsidRoot w:val="0031378D"/>
    <w:rsid w:val="00006906"/>
    <w:rsid w:val="00013C7F"/>
    <w:rsid w:val="000D6A0C"/>
    <w:rsid w:val="00153627"/>
    <w:rsid w:val="0024128B"/>
    <w:rsid w:val="002C7391"/>
    <w:rsid w:val="00303947"/>
    <w:rsid w:val="0031378D"/>
    <w:rsid w:val="00372ADE"/>
    <w:rsid w:val="003C1E7C"/>
    <w:rsid w:val="00547CBE"/>
    <w:rsid w:val="005978E1"/>
    <w:rsid w:val="00863340"/>
    <w:rsid w:val="0088249E"/>
    <w:rsid w:val="008A793F"/>
    <w:rsid w:val="009B0311"/>
    <w:rsid w:val="00AB3AE4"/>
    <w:rsid w:val="00B0389E"/>
    <w:rsid w:val="047338C4"/>
    <w:rsid w:val="0D9755F8"/>
    <w:rsid w:val="0EAF01F1"/>
    <w:rsid w:val="113D0131"/>
    <w:rsid w:val="138427EC"/>
    <w:rsid w:val="1A487ED2"/>
    <w:rsid w:val="1B823F6E"/>
    <w:rsid w:val="1C950A79"/>
    <w:rsid w:val="1DDE692B"/>
    <w:rsid w:val="1FD04999"/>
    <w:rsid w:val="29920771"/>
    <w:rsid w:val="2FBB7EEF"/>
    <w:rsid w:val="322D169D"/>
    <w:rsid w:val="359674F1"/>
    <w:rsid w:val="38D30BBE"/>
    <w:rsid w:val="3E3E7246"/>
    <w:rsid w:val="40B910E7"/>
    <w:rsid w:val="415B43C7"/>
    <w:rsid w:val="42A35587"/>
    <w:rsid w:val="45612AFA"/>
    <w:rsid w:val="4A542968"/>
    <w:rsid w:val="4B4E4D8A"/>
    <w:rsid w:val="597638E0"/>
    <w:rsid w:val="5B483C33"/>
    <w:rsid w:val="5FD41360"/>
    <w:rsid w:val="603F378B"/>
    <w:rsid w:val="65176A37"/>
    <w:rsid w:val="66A31A8D"/>
    <w:rsid w:val="6BA56595"/>
    <w:rsid w:val="6ED52FA0"/>
    <w:rsid w:val="6F5A5D2A"/>
    <w:rsid w:val="6FE40DB4"/>
    <w:rsid w:val="748B61DF"/>
    <w:rsid w:val="76724FD8"/>
    <w:rsid w:val="76CC0B8C"/>
    <w:rsid w:val="77000835"/>
    <w:rsid w:val="773F135E"/>
    <w:rsid w:val="7E70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5321E"/>
  <w15:docId w15:val="{910E1C12-86BC-4C16-975B-AEB71480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uiPriority="99" w:unhideWhenUsed="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semiHidden/>
    <w:unhideWhenUsed/>
    <w:qFormat/>
    <w:rPr>
      <w:rFonts w:ascii="宋体" w:hAnsi="宋体" w:hint="eastAsia"/>
      <w:sz w:val="24"/>
      <w:szCs w:val="24"/>
    </w:rPr>
  </w:style>
  <w:style w:type="paragraph" w:styleId="1">
    <w:name w:val="heading 1"/>
    <w:basedOn w:val="a"/>
    <w:next w:val="a"/>
    <w:autoRedefine/>
    <w:qFormat/>
    <w:pPr>
      <w:spacing w:beforeAutospacing="1" w:afterAutospacing="1"/>
      <w:outlineLvl w:val="0"/>
    </w:pPr>
    <w:rPr>
      <w:b/>
      <w:bCs/>
      <w:kern w:val="44"/>
      <w:sz w:val="48"/>
      <w:szCs w:val="48"/>
    </w:rPr>
  </w:style>
  <w:style w:type="paragraph" w:styleId="2">
    <w:name w:val="heading 2"/>
    <w:basedOn w:val="a"/>
    <w:next w:val="a"/>
    <w:autoRedefine/>
    <w:qFormat/>
    <w:pPr>
      <w:spacing w:beforeAutospacing="1" w:afterAutospacing="1"/>
      <w:outlineLvl w:val="1"/>
    </w:pPr>
    <w:rPr>
      <w:b/>
      <w:bCs/>
      <w:sz w:val="36"/>
      <w:szCs w:val="36"/>
    </w:rPr>
  </w:style>
  <w:style w:type="paragraph" w:styleId="3">
    <w:name w:val="heading 3"/>
    <w:basedOn w:val="a"/>
    <w:next w:val="a"/>
    <w:autoRedefine/>
    <w:qFormat/>
    <w:pPr>
      <w:spacing w:beforeAutospacing="1" w:afterAutospacing="1"/>
      <w:outlineLvl w:val="2"/>
    </w:pPr>
    <w:rPr>
      <w:b/>
      <w:bCs/>
      <w:sz w:val="27"/>
      <w:szCs w:val="27"/>
    </w:rPr>
  </w:style>
  <w:style w:type="paragraph" w:styleId="4">
    <w:name w:val="heading 4"/>
    <w:basedOn w:val="a"/>
    <w:next w:val="a"/>
    <w:qFormat/>
    <w:pPr>
      <w:spacing w:beforeAutospacing="1" w:afterAutospacing="1"/>
      <w:outlineLvl w:val="3"/>
    </w:pPr>
    <w:rPr>
      <w:b/>
      <w:bCs/>
    </w:rPr>
  </w:style>
  <w:style w:type="paragraph" w:styleId="5">
    <w:name w:val="heading 5"/>
    <w:basedOn w:val="a"/>
    <w:next w:val="a"/>
    <w:qFormat/>
    <w:pPr>
      <w:spacing w:beforeAutospacing="1" w:afterAutospacing="1"/>
      <w:outlineLvl w:val="4"/>
    </w:pPr>
    <w:rPr>
      <w:b/>
      <w:bCs/>
      <w:sz w:val="20"/>
      <w:szCs w:val="20"/>
    </w:rPr>
  </w:style>
  <w:style w:type="paragraph" w:styleId="6">
    <w:name w:val="heading 6"/>
    <w:basedOn w:val="a"/>
    <w:next w:val="a"/>
    <w:qFormat/>
    <w:pPr>
      <w:spacing w:beforeAutospacing="1"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w:basedOn w:val="a"/>
    <w:uiPriority w:val="1"/>
    <w:qFormat/>
    <w:pPr>
      <w:spacing w:before="61"/>
      <w:ind w:left="117"/>
    </w:pPr>
    <w:rPr>
      <w:sz w:val="30"/>
      <w:szCs w:val="30"/>
    </w:rPr>
  </w:style>
  <w:style w:type="paragraph" w:styleId="a5">
    <w:name w:val="footer"/>
    <w:basedOn w:val="a"/>
    <w:link w:val="a6"/>
    <w:qFormat/>
    <w:pPr>
      <w:snapToGrid w:val="0"/>
    </w:pPr>
    <w:rPr>
      <w:sz w:val="18"/>
      <w:szCs w:val="18"/>
    </w:rPr>
  </w:style>
  <w:style w:type="paragraph" w:styleId="a7">
    <w:name w:val="header"/>
    <w:basedOn w:val="a"/>
    <w:qFormat/>
    <w:pPr>
      <w:snapToGrid w:val="0"/>
      <w:jc w:val="both"/>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qFormat/>
    <w:pPr>
      <w:spacing w:beforeAutospacing="1" w:afterAutospacing="1"/>
    </w:pPr>
  </w:style>
  <w:style w:type="character" w:customStyle="1" w:styleId="19">
    <w:name w:val="19"/>
    <w:basedOn w:val="a0"/>
    <w:qFormat/>
    <w:rPr>
      <w:rFonts w:ascii="Times New Roman" w:hAnsi="Times New Roman" w:cs="Times New Roman" w:hint="default"/>
    </w:rPr>
  </w:style>
  <w:style w:type="paragraph" w:customStyle="1" w:styleId="pChar">
    <w:name w:val="p Char"/>
    <w:basedOn w:val="a"/>
    <w:qFormat/>
    <w:pPr>
      <w:spacing w:beforeAutospacing="1" w:afterAutospacing="1"/>
    </w:pPr>
  </w:style>
  <w:style w:type="character" w:customStyle="1" w:styleId="21">
    <w:name w:val="21"/>
    <w:basedOn w:val="a0"/>
    <w:qFormat/>
    <w:rPr>
      <w:rFonts w:ascii="Times New Roman" w:hAnsi="Times New Roman" w:cs="Times New Roman" w:hint="default"/>
    </w:rPr>
  </w:style>
  <w:style w:type="character" w:customStyle="1" w:styleId="17">
    <w:name w:val="17"/>
    <w:basedOn w:val="a0"/>
    <w:qFormat/>
    <w:rPr>
      <w:rFonts w:ascii="Times New Roman" w:hAnsi="Times New Roman" w:cs="Times New Roman" w:hint="default"/>
    </w:r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b/>
    </w:rPr>
  </w:style>
  <w:style w:type="character" w:customStyle="1" w:styleId="22">
    <w:name w:val="22"/>
    <w:basedOn w:val="a0"/>
    <w:qFormat/>
    <w:rPr>
      <w:rFonts w:ascii="Times New Roman" w:hAnsi="Times New Roman" w:cs="Times New Roman" w:hint="default"/>
      <w:b/>
    </w:rPr>
  </w:style>
  <w:style w:type="character" w:customStyle="1" w:styleId="16">
    <w:name w:val="16"/>
    <w:basedOn w:val="a0"/>
    <w:qFormat/>
    <w:rPr>
      <w:rFonts w:ascii="Times New Roman" w:hAnsi="Times New Roman" w:cs="Times New Roman" w:hint="default"/>
      <w:b/>
    </w:rPr>
  </w:style>
  <w:style w:type="character" w:customStyle="1" w:styleId="18">
    <w:name w:val="18"/>
    <w:basedOn w:val="a0"/>
    <w:autoRedefine/>
    <w:qFormat/>
    <w:rPr>
      <w:rFonts w:ascii="Times New Roman" w:hAnsi="Times New Roman" w:cs="Times New Roman" w:hint="default"/>
    </w:rPr>
  </w:style>
  <w:style w:type="character" w:customStyle="1" w:styleId="20">
    <w:name w:val="20"/>
    <w:basedOn w:val="a0"/>
    <w:qFormat/>
    <w:rPr>
      <w:rFonts w:ascii="Times New Roman" w:hAnsi="Times New Roman" w:cs="Times New Roman" w:hint="default"/>
      <w:b/>
    </w:rPr>
  </w:style>
  <w:style w:type="paragraph" w:customStyle="1" w:styleId="HTMLChar">
    <w:name w:val="HTML 预设格式 Char"/>
    <w:basedOn w:val="a"/>
    <w:qFormat/>
  </w:style>
  <w:style w:type="paragraph" w:customStyle="1" w:styleId="NormalIndent1">
    <w:name w:val="Normal Indent1"/>
    <w:basedOn w:val="a"/>
    <w:qFormat/>
    <w:pPr>
      <w:ind w:firstLine="420"/>
    </w:pPr>
  </w:style>
  <w:style w:type="paragraph" w:customStyle="1" w:styleId="Char">
    <w:name w:val="普通(网站) Char"/>
    <w:basedOn w:val="a"/>
    <w:qFormat/>
    <w:pPr>
      <w:spacing w:beforeAutospacing="1" w:afterAutospacing="1"/>
    </w:pPr>
  </w:style>
  <w:style w:type="paragraph" w:customStyle="1" w:styleId="CharChar">
    <w:name w:val="普通(网站) Char Char"/>
    <w:basedOn w:val="a"/>
    <w:qFormat/>
    <w:pPr>
      <w:spacing w:beforeAutospacing="1" w:afterAutospacing="1"/>
    </w:pPr>
  </w:style>
  <w:style w:type="character" w:customStyle="1" w:styleId="font01">
    <w:name w:val="font01"/>
    <w:basedOn w:val="a0"/>
    <w:qFormat/>
    <w:rPr>
      <w:rFonts w:ascii="方正仿宋_GBK" w:eastAsia="方正仿宋_GBK" w:hAnsi="方正仿宋_GBK" w:cs="方正仿宋_GBK" w:hint="eastAsia"/>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paragraph" w:customStyle="1" w:styleId="11">
    <w:name w:val="正文1"/>
    <w:basedOn w:val="a"/>
    <w:next w:val="a"/>
    <w:qFormat/>
    <w:pPr>
      <w:spacing w:line="300" w:lineRule="auto"/>
      <w:ind w:firstLineChars="200" w:firstLine="200"/>
    </w:pPr>
  </w:style>
  <w:style w:type="paragraph" w:customStyle="1" w:styleId="23">
    <w:name w:val="列出段落2"/>
    <w:uiPriority w:val="99"/>
    <w:qFormat/>
    <w:pPr>
      <w:ind w:firstLineChars="200" w:firstLine="420"/>
    </w:pPr>
    <w:rPr>
      <w:rFonts w:ascii="宋体" w:hAnsi="宋体"/>
      <w:sz w:val="24"/>
      <w:szCs w:val="24"/>
    </w:rPr>
  </w:style>
  <w:style w:type="character" w:customStyle="1" w:styleId="a6">
    <w:name w:val="页脚 字符"/>
    <w:basedOn w:val="a0"/>
    <w:link w:val="a5"/>
    <w:qFormat/>
    <w:rPr>
      <w:rFonts w:ascii="仿宋_GB2312" w:eastAsia="仿宋_GB2312" w:cs="仿宋_GB2312" w:hint="eastAsia"/>
      <w:kern w:val="44"/>
      <w:sz w:val="18"/>
      <w:szCs w:val="18"/>
    </w:rPr>
  </w:style>
  <w:style w:type="character" w:styleId="a9">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7</cp:revision>
  <cp:lastPrinted>2025-10-17T07:14:00Z</cp:lastPrinted>
  <dcterms:created xsi:type="dcterms:W3CDTF">2022-10-26T11:05:00Z</dcterms:created>
  <dcterms:modified xsi:type="dcterms:W3CDTF">2025-10-27T03:35:00Z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904AE6D2EB5247DDB1F51C7645E6FF22_13</vt:lpwstr>
  </property>
  <property fmtid="{D5CDD505-2E9C-101B-9397-08002B2CF9AE}" pid="4" name="KSOTemplateDocerSaveRecord">
    <vt:lpwstr>eyJoZGlkIjoiYmM5N2NhMzBlMzJhZGE3N2JiNzk5MDM0NjJmYjRhYjgifQ==</vt:lpwstr>
  </property>
</Properties>
</file>