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1F" w:rsidRDefault="00C7511F">
      <w:pPr>
        <w:spacing w:line="600" w:lineRule="exact"/>
        <w:jc w:val="center"/>
        <w:rPr>
          <w:rFonts w:ascii="方正小标宋_GBK" w:eastAsia="方正小标宋_GBK" w:hAnsi="宋体" w:cs="Calibri"/>
          <w:sz w:val="44"/>
          <w:szCs w:val="44"/>
          <w:lang w:val="zh-CN"/>
        </w:rPr>
      </w:pPr>
    </w:p>
    <w:p w:rsidR="00C7511F" w:rsidRDefault="00657BCB">
      <w:pPr>
        <w:spacing w:line="600" w:lineRule="exact"/>
        <w:jc w:val="center"/>
        <w:rPr>
          <w:rFonts w:ascii="方正小标宋_GBK" w:eastAsia="方正小标宋_GBK" w:hAnsi="宋体" w:cs="Calibri"/>
          <w:sz w:val="44"/>
          <w:szCs w:val="44"/>
        </w:rPr>
      </w:pPr>
      <w:r>
        <w:rPr>
          <w:rFonts w:ascii="方正小标宋_GBK" w:eastAsia="方正小标宋_GBK" w:hAnsi="宋体" w:cs="Calibri" w:hint="eastAsia"/>
          <w:sz w:val="44"/>
          <w:szCs w:val="44"/>
          <w:lang w:val="zh-CN"/>
        </w:rPr>
        <w:t>重庆高新区</w:t>
      </w:r>
      <w:r>
        <w:rPr>
          <w:rFonts w:ascii="方正小标宋_GBK" w:eastAsia="方正小标宋_GBK" w:hAnsi="宋体" w:cs="Calibri" w:hint="eastAsia"/>
          <w:sz w:val="44"/>
          <w:szCs w:val="44"/>
        </w:rPr>
        <w:t>建设局</w:t>
      </w:r>
    </w:p>
    <w:p w:rsidR="00C7511F" w:rsidRDefault="00657BCB">
      <w:pPr>
        <w:spacing w:line="600" w:lineRule="exact"/>
        <w:jc w:val="center"/>
        <w:rPr>
          <w:rFonts w:ascii="方正小标宋_GBK" w:eastAsia="方正小标宋_GBK" w:hAnsi="宋体" w:cs="Calibri"/>
          <w:sz w:val="44"/>
          <w:szCs w:val="44"/>
        </w:rPr>
      </w:pPr>
      <w:r>
        <w:rPr>
          <w:rFonts w:ascii="方正小标宋_GBK" w:eastAsia="方正小标宋_GBK" w:hAnsi="宋体" w:cs="Calibri" w:hint="eastAsia"/>
          <w:sz w:val="44"/>
          <w:szCs w:val="44"/>
        </w:rPr>
        <w:t>关于建立配售</w:t>
      </w:r>
      <w:proofErr w:type="gramStart"/>
      <w:r>
        <w:rPr>
          <w:rFonts w:ascii="方正小标宋_GBK" w:eastAsia="方正小标宋_GBK" w:hAnsi="宋体" w:cs="Calibri" w:hint="eastAsia"/>
          <w:sz w:val="44"/>
          <w:szCs w:val="44"/>
        </w:rPr>
        <w:t>型保障</w:t>
      </w:r>
      <w:proofErr w:type="gramEnd"/>
      <w:r>
        <w:rPr>
          <w:rFonts w:ascii="方正小标宋_GBK" w:eastAsia="方正小标宋_GBK" w:hAnsi="宋体" w:cs="Calibri" w:hint="eastAsia"/>
          <w:sz w:val="44"/>
          <w:szCs w:val="44"/>
        </w:rPr>
        <w:t>性住房</w:t>
      </w:r>
      <w:proofErr w:type="gramStart"/>
      <w:r>
        <w:rPr>
          <w:rFonts w:ascii="方正小标宋_GBK" w:eastAsia="方正小标宋_GBK" w:hAnsi="宋体" w:cs="Calibri" w:hint="eastAsia"/>
          <w:sz w:val="44"/>
          <w:szCs w:val="44"/>
        </w:rPr>
        <w:t>轮候库的</w:t>
      </w:r>
      <w:proofErr w:type="gramEnd"/>
      <w:r>
        <w:rPr>
          <w:rFonts w:ascii="方正小标宋_GBK" w:eastAsia="方正小标宋_GBK" w:hAnsi="宋体" w:cs="Calibri" w:hint="eastAsia"/>
          <w:sz w:val="44"/>
          <w:szCs w:val="44"/>
        </w:rPr>
        <w:t>通知</w:t>
      </w:r>
    </w:p>
    <w:p w:rsidR="00C7511F" w:rsidRDefault="00C7511F">
      <w:pPr>
        <w:spacing w:line="600" w:lineRule="exact"/>
        <w:jc w:val="center"/>
        <w:rPr>
          <w:rFonts w:ascii="方正小标宋_GBK" w:eastAsia="方正小标宋_GBK" w:hAnsi="宋体" w:cs="Calibri"/>
          <w:sz w:val="44"/>
          <w:szCs w:val="44"/>
          <w:lang w:val="zh-CN"/>
        </w:rPr>
      </w:pPr>
    </w:p>
    <w:p w:rsidR="00C7511F" w:rsidRDefault="00657BC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各有关单位：</w:t>
      </w:r>
    </w:p>
    <w:p w:rsidR="00C7511F" w:rsidRDefault="00657BCB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为落实</w:t>
      </w:r>
      <w:r>
        <w:rPr>
          <w:rFonts w:ascii="方正仿宋_GBK" w:eastAsia="方正仿宋_GBK"/>
          <w:sz w:val="32"/>
          <w:szCs w:val="32"/>
        </w:rPr>
        <w:t>《国务院关于规划建设保障性住房的指导意见》（国发〔</w:t>
      </w:r>
      <w:r>
        <w:rPr>
          <w:rFonts w:ascii="方正仿宋_GBK"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14</w:t>
      </w:r>
      <w:r>
        <w:rPr>
          <w:rFonts w:ascii="方正仿宋_GBK" w:eastAsia="方正仿宋_GBK"/>
          <w:sz w:val="32"/>
          <w:szCs w:val="32"/>
        </w:rPr>
        <w:t>号）、《重庆市人民政府关于印发〈重庆市规划建设保障性住房实施方案〉的通知》（</w:t>
      </w:r>
      <w:proofErr w:type="gramStart"/>
      <w:r>
        <w:rPr>
          <w:rFonts w:ascii="方正仿宋_GBK" w:eastAsia="方正仿宋_GBK"/>
          <w:sz w:val="32"/>
          <w:szCs w:val="32"/>
        </w:rPr>
        <w:t>渝府发</w:t>
      </w:r>
      <w:proofErr w:type="gramEnd"/>
      <w:r>
        <w:rPr>
          <w:rFonts w:ascii="方正仿宋_GBK" w:eastAsia="方正仿宋_GBK"/>
          <w:sz w:val="32"/>
          <w:szCs w:val="32"/>
        </w:rPr>
        <w:t>〔</w:t>
      </w:r>
      <w:r>
        <w:rPr>
          <w:rFonts w:ascii="方正仿宋_GBK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/>
          <w:sz w:val="32"/>
          <w:szCs w:val="32"/>
        </w:rPr>
        <w:t>号）</w:t>
      </w:r>
      <w:r>
        <w:rPr>
          <w:rFonts w:ascii="方正仿宋_GBK" w:eastAsia="方正仿宋_GBK" w:hint="eastAsia"/>
          <w:sz w:val="32"/>
          <w:szCs w:val="32"/>
        </w:rPr>
        <w:t>、《重庆市住房和城乡建设委员会关于印发</w:t>
      </w:r>
      <w:r>
        <w:rPr>
          <w:rFonts w:ascii="方正仿宋_GBK" w:eastAsia="方正仿宋_GBK"/>
          <w:sz w:val="32"/>
          <w:szCs w:val="32"/>
        </w:rPr>
        <w:t>〈</w:t>
      </w:r>
      <w:r>
        <w:rPr>
          <w:rFonts w:ascii="方正仿宋_GBK" w:eastAsia="方正仿宋_GBK" w:hint="eastAsia"/>
          <w:sz w:val="32"/>
          <w:szCs w:val="32"/>
        </w:rPr>
        <w:t>重庆市保障性住房配售管理办法（试行）</w:t>
      </w:r>
      <w:r>
        <w:rPr>
          <w:rFonts w:ascii="方正仿宋_GBK" w:eastAsia="方正仿宋_GBK"/>
          <w:sz w:val="32"/>
          <w:szCs w:val="32"/>
        </w:rPr>
        <w:t>〉</w:t>
      </w:r>
      <w:r>
        <w:rPr>
          <w:rFonts w:ascii="方正仿宋_GBK" w:eastAsia="方正仿宋_GBK" w:hint="eastAsia"/>
          <w:sz w:val="32"/>
          <w:szCs w:val="32"/>
        </w:rPr>
        <w:t>的通知》（</w:t>
      </w:r>
      <w:proofErr w:type="gramStart"/>
      <w:r>
        <w:rPr>
          <w:rFonts w:ascii="方正仿宋_GBK" w:eastAsia="方正仿宋_GBK" w:hint="eastAsia"/>
          <w:sz w:val="32"/>
          <w:szCs w:val="32"/>
        </w:rPr>
        <w:t>渝建住保</w:t>
      </w:r>
      <w:proofErr w:type="gramEnd"/>
      <w:r>
        <w:rPr>
          <w:rFonts w:ascii="方正仿宋_GBK" w:eastAsia="方正仿宋_GBK" w:hint="eastAsia"/>
          <w:sz w:val="32"/>
          <w:szCs w:val="32"/>
        </w:rPr>
        <w:t>〔</w:t>
      </w: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号）</w:t>
      </w:r>
      <w:r>
        <w:rPr>
          <w:rFonts w:ascii="方正仿宋_GBK" w:eastAsia="方正仿宋_GBK" w:hAnsiTheme="minorEastAsia" w:hint="eastAsia"/>
          <w:sz w:val="32"/>
          <w:szCs w:val="32"/>
        </w:rPr>
        <w:t>以及《关于加快建立住房保障轮候库的通知》（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渝建住保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〔</w:t>
      </w:r>
      <w:r>
        <w:rPr>
          <w:rFonts w:ascii="方正仿宋_GBK" w:eastAsia="方正仿宋_GBK" w:hAnsiTheme="minorEastAsia" w:hint="eastAsia"/>
          <w:sz w:val="32"/>
          <w:szCs w:val="32"/>
        </w:rPr>
        <w:t>2025</w:t>
      </w:r>
      <w:r>
        <w:rPr>
          <w:rFonts w:ascii="方正仿宋_GBK" w:eastAsia="方正仿宋_GBK" w:hAnsiTheme="minorEastAsia" w:hint="eastAsia"/>
          <w:sz w:val="32"/>
          <w:szCs w:val="32"/>
        </w:rPr>
        <w:t>〕</w:t>
      </w:r>
      <w:r>
        <w:rPr>
          <w:rFonts w:ascii="方正仿宋_GBK" w:eastAsia="方正仿宋_GBK" w:hAnsiTheme="minorEastAsia" w:hint="eastAsia"/>
          <w:sz w:val="32"/>
          <w:szCs w:val="32"/>
        </w:rPr>
        <w:t>3</w:t>
      </w:r>
      <w:r>
        <w:rPr>
          <w:rFonts w:ascii="方正仿宋_GBK" w:eastAsia="方正仿宋_GBK" w:hAnsiTheme="minorEastAsia" w:hint="eastAsia"/>
          <w:sz w:val="32"/>
          <w:szCs w:val="32"/>
        </w:rPr>
        <w:t>）</w:t>
      </w:r>
      <w:r>
        <w:rPr>
          <w:rFonts w:ascii="方正仿宋_GBK" w:eastAsia="方正仿宋_GBK" w:hAnsiTheme="minorEastAsia" w:hint="eastAsia"/>
          <w:sz w:val="32"/>
          <w:szCs w:val="32"/>
        </w:rPr>
        <w:t>号等文件精神，</w:t>
      </w:r>
      <w:r>
        <w:rPr>
          <w:rFonts w:ascii="方正仿宋_GBK" w:eastAsia="方正仿宋_GBK" w:hint="eastAsia"/>
          <w:sz w:val="32"/>
          <w:szCs w:val="32"/>
        </w:rPr>
        <w:t>规范</w:t>
      </w:r>
      <w:r>
        <w:rPr>
          <w:rFonts w:ascii="方正仿宋_GBK" w:eastAsia="方正仿宋_GBK" w:hint="eastAsia"/>
          <w:sz w:val="32"/>
          <w:szCs w:val="32"/>
        </w:rPr>
        <w:t>我区配售</w:t>
      </w:r>
      <w:proofErr w:type="gramStart"/>
      <w:r>
        <w:rPr>
          <w:rFonts w:ascii="方正仿宋_GBK" w:eastAsia="方正仿宋_GBK" w:hint="eastAsia"/>
          <w:sz w:val="32"/>
          <w:szCs w:val="32"/>
        </w:rPr>
        <w:t>型</w:t>
      </w:r>
      <w:r>
        <w:rPr>
          <w:rFonts w:ascii="方正仿宋_GBK" w:eastAsia="方正仿宋_GBK" w:hint="eastAsia"/>
          <w:sz w:val="32"/>
          <w:szCs w:val="32"/>
        </w:rPr>
        <w:t>保障</w:t>
      </w:r>
      <w:proofErr w:type="gramEnd"/>
      <w:r>
        <w:rPr>
          <w:rFonts w:ascii="方正仿宋_GBK" w:eastAsia="方正仿宋_GBK" w:hint="eastAsia"/>
          <w:sz w:val="32"/>
          <w:szCs w:val="32"/>
        </w:rPr>
        <w:t>性住房申请、审核和配</w:t>
      </w:r>
      <w:r>
        <w:rPr>
          <w:rFonts w:ascii="方正仿宋_GBK" w:eastAsia="方正仿宋_GBK"/>
          <w:sz w:val="32"/>
          <w:szCs w:val="32"/>
        </w:rPr>
        <w:t>售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/>
          <w:sz w:val="32"/>
          <w:szCs w:val="32"/>
        </w:rPr>
        <w:t>工作流程，</w:t>
      </w:r>
      <w:r>
        <w:rPr>
          <w:rFonts w:ascii="方正仿宋_GBK" w:eastAsia="方正仿宋_GBK" w:hAnsiTheme="minorEastAsia" w:hint="eastAsia"/>
          <w:sz w:val="32"/>
          <w:szCs w:val="32"/>
        </w:rPr>
        <w:t>现就建立全区配售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型保障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性住房轮</w:t>
      </w:r>
      <w:proofErr w:type="gramStart"/>
      <w:r>
        <w:rPr>
          <w:rFonts w:ascii="方正仿宋_GBK" w:eastAsia="方正仿宋_GBK" w:hAnsiTheme="minorEastAsia" w:hint="eastAsia"/>
          <w:sz w:val="32"/>
          <w:szCs w:val="32"/>
        </w:rPr>
        <w:t>候库相关</w:t>
      </w:r>
      <w:proofErr w:type="gramEnd"/>
      <w:r>
        <w:rPr>
          <w:rFonts w:ascii="方正仿宋_GBK" w:eastAsia="方正仿宋_GBK" w:hAnsiTheme="minorEastAsia" w:hint="eastAsia"/>
          <w:sz w:val="32"/>
          <w:szCs w:val="32"/>
        </w:rPr>
        <w:t>工作通知如下：</w:t>
      </w:r>
    </w:p>
    <w:p w:rsidR="00C7511F" w:rsidRDefault="00657BCB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总体要求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以习近平新时代中国特色社会主义思想为指导，深入贯彻党的二十大精神，围绕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新时代新征程新重庆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这一主题主线，坚持问题导向、目标导向、</w:t>
      </w:r>
      <w:r>
        <w:rPr>
          <w:rFonts w:ascii="方正仿宋_GBK" w:eastAsia="方正仿宋_GBK" w:hint="eastAsia"/>
          <w:sz w:val="32"/>
          <w:szCs w:val="32"/>
        </w:rPr>
        <w:t>资金平衡</w:t>
      </w:r>
      <w:r>
        <w:rPr>
          <w:rFonts w:ascii="方正仿宋_GBK" w:eastAsia="方正仿宋_GBK"/>
          <w:sz w:val="32"/>
          <w:szCs w:val="32"/>
        </w:rPr>
        <w:t>和稳慎有序原则，更好发挥政府作用，用改革创新的办法规划建设保障性住房，加大保障性住房建设和供给，为落实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房子是用来住的、不是用来炒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的定位提供住房支撑，让工薪收入群体逐步实现居者有其屋，消除买不</w:t>
      </w:r>
      <w:r>
        <w:rPr>
          <w:rFonts w:ascii="方正仿宋_GBK" w:eastAsia="方正仿宋_GBK"/>
          <w:sz w:val="32"/>
          <w:szCs w:val="32"/>
        </w:rPr>
        <w:lastRenderedPageBreak/>
        <w:t>起商品住房的焦虑，放开手脚为美好生活奋斗，不断</w:t>
      </w:r>
      <w:proofErr w:type="gramStart"/>
      <w:r>
        <w:rPr>
          <w:rFonts w:ascii="方正仿宋_GBK" w:eastAsia="方正仿宋_GBK"/>
          <w:sz w:val="32"/>
          <w:szCs w:val="32"/>
        </w:rPr>
        <w:t>夯实党</w:t>
      </w:r>
      <w:proofErr w:type="gramEnd"/>
      <w:r>
        <w:rPr>
          <w:rFonts w:ascii="方正仿宋_GBK" w:eastAsia="方正仿宋_GBK"/>
          <w:sz w:val="32"/>
          <w:szCs w:val="32"/>
        </w:rPr>
        <w:t>长期执政根基，推动城市高质量发展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7511F" w:rsidRDefault="00657BCB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申购对象及要求</w:t>
      </w:r>
    </w:p>
    <w:p w:rsidR="00C7511F" w:rsidRDefault="00657BCB">
      <w:pPr>
        <w:pStyle w:val="HTML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（一）</w:t>
      </w:r>
      <w:r>
        <w:rPr>
          <w:rFonts w:ascii="方正楷体_GBK" w:eastAsia="方正楷体_GBK" w:hAnsiTheme="minorEastAsia" w:hint="eastAsia"/>
          <w:sz w:val="32"/>
          <w:szCs w:val="32"/>
        </w:rPr>
        <w:t>申购</w:t>
      </w:r>
      <w:r>
        <w:rPr>
          <w:rFonts w:ascii="方正楷体_GBK" w:eastAsia="方正楷体_GBK" w:hAnsiTheme="minorEastAsia" w:hint="eastAsia"/>
          <w:sz w:val="32"/>
          <w:szCs w:val="32"/>
        </w:rPr>
        <w:t>对</w:t>
      </w:r>
      <w:r>
        <w:rPr>
          <w:rFonts w:ascii="方正楷体_GBK" w:eastAsia="方正楷体_GBK" w:hAnsiTheme="minorEastAsia" w:hint="eastAsia"/>
          <w:sz w:val="32"/>
          <w:szCs w:val="32"/>
        </w:rPr>
        <w:t>象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重点针对住房有困难的城镇户籍家庭、本地工作人员和各类人才等工薪收入群体。申购人符合下列条件之一的，可申请购买保障性住房：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申购人为重庆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中心城区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城镇户籍居民（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高新区城镇户籍居民优先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），具备完全民事行为能力，申购家庭在中心城区无产权住房（不含农村集体所有土地上的住房，下同）或人均住房建筑面积低于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平方米。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申购人在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重庆中心城区（高新区优先）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工作，自申请之日前已在重庆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市（高新区优先）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足额连续缴纳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个月以上的城镇职工基本养老保险，且在正常参保状态，申购家庭在中心城区无产权住房或人均住房建筑面积低于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平方米。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申购人为</w:t>
      </w:r>
      <w:r>
        <w:rPr>
          <w:rFonts w:ascii="方正仿宋_GBK" w:eastAsia="方正仿宋_GBK" w:hAnsi="方正仿宋_GBK" w:cs="方正仿宋_GBK" w:hint="eastAsia"/>
          <w:color w:val="FF0000"/>
          <w:kern w:val="0"/>
          <w:sz w:val="32"/>
          <w:szCs w:val="32"/>
        </w:rPr>
        <w:t>重庆市或高新区人才管理部门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认定的人才，申购家庭在重庆高新区直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管园范围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内无产权住房或人均住房建筑面积低于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平方米。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</w:rPr>
        <w:t>重庆中心城区</w:t>
      </w:r>
      <w:proofErr w:type="gramStart"/>
      <w:r>
        <w:rPr>
          <w:rFonts w:ascii="Times New Roman" w:eastAsia="方正仿宋_GBK" w:hAnsi="Times New Roman" w:cs="Times New Roman" w:hint="eastAsia"/>
          <w:sz w:val="32"/>
        </w:rPr>
        <w:t>是指渝中</w:t>
      </w:r>
      <w:proofErr w:type="gramEnd"/>
      <w:r>
        <w:rPr>
          <w:rFonts w:ascii="Times New Roman" w:eastAsia="方正仿宋_GBK" w:hAnsi="Times New Roman" w:cs="Times New Roman" w:hint="eastAsia"/>
          <w:sz w:val="32"/>
        </w:rPr>
        <w:t>区、大渡口区、江北区、沙坪坝区、九龙坡区、南岸区、北碚区、渝北区、巴南区、两江新区、高新区范围。</w:t>
      </w:r>
      <w:r>
        <w:rPr>
          <w:rFonts w:ascii="方正仿宋_GBK" w:eastAsia="方正仿宋_GBK"/>
          <w:sz w:val="32"/>
          <w:szCs w:val="32"/>
        </w:rPr>
        <w:t>无住房是指申购家庭成员在重庆中心城区无产权住房</w:t>
      </w:r>
      <w:r>
        <w:rPr>
          <w:rFonts w:ascii="方正仿宋_GBK" w:eastAsia="方正仿宋_GBK"/>
          <w:sz w:val="32"/>
          <w:szCs w:val="32"/>
        </w:rPr>
        <w:lastRenderedPageBreak/>
        <w:t>（不含农村集体土地上的住房），且申请之日前一年内在重庆中心城区内没有住房转移登记记录。家庭人均</w:t>
      </w:r>
      <w:r>
        <w:rPr>
          <w:rFonts w:ascii="方正仿宋_GBK" w:eastAsia="方正仿宋_GBK"/>
          <w:sz w:val="32"/>
          <w:szCs w:val="32"/>
        </w:rPr>
        <w:t>住房建筑面积计算公式：人均住房建筑面积</w:t>
      </w:r>
      <w:r>
        <w:rPr>
          <w:rFonts w:ascii="方正仿宋_GBK" w:eastAsia="方正仿宋_GBK"/>
          <w:sz w:val="32"/>
          <w:szCs w:val="32"/>
        </w:rPr>
        <w:t>=</w:t>
      </w:r>
      <w:r>
        <w:rPr>
          <w:rFonts w:ascii="方正仿宋_GBK" w:eastAsia="方正仿宋_GBK"/>
          <w:sz w:val="32"/>
          <w:szCs w:val="32"/>
        </w:rPr>
        <w:t>住房建筑面积</w:t>
      </w:r>
      <w:r>
        <w:rPr>
          <w:rFonts w:ascii="方正仿宋_GBK" w:eastAsia="方正仿宋_GBK"/>
          <w:sz w:val="32"/>
          <w:szCs w:val="32"/>
        </w:rPr>
        <w:t>÷</w:t>
      </w:r>
      <w:r>
        <w:rPr>
          <w:rFonts w:ascii="方正仿宋_GBK" w:eastAsia="方正仿宋_GBK"/>
          <w:sz w:val="32"/>
          <w:szCs w:val="32"/>
        </w:rPr>
        <w:t>申购家庭人数，在核查范围内有多处住房的，建筑面积合并计算。</w:t>
      </w:r>
    </w:p>
    <w:p w:rsidR="00C7511F" w:rsidRDefault="00657BCB">
      <w:pPr>
        <w:pStyle w:val="HTML"/>
        <w:spacing w:line="600" w:lineRule="exact"/>
        <w:ind w:firstLineChars="200" w:firstLine="640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（二）申购要求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申购人应当以家庭为单位申购保障性住房，申购人配偶、未满</w:t>
      </w:r>
      <w:r>
        <w:rPr>
          <w:rFonts w:ascii="方正仿宋_GBK" w:eastAsia="方正仿宋_GBK"/>
          <w:sz w:val="32"/>
          <w:szCs w:val="32"/>
        </w:rPr>
        <w:t>18</w:t>
      </w:r>
      <w:r>
        <w:rPr>
          <w:rFonts w:ascii="方正仿宋_GBK" w:eastAsia="方正仿宋_GBK"/>
          <w:sz w:val="32"/>
          <w:szCs w:val="32"/>
        </w:rPr>
        <w:t>周岁的子女作为共同申请的家庭成员。未满</w:t>
      </w:r>
      <w:r>
        <w:rPr>
          <w:rFonts w:ascii="方正仿宋_GBK" w:eastAsia="方正仿宋_GBK"/>
          <w:sz w:val="32"/>
          <w:szCs w:val="32"/>
        </w:rPr>
        <w:t>18</w:t>
      </w:r>
      <w:r>
        <w:rPr>
          <w:rFonts w:ascii="方正仿宋_GBK" w:eastAsia="方正仿宋_GBK"/>
          <w:sz w:val="32"/>
          <w:szCs w:val="32"/>
        </w:rPr>
        <w:t>周岁的子女作为申购家庭成员的，不影响其成年后享受保障性住房申购政策。年满</w:t>
      </w:r>
      <w:r>
        <w:rPr>
          <w:rFonts w:ascii="方正仿宋_GBK" w:eastAsia="方正仿宋_GBK"/>
          <w:sz w:val="32"/>
          <w:szCs w:val="32"/>
        </w:rPr>
        <w:t>18</w:t>
      </w:r>
      <w:r>
        <w:rPr>
          <w:rFonts w:ascii="方正仿宋_GBK" w:eastAsia="方正仿宋_GBK"/>
          <w:sz w:val="32"/>
          <w:szCs w:val="32"/>
        </w:rPr>
        <w:t>周岁的子女和其他具有法定赡养、抚养、扶养关系的共同生活人员可自愿选择是否作为共同申购人，选择作为共同申购人的，视为已享受保障性住房申购政策。达到法定结婚年龄的单身人士可以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人申购。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一个家庭只能购买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套保障</w:t>
      </w:r>
      <w:r>
        <w:rPr>
          <w:rFonts w:ascii="方正仿宋_GBK" w:eastAsia="方正仿宋_GBK"/>
          <w:sz w:val="32"/>
          <w:szCs w:val="32"/>
        </w:rPr>
        <w:t>性住房，购买后不再享受公有住房、公租房等政策性住房。保障对象中已享受过经济适用住房、公有住房、公租房等政策性住房的家庭，应按规定腾退原政策性住房。申购人及其共同申购人取得保障性住房后，不得再次申购保障性住房。</w:t>
      </w:r>
    </w:p>
    <w:p w:rsidR="00C7511F" w:rsidRDefault="00657BCB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按照保基本原则，合理确定保障性住房建筑面积，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人及以下家庭</w:t>
      </w:r>
      <w:r>
        <w:rPr>
          <w:rFonts w:ascii="方正仿宋_GBK" w:eastAsia="方正仿宋_GBK"/>
          <w:sz w:val="32"/>
          <w:szCs w:val="32"/>
        </w:rPr>
        <w:t>60</w:t>
      </w:r>
      <w:r>
        <w:rPr>
          <w:rFonts w:ascii="方正仿宋_GBK" w:eastAsia="方正仿宋_GBK"/>
          <w:sz w:val="32"/>
          <w:szCs w:val="32"/>
        </w:rPr>
        <w:t>平方米左右，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人家庭</w:t>
      </w:r>
      <w:r>
        <w:rPr>
          <w:rFonts w:ascii="方正仿宋_GBK" w:eastAsia="方正仿宋_GBK"/>
          <w:sz w:val="32"/>
          <w:szCs w:val="32"/>
        </w:rPr>
        <w:t>90</w:t>
      </w:r>
      <w:r>
        <w:rPr>
          <w:rFonts w:ascii="方正仿宋_GBK" w:eastAsia="方正仿宋_GBK"/>
          <w:sz w:val="32"/>
          <w:szCs w:val="32"/>
        </w:rPr>
        <w:t>平方米左右，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人及以上家庭</w:t>
      </w:r>
      <w:r>
        <w:rPr>
          <w:rFonts w:ascii="方正仿宋_GBK" w:eastAsia="方正仿宋_GBK"/>
          <w:sz w:val="32"/>
          <w:szCs w:val="32"/>
        </w:rPr>
        <w:t>120</w:t>
      </w:r>
      <w:r>
        <w:rPr>
          <w:rFonts w:ascii="方正仿宋_GBK" w:eastAsia="方正仿宋_GBK"/>
          <w:sz w:val="32"/>
          <w:szCs w:val="32"/>
        </w:rPr>
        <w:t>平方米左右。引进人才申购面积可适当放宽。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购买保障性住房的家庭，因生育新增家庭人口等情形，可按规定申请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次换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lastRenderedPageBreak/>
        <w:t>购。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</w:t>
      </w:r>
      <w:proofErr w:type="gramStart"/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轮候库建立</w:t>
      </w:r>
      <w:proofErr w:type="gramEnd"/>
    </w:p>
    <w:p w:rsidR="00C7511F" w:rsidRDefault="00657BCB">
      <w:pPr>
        <w:pStyle w:val="HTML"/>
        <w:spacing w:line="600" w:lineRule="exact"/>
        <w:ind w:firstLineChars="200" w:firstLine="640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（一）申请流程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符合申购条件的家庭，通过线上或线下申请进入配售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型保障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性住房轮候库，填报申购家庭基本情况信息，选择意向购买住房所在区县、面积和户型等。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线上申请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下载“渝快办”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APP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登录</w:t>
      </w:r>
      <w:r>
        <w:rPr>
          <w:rFonts w:ascii="方正仿宋_GBK" w:eastAsia="方正仿宋_GBK" w:hint="eastAsia"/>
          <w:sz w:val="32"/>
          <w:szCs w:val="32"/>
        </w:rPr>
        <w:t>“渝快办”</w:t>
      </w:r>
      <w:r>
        <w:rPr>
          <w:rFonts w:ascii="方正仿宋_GBK" w:eastAsia="方正仿宋_GBK"/>
          <w:sz w:val="32"/>
          <w:szCs w:val="32"/>
        </w:rPr>
        <w:t>APP</w:t>
      </w:r>
      <w:r>
        <w:rPr>
          <w:rFonts w:ascii="方正仿宋_GBK" w:eastAsia="方正仿宋_GBK"/>
          <w:sz w:val="32"/>
          <w:szCs w:val="32"/>
        </w:rPr>
        <w:t>，在顶部搜索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渝悦安居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，点击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渝悦安居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应用，点击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保障一件事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—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保障性住房配售服务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。在首页中，点击</w:t>
      </w:r>
      <w:r>
        <w:rPr>
          <w:rFonts w:ascii="方正仿宋_GBK" w:eastAsia="方正仿宋_GBK" w:hint="eastAsia"/>
          <w:sz w:val="32"/>
          <w:szCs w:val="32"/>
        </w:rPr>
        <w:t>“轮候资格申报”完成线上申请。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线下申请：申请人可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前往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金凤佳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园房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管中心咨询办理。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（地址：重庆市九龙坡区高龙大道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号附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号，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咨询电话：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023-68165366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</w:p>
    <w:p w:rsidR="00C7511F" w:rsidRDefault="00657BCB">
      <w:pPr>
        <w:pStyle w:val="HTML"/>
        <w:spacing w:line="600" w:lineRule="exact"/>
        <w:ind w:firstLineChars="200" w:firstLine="640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（二）材料清单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请人应当提交申请承诺和授权书，承诺对申报的工作、社保、住房等信息和提交材料的真实有效性负责，同意有关部门核实其申报信息和公示相关信息。申请家庭成员享受经济适用住房、公有住房、公租房等政策性住房的，应同时如实披露房屋信息并提交腾退政策性住房的书面承诺。按要求提交以下申请材料：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ascii="方正仿宋_GBK" w:eastAsia="方正仿宋_GBK"/>
          <w:sz w:val="32"/>
          <w:szCs w:val="32"/>
        </w:rPr>
        <w:t>申请承诺及授权书：在各区县发布政策的界面下载，签字后上传；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2.</w:t>
      </w:r>
      <w:r>
        <w:rPr>
          <w:rFonts w:ascii="方正仿宋_GBK" w:eastAsia="方正仿宋_GBK"/>
          <w:sz w:val="32"/>
          <w:szCs w:val="32"/>
        </w:rPr>
        <w:t>身份证：主申请人及共同申请人身份证正反面；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/>
          <w:sz w:val="32"/>
          <w:szCs w:val="32"/>
        </w:rPr>
        <w:t>户口簿：主申请人及共同申请人</w:t>
      </w:r>
      <w:r>
        <w:rPr>
          <w:rFonts w:ascii="方正仿宋_GBK" w:eastAsia="方正仿宋_GBK" w:hint="eastAsia"/>
          <w:sz w:val="32"/>
          <w:szCs w:val="32"/>
        </w:rPr>
        <w:t>户口簿</w:t>
      </w:r>
      <w:r>
        <w:rPr>
          <w:rFonts w:ascii="方正仿宋_GBK" w:eastAsia="方正仿宋_GBK"/>
          <w:sz w:val="32"/>
          <w:szCs w:val="32"/>
        </w:rPr>
        <w:t>的主页、个人页和增减页；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/>
          <w:sz w:val="32"/>
          <w:szCs w:val="32"/>
        </w:rPr>
        <w:t>婚姻材料：已婚人员上传结婚证，离婚人员上传离婚证或法院</w:t>
      </w:r>
      <w:r>
        <w:rPr>
          <w:rFonts w:ascii="方正仿宋_GBK" w:eastAsia="方正仿宋_GBK"/>
          <w:sz w:val="32"/>
          <w:szCs w:val="32"/>
        </w:rPr>
        <w:t>判决书，单身人士无需上传；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ascii="方正仿宋_GBK" w:eastAsia="方正仿宋_GBK"/>
          <w:sz w:val="32"/>
          <w:szCs w:val="32"/>
        </w:rPr>
        <w:t>社会保险</w:t>
      </w:r>
      <w:proofErr w:type="gramStart"/>
      <w:r>
        <w:rPr>
          <w:rFonts w:ascii="方正仿宋_GBK" w:eastAsia="方正仿宋_GBK"/>
          <w:sz w:val="32"/>
          <w:szCs w:val="32"/>
        </w:rPr>
        <w:t>参保证明</w:t>
      </w:r>
      <w:proofErr w:type="gramEnd"/>
      <w:r>
        <w:rPr>
          <w:rFonts w:ascii="方正仿宋_GBK" w:eastAsia="方正仿宋_GBK"/>
          <w:sz w:val="32"/>
          <w:szCs w:val="32"/>
        </w:rPr>
        <w:t>：以工作地作为拟购房屋所在区的，需上传主申请人足额连续缴纳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/>
          <w:sz w:val="32"/>
          <w:szCs w:val="32"/>
        </w:rPr>
        <w:t>个月及以上且处于正常参保状态的城镇职工基本养老保险证明，参考下载路径：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渝快办</w:t>
      </w:r>
      <w:r>
        <w:rPr>
          <w:rFonts w:ascii="方正仿宋_GBK" w:eastAsia="方正仿宋_GBK" w:hint="eastAsia"/>
          <w:sz w:val="32"/>
          <w:szCs w:val="32"/>
        </w:rPr>
        <w:t>－</w:t>
      </w:r>
      <w:r>
        <w:rPr>
          <w:rFonts w:ascii="方正仿宋_GBK" w:eastAsia="方正仿宋_GBK"/>
          <w:sz w:val="32"/>
          <w:szCs w:val="32"/>
        </w:rPr>
        <w:t>社保证明打印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；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6.</w:t>
      </w:r>
      <w:r>
        <w:rPr>
          <w:rFonts w:ascii="方正仿宋_GBK" w:eastAsia="方正仿宋_GBK"/>
          <w:sz w:val="32"/>
          <w:szCs w:val="32"/>
        </w:rPr>
        <w:t>不动产权证：主申请人及共同申请人名下不动产权证；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7.</w:t>
      </w:r>
      <w:r>
        <w:rPr>
          <w:rFonts w:ascii="方正仿宋_GBK" w:eastAsia="方正仿宋_GBK"/>
          <w:sz w:val="32"/>
          <w:szCs w:val="32"/>
        </w:rPr>
        <w:t>其他材料：如为人才或以上材料不足以确认申请资格的，需提交其他佐证材料。</w:t>
      </w:r>
    </w:p>
    <w:p w:rsidR="00C7511F" w:rsidRDefault="00657BCB">
      <w:pPr>
        <w:pStyle w:val="HTML"/>
        <w:spacing w:line="600" w:lineRule="exact"/>
        <w:ind w:firstLineChars="200" w:firstLine="640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（三）轮</w:t>
      </w:r>
      <w:proofErr w:type="gramStart"/>
      <w:r>
        <w:rPr>
          <w:rFonts w:ascii="方正楷体_GBK" w:eastAsia="方正楷体_GBK" w:hAnsiTheme="minorEastAsia" w:hint="eastAsia"/>
          <w:sz w:val="32"/>
          <w:szCs w:val="32"/>
        </w:rPr>
        <w:t>候资格</w:t>
      </w:r>
      <w:proofErr w:type="gramEnd"/>
      <w:r>
        <w:rPr>
          <w:rFonts w:ascii="方正楷体_GBK" w:eastAsia="方正楷体_GBK" w:hAnsiTheme="minorEastAsia" w:hint="eastAsia"/>
          <w:sz w:val="32"/>
          <w:szCs w:val="32"/>
        </w:rPr>
        <w:t>认定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>
        <w:rPr>
          <w:rFonts w:ascii="Times New Roman" w:eastAsia="方正仿宋_GBK" w:hAnsi="Times New Roman" w:cs="Times New Roman"/>
          <w:sz w:val="32"/>
          <w:szCs w:val="32"/>
        </w:rPr>
        <w:t>市住房城乡建委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建立</w:t>
      </w:r>
      <w:r>
        <w:rPr>
          <w:rFonts w:ascii="Times New Roman" w:eastAsia="方正仿宋_GBK" w:hAnsi="Times New Roman" w:cs="Times New Roman"/>
          <w:sz w:val="32"/>
          <w:szCs w:val="32"/>
        </w:rPr>
        <w:t>公安、民政、人力社保、规划自然资源等部门的联网核查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机制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eastAsia="方正仿宋_GBK" w:cs="Times New Roman" w:hint="eastAsia"/>
          <w:sz w:val="32"/>
          <w:szCs w:val="32"/>
        </w:rPr>
        <w:t>建设局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通过</w:t>
      </w:r>
      <w:r>
        <w:rPr>
          <w:rFonts w:ascii="Times New Roman" w:eastAsia="方正仿宋_GBK" w:hAnsi="Times New Roman" w:cs="Times New Roman"/>
          <w:sz w:val="32"/>
          <w:szCs w:val="32"/>
        </w:rPr>
        <w:t>共享数据在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个工作日内完成审核。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经审核符合条件的</w:t>
      </w:r>
      <w:r>
        <w:rPr>
          <w:rFonts w:ascii="Times New Roman" w:eastAsia="方正仿宋_GBK" w:hAnsi="Times New Roman" w:cs="Times New Roman"/>
          <w:sz w:val="32"/>
          <w:szCs w:val="32"/>
        </w:rPr>
        <w:t>，取得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轮候</w:t>
      </w:r>
      <w:r>
        <w:rPr>
          <w:rFonts w:ascii="Times New Roman" w:eastAsia="方正仿宋_GBK" w:hAnsi="Times New Roman" w:cs="Times New Roman"/>
          <w:sz w:val="32"/>
          <w:szCs w:val="32"/>
        </w:rPr>
        <w:t>资格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，纳入配售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型保障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性住房轮候库，不符合条件的，及时告知申请人并说明理由。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</w:p>
    <w:p w:rsidR="00C7511F" w:rsidRDefault="00657BCB">
      <w:pPr>
        <w:pStyle w:val="HTML"/>
        <w:spacing w:line="600" w:lineRule="exact"/>
        <w:ind w:firstLineChars="200" w:firstLine="640"/>
        <w:rPr>
          <w:rFonts w:ascii="方正楷体_GBK" w:eastAsia="方正楷体_GBK" w:hAnsiTheme="minorEastAsia"/>
          <w:sz w:val="32"/>
          <w:szCs w:val="32"/>
        </w:rPr>
      </w:pPr>
      <w:r>
        <w:rPr>
          <w:rFonts w:ascii="方正楷体_GBK" w:eastAsia="方正楷体_GBK" w:hAnsiTheme="minorEastAsia" w:hint="eastAsia"/>
          <w:sz w:val="32"/>
          <w:szCs w:val="32"/>
        </w:rPr>
        <w:t>（四）</w:t>
      </w:r>
      <w:proofErr w:type="gramStart"/>
      <w:r>
        <w:rPr>
          <w:rFonts w:ascii="方正楷体_GBK" w:eastAsia="方正楷体_GBK" w:hAnsiTheme="minorEastAsia" w:hint="eastAsia"/>
          <w:sz w:val="32"/>
          <w:szCs w:val="32"/>
        </w:rPr>
        <w:t>轮候库管理</w:t>
      </w:r>
      <w:proofErr w:type="gramEnd"/>
    </w:p>
    <w:p w:rsidR="00C7511F" w:rsidRDefault="00657BCB">
      <w:pPr>
        <w:spacing w:line="560" w:lineRule="exact"/>
        <w:ind w:firstLineChars="200" w:firstLine="640"/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轮候库建立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后，建设局将加强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轮候库日常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管理，实行常态化审核机制，进入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轮候库的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申购人应每两年对填报的申购信息进行维护确认，未确认的经公示后取消轮候资格。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四、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配售计划</w:t>
      </w:r>
    </w:p>
    <w:p w:rsidR="00C7511F" w:rsidRDefault="00657BC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项目房源按照申购报名顺序建立轮候库，</w:t>
      </w:r>
      <w:r>
        <w:rPr>
          <w:rFonts w:ascii="Times New Roman" w:eastAsia="方正仿宋_GBK" w:hAnsi="Times New Roman"/>
          <w:sz w:val="32"/>
        </w:rPr>
        <w:t>项目房源按照下列轮次开展配售，首轮配售有剩余房源的，进入第二轮配售，仍有剩余房源的，进入第三轮配售。</w:t>
      </w:r>
    </w:p>
    <w:p w:rsidR="00C7511F" w:rsidRDefault="00657BC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t>（一）首轮配售对象：轮候库中无住房的申购家庭</w:t>
      </w:r>
      <w:r>
        <w:rPr>
          <w:rFonts w:ascii="Times New Roman" w:eastAsia="方正仿宋_GBK" w:hAnsi="Times New Roman" w:hint="eastAsia"/>
          <w:sz w:val="32"/>
        </w:rPr>
        <w:t>、</w:t>
      </w:r>
      <w:r>
        <w:rPr>
          <w:rFonts w:ascii="Times New Roman" w:eastAsia="方正仿宋_GBK" w:hAnsi="Times New Roman" w:hint="eastAsia"/>
          <w:sz w:val="32"/>
        </w:rPr>
        <w:t>符合条件的人才家庭</w:t>
      </w:r>
      <w:r>
        <w:rPr>
          <w:rFonts w:ascii="Times New Roman" w:eastAsia="方正仿宋_GBK" w:hAnsi="Times New Roman"/>
          <w:sz w:val="32"/>
        </w:rPr>
        <w:t>；</w:t>
      </w:r>
    </w:p>
    <w:p w:rsidR="00C7511F" w:rsidRDefault="00657BC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t>（二）第二轮配售对象：轮候库中有住房但人均住房建筑面积低于</w:t>
      </w:r>
      <w:r>
        <w:rPr>
          <w:rFonts w:ascii="Times New Roman" w:eastAsia="方正仿宋_GBK" w:hAnsi="Times New Roman"/>
          <w:sz w:val="32"/>
        </w:rPr>
        <w:t>25</w:t>
      </w:r>
      <w:r>
        <w:rPr>
          <w:rFonts w:ascii="Times New Roman" w:eastAsia="方正仿宋_GBK" w:hAnsi="Times New Roman"/>
          <w:sz w:val="32"/>
        </w:rPr>
        <w:t>平方米的申购家庭；</w:t>
      </w:r>
    </w:p>
    <w:p w:rsidR="00C7511F" w:rsidRDefault="00657BC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t>（三）第三轮配售对象：</w:t>
      </w:r>
      <w:r>
        <w:rPr>
          <w:rFonts w:ascii="Times New Roman" w:eastAsia="方正仿宋_GBK" w:hAnsi="Times New Roman" w:cs="Times New Roman"/>
          <w:sz w:val="32"/>
        </w:rPr>
        <w:t>其他取得保障性住房配售资格的申购家庭。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五、认购签约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项目公司与申购人的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认购及选房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签约依照下列程序开展，高新区建设局对相关配售工作予以指导监督。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楷体_GBK" w:eastAsia="方正楷体_GBK" w:hAnsiTheme="minorEastAsia" w:cs="宋体"/>
          <w:kern w:val="0"/>
          <w:sz w:val="32"/>
          <w:szCs w:val="32"/>
        </w:rPr>
      </w:pPr>
      <w:r>
        <w:rPr>
          <w:rFonts w:ascii="方正楷体_GBK" w:eastAsia="方正楷体_GBK" w:hAnsiTheme="minorEastAsia" w:cs="宋体" w:hint="eastAsia"/>
          <w:kern w:val="0"/>
          <w:sz w:val="32"/>
          <w:szCs w:val="32"/>
        </w:rPr>
        <w:t>（一）组织认购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项目公司对取得配售资格的申购人，采取公开摇号的方式确定认购名单，认购名单人数根据申购情况与房源情况确定。在规定时间内，申购人向项目公司缴交认购保证金，标准为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户。项目公司与申购人签订认购协议书，载明认购的户型、面积标准、权利义务等信息。</w:t>
      </w:r>
    </w:p>
    <w:p w:rsidR="00C7511F" w:rsidRDefault="00657BCB" w:rsidP="00841A3D">
      <w:pPr>
        <w:widowControl/>
        <w:adjustRightInd w:val="0"/>
        <w:snapToGrid w:val="0"/>
        <w:spacing w:line="580" w:lineRule="exact"/>
        <w:ind w:leftChars="200" w:left="420" w:firstLineChars="100" w:firstLine="320"/>
        <w:jc w:val="left"/>
        <w:rPr>
          <w:rFonts w:ascii="方正楷体_GBK" w:eastAsia="方正楷体_GBK" w:hAnsiTheme="minorEastAsia" w:cs="宋体"/>
          <w:kern w:val="0"/>
          <w:sz w:val="32"/>
          <w:szCs w:val="32"/>
        </w:rPr>
      </w:pPr>
      <w:r>
        <w:rPr>
          <w:rFonts w:ascii="方正楷体_GBK" w:eastAsia="方正楷体_GBK" w:hAnsiTheme="minorEastAsia" w:cs="宋体" w:hint="eastAsia"/>
          <w:kern w:val="0"/>
          <w:sz w:val="32"/>
          <w:szCs w:val="32"/>
        </w:rPr>
        <w:t>（二）选房签约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项目竣工联合验收通过后，发布选房签约公告。项目公司通过公开摇号方式对认购名单确定选房顺序，选房顺序号在保障性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住房管理服务平台发布。申购人按顺序选房，并与项目公司签订购房合同、缴纳购房款。认购保证金转为购房款。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未在规定时间内参加选房、签约的，或参加选房因个人原因放弃的，或选房后未签订购房合同的，认购保证金不予退还。在选房签约结束后，因房源售罄而未获得选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房机会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参加选房的，退还认购保证金。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六、回购转让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楷体_GBK" w:eastAsia="方正楷体_GBK" w:hAnsiTheme="minorEastAsia" w:cs="宋体"/>
          <w:kern w:val="0"/>
          <w:sz w:val="32"/>
          <w:szCs w:val="32"/>
        </w:rPr>
      </w:pPr>
      <w:r>
        <w:rPr>
          <w:rFonts w:ascii="方正楷体_GBK" w:eastAsia="方正楷体_GBK" w:hAnsiTheme="minorEastAsia" w:cs="宋体" w:hint="eastAsia"/>
          <w:kern w:val="0"/>
          <w:sz w:val="32"/>
          <w:szCs w:val="32"/>
        </w:rPr>
        <w:t>（一）回购</w:t>
      </w:r>
    </w:p>
    <w:p w:rsidR="00C7511F" w:rsidRDefault="00657BCB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对发生逾期还款超过贷款合同规定期限，司法机关已裁判认定购买人贷款违约等情形，经产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权人申请，所购保障性住房由高新区管委会指定机构核实通过后进行回购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回购价格按照原配售价格，结合房屋折旧和房款利息确定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楷体_GBK" w:eastAsia="方正楷体_GBK" w:hAnsiTheme="minorEastAsia" w:cs="宋体"/>
          <w:kern w:val="0"/>
          <w:sz w:val="32"/>
          <w:szCs w:val="32"/>
        </w:rPr>
      </w:pPr>
      <w:r>
        <w:rPr>
          <w:rFonts w:ascii="方正楷体_GBK" w:eastAsia="方正楷体_GBK" w:hAnsiTheme="minorEastAsia" w:cs="宋体" w:hint="eastAsia"/>
          <w:kern w:val="0"/>
          <w:sz w:val="32"/>
          <w:szCs w:val="32"/>
        </w:rPr>
        <w:t>（二）回购转让</w:t>
      </w:r>
    </w:p>
    <w:p w:rsidR="00C7511F" w:rsidRDefault="00657BCB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因个人原因确需退出的，可按程序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转让给轮候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库中的保障对象。转让价格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参照回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购价格并结合装修等因素综合确定。</w:t>
      </w:r>
    </w:p>
    <w:p w:rsidR="00C7511F" w:rsidRDefault="00657BCB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七、其他要求</w:t>
      </w:r>
    </w:p>
    <w:p w:rsidR="00C7511F" w:rsidRDefault="00657BCB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配售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型保障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性住房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轮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库的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建立不针对具体项目，但后续需购买具体配售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型保障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性住房的，必须先进入全区配售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型保障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性住房轮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库。</w:t>
      </w:r>
    </w:p>
    <w:p w:rsidR="00C7511F" w:rsidRDefault="00657BC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（二）</w:t>
      </w: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进入</w:t>
      </w:r>
      <w:proofErr w:type="gramStart"/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轮候库的</w:t>
      </w:r>
      <w:proofErr w:type="gramEnd"/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申购人以隐瞒、虚</w:t>
      </w: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报、提供虚假材料等方式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维护</w:t>
      </w: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轮候库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中个人信息</w:t>
      </w: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的，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一经核实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取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消其轮候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资格</w:t>
      </w: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且</w:t>
      </w:r>
      <w:r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  <w:t>申购家庭五年内不得再次申请。</w:t>
      </w:r>
    </w:p>
    <w:p w:rsidR="00C7511F" w:rsidRDefault="00657BCB">
      <w:pPr>
        <w:pStyle w:val="a7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</w:rPr>
        <w:lastRenderedPageBreak/>
        <w:t>（</w:t>
      </w:r>
      <w:r>
        <w:rPr>
          <w:rFonts w:ascii="Times New Roman" w:eastAsia="方正仿宋_GBK" w:hAnsi="Times New Roman" w:hint="eastAsia"/>
          <w:sz w:val="32"/>
        </w:rPr>
        <w:t>三</w:t>
      </w:r>
      <w:r>
        <w:rPr>
          <w:rFonts w:ascii="Times New Roman" w:eastAsia="方正仿宋_GBK" w:hAnsi="Times New Roman" w:hint="eastAsia"/>
          <w:sz w:val="32"/>
        </w:rPr>
        <w:t>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保障性住房实施封闭管理，房屋产权性质记载为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配售型保障性住房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，可自住、出租、继承，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不得变更为商品住房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不得以买卖、赠与等方式上市交易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，购买保障性住房后仍可购买商品住房。</w:t>
      </w:r>
    </w:p>
    <w:p w:rsidR="00C7511F" w:rsidRDefault="00657BCB">
      <w:pPr>
        <w:pStyle w:val="a7"/>
        <w:widowControl/>
        <w:shd w:val="clear" w:color="auto" w:fill="FFFFFF"/>
        <w:wordWrap w:val="0"/>
        <w:spacing w:beforeAutospacing="0" w:afterAutospacing="0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（四</w:t>
      </w:r>
      <w:r>
        <w:rPr>
          <w:rFonts w:ascii="方正仿宋_GBK" w:eastAsia="方正仿宋_GBK" w:hAnsiTheme="minorEastAsia" w:hint="eastAsia"/>
          <w:sz w:val="32"/>
          <w:szCs w:val="32"/>
        </w:rPr>
        <w:t>）请</w:t>
      </w:r>
      <w:r>
        <w:rPr>
          <w:rFonts w:ascii="方正仿宋_GBK" w:eastAsia="方正仿宋_GBK" w:hAnsiTheme="minorEastAsia" w:hint="eastAsia"/>
          <w:sz w:val="32"/>
          <w:szCs w:val="32"/>
        </w:rPr>
        <w:t>高新</w:t>
      </w:r>
      <w:r>
        <w:rPr>
          <w:rFonts w:ascii="方正仿宋_GBK" w:eastAsia="方正仿宋_GBK" w:hAnsiTheme="minorEastAsia" w:hint="eastAsia"/>
          <w:sz w:val="32"/>
          <w:szCs w:val="32"/>
        </w:rPr>
        <w:t>区各行业主管部门</w:t>
      </w:r>
      <w:r>
        <w:rPr>
          <w:rFonts w:ascii="方正仿宋_GBK" w:eastAsia="方正仿宋_GBK" w:hAnsiTheme="minorEastAsia" w:hint="eastAsia"/>
          <w:sz w:val="32"/>
          <w:szCs w:val="32"/>
        </w:rPr>
        <w:t>、</w:t>
      </w:r>
      <w:r>
        <w:rPr>
          <w:rFonts w:ascii="方正仿宋_GBK" w:eastAsia="方正仿宋_GBK" w:hAnsiTheme="minorEastAsia" w:hint="eastAsia"/>
          <w:sz w:val="32"/>
          <w:szCs w:val="32"/>
        </w:rPr>
        <w:t>镇街</w:t>
      </w:r>
      <w:r>
        <w:rPr>
          <w:rFonts w:ascii="方正仿宋_GBK" w:eastAsia="方正仿宋_GBK" w:hAnsiTheme="minorEastAsia" w:hint="eastAsia"/>
          <w:sz w:val="32"/>
          <w:szCs w:val="32"/>
        </w:rPr>
        <w:t>以及</w:t>
      </w:r>
      <w:r>
        <w:rPr>
          <w:rFonts w:ascii="方正仿宋_GBK" w:eastAsia="方正仿宋_GBK" w:hAnsiTheme="minorEastAsia" w:hint="eastAsia"/>
          <w:sz w:val="32"/>
          <w:szCs w:val="32"/>
        </w:rPr>
        <w:t>各园区下沉到企业、社区进行广泛宣传，采取灵活多样的宣传措施，加快</w:t>
      </w:r>
      <w:r>
        <w:rPr>
          <w:rFonts w:ascii="方正仿宋_GBK" w:eastAsia="方正仿宋_GBK" w:hAnsiTheme="minorEastAsia" w:hint="eastAsia"/>
          <w:sz w:val="32"/>
          <w:szCs w:val="32"/>
        </w:rPr>
        <w:t>建立高新区住房保障</w:t>
      </w:r>
      <w:r>
        <w:rPr>
          <w:rFonts w:ascii="方正仿宋_GBK" w:eastAsia="方正仿宋_GBK" w:hAnsiTheme="minorEastAsia" w:hint="eastAsia"/>
          <w:sz w:val="32"/>
          <w:szCs w:val="32"/>
        </w:rPr>
        <w:t>轮候库，</w:t>
      </w:r>
      <w:r>
        <w:rPr>
          <w:rFonts w:ascii="方正仿宋_GBK" w:eastAsia="方正仿宋_GBK" w:hAnsiTheme="minorEastAsia" w:hint="eastAsia"/>
          <w:sz w:val="32"/>
          <w:szCs w:val="32"/>
        </w:rPr>
        <w:t>摸清城镇居民住房困难工薪群体刚性住房需求，</w:t>
      </w:r>
      <w:r>
        <w:rPr>
          <w:rFonts w:ascii="方正仿宋_GBK" w:eastAsia="方正仿宋_GBK" w:hAnsiTheme="minorEastAsia" w:hint="eastAsia"/>
          <w:sz w:val="32"/>
          <w:szCs w:val="32"/>
        </w:rPr>
        <w:t>确保</w:t>
      </w:r>
      <w:r>
        <w:rPr>
          <w:rFonts w:ascii="方正仿宋_GBK" w:eastAsia="方正仿宋_GBK" w:hAnsiTheme="minorEastAsia" w:hint="eastAsia"/>
          <w:sz w:val="32"/>
          <w:szCs w:val="32"/>
        </w:rPr>
        <w:t>保</w:t>
      </w:r>
      <w:r>
        <w:rPr>
          <w:rFonts w:ascii="方正仿宋_GBK" w:eastAsia="方正仿宋_GBK" w:hAnsiTheme="minorEastAsia" w:hint="eastAsia"/>
          <w:sz w:val="32"/>
          <w:szCs w:val="32"/>
        </w:rPr>
        <w:t>障性住房能够满足有真实需求的人民群众</w:t>
      </w:r>
      <w:r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C7511F" w:rsidRDefault="00C7511F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</w:p>
    <w:p w:rsidR="00C7511F" w:rsidRDefault="00657BCB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线上填报流程</w:t>
      </w:r>
    </w:p>
    <w:p w:rsidR="00C7511F" w:rsidRDefault="00657BCB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</w:pPr>
      <w:hyperlink r:id="rId9" w:tooltip="附件1：线上填报流程.pdf" w:history="1">
        <w:r>
          <w:rPr>
            <w:rFonts w:ascii="Times New Roman" w:eastAsia="方正仿宋_GBK" w:hAnsi="Times New Roman" w:hint="eastAsia"/>
            <w:color w:val="000000" w:themeColor="text1"/>
            <w:sz w:val="32"/>
            <w:szCs w:val="32"/>
            <w:shd w:val="clear" w:color="auto" w:fill="FFFFFF"/>
          </w:rPr>
          <w:t xml:space="preserve">      2.</w:t>
        </w:r>
        <w:r>
          <w:rPr>
            <w:rFonts w:ascii="Times New Roman" w:eastAsia="方正仿宋_GBK" w:hAnsi="Times New Roman"/>
            <w:color w:val="000000" w:themeColor="text1"/>
            <w:sz w:val="32"/>
            <w:szCs w:val="32"/>
            <w:shd w:val="clear" w:color="auto" w:fill="FFFFFF"/>
          </w:rPr>
          <w:t>重庆市配售</w:t>
        </w:r>
        <w:proofErr w:type="gramStart"/>
        <w:r>
          <w:rPr>
            <w:rFonts w:ascii="Times New Roman" w:eastAsia="方正仿宋_GBK" w:hAnsi="Times New Roman"/>
            <w:color w:val="000000" w:themeColor="text1"/>
            <w:sz w:val="32"/>
            <w:szCs w:val="32"/>
            <w:shd w:val="clear" w:color="auto" w:fill="FFFFFF"/>
          </w:rPr>
          <w:t>型保障</w:t>
        </w:r>
        <w:proofErr w:type="gramEnd"/>
        <w:r>
          <w:rPr>
            <w:rFonts w:ascii="Times New Roman" w:eastAsia="方正仿宋_GBK" w:hAnsi="Times New Roman"/>
            <w:color w:val="000000" w:themeColor="text1"/>
            <w:sz w:val="32"/>
            <w:szCs w:val="32"/>
            <w:shd w:val="clear" w:color="auto" w:fill="FFFFFF"/>
          </w:rPr>
          <w:t>性住房申请承诺及授权书</w:t>
        </w:r>
      </w:hyperlink>
    </w:p>
    <w:p w:rsidR="00C7511F" w:rsidRDefault="00C7511F">
      <w:pPr>
        <w:pStyle w:val="a7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C7511F" w:rsidRDefault="00C7511F">
      <w:pPr>
        <w:pStyle w:val="a0"/>
      </w:pPr>
    </w:p>
    <w:p w:rsidR="00C7511F" w:rsidRDefault="00657BCB">
      <w:pPr>
        <w:pStyle w:val="a7"/>
        <w:widowControl/>
        <w:spacing w:beforeAutospacing="0" w:afterAutospacing="0" w:line="600" w:lineRule="exact"/>
        <w:ind w:firstLineChars="200" w:firstLine="640"/>
        <w:jc w:val="right"/>
        <w:rPr>
          <w:rFonts w:ascii="Times New Roman" w:eastAsia="方正仿宋_GBK" w:hAnsi="Times New Roman"/>
          <w:color w:val="000000" w:themeColor="text1"/>
          <w:spacing w:val="-2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  <w:shd w:val="clear" w:color="auto" w:fill="FFFFFF"/>
        </w:rPr>
        <w:t>重庆高新区建设局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shd w:val="clear" w:color="auto" w:fill="FFFFFF"/>
        </w:rPr>
        <w:t> </w:t>
      </w:r>
      <w:r>
        <w:rPr>
          <w:rFonts w:ascii="Times New Roman" w:eastAsia="方正仿宋_GBK" w:hAnsi="Times New Roman"/>
          <w:color w:val="000000" w:themeColor="text1"/>
          <w:spacing w:val="-20"/>
          <w:sz w:val="32"/>
          <w:szCs w:val="32"/>
          <w:shd w:val="clear" w:color="auto" w:fill="FFFFFF"/>
        </w:rPr>
        <w:t>  </w:t>
      </w:r>
    </w:p>
    <w:p w:rsidR="00C7511F" w:rsidRDefault="00657BCB">
      <w:pPr>
        <w:adjustRightInd w:val="0"/>
        <w:snapToGrid w:val="0"/>
        <w:spacing w:line="58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              </w:t>
      </w:r>
      <w:r w:rsidR="0084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日</w:t>
      </w:r>
    </w:p>
    <w:p w:rsidR="00C7511F" w:rsidRDefault="00C7511F">
      <w:pPr>
        <w:rPr>
          <w:rFonts w:hAnsi="Times New Roman" w:cs="方正仿宋_GBK"/>
          <w:bCs/>
          <w:color w:val="000000"/>
          <w:kern w:val="0"/>
          <w:sz w:val="32"/>
          <w:szCs w:val="32"/>
        </w:rPr>
      </w:pPr>
    </w:p>
    <w:sectPr w:rsidR="00C7511F">
      <w:footerReference w:type="default" r:id="rId10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CB" w:rsidRDefault="00657BCB">
      <w:r>
        <w:separator/>
      </w:r>
    </w:p>
  </w:endnote>
  <w:endnote w:type="continuationSeparator" w:id="0">
    <w:p w:rsidR="00657BCB" w:rsidRDefault="0065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1F" w:rsidRDefault="00657B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511F" w:rsidRDefault="00657BC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232595196"/>
                            </w:sdtPr>
                            <w:sdtEndPr/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41A3D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6.7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" filled="f" stroked="f" strokeweight=".5pt">
              <v:textbox style="mso-fit-shape-to-text:t" inset="0,0,0,0">
                <w:txbxContent>
                  <w:p w:rsidR="00C7511F" w:rsidRDefault="00657BCB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232595196"/>
                      </w:sdtPr>
                      <w:sdtEndPr/>
                      <w:sdtContent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841A3D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CB" w:rsidRDefault="00657BCB">
      <w:r>
        <w:separator/>
      </w:r>
    </w:p>
  </w:footnote>
  <w:footnote w:type="continuationSeparator" w:id="0">
    <w:p w:rsidR="00657BCB" w:rsidRDefault="0065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5023A"/>
    <w:multiLevelType w:val="singleLevel"/>
    <w:tmpl w:val="F5D502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6FD7"/>
    <w:rsid w:val="00657BCB"/>
    <w:rsid w:val="00841A3D"/>
    <w:rsid w:val="00C7511F"/>
    <w:rsid w:val="01C70CFF"/>
    <w:rsid w:val="02C5783E"/>
    <w:rsid w:val="03473A0D"/>
    <w:rsid w:val="036460AA"/>
    <w:rsid w:val="05CF6FD7"/>
    <w:rsid w:val="09077801"/>
    <w:rsid w:val="0FCB1589"/>
    <w:rsid w:val="12264DBD"/>
    <w:rsid w:val="1331729D"/>
    <w:rsid w:val="13C32557"/>
    <w:rsid w:val="15C863FA"/>
    <w:rsid w:val="1697399D"/>
    <w:rsid w:val="186E59A9"/>
    <w:rsid w:val="19F171DF"/>
    <w:rsid w:val="1A0F6516"/>
    <w:rsid w:val="1CAB684A"/>
    <w:rsid w:val="1CF34407"/>
    <w:rsid w:val="1E663586"/>
    <w:rsid w:val="20FC3541"/>
    <w:rsid w:val="26BF33DD"/>
    <w:rsid w:val="276048DA"/>
    <w:rsid w:val="287F6F5C"/>
    <w:rsid w:val="292831B5"/>
    <w:rsid w:val="297F75EA"/>
    <w:rsid w:val="2BD9047F"/>
    <w:rsid w:val="2DA92DD6"/>
    <w:rsid w:val="2DAD00C8"/>
    <w:rsid w:val="2DFE0923"/>
    <w:rsid w:val="2E312AA7"/>
    <w:rsid w:val="2E776A61"/>
    <w:rsid w:val="2E7E6B76"/>
    <w:rsid w:val="2FC30EFA"/>
    <w:rsid w:val="31440D1D"/>
    <w:rsid w:val="36851BE2"/>
    <w:rsid w:val="3767128E"/>
    <w:rsid w:val="37732382"/>
    <w:rsid w:val="39D15771"/>
    <w:rsid w:val="3B20012B"/>
    <w:rsid w:val="3F147860"/>
    <w:rsid w:val="415428DD"/>
    <w:rsid w:val="41A806DF"/>
    <w:rsid w:val="42964BFC"/>
    <w:rsid w:val="43FB1735"/>
    <w:rsid w:val="45224076"/>
    <w:rsid w:val="462539DA"/>
    <w:rsid w:val="462A2925"/>
    <w:rsid w:val="488A3CB8"/>
    <w:rsid w:val="489D6486"/>
    <w:rsid w:val="492F6256"/>
    <w:rsid w:val="49FF7AF5"/>
    <w:rsid w:val="50153B7F"/>
    <w:rsid w:val="5080549C"/>
    <w:rsid w:val="55A41C2D"/>
    <w:rsid w:val="566279FD"/>
    <w:rsid w:val="5C423BF1"/>
    <w:rsid w:val="5D360EB2"/>
    <w:rsid w:val="5EB26634"/>
    <w:rsid w:val="606E6033"/>
    <w:rsid w:val="62950F04"/>
    <w:rsid w:val="64616F3B"/>
    <w:rsid w:val="658234D9"/>
    <w:rsid w:val="65F22A1F"/>
    <w:rsid w:val="660109D5"/>
    <w:rsid w:val="67A643AD"/>
    <w:rsid w:val="684F5B48"/>
    <w:rsid w:val="6965328F"/>
    <w:rsid w:val="6B014FD4"/>
    <w:rsid w:val="6C2C2D30"/>
    <w:rsid w:val="6F5632B7"/>
    <w:rsid w:val="6FC169F0"/>
    <w:rsid w:val="70F133F4"/>
    <w:rsid w:val="718A3256"/>
    <w:rsid w:val="71C1726B"/>
    <w:rsid w:val="728A3B01"/>
    <w:rsid w:val="733046A8"/>
    <w:rsid w:val="75B0387E"/>
    <w:rsid w:val="79537EAD"/>
    <w:rsid w:val="79B41C03"/>
    <w:rsid w:val="79DC2E94"/>
    <w:rsid w:val="79F9484F"/>
    <w:rsid w:val="7B116B6D"/>
    <w:rsid w:val="7E1B1431"/>
    <w:rsid w:val="7F0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unhideWhenUsed/>
    <w:qFormat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unhideWhenUsed/>
    <w:qFormat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qstl.gov.cn/bm/qzfcxjw_71109/zwgk_70831/fdzdgknr_70834/qtgknr/zcwj/qtgw_70838/202502/P020250219593614267216.pdf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WPS_1478962347</dc:creator>
  <cp:lastModifiedBy>bear</cp:lastModifiedBy>
  <cp:revision>3</cp:revision>
  <cp:lastPrinted>2025-03-11T08:45:00Z</cp:lastPrinted>
  <dcterms:created xsi:type="dcterms:W3CDTF">2025-01-20T06:31:00Z</dcterms:created>
  <dcterms:modified xsi:type="dcterms:W3CDTF">2025-03-13T07:03:00Z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51AE18CAF55A4BA1822D77F064D08A3B_13</vt:lpwstr>
  </property>
  <property fmtid="{D5CDD505-2E9C-101B-9397-08002B2CF9AE}" pid="4" name="KSOTemplateDocerSaveRecord">
    <vt:lpwstr>eyJoZGlkIjoiZjEzZWUzODY1MGRkODMzZTBhNDA2MTEwNDY2YTYzZTgiLCJ1c2VySWQiOiI5MTEwMTQ0MDEifQ==</vt:lpwstr>
  </property>
</Properties>
</file>