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pPr w:leftFromText="180" w:rightFromText="180" w:vertAnchor="text" w:horzAnchor="page" w:tblpX="1529" w:tblpY="1934"/>
        <w:tblOverlap w:val="never"/>
        <w:tblW w:w="932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036"/>
        <w:gridCol w:w="3764"/>
        <w:gridCol w:w="1663"/>
        <w:gridCol w:w="200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月份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执法单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位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案件类型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处罚数量（件）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月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综合执法局（应急管理局）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安全生产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28"/>
                <w:szCs w:val="28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2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月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综合执法局（应急管理局）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安全生产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28"/>
                <w:szCs w:val="28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3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月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综合执法局（应急管理局）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安全生产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28"/>
                <w:szCs w:val="28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Times New Roman" w:hAnsi="Times New Roman" w:eastAsia="方正仿宋_GBK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合计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360" w:lineRule="atLeast"/>
              <w:jc w:val="center"/>
              <w:textAlignment w:val="baseline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28"/>
                <w:szCs w:val="28"/>
              </w:rPr>
              <w:t>4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45"/>
          <w:szCs w:val="45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5"/>
          <w:szCs w:val="45"/>
          <w:shd w:val="clear" w:color="auto" w:fill="FFFFFF"/>
        </w:rPr>
        <w:t>重庆高新区2025年三季度</w:t>
      </w:r>
    </w:p>
    <w:p>
      <w:pPr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45"/>
          <w:szCs w:val="45"/>
          <w:shd w:val="clear" w:color="auto" w:fill="FFFFFF"/>
        </w:rPr>
        <w:t>安全生产领域行政处罚案件统计表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38"/>
    <w:rsid w:val="00073279"/>
    <w:rsid w:val="00632238"/>
    <w:rsid w:val="279D5239"/>
    <w:rsid w:val="7C2858F4"/>
    <w:rsid w:val="EF6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120</Characters>
  <Lines>1</Lines>
  <Paragraphs>1</Paragraphs>
  <TotalTime>3</TotalTime>
  <ScaleCrop>false</ScaleCrop>
  <LinksUpToDate>false</LinksUpToDate>
  <CharactersWithSpaces>139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2025-09-26T11:53:00Z</dcterms:created>
  <dc:creator>86159</dc:creator>
  <cp:lastModifiedBy>uos</cp:lastModifiedBy>
  <dcterms:modified xsi:type="dcterms:W3CDTF">2025-09-30T15:02:02Z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eyJoZGlkIjoiOGE3M2NmZDc1Zjg3OTA0MDlhMTU4ZDg3NzkwNTA0ZjgiLCJ1c2VySWQiOiIzMDI0MTI1NTQifQ==</vt:lpwstr>
  </property>
  <property fmtid="{D5CDD505-2E9C-101B-9397-08002B2CF9AE}" pid="4" name="ICV">
    <vt:lpwstr>A1FCB15A2D824C61A7EEC44FB5679779_12</vt:lpwstr>
  </property>
</Properties>
</file>