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CE9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华文中宋"/>
          <w:sz w:val="44"/>
          <w:szCs w:val="44"/>
          <w:lang w:eastAsia="zh-CN"/>
        </w:rPr>
      </w:pPr>
      <w:r>
        <w:rPr>
          <w:rFonts w:hint="eastAsia" w:ascii="方正小标宋_GBK" w:hAnsi="华文中宋" w:eastAsia="方正小标宋_GBK" w:cs="华文中宋"/>
          <w:sz w:val="44"/>
          <w:szCs w:val="44"/>
          <w:lang w:val="en-US" w:eastAsia="zh-CN"/>
        </w:rPr>
        <w:t>重庆</w:t>
      </w:r>
      <w:r>
        <w:rPr>
          <w:rFonts w:hint="eastAsia" w:ascii="方正小标宋_GBK" w:hAnsi="华文中宋" w:eastAsia="方正小标宋_GBK" w:cs="华文中宋"/>
          <w:sz w:val="44"/>
          <w:szCs w:val="44"/>
          <w:lang w:eastAsia="zh-CN"/>
        </w:rPr>
        <w:t>高新区第一人民医院</w:t>
      </w:r>
    </w:p>
    <w:p w14:paraId="1CE12B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202</w:t>
      </w:r>
      <w:r>
        <w:rPr>
          <w:rFonts w:hint="eastAsia" w:ascii="方正小标宋_GBK" w:hAnsi="华文中宋" w:eastAsia="方正小标宋_GBK" w:cs="华文中宋"/>
          <w:sz w:val="44"/>
          <w:szCs w:val="44"/>
          <w:lang w:val="en-US" w:eastAsia="zh-CN"/>
        </w:rPr>
        <w:t>6</w:t>
      </w:r>
      <w:r>
        <w:rPr>
          <w:rFonts w:hint="eastAsia" w:ascii="方正小标宋_GBK" w:hAnsi="华文中宋" w:eastAsia="方正小标宋_GBK" w:cs="华文中宋"/>
          <w:sz w:val="44"/>
          <w:szCs w:val="44"/>
        </w:rPr>
        <w:t>年</w:t>
      </w:r>
      <w:r>
        <w:rPr>
          <w:rFonts w:hint="eastAsia" w:ascii="Times New Roman" w:hAnsi="Times New Roman" w:eastAsia="方正小标宋_GBK" w:cs="Times New Roman"/>
          <w:color w:val="0D0D0D"/>
          <w:sz w:val="44"/>
          <w:szCs w:val="44"/>
          <w:lang w:val="en-US" w:eastAsia="zh-CN"/>
        </w:rPr>
        <w:t>部门</w:t>
      </w:r>
      <w:r>
        <w:rPr>
          <w:rFonts w:hint="default" w:ascii="Times New Roman" w:hAnsi="Times New Roman" w:eastAsia="方正小标宋_GBK" w:cs="Times New Roman"/>
          <w:sz w:val="44"/>
          <w:szCs w:val="44"/>
        </w:rPr>
        <w:t>预算情况说明</w:t>
      </w:r>
    </w:p>
    <w:p w14:paraId="5BB56629">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华文中宋" w:hAnsi="华文中宋" w:eastAsia="华文中宋" w:cs="华文中宋"/>
          <w:sz w:val="44"/>
          <w:szCs w:val="44"/>
        </w:rPr>
      </w:pPr>
    </w:p>
    <w:p w14:paraId="013BFD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18D7BA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（一）职能职责</w:t>
      </w:r>
    </w:p>
    <w:p w14:paraId="5202092B">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1</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开展基本公共卫生服务。主要包括承担辖区内疾病控制、妇幼保健、健康教育、残疾人康复、计划生育指导等基本公共卫生服务，协助或独立完成重大公共卫生服务</w:t>
      </w:r>
      <w:bookmarkStart w:id="0" w:name="_GoBack"/>
      <w:bookmarkEnd w:id="0"/>
      <w:r>
        <w:rPr>
          <w:rFonts w:hint="eastAsia" w:ascii="方正仿宋_GBK" w:hAnsi="仿宋_GB2312" w:eastAsia="方正仿宋_GBK" w:cs="仿宋_GB2312"/>
          <w:sz w:val="32"/>
        </w:rPr>
        <w:t>项目、卫生应急等任务。</w:t>
      </w:r>
    </w:p>
    <w:p w14:paraId="79F3552D">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2</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开展基本诊疗服务。主要包括使用适宜技术、设备和基本药物，开展常见病、多发病的门诊和住院诊疗、院内外急救、转诊和中医药等服务。</w:t>
      </w:r>
    </w:p>
    <w:p w14:paraId="07DA7BB1">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3</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计划生育服务。主要包括承担计划生育宣传教育、技术服务、优生指导、药具发放、信息咨询、随访服务、生殖保健、人员培训等八项任务；落实妇幼重大公共卫生服务项目和基本公共卫生服务项目，配合承担孕前优生健康检查项目等生理缺陷综合防治工作；做好妇幼保健计划生育服务相关信息的收集、整理和上报工作；负责对村（社区）级服务人员提供业务培训指导。</w:t>
      </w:r>
    </w:p>
    <w:p w14:paraId="5F7B2EB0">
      <w:pPr>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4</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做好其他相关工作。主要包括协助镇人民政府制定、实施</w:t>
      </w:r>
    </w:p>
    <w:p w14:paraId="1B8ADF19">
      <w:pPr>
        <w:keepNext w:val="0"/>
        <w:keepLines w:val="0"/>
        <w:pageBreakBefore w:val="0"/>
        <w:tabs>
          <w:tab w:val="center" w:pos="4153"/>
          <w:tab w:val="left" w:pos="7275"/>
        </w:tabs>
        <w:kinsoku/>
        <w:wordWrap/>
        <w:overflowPunct/>
        <w:topLinePunct w:val="0"/>
        <w:autoSpaceDE/>
        <w:autoSpaceDN/>
        <w:bidi w:val="0"/>
        <w:adjustRightInd/>
        <w:snapToGrid/>
        <w:spacing w:line="560" w:lineRule="exact"/>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农村基本医疗保健规划，开展爱国卫生工作。</w:t>
      </w:r>
    </w:p>
    <w:p w14:paraId="77EE4E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（二）单位构成</w:t>
      </w:r>
    </w:p>
    <w:p w14:paraId="05A67E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重庆高新区第一人民医院始建于1957年，历经近70年的建设发展，现为一所集医疗、教学、科研、急救和预防保健为一体的国家二级综合医院</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医院地处成渝双城经济圈链接地西部（重庆）科学城核心，区位优势明显。医院积极构建“一院两区N部”发展格局，大学城院区建设项目严格按照标准化二级甲等综合医院设计，占地33亩，规划业务用房9万平方米。曾家院区占地13.5亩，建筑面积15000平方米。龙桥社区门诊部、四川美术学院门诊部和巴蜀科学城中学校医务室有序运行。</w:t>
      </w:r>
    </w:p>
    <w:p w14:paraId="17EDC4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方正仿宋_GBK" w:hAnsi="微软雅黑" w:eastAsia="方正仿宋_GBK" w:cs="宋体"/>
          <w:kern w:val="0"/>
          <w:sz w:val="32"/>
          <w:szCs w:val="32"/>
        </w:rPr>
      </w:pPr>
      <w:r>
        <w:rPr>
          <w:rFonts w:hint="eastAsia" w:ascii="方正仿宋_GBK" w:hAnsi="方正仿宋_GBK" w:eastAsia="方正仿宋_GBK" w:cs="方正仿宋_GBK"/>
          <w:color w:val="auto"/>
          <w:sz w:val="32"/>
          <w:szCs w:val="32"/>
          <w:lang w:val="en-US" w:eastAsia="zh-CN"/>
        </w:rPr>
        <w:t>医院现开放12个病区，设临床科室20个、医技科室8个；设有百级、千级、万级层流手术室、产房；</w:t>
      </w:r>
      <w:r>
        <w:rPr>
          <w:rFonts w:hint="eastAsia" w:ascii="方正仿宋_GBK" w:hAnsi="方正仿宋_GBK" w:eastAsia="方正仿宋_GBK" w:cs="方正仿宋_GBK"/>
          <w:color w:val="auto"/>
          <w:sz w:val="32"/>
          <w:szCs w:val="32"/>
        </w:rPr>
        <w:t>配备有</w:t>
      </w:r>
      <w:r>
        <w:rPr>
          <w:rFonts w:hint="eastAsia" w:ascii="方正仿宋_GBK" w:hAnsi="方正仿宋_GBK" w:eastAsia="方正仿宋_GBK" w:cs="方正仿宋_GBK"/>
          <w:color w:val="auto"/>
          <w:sz w:val="32"/>
          <w:szCs w:val="32"/>
          <w:lang w:val="en-US" w:eastAsia="zh-CN"/>
        </w:rPr>
        <w:t>核磁共振、CT、手术显微镜、4K</w:t>
      </w:r>
      <w:r>
        <w:rPr>
          <w:rFonts w:hint="eastAsia" w:ascii="方正仿宋_GBK" w:hAnsi="方正仿宋_GBK" w:eastAsia="方正仿宋_GBK" w:cs="方正仿宋_GBK"/>
          <w:color w:val="auto"/>
          <w:sz w:val="32"/>
          <w:szCs w:val="32"/>
        </w:rPr>
        <w:t>腹腔镜、</w:t>
      </w:r>
      <w:r>
        <w:rPr>
          <w:rFonts w:hint="eastAsia" w:ascii="方正仿宋_GBK" w:hAnsi="方正仿宋_GBK" w:eastAsia="方正仿宋_GBK" w:cs="方正仿宋_GBK"/>
          <w:color w:val="auto"/>
          <w:sz w:val="32"/>
          <w:szCs w:val="32"/>
          <w:lang w:val="en-US" w:eastAsia="zh-CN"/>
        </w:rPr>
        <w:t>进口</w:t>
      </w:r>
      <w:r>
        <w:rPr>
          <w:rFonts w:hint="eastAsia" w:ascii="方正仿宋_GBK" w:hAnsi="方正仿宋_GBK" w:eastAsia="方正仿宋_GBK" w:cs="方正仿宋_GBK"/>
          <w:color w:val="auto"/>
          <w:sz w:val="32"/>
          <w:szCs w:val="32"/>
        </w:rPr>
        <w:t>彩超、</w:t>
      </w:r>
      <w:r>
        <w:rPr>
          <w:rFonts w:hint="eastAsia" w:ascii="方正仿宋_GBK" w:hAnsi="方正仿宋_GBK" w:eastAsia="方正仿宋_GBK" w:cs="方正仿宋_GBK"/>
          <w:color w:val="auto"/>
          <w:sz w:val="32"/>
          <w:szCs w:val="32"/>
          <w:lang w:val="en-US" w:eastAsia="zh-CN"/>
        </w:rPr>
        <w:t>双能X射线</w:t>
      </w:r>
      <w:r>
        <w:rPr>
          <w:rFonts w:hint="eastAsia" w:ascii="方正仿宋_GBK" w:hAnsi="方正仿宋_GBK" w:eastAsia="方正仿宋_GBK" w:cs="方正仿宋_GBK"/>
          <w:color w:val="auto"/>
          <w:sz w:val="32"/>
          <w:szCs w:val="32"/>
        </w:rPr>
        <w:t>骨密度仪、纤维支气管镜、电子胃</w:t>
      </w:r>
      <w:r>
        <w:rPr>
          <w:rFonts w:hint="eastAsia" w:ascii="方正仿宋_GBK" w:hAnsi="方正仿宋_GBK" w:eastAsia="方正仿宋_GBK" w:cs="方正仿宋_GBK"/>
          <w:color w:val="auto"/>
          <w:sz w:val="32"/>
          <w:szCs w:val="32"/>
          <w:lang w:val="en-US" w:eastAsia="zh-CN"/>
        </w:rPr>
        <w:t>肠</w:t>
      </w:r>
      <w:r>
        <w:rPr>
          <w:rFonts w:hint="eastAsia" w:ascii="方正仿宋_GBK" w:hAnsi="方正仿宋_GBK" w:eastAsia="方正仿宋_GBK" w:cs="方正仿宋_GBK"/>
          <w:color w:val="auto"/>
          <w:sz w:val="32"/>
          <w:szCs w:val="32"/>
        </w:rPr>
        <w:t>镜、电子鼻咽喉镜、宫腔镜、</w:t>
      </w:r>
      <w:r>
        <w:rPr>
          <w:rFonts w:hint="eastAsia" w:ascii="方正仿宋_GBK" w:hAnsi="方正仿宋_GBK" w:eastAsia="方正仿宋_GBK" w:cs="方正仿宋_GBK"/>
          <w:color w:val="auto"/>
          <w:sz w:val="32"/>
          <w:szCs w:val="32"/>
          <w:lang w:val="en-US" w:eastAsia="zh-CN"/>
        </w:rPr>
        <w:t>全自动生化分析仪</w:t>
      </w:r>
      <w:r>
        <w:rPr>
          <w:rFonts w:hint="eastAsia"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val="en-US" w:eastAsia="zh-CN"/>
        </w:rPr>
        <w:t>先进</w:t>
      </w:r>
      <w:r>
        <w:rPr>
          <w:rFonts w:hint="eastAsia" w:ascii="方正仿宋_GBK" w:hAnsi="方正仿宋_GBK" w:eastAsia="方正仿宋_GBK" w:cs="方正仿宋_GBK"/>
          <w:color w:val="auto"/>
          <w:sz w:val="32"/>
          <w:szCs w:val="32"/>
        </w:rPr>
        <w:t>诊疗设备。</w:t>
      </w:r>
    </w:p>
    <w:p w14:paraId="7448C9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黑体" w:eastAsia="方正黑体_GBK" w:cs="仿宋_GB2312"/>
          <w:sz w:val="32"/>
          <w:szCs w:val="20"/>
        </w:rPr>
      </w:pPr>
      <w:r>
        <w:rPr>
          <w:rFonts w:hint="eastAsia" w:ascii="方正仿宋_GBK" w:hAnsi="方正仿宋_GBK" w:eastAsia="方正仿宋_GBK" w:cs="方正仿宋_GBK"/>
          <w:color w:val="auto"/>
          <w:sz w:val="32"/>
          <w:szCs w:val="32"/>
          <w:lang w:val="en-US" w:eastAsia="zh-CN"/>
        </w:rPr>
        <w:t>医院现有高新区区级临床重点专科3个（急诊科、妇产科、麻醉科）、区级临床特色专科5个（全科、消化内科、普外科、中医科、口腔科），挂靠区级质控中心3个（急诊专业、内分泌专业、麻醉专业）。医院着力打造以急诊医学为源点，重症医学、普外、骨科、神外、胸外、眼耳鼻喉等学科为一体的闭环式创伤救治体系，2023年12月成功通过“重庆市区县级创伤中心”评估验收。医院作为高新区医共体牵头单位，不断强化区域“六大中心”（放射远程诊断中心、超声远程诊断中心、临床检验中心、手术中心、消毒供应中心、前置审方中心）功能建设，区域影响力和辐射力持续提升。</w:t>
      </w:r>
    </w:p>
    <w:p w14:paraId="39A5C8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2DB514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年年初预算数</w:t>
      </w:r>
      <w:r>
        <w:rPr>
          <w:rFonts w:hint="eastAsia" w:ascii="方正仿宋_GBK" w:hAnsi="仿宋_GB2312" w:eastAsia="方正仿宋_GBK" w:cs="仿宋_GB2312"/>
          <w:sz w:val="32"/>
          <w:szCs w:val="20"/>
          <w:lang w:val="en-US" w:eastAsia="zh-CN"/>
        </w:rPr>
        <w:t>9339.6</w:t>
      </w:r>
      <w:r>
        <w:rPr>
          <w:rFonts w:hint="eastAsia" w:ascii="方正仿宋_GBK" w:hAnsi="仿宋_GB2312" w:eastAsia="方正仿宋_GBK" w:cs="仿宋_GB2312"/>
          <w:sz w:val="32"/>
          <w:szCs w:val="20"/>
        </w:rPr>
        <w:t>万元，其中：一般公共预算拨款</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万元，政府性基金预算拨款</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万元，国有资本经营预算收入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万元，事业收入</w:t>
      </w:r>
      <w:r>
        <w:rPr>
          <w:rFonts w:hint="eastAsia" w:ascii="方正仿宋_GBK" w:hAnsi="仿宋_GB2312" w:eastAsia="方正仿宋_GBK" w:cs="仿宋_GB2312"/>
          <w:sz w:val="32"/>
          <w:szCs w:val="20"/>
          <w:lang w:val="en-US" w:eastAsia="zh-CN"/>
        </w:rPr>
        <w:t>8740</w:t>
      </w:r>
      <w:r>
        <w:rPr>
          <w:rFonts w:hint="eastAsia" w:ascii="方正仿宋_GBK" w:hAnsi="仿宋_GB2312" w:eastAsia="方正仿宋_GBK" w:cs="仿宋_GB2312"/>
          <w:sz w:val="32"/>
          <w:szCs w:val="20"/>
        </w:rPr>
        <w:t>万元，事业单位经营收入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万元，其他收入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万元。收入较202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1532.3</w:t>
      </w:r>
      <w:r>
        <w:rPr>
          <w:rFonts w:hint="eastAsia" w:ascii="方正仿宋_GBK" w:hAnsi="仿宋_GB2312" w:eastAsia="方正仿宋_GBK" w:cs="仿宋_GB2312"/>
          <w:sz w:val="32"/>
          <w:szCs w:val="20"/>
        </w:rPr>
        <w:t>万元，主要是</w:t>
      </w:r>
      <w:r>
        <w:rPr>
          <w:rFonts w:hint="eastAsia" w:ascii="方正仿宋_GBK" w:hAnsi="仿宋_GB2312" w:eastAsia="方正仿宋_GBK" w:cs="仿宋_GB2312"/>
          <w:sz w:val="32"/>
          <w:szCs w:val="20"/>
          <w:lang w:eastAsia="zh-CN"/>
        </w:rPr>
        <w:t>一般公共预算拨款增加</w:t>
      </w:r>
      <w:r>
        <w:rPr>
          <w:rFonts w:hint="eastAsia" w:ascii="方正仿宋_GBK" w:hAnsi="仿宋_GB2312" w:eastAsia="方正仿宋_GBK" w:cs="仿宋_GB2312"/>
          <w:sz w:val="32"/>
          <w:szCs w:val="20"/>
          <w:lang w:val="en-US" w:eastAsia="zh-CN"/>
        </w:rPr>
        <w:t>27.7万元，</w:t>
      </w:r>
      <w:r>
        <w:rPr>
          <w:rFonts w:hint="eastAsia" w:ascii="方正仿宋_GBK" w:hAnsi="仿宋_GB2312" w:eastAsia="方正仿宋_GBK" w:cs="仿宋_GB2312"/>
          <w:sz w:val="32"/>
          <w:szCs w:val="20"/>
          <w:lang w:eastAsia="zh-CN"/>
        </w:rPr>
        <w:t>事业收入预算减少</w:t>
      </w:r>
      <w:r>
        <w:rPr>
          <w:rFonts w:hint="eastAsia" w:ascii="方正仿宋_GBK" w:hAnsi="仿宋_GB2312" w:eastAsia="方正仿宋_GBK" w:cs="仿宋_GB2312"/>
          <w:sz w:val="32"/>
          <w:szCs w:val="20"/>
          <w:lang w:val="en-US" w:eastAsia="zh-CN"/>
        </w:rPr>
        <w:t>1560</w:t>
      </w:r>
      <w:r>
        <w:rPr>
          <w:rFonts w:hint="eastAsia" w:ascii="方正仿宋_GBK" w:hAnsi="仿宋_GB2312" w:eastAsia="方正仿宋_GBK" w:cs="仿宋_GB2312"/>
          <w:sz w:val="32"/>
          <w:szCs w:val="20"/>
        </w:rPr>
        <w:t>万元。</w:t>
      </w:r>
    </w:p>
    <w:p w14:paraId="14261D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年年初预算数</w:t>
      </w:r>
      <w:r>
        <w:rPr>
          <w:rFonts w:hint="eastAsia" w:ascii="方正仿宋_GBK" w:hAnsi="仿宋_GB2312" w:eastAsia="方正仿宋_GBK" w:cs="仿宋_GB2312"/>
          <w:sz w:val="32"/>
          <w:szCs w:val="20"/>
          <w:lang w:val="en-US" w:eastAsia="zh-CN"/>
        </w:rPr>
        <w:t>9339.6</w:t>
      </w:r>
      <w:r>
        <w:rPr>
          <w:rFonts w:hint="eastAsia" w:ascii="方正仿宋_GBK" w:hAnsi="仿宋_GB2312" w:eastAsia="方正仿宋_GBK" w:cs="仿宋_GB2312"/>
          <w:sz w:val="32"/>
          <w:szCs w:val="20"/>
        </w:rPr>
        <w:t>万元，其中：一般公共服务支出预算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万元，教育支出预算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万元，社会保障和就业支出预算</w:t>
      </w:r>
      <w:r>
        <w:rPr>
          <w:rFonts w:hint="eastAsia" w:ascii="方正仿宋_GBK" w:hAnsi="仿宋_GB2312" w:eastAsia="方正仿宋_GBK" w:cs="仿宋_GB2312"/>
          <w:sz w:val="32"/>
          <w:szCs w:val="20"/>
          <w:lang w:val="en-US" w:eastAsia="zh-CN"/>
        </w:rPr>
        <w:t>140.56</w:t>
      </w:r>
      <w:r>
        <w:rPr>
          <w:rFonts w:hint="eastAsia" w:ascii="方正仿宋_GBK" w:hAnsi="仿宋_GB2312" w:eastAsia="方正仿宋_GBK" w:cs="仿宋_GB2312"/>
          <w:sz w:val="32"/>
          <w:szCs w:val="20"/>
        </w:rPr>
        <w:t>万元，卫生健康支出预算</w:t>
      </w:r>
      <w:r>
        <w:rPr>
          <w:rFonts w:hint="eastAsia" w:ascii="方正仿宋_GBK" w:hAnsi="仿宋_GB2312" w:eastAsia="方正仿宋_GBK" w:cs="仿宋_GB2312"/>
          <w:sz w:val="32"/>
          <w:szCs w:val="20"/>
          <w:lang w:val="en-US" w:eastAsia="zh-CN"/>
        </w:rPr>
        <w:t>9159.47</w:t>
      </w:r>
      <w:r>
        <w:rPr>
          <w:rFonts w:hint="eastAsia" w:ascii="方正仿宋_GBK" w:hAnsi="仿宋_GB2312" w:eastAsia="方正仿宋_GBK" w:cs="仿宋_GB2312"/>
          <w:sz w:val="32"/>
          <w:szCs w:val="20"/>
        </w:rPr>
        <w:t>万元，住房保障支出预算</w:t>
      </w:r>
      <w:r>
        <w:rPr>
          <w:rFonts w:hint="eastAsia" w:ascii="方正仿宋_GBK" w:hAnsi="仿宋_GB2312" w:eastAsia="方正仿宋_GBK" w:cs="仿宋_GB2312"/>
          <w:sz w:val="32"/>
          <w:szCs w:val="20"/>
          <w:lang w:val="en-US" w:eastAsia="zh-CN"/>
        </w:rPr>
        <w:t>39.57</w:t>
      </w:r>
      <w:r>
        <w:rPr>
          <w:rFonts w:hint="eastAsia" w:ascii="方正仿宋_GBK" w:hAnsi="仿宋_GB2312" w:eastAsia="方正仿宋_GBK" w:cs="仿宋_GB2312"/>
          <w:sz w:val="32"/>
          <w:szCs w:val="20"/>
        </w:rPr>
        <w:t>万元。支出预算较202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1532.3</w:t>
      </w:r>
      <w:r>
        <w:rPr>
          <w:rFonts w:hint="eastAsia" w:ascii="方正仿宋_GBK" w:hAnsi="仿宋_GB2312" w:eastAsia="方正仿宋_GBK" w:cs="仿宋_GB2312"/>
          <w:sz w:val="32"/>
          <w:szCs w:val="20"/>
        </w:rPr>
        <w:t>万元，主要是基本支出预算</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225.42</w:t>
      </w:r>
      <w:r>
        <w:rPr>
          <w:rFonts w:hint="eastAsia" w:ascii="方正仿宋_GBK" w:hAnsi="仿宋_GB2312" w:eastAsia="方正仿宋_GBK" w:cs="仿宋_GB2312"/>
          <w:sz w:val="32"/>
          <w:szCs w:val="20"/>
        </w:rPr>
        <w:t>万元，项目支出预算</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1306.88</w:t>
      </w:r>
      <w:r>
        <w:rPr>
          <w:rFonts w:hint="eastAsia" w:ascii="方正仿宋_GBK" w:hAnsi="仿宋_GB2312" w:eastAsia="方正仿宋_GBK" w:cs="仿宋_GB2312"/>
          <w:sz w:val="32"/>
          <w:szCs w:val="20"/>
        </w:rPr>
        <w:t>万元。</w:t>
      </w:r>
    </w:p>
    <w:p w14:paraId="47DF74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30D636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年一般公共预算财政拨款收入</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万元，一般公共预算财政拨款支出</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27.7</w:t>
      </w:r>
      <w:r>
        <w:rPr>
          <w:rFonts w:hint="eastAsia" w:ascii="方正仿宋_GBK" w:hAnsi="仿宋_GB2312" w:eastAsia="方正仿宋_GBK" w:cs="仿宋_GB2312"/>
          <w:sz w:val="32"/>
          <w:szCs w:val="20"/>
        </w:rPr>
        <w:t>万元。其中：基本支出</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27.7</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szCs w:val="20"/>
          <w:lang w:val="en-US" w:eastAsia="zh-CN"/>
        </w:rPr>
        <w:t>2026年人员变化调整</w:t>
      </w:r>
      <w:r>
        <w:rPr>
          <w:rFonts w:hint="eastAsia" w:ascii="方正仿宋_GBK" w:hAnsi="仿宋_GB2312" w:eastAsia="方正仿宋_GBK" w:cs="仿宋_GB2312"/>
          <w:sz w:val="32"/>
          <w:szCs w:val="20"/>
        </w:rPr>
        <w:t>，主要用于保障</w:t>
      </w:r>
      <w:r>
        <w:rPr>
          <w:rFonts w:hint="eastAsia" w:ascii="方正仿宋_GBK" w:hAnsi="仿宋_GB2312" w:eastAsia="方正仿宋_GBK" w:cs="仿宋_GB2312"/>
          <w:sz w:val="32"/>
          <w:szCs w:val="20"/>
          <w:lang w:eastAsia="zh-CN"/>
        </w:rPr>
        <w:t>在编</w:t>
      </w:r>
      <w:r>
        <w:rPr>
          <w:rFonts w:hint="eastAsia" w:ascii="方正仿宋_GBK" w:hAnsi="仿宋_GB2312" w:eastAsia="方正仿宋_GBK" w:cs="仿宋_GB2312"/>
          <w:sz w:val="32"/>
          <w:szCs w:val="20"/>
        </w:rPr>
        <w:t>在职人员工资福利及社会保险缴费，离休人员离休费，退休人员补助等；项目支出</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p>
    <w:p w14:paraId="6EE2EC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lang w:eastAsia="zh-CN"/>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年政府性基金预算收入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万元，政府性基金预算支出</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万元，主要原因</w:t>
      </w:r>
      <w:r>
        <w:rPr>
          <w:rFonts w:hint="eastAsia" w:ascii="方正仿宋_GBK" w:hAnsi="仿宋_GB2312" w:eastAsia="方正仿宋_GBK" w:cs="仿宋_GB2312"/>
          <w:sz w:val="32"/>
          <w:szCs w:val="20"/>
          <w:lang w:eastAsia="zh-CN"/>
        </w:rPr>
        <w:t>是本单位</w:t>
      </w: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年无使用政府性基金预算拨款安排的支出</w:t>
      </w:r>
      <w:r>
        <w:rPr>
          <w:rFonts w:hint="eastAsia" w:ascii="方正仿宋_GBK" w:hAnsi="仿宋_GB2312" w:eastAsia="方正仿宋_GBK" w:cs="仿宋_GB2312"/>
          <w:sz w:val="32"/>
          <w:szCs w:val="20"/>
          <w:lang w:eastAsia="zh-CN"/>
        </w:rPr>
        <w:t>。</w:t>
      </w:r>
    </w:p>
    <w:p w14:paraId="2A51C3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7F850D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年“三公”经费预算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万元。其中：因公出国（境）费用</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万元；公务接待费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万元；公务用车运行维护费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万元；公务用车购置费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szCs w:val="20"/>
          <w:lang w:eastAsia="zh-CN"/>
        </w:rPr>
        <w:t>本单位</w:t>
      </w: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年无</w:t>
      </w:r>
      <w:r>
        <w:rPr>
          <w:rFonts w:hint="eastAsia" w:ascii="方正仿宋_GBK" w:hAnsi="仿宋_GB2312" w:eastAsia="方正仿宋_GBK" w:cs="仿宋_GB2312"/>
          <w:sz w:val="32"/>
          <w:szCs w:val="20"/>
          <w:lang w:val="en-US" w:eastAsia="zh-CN"/>
        </w:rPr>
        <w:t>一般公共预算拨款安排的“三公”经费支出</w:t>
      </w:r>
      <w:r>
        <w:rPr>
          <w:rFonts w:hint="eastAsia" w:ascii="方正仿宋_GBK" w:hAnsi="仿宋_GB2312" w:eastAsia="方正仿宋_GBK" w:cs="仿宋_GB2312"/>
          <w:sz w:val="32"/>
          <w:szCs w:val="20"/>
          <w:lang w:eastAsia="zh-CN"/>
        </w:rPr>
        <w:t>。</w:t>
      </w:r>
    </w:p>
    <w:p w14:paraId="19B431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518810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lang w:eastAsia="zh-CN"/>
        </w:rPr>
        <w:t>（一）</w:t>
      </w:r>
      <w:r>
        <w:rPr>
          <w:rFonts w:hint="eastAsia" w:ascii="方正仿宋_GBK" w:hAnsi="仿宋_GB2312" w:eastAsia="方正仿宋_GBK" w:cs="仿宋_GB2312"/>
          <w:sz w:val="32"/>
          <w:szCs w:val="20"/>
        </w:rPr>
        <w:t>我单位不在机关运行经费统计范围之内。</w:t>
      </w:r>
    </w:p>
    <w:p w14:paraId="57A13C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lang w:eastAsia="zh-CN"/>
        </w:rPr>
        <w:t>（二）</w:t>
      </w:r>
      <w:r>
        <w:rPr>
          <w:rFonts w:hint="eastAsia" w:ascii="方正仿宋_GBK" w:hAnsi="仿宋_GB2312" w:eastAsia="方正仿宋_GBK" w:cs="仿宋_GB2312"/>
          <w:sz w:val="32"/>
          <w:szCs w:val="20"/>
        </w:rPr>
        <w:t>政府采购情况。本单位政府采购预算总额</w:t>
      </w:r>
      <w:r>
        <w:rPr>
          <w:rFonts w:hint="eastAsia" w:ascii="方正仿宋_GBK" w:hAnsi="仿宋_GB2312" w:eastAsia="方正仿宋_GBK" w:cs="仿宋_GB2312"/>
          <w:sz w:val="32"/>
          <w:szCs w:val="20"/>
          <w:lang w:val="en-US" w:eastAsia="zh-CN"/>
        </w:rPr>
        <w:t>9.75</w:t>
      </w:r>
      <w:r>
        <w:rPr>
          <w:rFonts w:hint="eastAsia" w:ascii="方正仿宋_GBK" w:hAnsi="仿宋_GB2312" w:eastAsia="方正仿宋_GBK" w:cs="仿宋_GB2312"/>
          <w:sz w:val="32"/>
          <w:szCs w:val="20"/>
        </w:rPr>
        <w:t>万元</w:t>
      </w:r>
      <w:r>
        <w:rPr>
          <w:rFonts w:hint="eastAsia" w:ascii="方正仿宋_GBK" w:hAnsi="仿宋_GB2312" w:eastAsia="方正仿宋_GBK" w:cs="仿宋_GB2312"/>
          <w:sz w:val="32"/>
          <w:szCs w:val="20"/>
          <w:lang w:eastAsia="zh-CN"/>
        </w:rPr>
        <w:t>，其中，</w:t>
      </w:r>
      <w:r>
        <w:rPr>
          <w:rFonts w:hint="eastAsia" w:ascii="方正仿宋_GBK" w:hAnsi="仿宋_GB2312" w:eastAsia="方正仿宋_GBK" w:cs="仿宋_GB2312"/>
          <w:sz w:val="32"/>
          <w:szCs w:val="20"/>
        </w:rPr>
        <w:t>政府采购货物预算</w:t>
      </w:r>
      <w:r>
        <w:rPr>
          <w:rFonts w:hint="eastAsia" w:ascii="方正仿宋_GBK" w:hAnsi="仿宋_GB2312" w:eastAsia="方正仿宋_GBK" w:cs="仿宋_GB2312"/>
          <w:sz w:val="32"/>
          <w:szCs w:val="20"/>
          <w:lang w:val="en-US" w:eastAsia="zh-CN"/>
        </w:rPr>
        <w:t>9.75</w:t>
      </w:r>
      <w:r>
        <w:rPr>
          <w:rFonts w:hint="eastAsia" w:ascii="方正仿宋_GBK" w:hAnsi="仿宋_GB2312" w:eastAsia="方正仿宋_GBK" w:cs="仿宋_GB2312"/>
          <w:sz w:val="32"/>
          <w:szCs w:val="20"/>
        </w:rPr>
        <w:t>万元、政府采购工程预算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万元、政府采购服务预算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万元；一般公共预算拨款政府采购</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r>
        <w:rPr>
          <w:rFonts w:hint="eastAsia" w:ascii="方正仿宋_GBK" w:hAnsi="仿宋_GB2312" w:eastAsia="方正仿宋_GBK" w:cs="仿宋_GB2312"/>
          <w:sz w:val="32"/>
          <w:szCs w:val="20"/>
          <w:lang w:eastAsia="zh-CN"/>
        </w:rPr>
        <w:t>，其中，</w:t>
      </w:r>
      <w:r>
        <w:rPr>
          <w:rFonts w:hint="eastAsia" w:ascii="方正仿宋_GBK" w:hAnsi="仿宋_GB2312" w:eastAsia="方正仿宋_GBK" w:cs="仿宋_GB2312"/>
          <w:sz w:val="32"/>
          <w:szCs w:val="20"/>
        </w:rPr>
        <w:t>政府采购货物预算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万元、政府采购工程预算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万元、政府采购服务预算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p>
    <w:p w14:paraId="11C945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lang w:eastAsia="zh-CN"/>
        </w:rPr>
        <w:t>（三）</w:t>
      </w:r>
      <w:r>
        <w:rPr>
          <w:rFonts w:hint="eastAsia" w:ascii="方正仿宋_GBK" w:hAnsi="仿宋_GB2312" w:eastAsia="方正仿宋_GBK" w:cs="仿宋_GB2312"/>
          <w:sz w:val="32"/>
          <w:szCs w:val="20"/>
        </w:rPr>
        <w:t>绩效目标设置情况。</w:t>
      </w:r>
      <w:r>
        <w:rPr>
          <w:rFonts w:hint="eastAsia" w:ascii="方正仿宋_GBK" w:hAnsi="仿宋_GB2312" w:eastAsia="方正仿宋_GBK" w:cs="仿宋_GB2312"/>
          <w:color w:val="000000"/>
          <w:sz w:val="32"/>
          <w:szCs w:val="20"/>
        </w:rPr>
        <w:t>202</w:t>
      </w:r>
      <w:r>
        <w:rPr>
          <w:rFonts w:hint="eastAsia" w:ascii="方正仿宋_GBK" w:hAnsi="仿宋_GB2312" w:eastAsia="方正仿宋_GBK" w:cs="仿宋_GB2312"/>
          <w:color w:val="000000"/>
          <w:sz w:val="32"/>
          <w:szCs w:val="20"/>
          <w:lang w:val="en-US" w:eastAsia="zh-CN"/>
        </w:rPr>
        <w:t>6</w:t>
      </w:r>
      <w:r>
        <w:rPr>
          <w:rFonts w:hint="eastAsia" w:ascii="方正仿宋_GBK" w:hAnsi="仿宋_GB2312" w:eastAsia="方正仿宋_GBK" w:cs="仿宋_GB2312"/>
          <w:color w:val="000000"/>
          <w:sz w:val="32"/>
          <w:szCs w:val="20"/>
        </w:rPr>
        <w:t>年项目支出均实行了绩效目标管理，涉及一般公共预算当年财政拨款</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万元。</w:t>
      </w:r>
    </w:p>
    <w:p w14:paraId="689744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lang w:eastAsia="zh-CN"/>
        </w:rPr>
        <w:t>（四）</w:t>
      </w:r>
      <w:r>
        <w:rPr>
          <w:rFonts w:hint="eastAsia" w:ascii="方正仿宋_GBK" w:hAnsi="仿宋_GB2312" w:eastAsia="方正仿宋_GBK" w:cs="仿宋_GB2312"/>
          <w:color w:val="000000"/>
          <w:sz w:val="32"/>
          <w:szCs w:val="20"/>
        </w:rPr>
        <w:t>国有资产占有使用情况。</w:t>
      </w:r>
      <w:r>
        <w:rPr>
          <w:rFonts w:hint="eastAsia" w:ascii="方正仿宋_GBK" w:hAnsi="仿宋_GB2312" w:eastAsia="方正仿宋_GBK" w:cs="仿宋_GB2312"/>
          <w:color w:val="000000"/>
          <w:sz w:val="32"/>
          <w:szCs w:val="20"/>
          <w:lang w:eastAsia="zh-CN"/>
        </w:rPr>
        <w:t>截至</w:t>
      </w:r>
      <w:r>
        <w:rPr>
          <w:rFonts w:hint="eastAsia" w:ascii="方正仿宋_GBK" w:hAnsi="仿宋_GB2312" w:eastAsia="方正仿宋_GBK" w:cs="仿宋_GB2312"/>
          <w:color w:val="000000"/>
          <w:sz w:val="32"/>
          <w:szCs w:val="20"/>
        </w:rPr>
        <w:t>202</w:t>
      </w:r>
      <w:r>
        <w:rPr>
          <w:rFonts w:hint="eastAsia" w:ascii="方正仿宋_GBK" w:hAnsi="仿宋_GB2312" w:eastAsia="方正仿宋_GBK" w:cs="仿宋_GB2312"/>
          <w:color w:val="000000"/>
          <w:sz w:val="32"/>
          <w:szCs w:val="20"/>
          <w:lang w:val="en-US" w:eastAsia="zh-CN"/>
        </w:rPr>
        <w:t>5</w:t>
      </w:r>
      <w:r>
        <w:rPr>
          <w:rFonts w:hint="eastAsia" w:ascii="方正仿宋_GBK" w:hAnsi="仿宋_GB2312" w:eastAsia="方正仿宋_GBK" w:cs="仿宋_GB2312"/>
          <w:color w:val="000000"/>
          <w:sz w:val="32"/>
          <w:szCs w:val="20"/>
        </w:rPr>
        <w:t>年12月，本单位共有车辆</w:t>
      </w:r>
      <w:r>
        <w:rPr>
          <w:rFonts w:hint="eastAsia" w:ascii="方正仿宋_GBK" w:hAnsi="仿宋_GB2312" w:eastAsia="方正仿宋_GBK" w:cs="仿宋_GB2312"/>
          <w:color w:val="000000"/>
          <w:sz w:val="32"/>
          <w:szCs w:val="20"/>
          <w:lang w:val="en-US" w:eastAsia="zh-CN"/>
        </w:rPr>
        <w:t>2</w:t>
      </w:r>
      <w:r>
        <w:rPr>
          <w:rFonts w:hint="eastAsia" w:ascii="方正仿宋_GBK" w:hAnsi="仿宋_GB2312" w:eastAsia="方正仿宋_GBK" w:cs="仿宋_GB2312"/>
          <w:color w:val="000000"/>
          <w:sz w:val="32"/>
          <w:szCs w:val="20"/>
        </w:rPr>
        <w:t>辆，其中一般公务用车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辆、执勤执法用车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w:t>
      </w:r>
      <w:r>
        <w:rPr>
          <w:rFonts w:hint="eastAsia" w:ascii="方正仿宋_GBK" w:hAnsi="仿宋_GB2312" w:eastAsia="方正仿宋_GBK" w:cs="仿宋_GB2312"/>
          <w:color w:val="000000"/>
          <w:sz w:val="32"/>
          <w:szCs w:val="20"/>
          <w:lang w:eastAsia="zh-CN"/>
        </w:rPr>
        <w:t>、特种专业技术用车</w:t>
      </w:r>
      <w:r>
        <w:rPr>
          <w:rFonts w:hint="eastAsia" w:ascii="方正仿宋_GBK" w:hAnsi="仿宋_GB2312" w:eastAsia="方正仿宋_GBK" w:cs="仿宋_GB2312"/>
          <w:color w:val="000000"/>
          <w:sz w:val="32"/>
          <w:szCs w:val="20"/>
          <w:lang w:val="en-US" w:eastAsia="zh-CN"/>
        </w:rPr>
        <w:t>2辆</w:t>
      </w:r>
      <w:r>
        <w:rPr>
          <w:rFonts w:hint="eastAsia" w:ascii="方正仿宋_GBK" w:hAnsi="仿宋_GB2312" w:eastAsia="方正仿宋_GBK" w:cs="仿宋_GB2312"/>
          <w:color w:val="000000"/>
          <w:sz w:val="32"/>
          <w:szCs w:val="20"/>
        </w:rPr>
        <w:t>。202</w:t>
      </w:r>
      <w:r>
        <w:rPr>
          <w:rFonts w:hint="eastAsia" w:ascii="方正仿宋_GBK" w:hAnsi="仿宋_GB2312" w:eastAsia="方正仿宋_GBK" w:cs="仿宋_GB2312"/>
          <w:color w:val="000000"/>
          <w:sz w:val="32"/>
          <w:szCs w:val="20"/>
          <w:lang w:val="en-US" w:eastAsia="zh-CN"/>
        </w:rPr>
        <w:t>6</w:t>
      </w:r>
      <w:r>
        <w:rPr>
          <w:rFonts w:hint="eastAsia" w:ascii="方正仿宋_GBK" w:hAnsi="仿宋_GB2312" w:eastAsia="方正仿宋_GBK" w:cs="仿宋_GB2312"/>
          <w:color w:val="000000"/>
          <w:sz w:val="32"/>
          <w:szCs w:val="20"/>
        </w:rPr>
        <w:t>年一般公共预算安排购置车辆</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辆，其中一般公务用车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辆、执勤执法用车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w:t>
      </w:r>
      <w:r>
        <w:rPr>
          <w:rFonts w:hint="eastAsia" w:ascii="方正仿宋_GBK" w:hAnsi="仿宋_GB2312" w:eastAsia="方正仿宋_GBK" w:cs="仿宋_GB2312"/>
          <w:color w:val="000000"/>
          <w:sz w:val="32"/>
          <w:szCs w:val="20"/>
          <w:lang w:eastAsia="zh-CN"/>
        </w:rPr>
        <w:t>、特种专业技术用车</w:t>
      </w:r>
      <w:r>
        <w:rPr>
          <w:rFonts w:hint="eastAsia" w:ascii="方正仿宋_GBK" w:hAnsi="仿宋_GB2312" w:eastAsia="方正仿宋_GBK" w:cs="仿宋_GB2312"/>
          <w:color w:val="000000"/>
          <w:sz w:val="32"/>
          <w:szCs w:val="20"/>
          <w:lang w:val="en-US" w:eastAsia="zh-CN"/>
        </w:rPr>
        <w:t>0辆</w:t>
      </w:r>
      <w:r>
        <w:rPr>
          <w:rFonts w:hint="eastAsia" w:ascii="方正仿宋_GBK" w:hAnsi="仿宋_GB2312" w:eastAsia="方正仿宋_GBK" w:cs="仿宋_GB2312"/>
          <w:color w:val="000000"/>
          <w:sz w:val="32"/>
          <w:szCs w:val="20"/>
        </w:rPr>
        <w:t>。</w:t>
      </w:r>
    </w:p>
    <w:p w14:paraId="7CB1CE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万元。</w:t>
      </w:r>
    </w:p>
    <w:p w14:paraId="4B66F2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7475C5B2">
      <w:pPr>
        <w:pStyle w:val="4"/>
        <w:tabs>
          <w:tab w:val="center" w:pos="4153"/>
          <w:tab w:val="left" w:pos="7275"/>
        </w:tabs>
        <w:adjustRightInd w:val="0"/>
        <w:snapToGrid w:val="0"/>
        <w:spacing w:line="600" w:lineRule="exact"/>
        <w:ind w:firstLine="640"/>
        <w:jc w:val="left"/>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（一）财政拨款收入：指本年度从本级财政部门取得的财政拨款，包括一般公共预算财政拨款和政府性基金预算财政拨款。</w:t>
      </w:r>
    </w:p>
    <w:p w14:paraId="2C9EE361">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（二）财政专户管理资金收入：指缴入财政专户、实行专项管理的高中以上学费、住宿费、高校委托培养费、函大、电大、夜大及短训班培训费等教育收费。单位根据教育收费标准、学生人数等合理预计。</w:t>
      </w:r>
    </w:p>
    <w:p w14:paraId="3228FC2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（三）事业收入（不含教育收费）：指事业单位开展专业业务活动及其辅助活动取得的收入，不包括教育收费。单位根据本年度事业单位开展专业业务活动及其辅助活动计划，结合上年度收入等情况进行预计。</w:t>
      </w:r>
    </w:p>
    <w:p w14:paraId="0601DB49">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（四）上级补助收入：指从主管部门或上级单位取得的财政拨款以外的其他补助收入。单位结合上年度上级补助收入等情况进行预计。</w:t>
      </w:r>
    </w:p>
    <w:p w14:paraId="7965C28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EDE3BFD">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4A1E9AF">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（七）其他收入：指债务收入、投资收益等收入，单位根据情况合理预计，全部编入预算。</w:t>
      </w:r>
    </w:p>
    <w:p w14:paraId="6FBADD0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4341A6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736CC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（十）项目支出：指在基本支出之外为完成特定行政任务和事业发展目标所发生的支出。</w:t>
      </w:r>
    </w:p>
    <w:p w14:paraId="3920F4AB">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1F314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3718E9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（十三）工资福利支出（支出经济分类科目类级）：反映单位开支的在职职工和编制外长期聘用人员的各类劳动报酬，以及为上述人员缴纳的各项社会保险费等。</w:t>
      </w:r>
    </w:p>
    <w:p w14:paraId="0A6C89E8">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（十四）商品和服务支出（支出经济分类科目类级）：反映单位购买商品和服务的支出（不包括用于购置固定资产的支出、战略性和应急储备支出）。</w:t>
      </w:r>
    </w:p>
    <w:p w14:paraId="69D9335F">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（十五）对个人和家庭的补助（支出经济分类科目类级）：反映用于对个人和家庭的补助支出。</w:t>
      </w:r>
    </w:p>
    <w:p w14:paraId="67B5D43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8DFE9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p>
    <w:p w14:paraId="6952F5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方正仿宋_GBK"/>
          <w:lang w:val="en-US" w:eastAsia="zh-CN"/>
        </w:rPr>
      </w:pPr>
      <w:r>
        <w:rPr>
          <w:rFonts w:hint="eastAsia" w:ascii="方正仿宋_GBK" w:hAnsi="仿宋_GB2312" w:eastAsia="方正仿宋_GBK" w:cs="仿宋_GB2312"/>
          <w:sz w:val="32"/>
          <w:szCs w:val="20"/>
          <w:lang w:eastAsia="zh-CN"/>
        </w:rPr>
        <w:t>（</w:t>
      </w:r>
      <w:r>
        <w:rPr>
          <w:rFonts w:hint="eastAsia" w:ascii="方正仿宋_GBK" w:hAnsi="仿宋_GB2312" w:eastAsia="方正仿宋_GBK" w:cs="仿宋_GB2312"/>
          <w:sz w:val="32"/>
          <w:szCs w:val="20"/>
        </w:rPr>
        <w:t>部门预算公开联系人：</w:t>
      </w:r>
      <w:r>
        <w:rPr>
          <w:rFonts w:hint="eastAsia" w:ascii="方正仿宋_GBK" w:hAnsi="仿宋_GB2312" w:eastAsia="方正仿宋_GBK" w:cs="仿宋_GB2312"/>
          <w:sz w:val="32"/>
          <w:szCs w:val="20"/>
          <w:lang w:eastAsia="zh-CN"/>
        </w:rPr>
        <w:t>王燕嘉，</w:t>
      </w:r>
      <w:r>
        <w:rPr>
          <w:rFonts w:hint="eastAsia" w:ascii="方正仿宋_GBK" w:hAnsi="仿宋_GB2312" w:eastAsia="方正仿宋_GBK" w:cs="仿宋_GB2312"/>
          <w:sz w:val="32"/>
          <w:szCs w:val="20"/>
        </w:rPr>
        <w:t>联系方式：</w:t>
      </w:r>
      <w:r>
        <w:rPr>
          <w:rFonts w:hint="eastAsia" w:ascii="方正仿宋_GBK" w:hAnsi="仿宋_GB2312" w:eastAsia="方正仿宋_GBK" w:cs="仿宋_GB2312"/>
          <w:sz w:val="32"/>
          <w:szCs w:val="20"/>
          <w:lang w:val="en-US" w:eastAsia="zh-CN"/>
        </w:rPr>
        <w:t>023-65750829）</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13016B-C192-4C8B-BDDF-1345BE856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8F7983-36AC-4512-A6C5-A21437629208}"/>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94306D55-9343-48A0-A74E-835C3C68A8E7}"/>
  </w:font>
  <w:font w:name="华文中宋">
    <w:altName w:val="宋体"/>
    <w:panose1 w:val="02010600040101010101"/>
    <w:charset w:val="86"/>
    <w:family w:val="auto"/>
    <w:pitch w:val="default"/>
    <w:sig w:usb0="00000000" w:usb1="00000000" w:usb2="00000000" w:usb3="00000000" w:csb0="0004009F" w:csb1="DFD70000"/>
    <w:embedRegular r:id="rId4" w:fontKey="{8FB01616-333D-4EF7-A36F-375EDB50B2C1}"/>
  </w:font>
  <w:font w:name="方正黑体_GBK">
    <w:panose1 w:val="02010600010101010101"/>
    <w:charset w:val="86"/>
    <w:family w:val="script"/>
    <w:pitch w:val="default"/>
    <w:sig w:usb0="00000001" w:usb1="080E0000" w:usb2="00000000" w:usb3="00000000" w:csb0="00040000" w:csb1="00000000"/>
    <w:embedRegular r:id="rId5" w:fontKey="{9DC575C0-8E9E-4305-8D67-D0A8A5C85822}"/>
  </w:font>
  <w:font w:name="仿宋_GB2312">
    <w:panose1 w:val="02010609030101010101"/>
    <w:charset w:val="86"/>
    <w:family w:val="modern"/>
    <w:pitch w:val="default"/>
    <w:sig w:usb0="00000001" w:usb1="080E0000" w:usb2="00000000" w:usb3="00000000" w:csb0="00040000" w:csb1="00000000"/>
    <w:embedRegular r:id="rId6" w:fontKey="{8A3568C5-D68E-4786-8C84-C0735AB7E378}"/>
  </w:font>
  <w:font w:name="方正楷体_GBK">
    <w:panose1 w:val="02000000000000000000"/>
    <w:charset w:val="86"/>
    <w:family w:val="auto"/>
    <w:pitch w:val="default"/>
    <w:sig w:usb0="800002BF" w:usb1="38CF7CFA" w:usb2="00000016" w:usb3="00000000" w:csb0="00040000" w:csb1="00000000"/>
    <w:embedRegular r:id="rId7" w:fontKey="{2127D141-19D4-4CAB-8790-0BC02312BE03}"/>
  </w:font>
  <w:font w:name="方正仿宋_GBK">
    <w:panose1 w:val="03000509000000000000"/>
    <w:charset w:val="86"/>
    <w:family w:val="script"/>
    <w:pitch w:val="default"/>
    <w:sig w:usb0="00000001" w:usb1="080E0000" w:usb2="00000000" w:usb3="00000000" w:csb0="00040000" w:csb1="00000000"/>
    <w:embedRegular r:id="rId8" w:fontKey="{7E809E21-E525-43AC-B7D4-B7AA046E7BF4}"/>
  </w:font>
  <w:font w:name="微软雅黑">
    <w:panose1 w:val="020B0503020204020204"/>
    <w:charset w:val="86"/>
    <w:family w:val="swiss"/>
    <w:pitch w:val="default"/>
    <w:sig w:usb0="80000287" w:usb1="2ACF3C50" w:usb2="00000016" w:usb3="00000000" w:csb0="0004001F" w:csb1="00000000"/>
    <w:embedRegular r:id="rId9" w:fontKey="{5975ACE9-2B07-44E7-90A8-F8525DC63AA1}"/>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mMwOTM5NmMyNTllYmU3MTY4ODg3MDgzOWZmYjEifQ=="/>
  </w:docVars>
  <w:rsids>
    <w:rsidRoot w:val="00000000"/>
    <w:rsid w:val="00645991"/>
    <w:rsid w:val="01DC2D51"/>
    <w:rsid w:val="02025461"/>
    <w:rsid w:val="0273635F"/>
    <w:rsid w:val="03240886"/>
    <w:rsid w:val="03EC461B"/>
    <w:rsid w:val="04AD1E3E"/>
    <w:rsid w:val="04D21E83"/>
    <w:rsid w:val="04E35A1E"/>
    <w:rsid w:val="05BA46C1"/>
    <w:rsid w:val="05D848CB"/>
    <w:rsid w:val="064C60A4"/>
    <w:rsid w:val="07295AF2"/>
    <w:rsid w:val="07365059"/>
    <w:rsid w:val="07436216"/>
    <w:rsid w:val="078470C1"/>
    <w:rsid w:val="07BD7CAF"/>
    <w:rsid w:val="07EA05CB"/>
    <w:rsid w:val="08052CEC"/>
    <w:rsid w:val="086276CE"/>
    <w:rsid w:val="09304FAA"/>
    <w:rsid w:val="0A285C81"/>
    <w:rsid w:val="0A93759F"/>
    <w:rsid w:val="0AE45636"/>
    <w:rsid w:val="0C7D22B4"/>
    <w:rsid w:val="0CB84D4E"/>
    <w:rsid w:val="0DCE6B40"/>
    <w:rsid w:val="0E176739"/>
    <w:rsid w:val="0E1D32D7"/>
    <w:rsid w:val="0E6D2F68"/>
    <w:rsid w:val="0F346E76"/>
    <w:rsid w:val="0F6D258C"/>
    <w:rsid w:val="106A1F68"/>
    <w:rsid w:val="10D4446D"/>
    <w:rsid w:val="111774E6"/>
    <w:rsid w:val="11DE4F6C"/>
    <w:rsid w:val="11EC7EBE"/>
    <w:rsid w:val="12B96010"/>
    <w:rsid w:val="13070837"/>
    <w:rsid w:val="13165211"/>
    <w:rsid w:val="144A175D"/>
    <w:rsid w:val="151C51D9"/>
    <w:rsid w:val="15682AFD"/>
    <w:rsid w:val="158E1CA5"/>
    <w:rsid w:val="15CA36A6"/>
    <w:rsid w:val="15CC5164"/>
    <w:rsid w:val="16145007"/>
    <w:rsid w:val="16321A3A"/>
    <w:rsid w:val="16491459"/>
    <w:rsid w:val="16BD43A5"/>
    <w:rsid w:val="16D90BE3"/>
    <w:rsid w:val="17557066"/>
    <w:rsid w:val="175E46BB"/>
    <w:rsid w:val="17616D6F"/>
    <w:rsid w:val="17662AA0"/>
    <w:rsid w:val="17E72CD8"/>
    <w:rsid w:val="183804BD"/>
    <w:rsid w:val="19994516"/>
    <w:rsid w:val="1A407A62"/>
    <w:rsid w:val="1BE96FD8"/>
    <w:rsid w:val="1C9333F7"/>
    <w:rsid w:val="1CA76EDA"/>
    <w:rsid w:val="1D3E718F"/>
    <w:rsid w:val="1DC364B5"/>
    <w:rsid w:val="1DFF4D36"/>
    <w:rsid w:val="1E397B74"/>
    <w:rsid w:val="1F117559"/>
    <w:rsid w:val="1F3709E9"/>
    <w:rsid w:val="1FEA0CCE"/>
    <w:rsid w:val="20280331"/>
    <w:rsid w:val="219F4623"/>
    <w:rsid w:val="21B300CF"/>
    <w:rsid w:val="21BB61C5"/>
    <w:rsid w:val="22077AFC"/>
    <w:rsid w:val="22124DF5"/>
    <w:rsid w:val="2217065D"/>
    <w:rsid w:val="22F369D5"/>
    <w:rsid w:val="2372593D"/>
    <w:rsid w:val="24262DDA"/>
    <w:rsid w:val="242A3B06"/>
    <w:rsid w:val="245F009A"/>
    <w:rsid w:val="25A55F80"/>
    <w:rsid w:val="26A60202"/>
    <w:rsid w:val="26B80661"/>
    <w:rsid w:val="277F74C9"/>
    <w:rsid w:val="27EE5504"/>
    <w:rsid w:val="28005CBB"/>
    <w:rsid w:val="28FB6657"/>
    <w:rsid w:val="291E49C7"/>
    <w:rsid w:val="2A1B56BC"/>
    <w:rsid w:val="2A4B17EC"/>
    <w:rsid w:val="2AB15F69"/>
    <w:rsid w:val="2AF84760"/>
    <w:rsid w:val="2B515558"/>
    <w:rsid w:val="2B565170"/>
    <w:rsid w:val="2B766CE2"/>
    <w:rsid w:val="2B8C5C18"/>
    <w:rsid w:val="2BD54D4F"/>
    <w:rsid w:val="2C302A48"/>
    <w:rsid w:val="2CB704C4"/>
    <w:rsid w:val="2DA134D1"/>
    <w:rsid w:val="2DCD069D"/>
    <w:rsid w:val="2DD37B2E"/>
    <w:rsid w:val="2F1F6DA3"/>
    <w:rsid w:val="2FF87D20"/>
    <w:rsid w:val="300C19DC"/>
    <w:rsid w:val="30B17ECF"/>
    <w:rsid w:val="30C47C02"/>
    <w:rsid w:val="31576CC8"/>
    <w:rsid w:val="325A3F0F"/>
    <w:rsid w:val="33F20F2A"/>
    <w:rsid w:val="34AE2208"/>
    <w:rsid w:val="34FA6960"/>
    <w:rsid w:val="35C97A69"/>
    <w:rsid w:val="35DC43E1"/>
    <w:rsid w:val="37296A11"/>
    <w:rsid w:val="375E32C1"/>
    <w:rsid w:val="37604F1C"/>
    <w:rsid w:val="376327DF"/>
    <w:rsid w:val="37D62E91"/>
    <w:rsid w:val="37F33EF6"/>
    <w:rsid w:val="380A05F1"/>
    <w:rsid w:val="38975FD3"/>
    <w:rsid w:val="38E27913"/>
    <w:rsid w:val="39263609"/>
    <w:rsid w:val="398734F9"/>
    <w:rsid w:val="3A5A3025"/>
    <w:rsid w:val="3CCE2754"/>
    <w:rsid w:val="3CF37E5A"/>
    <w:rsid w:val="3D3B56F0"/>
    <w:rsid w:val="3D536B50"/>
    <w:rsid w:val="3E622BC2"/>
    <w:rsid w:val="3EE7607B"/>
    <w:rsid w:val="3F2C5442"/>
    <w:rsid w:val="3F4348C4"/>
    <w:rsid w:val="3F966011"/>
    <w:rsid w:val="40127FDE"/>
    <w:rsid w:val="40550877"/>
    <w:rsid w:val="40A6112C"/>
    <w:rsid w:val="40B16987"/>
    <w:rsid w:val="40D6246B"/>
    <w:rsid w:val="41063950"/>
    <w:rsid w:val="411645E1"/>
    <w:rsid w:val="41C568BE"/>
    <w:rsid w:val="42AF3C95"/>
    <w:rsid w:val="42C85330"/>
    <w:rsid w:val="438976BF"/>
    <w:rsid w:val="440A417F"/>
    <w:rsid w:val="4502038A"/>
    <w:rsid w:val="454B5A9F"/>
    <w:rsid w:val="463351B6"/>
    <w:rsid w:val="47124BC1"/>
    <w:rsid w:val="477A021E"/>
    <w:rsid w:val="47CF53B3"/>
    <w:rsid w:val="48435459"/>
    <w:rsid w:val="495913D8"/>
    <w:rsid w:val="4A895CED"/>
    <w:rsid w:val="4B4B4BC7"/>
    <w:rsid w:val="4B7C4E9B"/>
    <w:rsid w:val="4C33222D"/>
    <w:rsid w:val="4C3E2B07"/>
    <w:rsid w:val="4C983FC5"/>
    <w:rsid w:val="4E0730BB"/>
    <w:rsid w:val="4E593C28"/>
    <w:rsid w:val="4F3774E9"/>
    <w:rsid w:val="4FB863C4"/>
    <w:rsid w:val="5051105B"/>
    <w:rsid w:val="51643E17"/>
    <w:rsid w:val="517D5E7F"/>
    <w:rsid w:val="5186516E"/>
    <w:rsid w:val="51AB6549"/>
    <w:rsid w:val="53124C6E"/>
    <w:rsid w:val="533B05FA"/>
    <w:rsid w:val="53654E1D"/>
    <w:rsid w:val="538F5096"/>
    <w:rsid w:val="54C53DC5"/>
    <w:rsid w:val="55EF7824"/>
    <w:rsid w:val="570C2A2A"/>
    <w:rsid w:val="575709F1"/>
    <w:rsid w:val="577F3C67"/>
    <w:rsid w:val="57DB1FBD"/>
    <w:rsid w:val="58277626"/>
    <w:rsid w:val="58962BD6"/>
    <w:rsid w:val="5A307F33"/>
    <w:rsid w:val="5A3612C1"/>
    <w:rsid w:val="5A9C4F48"/>
    <w:rsid w:val="5B020738"/>
    <w:rsid w:val="5BC01C7C"/>
    <w:rsid w:val="5C3D49A8"/>
    <w:rsid w:val="5CBA328A"/>
    <w:rsid w:val="5CCC3660"/>
    <w:rsid w:val="5CF76961"/>
    <w:rsid w:val="5D5423E9"/>
    <w:rsid w:val="5D635F29"/>
    <w:rsid w:val="5DCF5D09"/>
    <w:rsid w:val="5DDE612F"/>
    <w:rsid w:val="5E437941"/>
    <w:rsid w:val="5E8F2806"/>
    <w:rsid w:val="5EF05EE3"/>
    <w:rsid w:val="5EFC4888"/>
    <w:rsid w:val="5F7A3F91"/>
    <w:rsid w:val="5FA86041"/>
    <w:rsid w:val="603907C1"/>
    <w:rsid w:val="61C947C9"/>
    <w:rsid w:val="62093998"/>
    <w:rsid w:val="62215D09"/>
    <w:rsid w:val="627D5CDF"/>
    <w:rsid w:val="628C07DB"/>
    <w:rsid w:val="62BA6AE3"/>
    <w:rsid w:val="631F61FC"/>
    <w:rsid w:val="63920E42"/>
    <w:rsid w:val="63B646FF"/>
    <w:rsid w:val="63F24549"/>
    <w:rsid w:val="649410BE"/>
    <w:rsid w:val="64D15E6F"/>
    <w:rsid w:val="658B17D1"/>
    <w:rsid w:val="663352DA"/>
    <w:rsid w:val="66BC66B1"/>
    <w:rsid w:val="678F5FBC"/>
    <w:rsid w:val="67E81E4D"/>
    <w:rsid w:val="68E47283"/>
    <w:rsid w:val="69796AD5"/>
    <w:rsid w:val="69887F89"/>
    <w:rsid w:val="6ABE2043"/>
    <w:rsid w:val="6B244DAF"/>
    <w:rsid w:val="6B705CA7"/>
    <w:rsid w:val="6B824366"/>
    <w:rsid w:val="6BE94891"/>
    <w:rsid w:val="6C0B4412"/>
    <w:rsid w:val="6C553829"/>
    <w:rsid w:val="6C6F03E3"/>
    <w:rsid w:val="6C7A24F1"/>
    <w:rsid w:val="6CC61F15"/>
    <w:rsid w:val="6CF32F49"/>
    <w:rsid w:val="6D192C38"/>
    <w:rsid w:val="6D5F6D27"/>
    <w:rsid w:val="6E0B2365"/>
    <w:rsid w:val="6F23376B"/>
    <w:rsid w:val="6F416895"/>
    <w:rsid w:val="6FA7614A"/>
    <w:rsid w:val="701F6E22"/>
    <w:rsid w:val="70C40F7D"/>
    <w:rsid w:val="719857FF"/>
    <w:rsid w:val="71B653BC"/>
    <w:rsid w:val="72A64114"/>
    <w:rsid w:val="72D66D46"/>
    <w:rsid w:val="73216213"/>
    <w:rsid w:val="73306456"/>
    <w:rsid w:val="738844E4"/>
    <w:rsid w:val="73C7042C"/>
    <w:rsid w:val="756A68D8"/>
    <w:rsid w:val="757553D8"/>
    <w:rsid w:val="759A22AD"/>
    <w:rsid w:val="75B34D29"/>
    <w:rsid w:val="75DB7318"/>
    <w:rsid w:val="75F23E97"/>
    <w:rsid w:val="76DD68F5"/>
    <w:rsid w:val="76ED2F0F"/>
    <w:rsid w:val="77603A30"/>
    <w:rsid w:val="77AD276B"/>
    <w:rsid w:val="78856F75"/>
    <w:rsid w:val="78B638A1"/>
    <w:rsid w:val="78FC1F63"/>
    <w:rsid w:val="794C5862"/>
    <w:rsid w:val="7BA12DD5"/>
    <w:rsid w:val="7BC2301B"/>
    <w:rsid w:val="7C163E84"/>
    <w:rsid w:val="7C421485"/>
    <w:rsid w:val="7C764BDC"/>
    <w:rsid w:val="7CFD4EAC"/>
    <w:rsid w:val="7D511DEB"/>
    <w:rsid w:val="7D86551F"/>
    <w:rsid w:val="7E6046EB"/>
    <w:rsid w:val="7F346148"/>
    <w:rsid w:val="7FB9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3511</Words>
  <Characters>3702</Characters>
  <Lines>0</Lines>
  <Paragraphs>0</Paragraphs>
  <TotalTime>0</TotalTime>
  <ScaleCrop>false</ScaleCrop>
  <LinksUpToDate>false</LinksUpToDate>
  <CharactersWithSpaces>3702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2024-03-22T07:57:00Z</dcterms:created>
  <dc:creator>asus</dc:creator>
  <cp:lastModifiedBy>silence</cp:lastModifiedBy>
  <dcterms:modified xsi:type="dcterms:W3CDTF">2026-07-08T08:42:11Z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F76D9A19A7A4431E880A0840EDF8E150_13</vt:lpwstr>
  </property>
  <property fmtid="{D5CDD505-2E9C-101B-9397-08002B2CF9AE}" pid="4" name="KSOTemplateDocerSaveRecord">
    <vt:lpwstr>eyJoZGlkIjoiZjRmYWUxOWJhMWE5OGFmZGQyNzA0NjBkZTNhOGRjMDEiLCJ1c2VySWQiOiIyNDg4ODMzNzUifQ==</vt:lpwstr>
  </property>
</Properties>
</file>