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BE06CC">
      <w:pPr>
        <w:spacing w:line="600" w:lineRule="exact"/>
        <w:jc w:val="center"/>
        <w:rPr>
          <w:rFonts w:ascii="方正小标宋_GBK" w:hAnsi="华文中宋" w:eastAsia="方正小标宋_GBK" w:cs="华文中宋"/>
          <w:color w:val="0D0D0D"/>
          <w:sz w:val="44"/>
          <w:szCs w:val="44"/>
        </w:rPr>
      </w:pPr>
      <w:r>
        <w:rPr>
          <w:rFonts w:hint="eastAsia" w:ascii="方正小标宋_GBK" w:hAnsi="华文中宋" w:eastAsia="方正小标宋_GBK" w:cs="华文中宋"/>
          <w:color w:val="0D0D0D"/>
          <w:sz w:val="44"/>
          <w:szCs w:val="44"/>
        </w:rPr>
        <w:t>走马镇卫生院</w:t>
      </w:r>
    </w:p>
    <w:p w14:paraId="01889F6E">
      <w:pPr>
        <w:spacing w:line="600" w:lineRule="exact"/>
        <w:jc w:val="center"/>
        <w:rPr>
          <w:rFonts w:hint="eastAsia" w:ascii="方正小标宋_GBK" w:hAnsi="华文中宋" w:eastAsia="方正小标宋_GBK" w:cs="华文中宋"/>
          <w:color w:val="0D0D0D"/>
          <w:sz w:val="44"/>
          <w:szCs w:val="44"/>
        </w:rPr>
      </w:pPr>
      <w:r>
        <w:rPr>
          <w:rFonts w:hint="eastAsia" w:ascii="方正小标宋_GBK" w:hAnsi="华文中宋" w:eastAsia="方正小标宋_GBK" w:cs="华文中宋"/>
          <w:color w:val="0D0D0D"/>
          <w:sz w:val="44"/>
          <w:szCs w:val="44"/>
        </w:rPr>
        <w:t>2026年部门预算情况说明</w:t>
      </w:r>
    </w:p>
    <w:p w14:paraId="718953F9">
      <w:pPr>
        <w:spacing w:line="600" w:lineRule="exact"/>
        <w:jc w:val="center"/>
        <w:rPr>
          <w:rFonts w:ascii="方正小标宋_GBK" w:hAnsi="华文中宋" w:eastAsia="方正小标宋_GBK" w:cs="华文中宋"/>
          <w:color w:val="0D0D0D"/>
          <w:sz w:val="44"/>
          <w:szCs w:val="44"/>
        </w:rPr>
      </w:pPr>
    </w:p>
    <w:p w14:paraId="3D12CA39">
      <w:pPr>
        <w:adjustRightInd w:val="0"/>
        <w:snapToGrid w:val="0"/>
        <w:spacing w:line="600" w:lineRule="exact"/>
        <w:ind w:left="640"/>
        <w:rPr>
          <w:rFonts w:ascii="方正黑体_GBK" w:hAnsi="黑体" w:eastAsia="方正黑体_GBK" w:cs="仿宋_GB2312"/>
          <w:color w:val="0D0D0D"/>
        </w:rPr>
      </w:pPr>
      <w:r>
        <w:rPr>
          <w:rFonts w:hint="eastAsia" w:ascii="方正黑体_GBK" w:hAnsi="黑体" w:eastAsia="方正黑体_GBK" w:cs="仿宋_GB2312"/>
          <w:color w:val="0D0D0D"/>
        </w:rPr>
        <w:t>一、单位基本情况</w:t>
      </w:r>
    </w:p>
    <w:p w14:paraId="288235A9">
      <w:pPr>
        <w:adjustRightInd w:val="0"/>
        <w:snapToGrid w:val="0"/>
        <w:spacing w:line="600" w:lineRule="exact"/>
        <w:ind w:firstLine="640" w:firstLineChars="200"/>
        <w:rPr>
          <w:rFonts w:ascii="方正仿宋_GBK" w:hAnsi="仿宋_GB2312" w:cs="仿宋_GB2312"/>
          <w:color w:val="0D0D0D"/>
        </w:rPr>
      </w:pPr>
      <w:r>
        <w:rPr>
          <w:rFonts w:hint="eastAsia" w:ascii="方正楷体_GBK" w:hAnsi="仿宋_GB2312" w:eastAsia="方正楷体_GBK" w:cs="仿宋_GB2312"/>
          <w:color w:val="0D0D0D"/>
        </w:rPr>
        <w:t>（一）职能职责</w:t>
      </w:r>
    </w:p>
    <w:p w14:paraId="6E36BE9C">
      <w:pPr>
        <w:pStyle w:val="6"/>
        <w:tabs>
          <w:tab w:val="center" w:pos="4153"/>
          <w:tab w:val="left" w:pos="7275"/>
        </w:tabs>
        <w:spacing w:line="600" w:lineRule="exact"/>
        <w:ind w:firstLine="640"/>
        <w:jc w:val="left"/>
        <w:rPr>
          <w:rFonts w:ascii="方正仿宋_GBK" w:hAnsi="仿宋_GB2312" w:eastAsia="方正仿宋_GBK" w:cs="仿宋_GB2312"/>
          <w:sz w:val="32"/>
        </w:rPr>
      </w:pPr>
      <w:r>
        <w:rPr>
          <w:rFonts w:hint="eastAsia" w:ascii="方正仿宋_GBK" w:hAnsi="仿宋_GB2312" w:eastAsia="方正仿宋_GBK" w:cs="仿宋_GB2312"/>
          <w:sz w:val="32"/>
        </w:rPr>
        <w:t>为辖区居民提供基本公共卫生服务、基本医疗服务、生殖健康服务、计划生育技</w:t>
      </w:r>
      <w:bookmarkStart w:id="0" w:name="_GoBack"/>
      <w:bookmarkEnd w:id="0"/>
      <w:r>
        <w:rPr>
          <w:rFonts w:hint="eastAsia" w:ascii="方正仿宋_GBK" w:hAnsi="仿宋_GB2312" w:eastAsia="方正仿宋_GBK" w:cs="仿宋_GB2312"/>
          <w:sz w:val="32"/>
        </w:rPr>
        <w:t>术服务和综合管理服务。</w:t>
      </w:r>
    </w:p>
    <w:p w14:paraId="3DDEF11D">
      <w:pPr>
        <w:pStyle w:val="6"/>
        <w:tabs>
          <w:tab w:val="center" w:pos="4153"/>
          <w:tab w:val="left" w:pos="7275"/>
        </w:tabs>
        <w:spacing w:line="600" w:lineRule="exact"/>
        <w:ind w:firstLine="640"/>
        <w:jc w:val="left"/>
        <w:rPr>
          <w:rFonts w:ascii="方正仿宋_GBK" w:hAnsi="仿宋_GB2312" w:eastAsia="方正仿宋_GBK" w:cs="仿宋_GB2312"/>
          <w:sz w:val="32"/>
        </w:rPr>
      </w:pPr>
      <w:r>
        <w:rPr>
          <w:rFonts w:hint="eastAsia" w:ascii="方正仿宋_GBK" w:hAnsi="仿宋_GB2312" w:eastAsia="方正仿宋_GBK" w:cs="仿宋_GB2312"/>
          <w:sz w:val="32"/>
        </w:rPr>
        <w:t>1.公共卫生服务。包括建立居民健康档案、健康教育宣传、预防接种服务、儿童健康管理服务、孕产妇健康管理服务、老年人健康管理服务、慢性病患者健康管理服务、严重精神障碍患者管理服务、结核病患者健康管理服务、中医药健康管理服务、传染病防治及突发公共卫生事件报告处置、卫生计生监督协管服务、职业病防治、农村妇女“两癌”检查项目管理、基本避孕服务项目管理、增补叶酸预防神经管缺陷项目管理、国家免费孕前优生健康检查项目管理、健康素养促进项目管理、老年健康与医养结合服务管理和人口监测项目等。</w:t>
      </w:r>
    </w:p>
    <w:p w14:paraId="44F01607">
      <w:pPr>
        <w:pStyle w:val="6"/>
        <w:tabs>
          <w:tab w:val="center" w:pos="4153"/>
          <w:tab w:val="left" w:pos="7275"/>
        </w:tabs>
        <w:spacing w:line="600" w:lineRule="exact"/>
        <w:ind w:firstLine="640"/>
        <w:jc w:val="left"/>
        <w:rPr>
          <w:rFonts w:ascii="方正仿宋_GBK" w:hAnsi="仿宋_GB2312" w:eastAsia="方正仿宋_GBK" w:cs="仿宋_GB2312"/>
          <w:sz w:val="32"/>
        </w:rPr>
      </w:pPr>
      <w:r>
        <w:rPr>
          <w:rFonts w:hint="eastAsia" w:ascii="方正仿宋_GBK" w:hAnsi="仿宋_GB2312" w:eastAsia="方正仿宋_GBK" w:cs="仿宋_GB2312"/>
          <w:sz w:val="32"/>
        </w:rPr>
        <w:t>2.基本医疗服务。包括对辖区居民的常见病、多发病，以及疑难重症进行恰当的处理并转诊；承担辖区应急救护、转诊服务；加强医疗质量管理，做好医疗废物处理和污水、污物无害化处理；执行国家基本药物制度药品（卫生材料）集中采购、零差率销售等政策，对所属行政村卫生室实行一体化管理，承担对村卫生室和乡村医生的业务管理和指导；提供卫生行政主管部门批准的其他医疗服务。</w:t>
      </w:r>
    </w:p>
    <w:p w14:paraId="2C095032">
      <w:pPr>
        <w:pStyle w:val="6"/>
        <w:tabs>
          <w:tab w:val="center" w:pos="4153"/>
          <w:tab w:val="left" w:pos="7275"/>
        </w:tabs>
        <w:spacing w:line="600" w:lineRule="exact"/>
        <w:ind w:firstLine="640"/>
        <w:jc w:val="left"/>
        <w:rPr>
          <w:rFonts w:ascii="方正仿宋_GBK" w:hAnsi="仿宋_GB2312" w:eastAsia="方正仿宋_GBK" w:cs="仿宋_GB2312"/>
          <w:sz w:val="32"/>
        </w:rPr>
      </w:pPr>
      <w:r>
        <w:rPr>
          <w:rFonts w:hint="eastAsia" w:ascii="方正仿宋_GBK" w:hAnsi="仿宋_GB2312" w:eastAsia="方正仿宋_GBK" w:cs="仿宋_GB2312"/>
          <w:sz w:val="32"/>
        </w:rPr>
        <w:t>3.为辖区居民提供生殖健康服务、计划生育技术服务；配合上级开展卫生监督协管，贯彻执行国家各种卫生法规，对本镇内有关行业实行监督管理。</w:t>
      </w:r>
    </w:p>
    <w:p w14:paraId="2C762BC2">
      <w:pPr>
        <w:pStyle w:val="6"/>
        <w:tabs>
          <w:tab w:val="center" w:pos="4153"/>
          <w:tab w:val="left" w:pos="7275"/>
        </w:tabs>
        <w:adjustRightInd w:val="0"/>
        <w:snapToGrid w:val="0"/>
        <w:spacing w:line="600" w:lineRule="exact"/>
        <w:ind w:left="640" w:firstLine="0" w:firstLineChars="0"/>
        <w:jc w:val="left"/>
        <w:rPr>
          <w:rFonts w:ascii="方正楷体_GBK" w:hAnsi="仿宋_GB2312" w:eastAsia="方正楷体_GBK" w:cs="仿宋_GB2312"/>
          <w:color w:val="0D0D0D"/>
          <w:sz w:val="32"/>
        </w:rPr>
      </w:pPr>
      <w:r>
        <w:rPr>
          <w:rFonts w:hint="eastAsia" w:ascii="方正楷体_GBK" w:hAnsi="仿宋_GB2312" w:eastAsia="方正楷体_GBK" w:cs="仿宋_GB2312"/>
          <w:color w:val="0D0D0D"/>
          <w:sz w:val="32"/>
        </w:rPr>
        <w:t>（二）单位构成</w:t>
      </w:r>
    </w:p>
    <w:p w14:paraId="4CDB2ABF">
      <w:pPr>
        <w:spacing w:line="600" w:lineRule="exact"/>
        <w:ind w:firstLine="640" w:firstLineChars="200"/>
        <w:rPr>
          <w:rFonts w:ascii="方正仿宋_GBK" w:hAnsi="仿宋_GB2312" w:cs="仿宋_GB2312"/>
        </w:rPr>
      </w:pPr>
      <w:r>
        <w:rPr>
          <w:rFonts w:hint="eastAsia" w:ascii="方正仿宋_GBK" w:hAnsi="仿宋_GB2312" w:cs="仿宋_GB2312"/>
        </w:rPr>
        <w:t>医院设有综合办公室、医务科、财务科、公共卫生科、内科、外科、妇产科、医技科、中医科、综合病区、药械科等科室，</w:t>
      </w:r>
      <w:r>
        <w:rPr>
          <w:rFonts w:hint="eastAsia" w:ascii="方正仿宋_GBK" w:hAnsi="仿宋_GB2312" w:cs="仿宋_GB2312"/>
          <w:szCs w:val="22"/>
        </w:rPr>
        <w:t>为辖区居民提供基本公共卫生服务，</w:t>
      </w:r>
      <w:r>
        <w:rPr>
          <w:rFonts w:hint="eastAsia" w:ascii="方正仿宋_GBK" w:hAnsi="仿宋_GB2312" w:cs="仿宋_GB2312"/>
        </w:rPr>
        <w:t>开展常见病、多发病的诊断和治疗。</w:t>
      </w:r>
    </w:p>
    <w:p w14:paraId="5A4E4250">
      <w:pPr>
        <w:adjustRightInd w:val="0"/>
        <w:snapToGrid w:val="0"/>
        <w:spacing w:line="600" w:lineRule="exact"/>
        <w:ind w:left="640"/>
        <w:rPr>
          <w:rFonts w:ascii="方正仿宋_GBK" w:hAnsi="黑体" w:cs="仿宋_GB2312"/>
          <w:color w:val="0D0D0D"/>
        </w:rPr>
      </w:pPr>
      <w:r>
        <w:rPr>
          <w:rFonts w:hint="eastAsia" w:ascii="方正黑体_GBK" w:hAnsi="黑体" w:eastAsia="方正黑体_GBK" w:cs="仿宋_GB2312"/>
          <w:color w:val="0D0D0D"/>
        </w:rPr>
        <w:t>二、部门收支总体情况</w:t>
      </w:r>
    </w:p>
    <w:p w14:paraId="2AD89499">
      <w:pPr>
        <w:adjustRightInd w:val="0"/>
        <w:snapToGrid w:val="0"/>
        <w:spacing w:line="600" w:lineRule="exact"/>
        <w:ind w:firstLine="640" w:firstLineChars="200"/>
        <w:rPr>
          <w:rFonts w:ascii="方正仿宋_GBK" w:hAnsi="仿宋_GB2312" w:cs="仿宋_GB2312"/>
          <w:color w:val="0D0D0D"/>
        </w:rPr>
      </w:pPr>
      <w:r>
        <w:rPr>
          <w:rFonts w:hint="eastAsia" w:ascii="方正仿宋_GBK" w:hAnsi="仿宋_GB2312" w:cs="仿宋_GB2312"/>
          <w:color w:val="0D0D0D"/>
        </w:rPr>
        <w:t>（一）收入预算：2026年年初预算数1338.71万元，其中：一般公共预算拨款638.71万元，政府性基金预算拨款0万元，国有资本经营预算收入0万元，事业收入700万元，事业单位经营收入0万元，其他收入0万元。收入较2025年减少180.62万元，</w:t>
      </w:r>
      <w:r>
        <w:rPr>
          <w:rFonts w:hint="eastAsia" w:ascii="方正仿宋_GBK" w:hAnsi="仿宋_GB2312" w:cs="仿宋_GB2312"/>
          <w:szCs w:val="22"/>
        </w:rPr>
        <w:t>主要是一般公共预算拨款增加69.38万元，事业收入减少250万元</w:t>
      </w:r>
      <w:r>
        <w:rPr>
          <w:rFonts w:hint="eastAsia" w:ascii="方正仿宋_GBK" w:hAnsi="仿宋_GB2312" w:cs="仿宋_GB2312"/>
          <w:color w:val="0D0D0D"/>
        </w:rPr>
        <w:t>。</w:t>
      </w:r>
    </w:p>
    <w:p w14:paraId="6D68BC2D">
      <w:pPr>
        <w:adjustRightInd w:val="0"/>
        <w:snapToGrid w:val="0"/>
        <w:spacing w:line="600" w:lineRule="exact"/>
        <w:ind w:firstLine="640" w:firstLineChars="200"/>
        <w:rPr>
          <w:rFonts w:ascii="方正仿宋_GBK" w:hAnsi="仿宋_GB2312" w:cs="仿宋_GB2312"/>
          <w:color w:val="0D0D0D"/>
        </w:rPr>
      </w:pPr>
      <w:r>
        <w:rPr>
          <w:rFonts w:hint="eastAsia" w:ascii="方正仿宋_GBK" w:hAnsi="仿宋_GB2312" w:cs="仿宋_GB2312"/>
          <w:color w:val="0D0D0D"/>
        </w:rPr>
        <w:t>（二）支出预算：2026年年初预算数1338.71万元，其中：一般公共服务支出预算0万元，教育支出预算0万元，社会保障和就业支出预算162.9万元，卫生健康支出预算1135.34万元，住房保障支出预算40.46万元。支出预算较2025年减少180.62万元，主要是基本支出预算增加54.96万元，项目支出预算减少235.58万元。</w:t>
      </w:r>
    </w:p>
    <w:p w14:paraId="3A75F70B">
      <w:pPr>
        <w:adjustRightInd w:val="0"/>
        <w:snapToGrid w:val="0"/>
        <w:spacing w:line="600" w:lineRule="exact"/>
        <w:ind w:left="640"/>
        <w:rPr>
          <w:rFonts w:ascii="方正黑体_GBK" w:hAnsi="黑体" w:eastAsia="方正黑体_GBK" w:cs="仿宋_GB2312"/>
          <w:color w:val="0D0D0D"/>
        </w:rPr>
      </w:pPr>
      <w:r>
        <w:rPr>
          <w:rFonts w:hint="eastAsia" w:ascii="方正黑体_GBK" w:hAnsi="黑体" w:eastAsia="方正黑体_GBK" w:cs="仿宋_GB2312"/>
          <w:color w:val="0D0D0D"/>
        </w:rPr>
        <w:t>三、部门预算情况说明</w:t>
      </w:r>
    </w:p>
    <w:p w14:paraId="5B3DCA5E">
      <w:pPr>
        <w:adjustRightInd w:val="0"/>
        <w:snapToGrid w:val="0"/>
        <w:spacing w:line="600" w:lineRule="exact"/>
        <w:ind w:firstLine="640" w:firstLineChars="200"/>
        <w:rPr>
          <w:rFonts w:ascii="方正仿宋_GBK" w:hAnsi="仿宋_GB2312" w:cs="仿宋_GB2312"/>
          <w:color w:val="0D0D0D"/>
        </w:rPr>
      </w:pPr>
      <w:r>
        <w:rPr>
          <w:rFonts w:hint="eastAsia" w:ascii="方正仿宋_GBK" w:hAnsi="仿宋_GB2312" w:cs="仿宋_GB2312"/>
          <w:color w:val="0D0D0D"/>
        </w:rPr>
        <w:t>2026年一般公共预算财政拨款收入638.71万元，一般公共预算财政拨款支出638.71万元，比2025年增加69.38万元。其中：基本支出638.71万元，比2025年增加69.38万元，主要原因是人员变化调整，主要用于保障在职人员工资福利及社会保险缴费，离休人员离休费，退休人员补助等，保障部门正常运转的各项商品服务支出；项目支出0万元，</w:t>
      </w:r>
      <w:r>
        <w:rPr>
          <w:rFonts w:hint="eastAsia" w:ascii="方正仿宋_GBK" w:hAnsi="仿宋_GB2312" w:cs="仿宋_GB2312"/>
        </w:rPr>
        <w:t>与2025年预算数一致</w:t>
      </w:r>
      <w:r>
        <w:rPr>
          <w:rFonts w:hint="eastAsia" w:ascii="方正仿宋_GBK" w:hAnsi="仿宋_GB2312" w:cs="仿宋_GB2312"/>
          <w:color w:val="0D0D0D"/>
        </w:rPr>
        <w:t>。</w:t>
      </w:r>
    </w:p>
    <w:p w14:paraId="279DEECD">
      <w:pPr>
        <w:adjustRightInd w:val="0"/>
        <w:snapToGrid w:val="0"/>
        <w:spacing w:line="600" w:lineRule="exact"/>
        <w:ind w:firstLine="640" w:firstLineChars="200"/>
        <w:rPr>
          <w:rFonts w:ascii="方正仿宋_GBK" w:hAnsi="仿宋_GB2312" w:cs="仿宋_GB2312"/>
          <w:color w:val="0D0D0D"/>
        </w:rPr>
      </w:pPr>
      <w:r>
        <w:rPr>
          <w:rFonts w:hint="eastAsia" w:ascii="方正仿宋_GBK" w:hAnsi="仿宋_GB2312" w:cs="仿宋_GB2312"/>
          <w:color w:val="0D0D0D"/>
        </w:rPr>
        <w:t>2026年政府性基金预算收入0万元，政府性基金预算支出0万元，</w:t>
      </w:r>
      <w:r>
        <w:rPr>
          <w:rFonts w:hint="eastAsia" w:ascii="方正仿宋_GBK" w:hAnsi="仿宋_GB2312" w:cs="仿宋_GB2312"/>
        </w:rPr>
        <w:t>与2025年预算数一致</w:t>
      </w:r>
      <w:r>
        <w:rPr>
          <w:rFonts w:hint="eastAsia" w:ascii="方正仿宋_GBK" w:hAnsi="仿宋_GB2312" w:cs="仿宋_GB2312"/>
          <w:color w:val="0D0D0D"/>
        </w:rPr>
        <w:t>。</w:t>
      </w:r>
      <w:r>
        <w:rPr>
          <w:rFonts w:hint="eastAsia" w:ascii="方正仿宋_GBK" w:hAnsi="仿宋_GB2312" w:cs="仿宋_GB2312"/>
        </w:rPr>
        <w:t>走马镇卫生院</w:t>
      </w:r>
      <w:r>
        <w:rPr>
          <w:rFonts w:hint="eastAsia" w:ascii="方正仿宋_GBK" w:hAnsi="仿宋_GB2312" w:cs="仿宋_GB2312"/>
          <w:color w:val="0D0D0D"/>
        </w:rPr>
        <w:t>2026年无使用政府性基金预算拨款安排的支出</w:t>
      </w:r>
      <w:r>
        <w:rPr>
          <w:rFonts w:hint="eastAsia" w:ascii="方正仿宋_GBK" w:hAnsi="仿宋_GB2312" w:cs="仿宋_GB2312"/>
        </w:rPr>
        <w:t>。</w:t>
      </w:r>
    </w:p>
    <w:p w14:paraId="7AE959C3">
      <w:pPr>
        <w:adjustRightInd w:val="0"/>
        <w:snapToGrid w:val="0"/>
        <w:spacing w:line="600" w:lineRule="exact"/>
        <w:ind w:left="640"/>
        <w:rPr>
          <w:rFonts w:ascii="方正仿宋_GBK" w:hAnsi="黑体" w:cs="仿宋_GB2312"/>
          <w:color w:val="0D0D0D"/>
        </w:rPr>
      </w:pPr>
      <w:r>
        <w:rPr>
          <w:rFonts w:hint="eastAsia" w:ascii="方正黑体_GBK" w:hAnsi="黑体" w:eastAsia="方正黑体_GBK" w:cs="仿宋_GB2312"/>
          <w:color w:val="0D0D0D"/>
        </w:rPr>
        <w:t>四、“三公”经费情况说明</w:t>
      </w:r>
    </w:p>
    <w:p w14:paraId="5AB6E24F">
      <w:pPr>
        <w:adjustRightInd w:val="0"/>
        <w:snapToGrid w:val="0"/>
        <w:spacing w:line="600" w:lineRule="exact"/>
        <w:ind w:firstLine="600"/>
        <w:rPr>
          <w:rFonts w:ascii="方正仿宋_GBK" w:hAnsi="仿宋_GB2312" w:cs="仿宋_GB2312"/>
          <w:color w:val="0D0D0D"/>
        </w:rPr>
      </w:pPr>
      <w:r>
        <w:rPr>
          <w:rFonts w:hint="eastAsia" w:ascii="方正仿宋_GBK" w:hAnsi="仿宋_GB2312" w:cs="仿宋_GB2312"/>
          <w:color w:val="0D0D0D"/>
        </w:rPr>
        <w:t>2026年“三公”经费预算0万元，</w:t>
      </w:r>
      <w:r>
        <w:rPr>
          <w:rFonts w:hint="eastAsia" w:ascii="方正仿宋_GBK" w:hAnsi="仿宋_GB2312" w:cs="仿宋_GB2312"/>
          <w:szCs w:val="22"/>
        </w:rPr>
        <w:t>与2025年预算数一致</w:t>
      </w:r>
      <w:r>
        <w:rPr>
          <w:rFonts w:hint="eastAsia" w:ascii="方正仿宋_GBK" w:hAnsi="仿宋_GB2312" w:cs="仿宋_GB2312"/>
          <w:color w:val="0D0D0D"/>
        </w:rPr>
        <w:t>。其中，因公出国（境）费用0万元，</w:t>
      </w:r>
      <w:r>
        <w:rPr>
          <w:rFonts w:hint="eastAsia" w:ascii="方正仿宋_GBK" w:hAnsi="仿宋_GB2312" w:cs="仿宋_GB2312"/>
          <w:szCs w:val="22"/>
        </w:rPr>
        <w:t>与2025年预算数一致</w:t>
      </w:r>
      <w:r>
        <w:rPr>
          <w:rFonts w:hint="eastAsia" w:ascii="方正仿宋_GBK" w:hAnsi="仿宋_GB2312" w:cs="仿宋_GB2312"/>
          <w:color w:val="0D0D0D"/>
        </w:rPr>
        <w:t>；公务接待费0万元，</w:t>
      </w:r>
      <w:r>
        <w:rPr>
          <w:rFonts w:hint="eastAsia" w:ascii="方正仿宋_GBK" w:hAnsi="仿宋_GB2312" w:cs="仿宋_GB2312"/>
          <w:szCs w:val="22"/>
        </w:rPr>
        <w:t>与2025年预算数一致</w:t>
      </w:r>
      <w:r>
        <w:rPr>
          <w:rFonts w:hint="eastAsia" w:ascii="方正仿宋_GBK" w:hAnsi="仿宋_GB2312" w:cs="仿宋_GB2312"/>
          <w:color w:val="0D0D0D"/>
        </w:rPr>
        <w:t>；公务用车运行维护费0万元，</w:t>
      </w:r>
      <w:r>
        <w:rPr>
          <w:rFonts w:hint="eastAsia" w:ascii="方正仿宋_GBK" w:hAnsi="仿宋_GB2312" w:cs="仿宋_GB2312"/>
          <w:szCs w:val="22"/>
        </w:rPr>
        <w:t>与2025年预算数一致</w:t>
      </w:r>
      <w:r>
        <w:rPr>
          <w:rFonts w:hint="eastAsia" w:ascii="方正仿宋_GBK" w:hAnsi="仿宋_GB2312" w:cs="仿宋_GB2312"/>
          <w:color w:val="0D0D0D"/>
        </w:rPr>
        <w:t>；公务用车购置费0万元，</w:t>
      </w:r>
      <w:r>
        <w:rPr>
          <w:rFonts w:hint="eastAsia" w:ascii="方正仿宋_GBK" w:hAnsi="仿宋_GB2312" w:cs="仿宋_GB2312"/>
          <w:szCs w:val="22"/>
        </w:rPr>
        <w:t>与2025年预算数一致</w:t>
      </w:r>
      <w:r>
        <w:rPr>
          <w:rFonts w:hint="eastAsia" w:ascii="方正仿宋_GBK" w:hAnsi="仿宋_GB2312" w:cs="仿宋_GB2312"/>
          <w:color w:val="0D0D0D"/>
        </w:rPr>
        <w:t>。</w:t>
      </w:r>
      <w:r>
        <w:rPr>
          <w:rFonts w:hint="eastAsia" w:ascii="方正仿宋_GBK" w:hAnsi="仿宋_GB2312" w:cs="仿宋_GB2312"/>
          <w:szCs w:val="22"/>
        </w:rPr>
        <w:t>主要原因是</w:t>
      </w:r>
      <w:r>
        <w:rPr>
          <w:rFonts w:hint="eastAsia"/>
        </w:rPr>
        <w:t>本单位</w:t>
      </w:r>
      <w:r>
        <w:rPr>
          <w:rFonts w:hint="eastAsia" w:ascii="方正仿宋_GBK" w:hAnsi="仿宋_GB2312" w:cs="仿宋_GB2312"/>
        </w:rPr>
        <w:t>2026</w:t>
      </w:r>
      <w:r>
        <w:rPr>
          <w:rFonts w:hint="eastAsia"/>
        </w:rPr>
        <w:t>年无一般公共</w:t>
      </w:r>
      <w:r>
        <w:rPr>
          <w:rFonts w:hint="eastAsia"/>
          <w:lang w:eastAsia="zh-CN"/>
        </w:rPr>
        <w:t>预算拨款</w:t>
      </w:r>
      <w:r>
        <w:rPr>
          <w:rFonts w:hint="eastAsia"/>
        </w:rPr>
        <w:t>安排的“三公”经费支出</w:t>
      </w:r>
      <w:r>
        <w:rPr>
          <w:rFonts w:hint="eastAsia" w:ascii="方正仿宋_GBK" w:hAnsi="仿宋_GB2312" w:cs="仿宋_GB2312"/>
          <w:szCs w:val="22"/>
        </w:rPr>
        <w:t>。</w:t>
      </w:r>
    </w:p>
    <w:p w14:paraId="7898C3FD">
      <w:pPr>
        <w:adjustRightInd w:val="0"/>
        <w:snapToGrid w:val="0"/>
        <w:spacing w:line="600" w:lineRule="exact"/>
        <w:ind w:left="640"/>
        <w:rPr>
          <w:rFonts w:ascii="方正黑体_GBK" w:hAnsi="黑体" w:eastAsia="方正黑体_GBK" w:cs="仿宋_GB2312"/>
          <w:color w:val="0D0D0D"/>
        </w:rPr>
      </w:pPr>
      <w:r>
        <w:rPr>
          <w:rFonts w:hint="eastAsia" w:ascii="方正黑体_GBK" w:hAnsi="黑体" w:eastAsia="方正黑体_GBK" w:cs="仿宋_GB2312"/>
          <w:color w:val="0D0D0D"/>
        </w:rPr>
        <w:t>五、其他重要事项的情况说明</w:t>
      </w:r>
    </w:p>
    <w:p w14:paraId="6C12B095">
      <w:pPr>
        <w:adjustRightInd w:val="0"/>
        <w:snapToGrid w:val="0"/>
        <w:spacing w:line="600" w:lineRule="exact"/>
        <w:ind w:firstLine="640" w:firstLineChars="200"/>
        <w:rPr>
          <w:rFonts w:ascii="方正仿宋_GBK" w:hAnsi="仿宋_GB2312" w:cs="仿宋_GB2312"/>
          <w:color w:val="0D0D0D"/>
        </w:rPr>
      </w:pPr>
      <w:r>
        <w:rPr>
          <w:rFonts w:hint="eastAsia" w:ascii="方正仿宋_GBK" w:hAnsi="仿宋_GB2312" w:cs="仿宋_GB2312"/>
          <w:color w:val="0D0D0D"/>
        </w:rPr>
        <w:t>（一）我单位不在机关运行经费统计范围之内。</w:t>
      </w:r>
    </w:p>
    <w:p w14:paraId="2D4DAC34">
      <w:pPr>
        <w:adjustRightInd w:val="0"/>
        <w:snapToGrid w:val="0"/>
        <w:spacing w:line="600" w:lineRule="exact"/>
        <w:ind w:firstLine="640" w:firstLineChars="200"/>
        <w:rPr>
          <w:rFonts w:ascii="方正仿宋_GBK" w:hAnsi="仿宋_GB2312" w:cs="仿宋_GB2312"/>
          <w:color w:val="0D0D0D"/>
        </w:rPr>
      </w:pPr>
      <w:r>
        <w:rPr>
          <w:rFonts w:hint="eastAsia" w:ascii="方正仿宋_GBK" w:hAnsi="仿宋_GB2312" w:cs="仿宋_GB2312"/>
          <w:color w:val="0D0D0D"/>
        </w:rPr>
        <w:t>（二）政府采购情况。</w:t>
      </w:r>
      <w:r>
        <w:rPr>
          <w:rFonts w:hint="eastAsia" w:ascii="方正仿宋_GBK" w:hAnsi="仿宋_GB2312" w:cs="仿宋_GB2312"/>
          <w:szCs w:val="22"/>
        </w:rPr>
        <w:t>本单位政府采购预算总额11万元</w:t>
      </w:r>
      <w:r>
        <w:rPr>
          <w:rFonts w:hint="eastAsia" w:ascii="方正仿宋_GBK" w:hAnsi="仿宋_GB2312" w:cs="仿宋_GB2312"/>
          <w:color w:val="0D0D0D"/>
        </w:rPr>
        <w:t>，其中，政府采购货物预算11万元、政府采购工程预算0万元、政府采购服务预算0万元；一般公共预算拨款政府采购0万元，其中，政府采购货物预算0万元、政府采购工程预算0万元、政府采购服务预算0万元。</w:t>
      </w:r>
    </w:p>
    <w:p w14:paraId="7A295E9A">
      <w:pPr>
        <w:adjustRightInd w:val="0"/>
        <w:snapToGrid w:val="0"/>
        <w:spacing w:line="600" w:lineRule="exact"/>
        <w:ind w:firstLine="640" w:firstLineChars="200"/>
        <w:rPr>
          <w:rFonts w:ascii="方正仿宋_GBK" w:hAnsi="仿宋_GB2312" w:cs="仿宋_GB2312"/>
          <w:color w:val="0D0D0D"/>
        </w:rPr>
      </w:pPr>
      <w:r>
        <w:rPr>
          <w:rFonts w:hint="eastAsia" w:ascii="方正仿宋_GBK" w:hAnsi="仿宋_GB2312" w:cs="仿宋_GB2312"/>
          <w:color w:val="0D0D0D"/>
        </w:rPr>
        <w:t>（三）绩效目标设置情况。2026年项目支出均实行了绩效目标管理，涉及一般公共预算当年财政拨款0万元。</w:t>
      </w:r>
    </w:p>
    <w:p w14:paraId="17D7433D">
      <w:pPr>
        <w:adjustRightInd w:val="0"/>
        <w:snapToGrid w:val="0"/>
        <w:spacing w:line="600" w:lineRule="exact"/>
        <w:ind w:firstLine="640" w:firstLineChars="200"/>
        <w:rPr>
          <w:rFonts w:ascii="方正仿宋_GBK" w:hAnsi="仿宋_GB2312" w:cs="仿宋_GB2312"/>
          <w:color w:val="0D0D0D"/>
        </w:rPr>
      </w:pPr>
      <w:r>
        <w:rPr>
          <w:rFonts w:hint="eastAsia" w:ascii="方正仿宋_GBK" w:hAnsi="仿宋_GB2312" w:cs="仿宋_GB2312"/>
          <w:color w:val="0D0D0D"/>
        </w:rPr>
        <w:t>（四）国有资产占有使用情况。</w:t>
      </w:r>
      <w:r>
        <w:rPr>
          <w:rFonts w:hint="eastAsia" w:ascii="方正仿宋_GBK" w:hAnsi="仿宋_GB2312" w:cs="仿宋_GB2312"/>
          <w:color w:val="0D0D0D"/>
          <w:lang w:eastAsia="zh-CN"/>
        </w:rPr>
        <w:t>截至</w:t>
      </w:r>
      <w:r>
        <w:rPr>
          <w:rFonts w:hint="eastAsia" w:ascii="方正仿宋_GBK" w:hAnsi="仿宋_GB2312" w:cs="仿宋_GB2312"/>
          <w:color w:val="0D0D0D"/>
        </w:rPr>
        <w:t>2025年12月，所属各预算单位共有车辆1辆，其中一般公务用车0辆、执勤执法用车0辆，</w:t>
      </w:r>
      <w:r>
        <w:rPr>
          <w:rFonts w:hint="eastAsia" w:ascii="方正仿宋_GBK" w:hAnsi="仿宋_GB2312" w:cs="仿宋_GB2312"/>
          <w:szCs w:val="22"/>
        </w:rPr>
        <w:t>特种专业技术用车1辆</w:t>
      </w:r>
      <w:r>
        <w:rPr>
          <w:rFonts w:hint="eastAsia" w:ascii="方正仿宋_GBK" w:hAnsi="仿宋_GB2312" w:cs="仿宋_GB2312"/>
          <w:color w:val="0D0D0D"/>
        </w:rPr>
        <w:t>。2026年一般公共预算安排购置车辆0辆，其中一般公务用车0辆、执勤执法用车0辆，</w:t>
      </w:r>
      <w:r>
        <w:rPr>
          <w:rFonts w:hint="eastAsia" w:ascii="方正仿宋_GBK" w:hAnsi="仿宋_GB2312" w:cs="仿宋_GB2312"/>
          <w:szCs w:val="22"/>
        </w:rPr>
        <w:t>特种专业技术用车0辆</w:t>
      </w:r>
      <w:r>
        <w:rPr>
          <w:rFonts w:hint="eastAsia" w:ascii="方正仿宋_GBK" w:hAnsi="仿宋_GB2312" w:cs="仿宋_GB2312"/>
          <w:color w:val="0D0D0D"/>
        </w:rPr>
        <w:t>。</w:t>
      </w:r>
    </w:p>
    <w:p w14:paraId="59132C90">
      <w:pPr>
        <w:adjustRightInd w:val="0"/>
        <w:snapToGrid w:val="0"/>
        <w:spacing w:line="600" w:lineRule="exact"/>
        <w:ind w:firstLine="640" w:firstLineChars="200"/>
        <w:rPr>
          <w:rFonts w:ascii="方正仿宋_GBK" w:hAnsi="仿宋_GB2312" w:cs="仿宋_GB2312"/>
          <w:color w:val="0D0D0D"/>
        </w:rPr>
      </w:pPr>
      <w:r>
        <w:rPr>
          <w:rFonts w:hint="eastAsia" w:ascii="方正仿宋_GBK" w:hAnsi="仿宋_GB2312" w:cs="仿宋_GB2312"/>
          <w:color w:val="0D0D0D"/>
        </w:rPr>
        <w:t>（五）委托业务费情况。2026年委托业务费涉及财拨资金0万元。</w:t>
      </w:r>
    </w:p>
    <w:p w14:paraId="65B16945">
      <w:pPr>
        <w:adjustRightInd w:val="0"/>
        <w:snapToGrid w:val="0"/>
        <w:spacing w:line="600" w:lineRule="exact"/>
        <w:ind w:left="640"/>
        <w:rPr>
          <w:rFonts w:ascii="方正黑体_GBK" w:hAnsi="黑体" w:eastAsia="方正黑体_GBK" w:cs="仿宋_GB2312"/>
          <w:color w:val="0D0D0D"/>
        </w:rPr>
      </w:pPr>
      <w:r>
        <w:rPr>
          <w:rFonts w:hint="eastAsia" w:ascii="方正黑体_GBK" w:hAnsi="黑体" w:eastAsia="方正黑体_GBK" w:cs="仿宋_GB2312"/>
          <w:color w:val="0D0D0D"/>
        </w:rPr>
        <w:t>六、专业性名词解释</w:t>
      </w:r>
    </w:p>
    <w:p w14:paraId="0D89B28F">
      <w:pPr>
        <w:pStyle w:val="6"/>
        <w:tabs>
          <w:tab w:val="center" w:pos="4153"/>
          <w:tab w:val="left" w:pos="7275"/>
        </w:tabs>
        <w:adjustRightInd w:val="0"/>
        <w:snapToGrid w:val="0"/>
        <w:spacing w:line="600" w:lineRule="exact"/>
        <w:ind w:firstLine="640"/>
        <w:jc w:val="left"/>
        <w:rPr>
          <w:rFonts w:ascii="方正仿宋_GBK" w:eastAsia="方正仿宋_GBK"/>
          <w:color w:val="0D0D0D"/>
          <w:sz w:val="32"/>
          <w:szCs w:val="32"/>
        </w:rPr>
      </w:pPr>
      <w:r>
        <w:rPr>
          <w:rFonts w:hint="eastAsia" w:ascii="方正仿宋_GBK" w:eastAsia="方正仿宋_GBK"/>
          <w:color w:val="0D0D0D"/>
          <w:sz w:val="32"/>
          <w:szCs w:val="32"/>
        </w:rPr>
        <w:t>（一）财政拨款收入：指本年度从本级财政部门取得的财政拨款，包括一般公共预算财政拨款和政府性基金预算财政拨款。</w:t>
      </w:r>
    </w:p>
    <w:p w14:paraId="1FA144E2">
      <w:pPr>
        <w:adjustRightInd w:val="0"/>
        <w:snapToGrid w:val="0"/>
        <w:spacing w:line="600" w:lineRule="exact"/>
        <w:ind w:firstLine="640" w:firstLineChars="200"/>
        <w:rPr>
          <w:rFonts w:ascii="方正仿宋_GBK" w:hAnsi="仿宋"/>
          <w:color w:val="0D0D0D"/>
          <w:szCs w:val="32"/>
        </w:rPr>
      </w:pPr>
      <w:r>
        <w:rPr>
          <w:rFonts w:hint="eastAsia" w:ascii="方正仿宋_GBK" w:hAnsi="仿宋"/>
          <w:color w:val="0D0D0D"/>
          <w:szCs w:val="32"/>
        </w:rPr>
        <w:t>（二）财政专户管理资金收入：指缴入财政专户、实行专项管理的高中以上学费、住宿费、高校委托培养费、函大、电大、夜大及短训班培训费等教育收费。单位根据教育收费标准、学生人数等合理预计。</w:t>
      </w:r>
    </w:p>
    <w:p w14:paraId="38FD9A82">
      <w:pPr>
        <w:adjustRightInd w:val="0"/>
        <w:snapToGrid w:val="0"/>
        <w:spacing w:line="600" w:lineRule="exact"/>
        <w:ind w:firstLine="640" w:firstLineChars="200"/>
        <w:rPr>
          <w:rFonts w:ascii="方正仿宋_GBK" w:hAnsi="仿宋"/>
          <w:color w:val="0D0D0D"/>
          <w:szCs w:val="32"/>
        </w:rPr>
      </w:pPr>
      <w:r>
        <w:rPr>
          <w:rFonts w:hint="eastAsia" w:ascii="方正仿宋_GBK" w:hAnsi="仿宋"/>
          <w:color w:val="0D0D0D"/>
          <w:szCs w:val="32"/>
        </w:rPr>
        <w:t>（三）事业收入（不含教育收费）：指事业单位开展专业业务活动及其辅助活动取得的收入，不包括教育收费。单位根据本年度事业单位开展专业业务活动及其辅助活动计划，结合上年度收入等情况进行预计。</w:t>
      </w:r>
    </w:p>
    <w:p w14:paraId="64ADA22C">
      <w:pPr>
        <w:adjustRightInd w:val="0"/>
        <w:snapToGrid w:val="0"/>
        <w:spacing w:line="600" w:lineRule="exact"/>
        <w:ind w:firstLine="640" w:firstLineChars="200"/>
        <w:rPr>
          <w:rFonts w:ascii="方正仿宋_GBK" w:hAnsi="仿宋"/>
          <w:color w:val="0D0D0D"/>
          <w:szCs w:val="32"/>
        </w:rPr>
      </w:pPr>
      <w:r>
        <w:rPr>
          <w:rFonts w:hint="eastAsia" w:ascii="方正仿宋_GBK" w:hAnsi="仿宋"/>
          <w:color w:val="0D0D0D"/>
          <w:szCs w:val="32"/>
        </w:rPr>
        <w:t>（四）上级补助收入：指从主管部门或上级单位取得的财政拨款以外的其他补助收入。单位结合上年度上级补助收入等情况进行预计。</w:t>
      </w:r>
    </w:p>
    <w:p w14:paraId="1987124B">
      <w:pPr>
        <w:adjustRightInd w:val="0"/>
        <w:snapToGrid w:val="0"/>
        <w:spacing w:line="600" w:lineRule="exact"/>
        <w:ind w:firstLine="640" w:firstLineChars="200"/>
        <w:rPr>
          <w:rFonts w:ascii="方正仿宋_GBK" w:hAnsi="仿宋"/>
          <w:color w:val="0D0D0D"/>
          <w:szCs w:val="32"/>
        </w:rPr>
      </w:pPr>
      <w:r>
        <w:rPr>
          <w:rFonts w:hint="eastAsia" w:ascii="方正仿宋_GBK" w:hAnsi="仿宋"/>
          <w:color w:val="0D0D0D"/>
          <w:szCs w:val="32"/>
        </w:rPr>
        <w:t>（五）附属单位上缴收入：指本单位所属下级单位上缴给本单位的全部收入（包括下级事业单位上缴的事业收入、其他收入和下级企业单位上缴的利润等）。单位结合上年度附属单位上缴收入等情况商附属单位进行预计。</w:t>
      </w:r>
    </w:p>
    <w:p w14:paraId="72FD9EE6">
      <w:pPr>
        <w:adjustRightInd w:val="0"/>
        <w:snapToGrid w:val="0"/>
        <w:spacing w:line="600" w:lineRule="exact"/>
        <w:ind w:firstLine="640" w:firstLineChars="200"/>
        <w:rPr>
          <w:rFonts w:ascii="方正仿宋_GBK" w:hAnsi="仿宋"/>
          <w:color w:val="0D0D0D"/>
          <w:szCs w:val="32"/>
        </w:rPr>
      </w:pPr>
      <w:r>
        <w:rPr>
          <w:rFonts w:hint="eastAsia" w:ascii="方正仿宋_GBK" w:hAnsi="仿宋"/>
          <w:color w:val="0D0D0D"/>
          <w:szCs w:val="32"/>
        </w:rPr>
        <w:t>（六）事业单位经营收入：指事业单位在专业业务活动及其辅助活动之外开展非独立核算经营活动取得的收入。单位应当根据本年度事业单位经营活动计划，结合上年度事业单位经营收入规模、经营状况和市场行情等因素进行预计。</w:t>
      </w:r>
    </w:p>
    <w:p w14:paraId="09CABA21">
      <w:pPr>
        <w:adjustRightInd w:val="0"/>
        <w:snapToGrid w:val="0"/>
        <w:spacing w:line="600" w:lineRule="exact"/>
        <w:ind w:firstLine="640" w:firstLineChars="200"/>
        <w:rPr>
          <w:rFonts w:ascii="方正仿宋_GBK" w:hAnsi="仿宋"/>
          <w:color w:val="0D0D0D"/>
          <w:szCs w:val="32"/>
        </w:rPr>
      </w:pPr>
      <w:r>
        <w:rPr>
          <w:rFonts w:hint="eastAsia" w:ascii="方正仿宋_GBK" w:hAnsi="仿宋"/>
          <w:color w:val="0D0D0D"/>
          <w:szCs w:val="32"/>
        </w:rPr>
        <w:t>（七）其他收入：指债务收入、投资收益等收入，单位根据情况合理预计，全部编入预算。</w:t>
      </w:r>
    </w:p>
    <w:p w14:paraId="24F05843">
      <w:pPr>
        <w:adjustRightInd w:val="0"/>
        <w:snapToGrid w:val="0"/>
        <w:spacing w:line="600" w:lineRule="exact"/>
        <w:ind w:firstLine="640" w:firstLineChars="200"/>
        <w:rPr>
          <w:rFonts w:ascii="方正仿宋_GBK" w:hAnsi="仿宋"/>
          <w:color w:val="0D0D0D"/>
          <w:szCs w:val="32"/>
        </w:rPr>
      </w:pPr>
      <w:r>
        <w:rPr>
          <w:rFonts w:hint="eastAsia" w:ascii="方正仿宋_GBK" w:hAnsi="仿宋"/>
          <w:color w:val="0D0D0D"/>
          <w:szCs w:val="32"/>
        </w:rPr>
        <w:t>（八）上年结转结余资金：包括财政拨款结转、财政拨款结余、财政专户管理资金结转结余和单位资金结转结余。财政拨款结转是指项目实施周期内，年度预算执行结束时，预算未全部执行或因故未执行，下年需要按照原用途继续使用的财政拨款资金。财政拨款结余是指当年预算工作目标已完成，或者因故终止，当年剩余的财政拨款资金。财政专户管理资金结转结余、单位资金结转结余是指年度预算执行结束时，当年实际剩余的财政专户资金、单位资金。</w:t>
      </w:r>
    </w:p>
    <w:p w14:paraId="08FD59C3">
      <w:pPr>
        <w:adjustRightInd w:val="0"/>
        <w:snapToGrid w:val="0"/>
        <w:spacing w:line="600" w:lineRule="exact"/>
        <w:ind w:firstLine="640" w:firstLineChars="200"/>
        <w:rPr>
          <w:rFonts w:ascii="方正仿宋_GBK" w:hAnsi="仿宋"/>
          <w:color w:val="0D0D0D"/>
          <w:szCs w:val="32"/>
        </w:rPr>
      </w:pPr>
      <w:r>
        <w:rPr>
          <w:rFonts w:hint="eastAsia" w:ascii="方正仿宋_GBK" w:hAnsi="仿宋"/>
          <w:color w:val="0D0D0D"/>
          <w:szCs w:val="32"/>
        </w:rPr>
        <w:t>（九）基本支出：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3053015A">
      <w:pPr>
        <w:adjustRightInd w:val="0"/>
        <w:snapToGrid w:val="0"/>
        <w:spacing w:line="600" w:lineRule="exact"/>
        <w:ind w:firstLine="640" w:firstLineChars="200"/>
        <w:rPr>
          <w:rFonts w:ascii="方正仿宋_GBK" w:hAnsi="仿宋"/>
          <w:color w:val="0D0D0D"/>
          <w:szCs w:val="32"/>
        </w:rPr>
      </w:pPr>
      <w:r>
        <w:rPr>
          <w:rFonts w:hint="eastAsia" w:ascii="方正仿宋_GBK" w:hAnsi="仿宋"/>
          <w:color w:val="0D0D0D"/>
          <w:szCs w:val="32"/>
        </w:rPr>
        <w:t>（十）项目支出：指在基本支出之外为完成特定行政任务和事业发展目标所发生的支出。</w:t>
      </w:r>
    </w:p>
    <w:p w14:paraId="067ADBEE">
      <w:pPr>
        <w:adjustRightInd w:val="0"/>
        <w:snapToGrid w:val="0"/>
        <w:spacing w:line="600" w:lineRule="exact"/>
        <w:ind w:firstLine="640" w:firstLineChars="200"/>
        <w:rPr>
          <w:rFonts w:ascii="方正仿宋_GBK" w:hAnsi="仿宋"/>
          <w:color w:val="0D0D0D"/>
          <w:szCs w:val="32"/>
        </w:rPr>
      </w:pPr>
      <w:r>
        <w:rPr>
          <w:rFonts w:hint="eastAsia" w:ascii="方正仿宋_GBK" w:hAnsi="仿宋"/>
          <w:color w:val="0D0D0D"/>
          <w:szCs w:val="32"/>
        </w:rPr>
        <w:t>（十一）“三公”经费：指用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52ED561C">
      <w:pPr>
        <w:adjustRightInd w:val="0"/>
        <w:snapToGrid w:val="0"/>
        <w:spacing w:line="600" w:lineRule="exact"/>
        <w:ind w:firstLine="640" w:firstLineChars="200"/>
        <w:rPr>
          <w:rFonts w:ascii="方正仿宋_GBK" w:hAnsi="仿宋"/>
          <w:color w:val="0D0D0D"/>
          <w:szCs w:val="32"/>
        </w:rPr>
      </w:pPr>
      <w:r>
        <w:rPr>
          <w:rFonts w:hint="eastAsia" w:ascii="方正仿宋_GBK" w:hAnsi="仿宋"/>
          <w:color w:val="0D0D0D"/>
          <w:szCs w:val="32"/>
        </w:rPr>
        <w:t>（十二）机关运行经费：为保障行政单位（含参照公务员法管理的事业单位）运行用于购买货物和服务等的各项公用经费，包括办公及印刷费、邮电费、差旅费、会议费、福利费、日常维护费、专用材料及一般设备购置费、办公用房水电费、办公用房物业管理费、公务用车运行维护费以及其他费用。</w:t>
      </w:r>
    </w:p>
    <w:p w14:paraId="330076C8">
      <w:pPr>
        <w:adjustRightInd w:val="0"/>
        <w:snapToGrid w:val="0"/>
        <w:spacing w:line="600" w:lineRule="exact"/>
        <w:ind w:firstLine="640" w:firstLineChars="200"/>
        <w:rPr>
          <w:rFonts w:ascii="方正仿宋_GBK" w:hAnsi="仿宋"/>
          <w:color w:val="0D0D0D"/>
          <w:szCs w:val="32"/>
        </w:rPr>
      </w:pPr>
      <w:r>
        <w:rPr>
          <w:rFonts w:hint="eastAsia" w:ascii="方正仿宋_GBK" w:hAnsi="仿宋"/>
          <w:color w:val="0D0D0D"/>
          <w:szCs w:val="32"/>
        </w:rPr>
        <w:t>（十三）工资福利支出（支出经济分类科目类级）：反映单位开支的在职职工和编制外长期聘用人员的各类劳动报酬，以及为上述人员缴纳的各项社会保险费等。</w:t>
      </w:r>
    </w:p>
    <w:p w14:paraId="6C9BEE5F">
      <w:pPr>
        <w:adjustRightInd w:val="0"/>
        <w:snapToGrid w:val="0"/>
        <w:spacing w:line="600" w:lineRule="exact"/>
        <w:ind w:firstLine="640" w:firstLineChars="200"/>
        <w:rPr>
          <w:rFonts w:ascii="方正仿宋_GBK" w:hAnsi="仿宋"/>
          <w:color w:val="0D0D0D"/>
          <w:szCs w:val="32"/>
        </w:rPr>
      </w:pPr>
      <w:r>
        <w:rPr>
          <w:rFonts w:hint="eastAsia" w:ascii="方正仿宋_GBK" w:hAnsi="仿宋"/>
          <w:color w:val="0D0D0D"/>
          <w:szCs w:val="32"/>
        </w:rPr>
        <w:t>（十四）商品和服务支出（支出经济分类科目类级）：反映单位购买商品和服务的支出（不包括用于购置固定资产的支出、战略性和应急储备支出）。</w:t>
      </w:r>
    </w:p>
    <w:p w14:paraId="45ED3926">
      <w:pPr>
        <w:adjustRightInd w:val="0"/>
        <w:snapToGrid w:val="0"/>
        <w:spacing w:line="600" w:lineRule="exact"/>
        <w:ind w:firstLine="640" w:firstLineChars="200"/>
        <w:rPr>
          <w:rFonts w:ascii="方正仿宋_GBK" w:hAnsi="仿宋"/>
          <w:color w:val="0D0D0D"/>
          <w:szCs w:val="32"/>
        </w:rPr>
      </w:pPr>
      <w:r>
        <w:rPr>
          <w:rFonts w:hint="eastAsia" w:ascii="方正仿宋_GBK" w:hAnsi="仿宋"/>
          <w:color w:val="0D0D0D"/>
          <w:szCs w:val="32"/>
        </w:rPr>
        <w:t>（十五）对个人和家庭的补助（支出经济分类科目类级）：反映用于对个人和家庭的补助支出。</w:t>
      </w:r>
    </w:p>
    <w:p w14:paraId="42F7BE64">
      <w:pPr>
        <w:adjustRightInd w:val="0"/>
        <w:snapToGrid w:val="0"/>
        <w:spacing w:line="600" w:lineRule="exact"/>
        <w:ind w:firstLine="640" w:firstLineChars="200"/>
        <w:rPr>
          <w:rFonts w:ascii="方正仿宋_GBK" w:hAnsi="仿宋"/>
          <w:color w:val="0D0D0D"/>
          <w:szCs w:val="32"/>
        </w:rPr>
      </w:pPr>
      <w:r>
        <w:rPr>
          <w:rFonts w:hint="eastAsia" w:ascii="方正仿宋_GBK" w:hAnsi="仿宋"/>
          <w:color w:val="0D0D0D"/>
          <w:szCs w:val="32"/>
        </w:rPr>
        <w:t>（十六）其他资本性支出（支出经济分类科目类级）：反映非本级发展与改革部门集中安排的用于购置固定资产、战略性和应急性储备、土地和无形资产，以及构建基础设施、大型修缮和财政支持企业更新改造所发生的支出。</w:t>
      </w:r>
    </w:p>
    <w:p w14:paraId="69FE8219">
      <w:pPr>
        <w:adjustRightInd w:val="0"/>
        <w:snapToGrid w:val="0"/>
        <w:spacing w:line="600" w:lineRule="exact"/>
        <w:ind w:firstLine="640" w:firstLineChars="200"/>
        <w:rPr>
          <w:rFonts w:ascii="方正仿宋_GBK" w:hAnsi="仿宋_GB2312" w:cs="仿宋_GB2312"/>
          <w:color w:val="0D0D0D"/>
        </w:rPr>
      </w:pPr>
    </w:p>
    <w:p w14:paraId="615D3841">
      <w:pPr>
        <w:adjustRightInd w:val="0"/>
        <w:snapToGrid w:val="0"/>
        <w:spacing w:line="600" w:lineRule="exact"/>
        <w:ind w:firstLine="640" w:firstLineChars="200"/>
        <w:rPr>
          <w:rFonts w:ascii="方正仿宋_GBK"/>
          <w:color w:val="0D0D0D"/>
        </w:rPr>
      </w:pPr>
      <w:r>
        <w:rPr>
          <w:rFonts w:hint="eastAsia" w:ascii="方正仿宋_GBK" w:hAnsi="仿宋_GB2312" w:cs="仿宋_GB2312"/>
          <w:color w:val="0D0D0D"/>
        </w:rPr>
        <w:t>（部门预算公开联系人：龚天松，联系方式：</w:t>
      </w:r>
      <w:r>
        <w:rPr>
          <w:rFonts w:hint="eastAsia" w:ascii="方正仿宋_GBK" w:hAnsi="仿宋_GB2312" w:cs="仿宋_GB2312"/>
          <w:szCs w:val="22"/>
        </w:rPr>
        <w:t>023-61847316）</w:t>
      </w:r>
    </w:p>
    <w:p w14:paraId="7C412537"/>
    <w:sectPr>
      <w:footerReference r:id="rId3" w:type="default"/>
      <w:footerReference r:id="rId4" w:type="even"/>
      <w:pgSz w:w="11906" w:h="16838"/>
      <w:pgMar w:top="2098" w:right="1531" w:bottom="1701" w:left="1531" w:header="851" w:footer="1474" w:gutter="0"/>
      <w:cols w:space="720" w:num="1"/>
      <w:docGrid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E7C239A-C6AD-423E-A251-A57B446986C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CBAF6ED4-DB0F-4180-9DC3-C8D33D543401}"/>
  </w:font>
  <w:font w:name="方正仿宋_GBK">
    <w:panose1 w:val="03000509000000000000"/>
    <w:charset w:val="86"/>
    <w:family w:val="script"/>
    <w:pitch w:val="default"/>
    <w:sig w:usb0="00000001" w:usb1="080E0000" w:usb2="00000000" w:usb3="00000000" w:csb0="00040000" w:csb1="00000000"/>
    <w:embedRegular r:id="rId3" w:fontKey="{19D4ABA0-5FCC-4E0D-A4B9-B3A9A0DBD651}"/>
  </w:font>
  <w:font w:name="仿宋">
    <w:panose1 w:val="02010609060101010101"/>
    <w:charset w:val="86"/>
    <w:family w:val="modern"/>
    <w:pitch w:val="default"/>
    <w:sig w:usb0="800002BF" w:usb1="38CF7CFA" w:usb2="00000016" w:usb3="00000000" w:csb0="00040001" w:csb1="00000000"/>
    <w:embedRegular r:id="rId4" w:fontKey="{EEBA493F-223D-437C-BB10-295543F70045}"/>
  </w:font>
  <w:font w:name="方正小标宋_GBK">
    <w:panose1 w:val="02000000000000000000"/>
    <w:charset w:val="86"/>
    <w:family w:val="script"/>
    <w:pitch w:val="default"/>
    <w:sig w:usb0="A00002BF" w:usb1="38CF7CFA" w:usb2="00082016" w:usb3="00000000" w:csb0="00040001" w:csb1="00000000"/>
    <w:embedRegular r:id="rId5" w:fontKey="{839A6F19-9D1A-4C86-9459-BFA92FB08933}"/>
  </w:font>
  <w:font w:name="华文中宋">
    <w:altName w:val="宋体"/>
    <w:panose1 w:val="02010600040101010101"/>
    <w:charset w:val="86"/>
    <w:family w:val="auto"/>
    <w:pitch w:val="default"/>
    <w:sig w:usb0="00000000" w:usb1="00000000" w:usb2="00000010" w:usb3="00000000" w:csb0="0004009F" w:csb1="00000000"/>
    <w:embedRegular r:id="rId6" w:fontKey="{684958AB-D49E-49E7-8B35-1C1D74D90B7B}"/>
  </w:font>
  <w:font w:name="方正黑体_GBK">
    <w:panose1 w:val="02010600010101010101"/>
    <w:charset w:val="86"/>
    <w:family w:val="script"/>
    <w:pitch w:val="default"/>
    <w:sig w:usb0="00000001" w:usb1="080E0000" w:usb2="00000000" w:usb3="00000000" w:csb0="00040000" w:csb1="00000000"/>
    <w:embedRegular r:id="rId7" w:fontKey="{1C2B9074-E8A2-4292-B8BD-5634A115200F}"/>
  </w:font>
  <w:font w:name="仿宋_GB2312">
    <w:altName w:val="仿宋"/>
    <w:panose1 w:val="00000000000000000000"/>
    <w:charset w:val="86"/>
    <w:family w:val="modern"/>
    <w:pitch w:val="default"/>
    <w:sig w:usb0="00000000" w:usb1="00000000" w:usb2="00000000" w:usb3="00000000" w:csb0="00040000" w:csb1="00000000"/>
    <w:embedRegular r:id="rId8" w:fontKey="{CFE89AA1-659E-4BB2-90AB-C2536943195C}"/>
  </w:font>
  <w:font w:name="方正楷体_GBK">
    <w:panose1 w:val="02000000000000000000"/>
    <w:charset w:val="86"/>
    <w:family w:val="script"/>
    <w:pitch w:val="default"/>
    <w:sig w:usb0="800002BF" w:usb1="38CF7CFA" w:usb2="00000016" w:usb3="00000000" w:csb0="00040000" w:csb1="00000000"/>
    <w:embedRegular r:id="rId9" w:fontKey="{C4E03689-7937-4CA9-B632-EC5A9450E93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C639C3">
    <w:pPr>
      <w:pStyle w:val="2"/>
      <w:framePr w:wrap="around" w:vAnchor="text" w:hAnchor="margin" w:xAlign="outside" w:y="1"/>
      <w:ind w:right="320" w:rightChars="100"/>
      <w:rPr>
        <w:rStyle w:val="5"/>
        <w:rFonts w:ascii="宋体" w:hAnsi="宋体" w:eastAsia="宋体"/>
        <w:sz w:val="28"/>
        <w:szCs w:val="28"/>
      </w:rPr>
    </w:pPr>
    <w:r>
      <w:rPr>
        <w:rStyle w:val="5"/>
        <w:rFonts w:hint="eastAsia" w:ascii="宋体" w:hAnsi="宋体" w:eastAsia="宋体"/>
        <w:sz w:val="28"/>
        <w:szCs w:val="28"/>
      </w:rPr>
      <w:t xml:space="preserve">— </w:t>
    </w:r>
    <w:r>
      <w:rPr>
        <w:rStyle w:val="5"/>
        <w:rFonts w:eastAsia="宋体"/>
        <w:sz w:val="28"/>
        <w:szCs w:val="28"/>
      </w:rPr>
      <w:fldChar w:fldCharType="begin"/>
    </w:r>
    <w:r>
      <w:rPr>
        <w:rStyle w:val="5"/>
        <w:rFonts w:eastAsia="宋体"/>
        <w:sz w:val="28"/>
        <w:szCs w:val="28"/>
      </w:rPr>
      <w:instrText xml:space="preserve">PAGE  </w:instrText>
    </w:r>
    <w:r>
      <w:rPr>
        <w:rStyle w:val="5"/>
        <w:rFonts w:eastAsia="宋体"/>
        <w:sz w:val="28"/>
        <w:szCs w:val="28"/>
      </w:rPr>
      <w:fldChar w:fldCharType="separate"/>
    </w:r>
    <w:r>
      <w:rPr>
        <w:rStyle w:val="5"/>
        <w:rFonts w:eastAsia="宋体"/>
        <w:sz w:val="28"/>
        <w:szCs w:val="28"/>
      </w:rPr>
      <w:t>7</w:t>
    </w:r>
    <w:r>
      <w:rPr>
        <w:rStyle w:val="5"/>
        <w:rFonts w:eastAsia="宋体"/>
        <w:sz w:val="28"/>
        <w:szCs w:val="28"/>
      </w:rPr>
      <w:fldChar w:fldCharType="end"/>
    </w:r>
    <w:r>
      <w:rPr>
        <w:rStyle w:val="5"/>
        <w:rFonts w:hint="eastAsia" w:ascii="宋体" w:hAnsi="宋体" w:eastAsia="宋体"/>
        <w:sz w:val="28"/>
        <w:szCs w:val="28"/>
      </w:rPr>
      <w:t xml:space="preserve"> —</w:t>
    </w:r>
  </w:p>
  <w:p w14:paraId="59422526">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BA14B6">
    <w:pPr>
      <w:pStyle w:val="2"/>
      <w:framePr w:wrap="around" w:vAnchor="text" w:hAnchor="margin" w:xAlign="outside" w:y="1"/>
      <w:ind w:left="320" w:leftChars="100"/>
      <w:rPr>
        <w:rStyle w:val="5"/>
        <w:rFonts w:ascii="宋体" w:hAnsi="宋体" w:eastAsia="宋体"/>
        <w:sz w:val="28"/>
        <w:szCs w:val="28"/>
      </w:rPr>
    </w:pPr>
    <w:r>
      <w:rPr>
        <w:rStyle w:val="5"/>
        <w:rFonts w:hint="eastAsia" w:ascii="宋体" w:hAnsi="宋体" w:eastAsia="宋体"/>
        <w:sz w:val="28"/>
        <w:szCs w:val="28"/>
      </w:rPr>
      <w:t xml:space="preserve">— </w:t>
    </w:r>
    <w:r>
      <w:rPr>
        <w:rStyle w:val="5"/>
        <w:rFonts w:ascii="宋体" w:hAnsi="宋体" w:eastAsia="宋体"/>
        <w:sz w:val="28"/>
        <w:szCs w:val="28"/>
      </w:rPr>
      <w:fldChar w:fldCharType="begin"/>
    </w:r>
    <w:r>
      <w:rPr>
        <w:rStyle w:val="5"/>
        <w:rFonts w:ascii="宋体" w:hAnsi="宋体" w:eastAsia="宋体"/>
        <w:sz w:val="28"/>
        <w:szCs w:val="28"/>
      </w:rPr>
      <w:instrText xml:space="preserve">PAGE  </w:instrText>
    </w:r>
    <w:r>
      <w:rPr>
        <w:rStyle w:val="5"/>
        <w:rFonts w:ascii="宋体" w:hAnsi="宋体" w:eastAsia="宋体"/>
        <w:sz w:val="28"/>
        <w:szCs w:val="28"/>
      </w:rPr>
      <w:fldChar w:fldCharType="separate"/>
    </w:r>
    <w:r>
      <w:rPr>
        <w:rStyle w:val="5"/>
        <w:rFonts w:ascii="宋体" w:hAnsi="宋体" w:eastAsia="宋体"/>
        <w:sz w:val="28"/>
        <w:szCs w:val="28"/>
      </w:rPr>
      <w:t>10</w:t>
    </w:r>
    <w:r>
      <w:rPr>
        <w:rStyle w:val="5"/>
        <w:rFonts w:ascii="宋体" w:hAnsi="宋体" w:eastAsia="宋体"/>
        <w:sz w:val="28"/>
        <w:szCs w:val="28"/>
      </w:rPr>
      <w:fldChar w:fldCharType="end"/>
    </w:r>
    <w:r>
      <w:rPr>
        <w:rStyle w:val="5"/>
        <w:rFonts w:hint="eastAsia" w:ascii="宋体" w:hAnsi="宋体" w:eastAsia="宋体"/>
        <w:sz w:val="28"/>
        <w:szCs w:val="28"/>
      </w:rPr>
      <w:t xml:space="preserve"> —</w:t>
    </w:r>
  </w:p>
  <w:p w14:paraId="2241B87B">
    <w:pPr>
      <w:pStyle w:val="2"/>
      <w:framePr w:wrap="around" w:vAnchor="text" w:hAnchor="margin" w:xAlign="outside" w:y="1"/>
      <w:ind w:left="640" w:leftChars="200" w:right="640" w:rightChars="200" w:firstLine="360"/>
      <w:rPr>
        <w:rStyle w:val="5"/>
        <w:rFonts w:ascii="宋体" w:hAnsi="宋体" w:eastAsia="宋体"/>
        <w:sz w:val="28"/>
        <w:szCs w:val="28"/>
      </w:rPr>
    </w:pPr>
  </w:p>
  <w:p w14:paraId="6EDF8E54">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34C0"/>
    <w:rsid w:val="00603335"/>
    <w:rsid w:val="00A129DD"/>
    <w:rsid w:val="00A934C0"/>
    <w:rsid w:val="0BAB1EDE"/>
    <w:rsid w:val="0BFE4EEC"/>
    <w:rsid w:val="0CB753A7"/>
    <w:rsid w:val="135476EE"/>
    <w:rsid w:val="138E2FF9"/>
    <w:rsid w:val="1D5A2821"/>
    <w:rsid w:val="291E22D1"/>
    <w:rsid w:val="2C5A59AB"/>
    <w:rsid w:val="31B86968"/>
    <w:rsid w:val="31ED63EB"/>
    <w:rsid w:val="38AC78FA"/>
    <w:rsid w:val="39A474B2"/>
    <w:rsid w:val="400718BA"/>
    <w:rsid w:val="417252AC"/>
    <w:rsid w:val="4913561C"/>
    <w:rsid w:val="4C0A12D4"/>
    <w:rsid w:val="52AD4F6C"/>
    <w:rsid w:val="53B070E8"/>
    <w:rsid w:val="5C7D5034"/>
    <w:rsid w:val="6E557B10"/>
    <w:rsid w:val="707945E1"/>
    <w:rsid w:val="71331D72"/>
    <w:rsid w:val="73506305"/>
    <w:rsid w:val="75076E2F"/>
    <w:rsid w:val="77F951E6"/>
    <w:rsid w:val="78C7160B"/>
    <w:rsid w:val="7D6173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kern w:val="2"/>
      <w:sz w:val="32"/>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character" w:styleId="5">
    <w:name w:val="page number"/>
    <w:qFormat/>
    <w:uiPriority w:val="0"/>
  </w:style>
  <w:style w:type="paragraph" w:styleId="6">
    <w:name w:val="List Paragraph"/>
    <w:basedOn w:val="1"/>
    <w:qFormat/>
    <w:uiPriority w:val="34"/>
    <w:pPr>
      <w:ind w:firstLine="420" w:firstLineChars="200"/>
    </w:pPr>
    <w:rPr>
      <w:rFonts w:ascii="仿宋" w:hAnsi="仿宋" w:eastAsia="仿宋"/>
      <w:sz w:val="28"/>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7</Pages>
  <Words>3178</Words>
  <Characters>3345</Characters>
  <Lines>24</Lines>
  <Paragraphs>6</Paragraphs>
  <TotalTime>3</TotalTime>
  <ScaleCrop>false</ScaleCrop>
  <LinksUpToDate>false</LinksUpToDate>
  <CharactersWithSpaces>3345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2026-03-23T00:51:00Z</dcterms:created>
  <dc:creator>Administrator</dc:creator>
  <cp:lastModifiedBy>silence</cp:lastModifiedBy>
  <dcterms:modified xsi:type="dcterms:W3CDTF">2026-07-08T03:24:37Z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eyJoZGlkIjoiZjRmYWUxOWJhMWE5OGFmZGQyNzA0NjBkZTNhOGRjMDEiLCJ1c2VySWQiOiIyNDg4ODMzNzUifQ==</vt:lpwstr>
  </property>
  <property fmtid="{D5CDD505-2E9C-101B-9397-08002B2CF9AE}" pid="4" name="ICV">
    <vt:lpwstr>C848B7349AA84364B23756C1A81AE10E_12</vt:lpwstr>
  </property>
</Properties>
</file>