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06CC">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走马镇卫生院</w:t>
      </w:r>
    </w:p>
    <w:p w14:paraId="01889F6E">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2026年部门预算情况说明</w:t>
      </w:r>
    </w:p>
    <w:p w14:paraId="718953F9">
      <w:pPr>
        <w:spacing w:line="600" w:lineRule="exact"/>
        <w:jc w:val="center"/>
        <w:rPr>
          <w:rFonts w:ascii="方正小标宋_GBK" w:hAnsi="华文中宋" w:eastAsia="方正小标宋_GBK" w:cs="华文中宋"/>
          <w:color w:val="0D0D0D"/>
          <w:sz w:val="44"/>
          <w:szCs w:val="44"/>
        </w:rPr>
      </w:pPr>
    </w:p>
    <w:p w14:paraId="3D12CA39">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288235A9">
      <w:pPr>
        <w:adjustRightInd w:val="0"/>
        <w:snapToGrid w:val="0"/>
        <w:spacing w:line="600" w:lineRule="exact"/>
        <w:ind w:firstLine="640" w:firstLineChars="200"/>
        <w:rPr>
          <w:rFonts w:ascii="方正仿宋_GBK" w:hAnsi="仿宋_GB2312" w:cs="仿宋_GB2312"/>
          <w:color w:val="0D0D0D"/>
        </w:rPr>
      </w:pPr>
      <w:r>
        <w:rPr>
          <w:rFonts w:hint="eastAsia" w:ascii="方正楷体_GBK" w:hAnsi="仿宋_GB2312" w:eastAsia="方正楷体_GBK" w:cs="仿宋_GB2312"/>
          <w:color w:val="0D0D0D"/>
        </w:rPr>
        <w:t>（一）职能职责</w:t>
      </w:r>
    </w:p>
    <w:p w14:paraId="6E36BE9C">
      <w:pPr>
        <w:pStyle w:val="6"/>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为辖区居民提</w:t>
      </w:r>
      <w:bookmarkStart w:id="0" w:name="_GoBack"/>
      <w:bookmarkEnd w:id="0"/>
      <w:r>
        <w:rPr>
          <w:rFonts w:hint="eastAsia" w:ascii="方正仿宋_GBK" w:hAnsi="仿宋_GB2312" w:eastAsia="方正仿宋_GBK" w:cs="仿宋_GB2312"/>
          <w:sz w:val="32"/>
        </w:rPr>
        <w:t>供基本公共卫生服务、基本医疗服务、生殖健康服务、计划生育技术服务和综合管理服务。</w:t>
      </w:r>
    </w:p>
    <w:p w14:paraId="3DDEF11D">
      <w:pPr>
        <w:pStyle w:val="6"/>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1.公共卫生服务。包括建立居民健康档案、健康教育宣传、预防接种服务、儿童健康管理服务、孕产妇健康管理服务、老年人健康管理服务、慢性病患者健康管理服务、严重精神障碍患者管理服务、结核病患者健康管理服务、中医药健康管理服务、传染病防治及突发公共卫生事件报告处置、卫生计生监督协管服务、职业病防治、农村妇女“两癌”检查项目管理、基本避孕服务项目管理、增补叶酸预防神经管缺陷项目管理、国家免费孕前优生健康检查项目管理、健康素养促进项目管理、老年健康与医养结合服务管理和人口监测项目等。</w:t>
      </w:r>
    </w:p>
    <w:p w14:paraId="44F01607">
      <w:pPr>
        <w:pStyle w:val="6"/>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2.基本医疗服务。包括对辖区居民的常见病、多发病，以及疑难重症进行恰当的处理并转诊；承担辖区应急救护、转诊服务；加强医疗质量管理，做好医疗废物处理和污水、污物无害化处理；执行国家基本药物制度药品（卫生材料）集中采购、零差率销售等政策，对所属行政村卫生室实行一体化管理，承担对村卫生室和乡村医生的业务管理和指导；提供卫生行政主管部门批准的其他医疗服务。</w:t>
      </w:r>
    </w:p>
    <w:p w14:paraId="2C095032">
      <w:pPr>
        <w:pStyle w:val="6"/>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3.为辖区居民提供生殖健康服务、计划生育技术服务；配合上级开展卫生监督协管，贯彻执行国家各种卫生法规，对本镇内有关行业实行监督管理。</w:t>
      </w:r>
    </w:p>
    <w:p w14:paraId="2C762BC2">
      <w:pPr>
        <w:pStyle w:val="6"/>
        <w:tabs>
          <w:tab w:val="center" w:pos="4153"/>
          <w:tab w:val="left" w:pos="7275"/>
        </w:tabs>
        <w:adjustRightInd w:val="0"/>
        <w:snapToGrid w:val="0"/>
        <w:spacing w:line="600" w:lineRule="exact"/>
        <w:ind w:left="640" w:firstLine="0" w:firstLineChars="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（二）单位构成</w:t>
      </w:r>
    </w:p>
    <w:p w14:paraId="4CDB2ABF">
      <w:pPr>
        <w:spacing w:line="600" w:lineRule="exact"/>
        <w:ind w:firstLine="640" w:firstLineChars="200"/>
        <w:rPr>
          <w:rFonts w:ascii="方正仿宋_GBK" w:hAnsi="仿宋_GB2312" w:cs="仿宋_GB2312"/>
        </w:rPr>
      </w:pPr>
      <w:r>
        <w:rPr>
          <w:rFonts w:hint="eastAsia" w:ascii="方正仿宋_GBK" w:hAnsi="仿宋_GB2312" w:cs="仿宋_GB2312"/>
        </w:rPr>
        <w:t>医院设有综合办公室、医务科、财务科、公共卫生科、内科、外科、妇产科、医技科、中医科、综合病区、药械科等科室，</w:t>
      </w:r>
      <w:r>
        <w:rPr>
          <w:rFonts w:hint="eastAsia" w:ascii="方正仿宋_GBK" w:hAnsi="仿宋_GB2312" w:cs="仿宋_GB2312"/>
          <w:szCs w:val="22"/>
        </w:rPr>
        <w:t>为辖区居民提供基本公共卫生服务，</w:t>
      </w:r>
      <w:r>
        <w:rPr>
          <w:rFonts w:hint="eastAsia" w:ascii="方正仿宋_GBK" w:hAnsi="仿宋_GB2312" w:cs="仿宋_GB2312"/>
        </w:rPr>
        <w:t>开展常见病、多发病的诊断和治疗。</w:t>
      </w:r>
    </w:p>
    <w:p w14:paraId="5A4E4250">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二、部门收支总体情况</w:t>
      </w:r>
    </w:p>
    <w:p w14:paraId="2AD89499">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1338.71万元，其中：一般公共预算拨款638.71万元，政府性基金预算拨款0万元，国有资本经营预算收入0万元，事业收入700万元，事业单位经营收入0万元，其他收入0万元。收入较2025年减少180.62万元，</w:t>
      </w:r>
      <w:r>
        <w:rPr>
          <w:rFonts w:hint="eastAsia" w:ascii="方正仿宋_GBK" w:hAnsi="仿宋_GB2312" w:cs="仿宋_GB2312"/>
          <w:szCs w:val="22"/>
        </w:rPr>
        <w:t>主要是一般公共预算拨款增加69.38万元，事业收入减少250万元</w:t>
      </w:r>
      <w:r>
        <w:rPr>
          <w:rFonts w:hint="eastAsia" w:ascii="方正仿宋_GBK" w:hAnsi="仿宋_GB2312" w:cs="仿宋_GB2312"/>
          <w:color w:val="0D0D0D"/>
        </w:rPr>
        <w:t>。</w:t>
      </w:r>
    </w:p>
    <w:p w14:paraId="6D68BC2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1338.71万元，其中：一般公共服务支出预算0万元，教育支出预算0万元，社会保障和就业支出预算162.9万元，卫生健康支出预算1135.34万元，住房保障支出预算40.46万元。支出预算较2025年减少180.62万元，主要是基本支出预算增加54.96万元，项目支出预算减少235.58万元。</w:t>
      </w:r>
    </w:p>
    <w:p w14:paraId="3A75F70B">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5B3DCA5E">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638.71万元，一般公共预算财政拨款支出638.71万元，比2025年增加69.38万元。其中：基本支出638.71万元，比2025年增加69.38万元，主要原因是人员变化调整，主要用于保障在职人员工资福利及社会保险缴费，离休人员离休费，退休人员补助等，保障部门正常运转的各项商品服务支出；项目支出0万元，</w:t>
      </w:r>
      <w:r>
        <w:rPr>
          <w:rFonts w:hint="eastAsia" w:ascii="方正仿宋_GBK" w:hAnsi="仿宋_GB2312" w:cs="仿宋_GB2312"/>
        </w:rPr>
        <w:t>与2025年预算数一致</w:t>
      </w:r>
      <w:r>
        <w:rPr>
          <w:rFonts w:hint="eastAsia" w:ascii="方正仿宋_GBK" w:hAnsi="仿宋_GB2312" w:cs="仿宋_GB2312"/>
          <w:color w:val="0D0D0D"/>
        </w:rPr>
        <w:t>。</w:t>
      </w:r>
    </w:p>
    <w:p w14:paraId="279DEEC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2026年政府性基金预算收入0万元，政府性基金预算支出0万元，</w:t>
      </w:r>
      <w:r>
        <w:rPr>
          <w:rFonts w:hint="eastAsia" w:ascii="方正仿宋_GBK" w:hAnsi="仿宋_GB2312" w:cs="仿宋_GB2312"/>
        </w:rPr>
        <w:t>与2025年预算数一致</w:t>
      </w:r>
      <w:r>
        <w:rPr>
          <w:rFonts w:hint="eastAsia" w:ascii="方正仿宋_GBK" w:hAnsi="仿宋_GB2312" w:cs="仿宋_GB2312"/>
          <w:color w:val="0D0D0D"/>
        </w:rPr>
        <w:t>。</w:t>
      </w:r>
      <w:r>
        <w:rPr>
          <w:rFonts w:hint="eastAsia" w:ascii="方正仿宋_GBK" w:hAnsi="仿宋_GB2312" w:cs="仿宋_GB2312"/>
        </w:rPr>
        <w:t>走马镇卫生院</w:t>
      </w:r>
      <w:r>
        <w:rPr>
          <w:rFonts w:hint="eastAsia" w:ascii="方正仿宋_GBK" w:hAnsi="仿宋_GB2312" w:cs="仿宋_GB2312"/>
          <w:color w:val="0D0D0D"/>
        </w:rPr>
        <w:t>2026年无使用政府性基金预算拨款安排的支出</w:t>
      </w:r>
      <w:r>
        <w:rPr>
          <w:rFonts w:hint="eastAsia" w:ascii="方正仿宋_GBK" w:hAnsi="仿宋_GB2312" w:cs="仿宋_GB2312"/>
        </w:rPr>
        <w:t>。</w:t>
      </w:r>
    </w:p>
    <w:p w14:paraId="7AE959C3">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5AB6E24F">
      <w:pPr>
        <w:adjustRightInd w:val="0"/>
        <w:snapToGrid w:val="0"/>
        <w:spacing w:line="600" w:lineRule="exact"/>
        <w:ind w:firstLine="600"/>
        <w:rPr>
          <w:rFonts w:ascii="方正仿宋_GBK" w:hAnsi="仿宋_GB2312" w:cs="仿宋_GB2312"/>
          <w:color w:val="0D0D0D"/>
        </w:rPr>
      </w:pPr>
      <w:r>
        <w:rPr>
          <w:rFonts w:hint="eastAsia" w:ascii="方正仿宋_GBK" w:hAnsi="仿宋_GB2312" w:cs="仿宋_GB2312"/>
          <w:color w:val="0D0D0D"/>
        </w:rPr>
        <w:t>2026年“三公”经费预算0万元，</w:t>
      </w:r>
      <w:r>
        <w:rPr>
          <w:rFonts w:hint="eastAsia" w:ascii="方正仿宋_GBK" w:hAnsi="仿宋_GB2312" w:cs="仿宋_GB2312"/>
          <w:szCs w:val="22"/>
        </w:rPr>
        <w:t>与2025年预算数一致</w:t>
      </w:r>
      <w:r>
        <w:rPr>
          <w:rFonts w:hint="eastAsia" w:ascii="方正仿宋_GBK" w:hAnsi="仿宋_GB2312" w:cs="仿宋_GB2312"/>
          <w:color w:val="0D0D0D"/>
        </w:rPr>
        <w:t>。其中，因公出国（境）费用0万元，</w:t>
      </w:r>
      <w:r>
        <w:rPr>
          <w:rFonts w:hint="eastAsia" w:ascii="方正仿宋_GBK" w:hAnsi="仿宋_GB2312" w:cs="仿宋_GB2312"/>
          <w:szCs w:val="22"/>
        </w:rPr>
        <w:t>与2025年预算数一致</w:t>
      </w:r>
      <w:r>
        <w:rPr>
          <w:rFonts w:hint="eastAsia" w:ascii="方正仿宋_GBK" w:hAnsi="仿宋_GB2312" w:cs="仿宋_GB2312"/>
          <w:color w:val="0D0D0D"/>
        </w:rPr>
        <w:t>；公务接待费0万元，</w:t>
      </w:r>
      <w:r>
        <w:rPr>
          <w:rFonts w:hint="eastAsia" w:ascii="方正仿宋_GBK" w:hAnsi="仿宋_GB2312" w:cs="仿宋_GB2312"/>
          <w:szCs w:val="22"/>
        </w:rPr>
        <w:t>与2025年预算数一致</w:t>
      </w:r>
      <w:r>
        <w:rPr>
          <w:rFonts w:hint="eastAsia" w:ascii="方正仿宋_GBK" w:hAnsi="仿宋_GB2312" w:cs="仿宋_GB2312"/>
          <w:color w:val="0D0D0D"/>
        </w:rPr>
        <w:t>；公务用车运行维护费0万元，</w:t>
      </w:r>
      <w:r>
        <w:rPr>
          <w:rFonts w:hint="eastAsia" w:ascii="方正仿宋_GBK" w:hAnsi="仿宋_GB2312" w:cs="仿宋_GB2312"/>
          <w:szCs w:val="22"/>
        </w:rPr>
        <w:t>与2025年预算数一致</w:t>
      </w:r>
      <w:r>
        <w:rPr>
          <w:rFonts w:hint="eastAsia" w:ascii="方正仿宋_GBK" w:hAnsi="仿宋_GB2312" w:cs="仿宋_GB2312"/>
          <w:color w:val="0D0D0D"/>
        </w:rPr>
        <w:t>；公务用车购置费0万元，</w:t>
      </w:r>
      <w:r>
        <w:rPr>
          <w:rFonts w:hint="eastAsia" w:ascii="方正仿宋_GBK" w:hAnsi="仿宋_GB2312" w:cs="仿宋_GB2312"/>
          <w:szCs w:val="22"/>
        </w:rPr>
        <w:t>与2025年预算数一致</w:t>
      </w:r>
      <w:r>
        <w:rPr>
          <w:rFonts w:hint="eastAsia" w:ascii="方正仿宋_GBK" w:hAnsi="仿宋_GB2312" w:cs="仿宋_GB2312"/>
          <w:color w:val="0D0D0D"/>
        </w:rPr>
        <w:t>。</w:t>
      </w:r>
      <w:r>
        <w:rPr>
          <w:rFonts w:hint="eastAsia" w:ascii="方正仿宋_GBK" w:hAnsi="仿宋_GB2312" w:cs="仿宋_GB2312"/>
          <w:szCs w:val="22"/>
        </w:rPr>
        <w:t>主要原因是</w:t>
      </w:r>
      <w:r>
        <w:rPr>
          <w:rFonts w:hint="eastAsia"/>
        </w:rPr>
        <w:t>本单位</w:t>
      </w:r>
      <w:r>
        <w:rPr>
          <w:rFonts w:hint="eastAsia" w:ascii="方正仿宋_GBK" w:hAnsi="仿宋_GB2312" w:cs="仿宋_GB2312"/>
        </w:rPr>
        <w:t>2026</w:t>
      </w:r>
      <w:r>
        <w:rPr>
          <w:rFonts w:hint="eastAsia"/>
        </w:rPr>
        <w:t>年无一般公共</w:t>
      </w:r>
      <w:r>
        <w:rPr>
          <w:rFonts w:hint="eastAsia"/>
          <w:lang w:eastAsia="zh-CN"/>
        </w:rPr>
        <w:t>预算拨款</w:t>
      </w:r>
      <w:r>
        <w:rPr>
          <w:rFonts w:hint="eastAsia"/>
        </w:rPr>
        <w:t>安排的“三公”经费支出</w:t>
      </w:r>
      <w:r>
        <w:rPr>
          <w:rFonts w:hint="eastAsia" w:ascii="方正仿宋_GBK" w:hAnsi="仿宋_GB2312" w:cs="仿宋_GB2312"/>
          <w:szCs w:val="22"/>
        </w:rPr>
        <w:t>。</w:t>
      </w:r>
    </w:p>
    <w:p w14:paraId="7898C3FD">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6C12B095">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2D4DAC34">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w:t>
      </w:r>
      <w:r>
        <w:rPr>
          <w:rFonts w:hint="eastAsia" w:ascii="方正仿宋_GBK" w:hAnsi="仿宋_GB2312" w:cs="仿宋_GB2312"/>
          <w:szCs w:val="22"/>
        </w:rPr>
        <w:t>本单位政府采购预算总额11万元</w:t>
      </w:r>
      <w:r>
        <w:rPr>
          <w:rFonts w:hint="eastAsia" w:ascii="方正仿宋_GBK" w:hAnsi="仿宋_GB2312" w:cs="仿宋_GB2312"/>
          <w:color w:val="0D0D0D"/>
        </w:rPr>
        <w:t>，其中，政府采购货物预算11万元、政府采购工程预算0万元、政府采购服务预算0万元；一般公共预算拨款政府采购0万元，其中，政府采购货物预算0万元、政府采购工程预算0万元、政府采购服务预算0万元。</w:t>
      </w:r>
    </w:p>
    <w:p w14:paraId="7A295E9A">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（三）绩效目标设置情况。2026年项目支出均实行了绩效目标管理，涉及一般公共预算当年财政拨款0万元。</w:t>
      </w:r>
    </w:p>
    <w:p w14:paraId="17D7433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（四）国有资产占有使用情况。截止2025年12月，所属各预算单位共有车辆1辆，其中一般公务用车0辆、执勤执法用车0辆，</w:t>
      </w:r>
      <w:r>
        <w:rPr>
          <w:rFonts w:hint="eastAsia" w:ascii="方正仿宋_GBK" w:hAnsi="仿宋_GB2312" w:cs="仿宋_GB2312"/>
          <w:szCs w:val="22"/>
        </w:rPr>
        <w:t>特种专业技术用车1辆</w:t>
      </w:r>
      <w:r>
        <w:rPr>
          <w:rFonts w:hint="eastAsia" w:ascii="方正仿宋_GBK" w:hAnsi="仿宋_GB2312" w:cs="仿宋_GB2312"/>
          <w:color w:val="0D0D0D"/>
        </w:rPr>
        <w:t>。2026年一般公共预算安排购置车辆0辆，其中一般公务用车0辆、执勤执法用车0辆，</w:t>
      </w:r>
      <w:r>
        <w:rPr>
          <w:rFonts w:hint="eastAsia" w:ascii="方正仿宋_GBK" w:hAnsi="仿宋_GB2312" w:cs="仿宋_GB2312"/>
          <w:szCs w:val="22"/>
        </w:rPr>
        <w:t>特种专业技术用车0辆</w:t>
      </w:r>
      <w:r>
        <w:rPr>
          <w:rFonts w:hint="eastAsia" w:ascii="方正仿宋_GBK" w:hAnsi="仿宋_GB2312" w:cs="仿宋_GB2312"/>
          <w:color w:val="0D0D0D"/>
        </w:rPr>
        <w:t>。</w:t>
      </w:r>
    </w:p>
    <w:p w14:paraId="59132C90">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（五）委托业务费情况。2026年委托业务费涉及财拨资金0万元。</w:t>
      </w:r>
    </w:p>
    <w:p w14:paraId="65B16945">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0D89B28F">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1FA144E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38FD9A8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64ADA22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1987124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72FD9EE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9CABA2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24F0584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08FD59C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53015A">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067ADBE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ED561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30076C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6C9BEE5F">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45ED392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42F7BE64">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9FE8219">
      <w:pPr>
        <w:adjustRightInd w:val="0"/>
        <w:snapToGrid w:val="0"/>
        <w:spacing w:line="600" w:lineRule="exact"/>
        <w:ind w:firstLine="640" w:firstLineChars="200"/>
        <w:rPr>
          <w:rFonts w:ascii="方正仿宋_GBK" w:hAnsi="仿宋_GB2312" w:cs="仿宋_GB2312"/>
          <w:color w:val="0D0D0D"/>
        </w:rPr>
      </w:pPr>
    </w:p>
    <w:p w14:paraId="615D3841">
      <w:pPr>
        <w:adjustRightInd w:val="0"/>
        <w:snapToGrid w:val="0"/>
        <w:spacing w:line="600" w:lineRule="exact"/>
        <w:ind w:firstLine="640" w:firstLineChars="200"/>
        <w:rPr>
          <w:rFonts w:ascii="方正仿宋_GBK"/>
          <w:color w:val="0D0D0D"/>
        </w:rPr>
      </w:pPr>
      <w:r>
        <w:rPr>
          <w:rFonts w:hint="eastAsia" w:ascii="方正仿宋_GBK" w:hAnsi="仿宋_GB2312" w:cs="仿宋_GB2312"/>
          <w:color w:val="0D0D0D"/>
        </w:rPr>
        <w:t>（部门预算公开联系人：龚天松，联系方式：</w:t>
      </w:r>
      <w:r>
        <w:rPr>
          <w:rFonts w:hint="eastAsia" w:ascii="方正仿宋_GBK" w:hAnsi="仿宋_GB2312" w:cs="仿宋_GB2312"/>
          <w:szCs w:val="22"/>
        </w:rPr>
        <w:t>023-61847316）</w:t>
      </w:r>
    </w:p>
    <w:p w14:paraId="7C412537"/>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AFFAA4-E97A-4668-A19C-4018583DE9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E66EFB-00A1-42AF-A806-3220FABE727B}"/>
  </w:font>
  <w:font w:name="方正仿宋_GBK">
    <w:panose1 w:val="03000509000000000000"/>
    <w:charset w:val="86"/>
    <w:family w:val="script"/>
    <w:pitch w:val="default"/>
    <w:sig w:usb0="00000001" w:usb1="080E0000" w:usb2="00000000" w:usb3="00000000" w:csb0="00040000" w:csb1="00000000"/>
    <w:embedRegular r:id="rId3" w:fontKey="{B8A38965-4F89-4C45-B4EE-FD6877F17DF4}"/>
  </w:font>
  <w:font w:name="仿宋">
    <w:panose1 w:val="02010609060101010101"/>
    <w:charset w:val="86"/>
    <w:family w:val="modern"/>
    <w:pitch w:val="default"/>
    <w:sig w:usb0="800002BF" w:usb1="38CF7CFA" w:usb2="00000016" w:usb3="00000000" w:csb0="00040001" w:csb1="00000000"/>
    <w:embedRegular r:id="rId4" w:fontKey="{480B66C7-E52E-488C-881F-F0077AC71F2A}"/>
  </w:font>
  <w:font w:name="方正小标宋_GBK">
    <w:panose1 w:val="02000000000000000000"/>
    <w:charset w:val="86"/>
    <w:family w:val="script"/>
    <w:pitch w:val="default"/>
    <w:sig w:usb0="A00002BF" w:usb1="38CF7CFA" w:usb2="00082016" w:usb3="00000000" w:csb0="00040001" w:csb1="00000000"/>
    <w:embedRegular r:id="rId5" w:fontKey="{5F1B3EC8-1DFB-42B9-86E7-811E312F5F24}"/>
  </w:font>
  <w:font w:name="华文中宋">
    <w:altName w:val="宋体"/>
    <w:panose1 w:val="02010600040101010101"/>
    <w:charset w:val="86"/>
    <w:family w:val="auto"/>
    <w:pitch w:val="default"/>
    <w:sig w:usb0="00000000" w:usb1="00000000" w:usb2="00000010" w:usb3="00000000" w:csb0="0004009F" w:csb1="00000000"/>
    <w:embedRegular r:id="rId6" w:fontKey="{4C82996C-BB9F-4628-A2A0-336DA9890CC9}"/>
  </w:font>
  <w:font w:name="方正黑体_GBK">
    <w:panose1 w:val="02010600010101010101"/>
    <w:charset w:val="86"/>
    <w:family w:val="script"/>
    <w:pitch w:val="default"/>
    <w:sig w:usb0="00000001" w:usb1="080E0000" w:usb2="00000000" w:usb3="00000000" w:csb0="00040000" w:csb1="00000000"/>
    <w:embedRegular r:id="rId7" w:fontKey="{EAA46AC8-1A2D-4560-8AB2-F8442A0754CE}"/>
  </w:font>
  <w:font w:name="仿宋_GB2312">
    <w:altName w:val="仿宋"/>
    <w:panose1 w:val="00000000000000000000"/>
    <w:charset w:val="86"/>
    <w:family w:val="modern"/>
    <w:pitch w:val="default"/>
    <w:sig w:usb0="00000000" w:usb1="00000000" w:usb2="00000000" w:usb3="00000000" w:csb0="00040000" w:csb1="00000000"/>
    <w:embedRegular r:id="rId8" w:fontKey="{B0152EFB-B354-4C9B-824A-D000BFB3AC68}"/>
  </w:font>
  <w:font w:name="方正楷体_GBK">
    <w:panose1 w:val="02000000000000000000"/>
    <w:charset w:val="86"/>
    <w:family w:val="script"/>
    <w:pitch w:val="default"/>
    <w:sig w:usb0="800002BF" w:usb1="38CF7CFA" w:usb2="00000016" w:usb3="00000000" w:csb0="00040000" w:csb1="00000000"/>
    <w:embedRegular r:id="rId9" w:fontKey="{3D52AA28-6570-4F7D-9864-5ADF5D56B9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39C3">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7</w:t>
    </w:r>
    <w:r>
      <w:rPr>
        <w:rStyle w:val="5"/>
        <w:rFonts w:eastAsia="宋体"/>
        <w:sz w:val="28"/>
        <w:szCs w:val="28"/>
      </w:rPr>
      <w:fldChar w:fldCharType="end"/>
    </w:r>
    <w:r>
      <w:rPr>
        <w:rStyle w:val="5"/>
        <w:rFonts w:hint="eastAsia" w:ascii="宋体" w:hAnsi="宋体" w:eastAsia="宋体"/>
        <w:sz w:val="28"/>
        <w:szCs w:val="28"/>
      </w:rPr>
      <w:t xml:space="preserve"> —</w:t>
    </w:r>
  </w:p>
  <w:p w14:paraId="5942252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14B6">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2241B87B">
    <w:pPr>
      <w:pStyle w:val="2"/>
      <w:framePr w:wrap="around" w:vAnchor="text" w:hAnchor="margin" w:xAlign="outside" w:y="1"/>
      <w:ind w:left="640" w:leftChars="200" w:right="640" w:rightChars="200" w:firstLine="360"/>
      <w:rPr>
        <w:rStyle w:val="5"/>
        <w:rFonts w:ascii="宋体" w:hAnsi="宋体" w:eastAsia="宋体"/>
        <w:sz w:val="28"/>
        <w:szCs w:val="28"/>
      </w:rPr>
    </w:pPr>
  </w:p>
  <w:p w14:paraId="6EDF8E54">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C0"/>
    <w:rsid w:val="00603335"/>
    <w:rsid w:val="00A129DD"/>
    <w:rsid w:val="00A934C0"/>
    <w:rsid w:val="0BAB1EDE"/>
    <w:rsid w:val="0BFE4EEC"/>
    <w:rsid w:val="0CB753A7"/>
    <w:rsid w:val="135476EE"/>
    <w:rsid w:val="138E2FF9"/>
    <w:rsid w:val="1D5A2821"/>
    <w:rsid w:val="291E22D1"/>
    <w:rsid w:val="2C5A59AB"/>
    <w:rsid w:val="31B86968"/>
    <w:rsid w:val="31ED63EB"/>
    <w:rsid w:val="38AC78FA"/>
    <w:rsid w:val="39A474B2"/>
    <w:rsid w:val="400718BA"/>
    <w:rsid w:val="417252AC"/>
    <w:rsid w:val="4913561C"/>
    <w:rsid w:val="4C0A12D4"/>
    <w:rsid w:val="52AD4F6C"/>
    <w:rsid w:val="53B070E8"/>
    <w:rsid w:val="5C7D5034"/>
    <w:rsid w:val="6E557B10"/>
    <w:rsid w:val="707945E1"/>
    <w:rsid w:val="73506305"/>
    <w:rsid w:val="75076E2F"/>
    <w:rsid w:val="77F951E6"/>
    <w:rsid w:val="78C7160B"/>
    <w:rsid w:val="7D61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3178</Words>
  <Characters>3345</Characters>
  <Lines>24</Lines>
  <Paragraphs>6</Paragraphs>
  <TotalTime>3</TotalTime>
  <ScaleCrop>false</ScaleCrop>
  <LinksUpToDate>false</LinksUpToDate>
  <CharactersWithSpaces>3345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2026-03-23T00:51:00Z</dcterms:created>
  <dc:creator>Administrator</dc:creator>
  <cp:lastModifiedBy>silence</cp:lastModifiedBy>
  <dcterms:modified xsi:type="dcterms:W3CDTF">2026-05-15T08:06:48Z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C848B7349AA84364B23756C1A81AE10E_12</vt:lpwstr>
  </property>
</Properties>
</file>