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75823">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虎溪社区卫生服务中心</w:t>
      </w:r>
    </w:p>
    <w:p w14:paraId="397C40CF">
      <w:pPr>
        <w:spacing w:line="600" w:lineRule="exact"/>
        <w:jc w:val="center"/>
        <w:rPr>
          <w:rFonts w:hint="eastAsia" w:ascii="方正小标宋_GBK" w:hAnsi="华文中宋" w:eastAsia="方正小标宋_GBK" w:cs="华文中宋"/>
          <w:color w:val="0D0D0D"/>
          <w:sz w:val="44"/>
          <w:szCs w:val="44"/>
        </w:rPr>
      </w:pPr>
      <w:r>
        <w:rPr>
          <w:rFonts w:hint="eastAsia" w:ascii="方正小标宋_GBK" w:hAnsi="华文中宋" w:eastAsia="方正小标宋_GBK" w:cs="华文中宋"/>
          <w:color w:val="0D0D0D"/>
          <w:sz w:val="44"/>
          <w:szCs w:val="44"/>
        </w:rPr>
        <w:t>2026年部门预算情况说明</w:t>
      </w:r>
    </w:p>
    <w:p w14:paraId="6398069C">
      <w:pPr>
        <w:spacing w:line="600" w:lineRule="exact"/>
        <w:jc w:val="center"/>
        <w:rPr>
          <w:rFonts w:ascii="方正小标宋_GBK" w:hAnsi="华文中宋" w:eastAsia="方正小标宋_GBK" w:cs="华文中宋"/>
          <w:color w:val="0D0D0D"/>
          <w:sz w:val="44"/>
          <w:szCs w:val="44"/>
        </w:rPr>
      </w:pPr>
    </w:p>
    <w:p w14:paraId="0D1E5225">
      <w:pPr>
        <w:adjustRightInd w:val="0"/>
        <w:snapToGrid w:val="0"/>
        <w:spacing w:line="600" w:lineRule="exact"/>
        <w:ind w:left="640"/>
        <w:rPr>
          <w:rFonts w:ascii="方正黑体_GBK" w:hAnsi="黑体" w:eastAsia="方正黑体_GBK" w:cs="仿宋_GB2312"/>
          <w:color w:val="0D0D0D"/>
        </w:rPr>
      </w:pPr>
      <w:r>
        <w:rPr>
          <w:rFonts w:hint="eastAsia" w:ascii="方正黑体_GBK" w:hAnsi="黑体" w:eastAsia="方正黑体_GBK" w:cs="仿宋_GB2312"/>
          <w:color w:val="0D0D0D"/>
        </w:rPr>
        <w:t>一、单位基本情况</w:t>
      </w:r>
    </w:p>
    <w:p w14:paraId="2FDA53F3">
      <w:pPr>
        <w:adjustRightInd w:val="0"/>
        <w:snapToGrid w:val="0"/>
        <w:spacing w:line="600" w:lineRule="exact"/>
        <w:ind w:firstLine="640" w:firstLineChars="200"/>
        <w:rPr>
          <w:rFonts w:ascii="方正仿宋_GBK" w:hAnsi="仿宋_GB2312" w:cs="仿宋_GB2312"/>
          <w:color w:val="0D0D0D"/>
        </w:rPr>
      </w:pPr>
      <w:r>
        <w:rPr>
          <w:rFonts w:hint="eastAsia" w:ascii="方正楷体_GBK" w:hAnsi="仿宋_GB2312" w:eastAsia="方正楷体_GBK" w:cs="仿宋_GB2312"/>
          <w:color w:val="0D0D0D"/>
        </w:rPr>
        <w:t>（一）职能职责</w:t>
      </w:r>
    </w:p>
    <w:p w14:paraId="6C3F411E">
      <w:pPr>
        <w:spacing w:line="560" w:lineRule="exact"/>
        <w:ind w:firstLine="640" w:firstLineChars="200"/>
        <w:rPr>
          <w:szCs w:val="32"/>
        </w:rPr>
      </w:pPr>
      <w:r>
        <w:rPr>
          <w:szCs w:val="32"/>
        </w:rPr>
        <w:t>1.保障中心工作的正常运转，完成职责范围内的任务及上级安排的工作。</w:t>
      </w:r>
    </w:p>
    <w:p w14:paraId="76F22AB2">
      <w:pPr>
        <w:spacing w:line="560" w:lineRule="exact"/>
        <w:ind w:firstLine="640" w:firstLineChars="200"/>
        <w:rPr>
          <w:szCs w:val="32"/>
        </w:rPr>
      </w:pPr>
      <w:r>
        <w:rPr>
          <w:szCs w:val="32"/>
        </w:rPr>
        <w:t>2.以人的健康为中心、家庭为单位、社区为范围、需求为导向，以妇女、儿童、老年人、慢性病人、残疾人等为重点，以解决社区主要卫生问题、满足基本卫生服务需求为目的，融预防、医疗、康复、健康教育等为一体的，有效、经济、方便、综合、连续的基层卫生服务。</w:t>
      </w:r>
    </w:p>
    <w:p w14:paraId="67163D93">
      <w:pPr>
        <w:spacing w:line="560" w:lineRule="exact"/>
        <w:ind w:firstLine="640" w:firstLineChars="200"/>
        <w:rPr>
          <w:szCs w:val="32"/>
        </w:rPr>
      </w:pPr>
      <w:r>
        <w:rPr>
          <w:szCs w:val="32"/>
        </w:rPr>
        <w:t>3.开展基本诊疗服务。主要包括使用适宜技术、设备和基本药物，开展常见病、多发病的门诊和住院诊疗、院内外急救、转诊和中医药等服务。</w:t>
      </w:r>
    </w:p>
    <w:p w14:paraId="2F4C1E84">
      <w:pPr>
        <w:pStyle w:val="6"/>
        <w:tabs>
          <w:tab w:val="center" w:pos="4153"/>
          <w:tab w:val="left" w:pos="7275"/>
        </w:tabs>
        <w:adjustRightInd w:val="0"/>
        <w:snapToGrid w:val="0"/>
        <w:spacing w:line="600" w:lineRule="exact"/>
        <w:ind w:left="640" w:firstLine="0" w:firstLineChars="0"/>
        <w:jc w:val="left"/>
        <w:rPr>
          <w:rFonts w:ascii="方正楷体_GBK" w:hAnsi="仿宋_GB2312" w:eastAsia="方正楷体_GBK" w:cs="仿宋_GB2312"/>
          <w:color w:val="0D0D0D"/>
          <w:sz w:val="32"/>
        </w:rPr>
      </w:pPr>
      <w:r>
        <w:rPr>
          <w:rFonts w:hint="eastAsia" w:ascii="方正楷体_GBK" w:hAnsi="仿宋_GB2312" w:eastAsia="方正楷体_GBK" w:cs="仿宋_GB2312"/>
          <w:color w:val="0D0D0D"/>
          <w:sz w:val="32"/>
        </w:rPr>
        <w:t>（二）单位构成</w:t>
      </w:r>
    </w:p>
    <w:p w14:paraId="79FE795B">
      <w:pPr>
        <w:pStyle w:val="6"/>
        <w:tabs>
          <w:tab w:val="center" w:pos="4153"/>
          <w:tab w:val="left" w:pos="7275"/>
        </w:tabs>
        <w:adjustRightInd w:val="0"/>
        <w:snapToGrid w:val="0"/>
        <w:spacing w:line="600" w:lineRule="exact"/>
        <w:ind w:firstLine="640"/>
        <w:jc w:val="left"/>
        <w:rPr>
          <w:rFonts w:ascii="方正仿宋_GBK" w:hAnsi="仿宋_GB2312" w:eastAsia="方正仿宋_GBK" w:cs="仿宋_GB2312"/>
          <w:color w:val="0D0D0D"/>
          <w:sz w:val="32"/>
        </w:rPr>
      </w:pPr>
      <w:r>
        <w:rPr>
          <w:rFonts w:hint="eastAsia" w:ascii="方正仿宋_GBK" w:hAnsi="仿宋_GB2312" w:eastAsia="方正仿宋_GBK" w:cs="仿宋_GB2312"/>
          <w:color w:val="0D0D0D"/>
          <w:sz w:val="32"/>
        </w:rPr>
        <w:t>虎溪社区卫生服务中心内设17个</w:t>
      </w:r>
      <w:r>
        <w:rPr>
          <w:rFonts w:ascii="方正仿宋_GBK" w:hAnsi="仿宋_GB2312" w:eastAsia="方正仿宋_GBK" w:cs="仿宋_GB2312"/>
          <w:color w:val="0D0D0D"/>
          <w:sz w:val="32"/>
        </w:rPr>
        <w:t>机构</w:t>
      </w:r>
      <w:r>
        <w:rPr>
          <w:rFonts w:hint="eastAsia" w:ascii="方正仿宋_GBK" w:hAnsi="仿宋_GB2312" w:eastAsia="方正仿宋_GBK" w:cs="仿宋_GB2312"/>
          <w:color w:val="0D0D0D"/>
          <w:sz w:val="32"/>
        </w:rPr>
        <w:t>，分别是综合办公室、党建办公室、财务科、医务科、护理部、医院感染控制科、病案管理科、药剂科、公共卫生管理科、乡村一体化办公室、门急诊科、综合住院部、中医科、儿科、公共卫生科、妇幼健康部、医技科。</w:t>
      </w:r>
    </w:p>
    <w:p w14:paraId="4D7C079B">
      <w:pPr>
        <w:spacing w:line="560" w:lineRule="exact"/>
        <w:ind w:firstLine="640" w:firstLineChars="200"/>
        <w:rPr>
          <w:rFonts w:ascii="方正仿宋_GBK" w:hAnsi="仿宋_GB2312" w:cs="仿宋_GB2312"/>
          <w:color w:val="0D0D0D"/>
        </w:rPr>
      </w:pPr>
      <w:r>
        <w:rPr>
          <w:color w:val="000000"/>
          <w:kern w:val="0"/>
          <w:szCs w:val="32"/>
          <w:lang w:bidi="ar"/>
        </w:rPr>
        <w:t>虎溪社区卫生服务中心是一所集医疗、预防、康复、基本公共卫生服务、计划生育服务为一体的社区卫生服务中心。是重庆市职工医保、城乡居民合作医疗保险、城乡救助定点医疗机构，是重庆医科大学附属大学城医院托管单位，渝西普外科联盟成员单位。</w:t>
      </w:r>
      <w:bookmarkStart w:id="0" w:name="_GoBack"/>
      <w:bookmarkEnd w:id="0"/>
    </w:p>
    <w:p w14:paraId="242B0F02">
      <w:pPr>
        <w:adjustRightInd w:val="0"/>
        <w:snapToGrid w:val="0"/>
        <w:spacing w:line="600" w:lineRule="exact"/>
        <w:ind w:left="640"/>
        <w:rPr>
          <w:rFonts w:ascii="方正仿宋_GBK" w:hAnsi="黑体" w:cs="仿宋_GB2312"/>
          <w:color w:val="0D0D0D"/>
        </w:rPr>
      </w:pPr>
      <w:r>
        <w:rPr>
          <w:rFonts w:hint="eastAsia" w:ascii="方正黑体_GBK" w:hAnsi="黑体" w:eastAsia="方正黑体_GBK" w:cs="仿宋_GB2312"/>
          <w:color w:val="0D0D0D"/>
        </w:rPr>
        <w:t>二、部门收支总体情况</w:t>
      </w:r>
    </w:p>
    <w:p w14:paraId="4F0A3787">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一）收入预算：2026年年初预算数2307.05万元，其中：一般公共预算拨款107.05万元，政府性基金预算拨款0万元，国有资本经营预算收入0万元，事业收入2200万元，事业单位经营收入0万元，其他收入0万元。收入较2025年减少395.2万元，主要是事业收入资金减少350万元。</w:t>
      </w:r>
    </w:p>
    <w:p w14:paraId="69D4EC08">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二）支出预算：2026年年初预算数2307.05万元，其中：一般公共服务支出预算0万元，教育支出预算0万元，社会保障和就业支出预算22万元，卫生健康支出预算2277.46万元，住房保障支出预算7.6万元。支出预算较2025年减少395.2万元，主要是基本支出预算增加122.4万元，项目支出预算减少517.6万元。</w:t>
      </w:r>
    </w:p>
    <w:p w14:paraId="167E5B83">
      <w:pPr>
        <w:adjustRightInd w:val="0"/>
        <w:snapToGrid w:val="0"/>
        <w:spacing w:line="600" w:lineRule="exact"/>
        <w:ind w:left="640"/>
        <w:rPr>
          <w:rFonts w:ascii="方正黑体_GBK" w:hAnsi="黑体" w:eastAsia="方正黑体_GBK" w:cs="仿宋_GB2312"/>
          <w:color w:val="0D0D0D"/>
        </w:rPr>
      </w:pPr>
      <w:r>
        <w:rPr>
          <w:rFonts w:hint="eastAsia" w:ascii="方正黑体_GBK" w:hAnsi="黑体" w:eastAsia="方正黑体_GBK" w:cs="仿宋_GB2312"/>
          <w:color w:val="0D0D0D"/>
        </w:rPr>
        <w:t>三、部门预算情况说明</w:t>
      </w:r>
    </w:p>
    <w:p w14:paraId="2822A293">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2026年一般公共预算财政拨款收入107.05万元，一般公共预算财政拨款支出107.05万元，比2025年减少45.2万元。其中：基本支出107.05万元，比2025年减少45.2万元，主要原因是2026年人员变化调整，主要用于保障在职人员工资福利及社会保险缴费等，保障部门正常运转的各项商品服务支出；项目支出0万元，比2025年增加0万元。</w:t>
      </w:r>
    </w:p>
    <w:p w14:paraId="7AA9309E">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2026年政府性基金预算收入0万元，政府性基金预算支出0万元，比2025年增加0万元。虎溪社区卫生服务中心2026年无使用政府性基金预算拨款安排的支出。</w:t>
      </w:r>
    </w:p>
    <w:p w14:paraId="555F9FF7">
      <w:pPr>
        <w:adjustRightInd w:val="0"/>
        <w:snapToGrid w:val="0"/>
        <w:spacing w:line="600" w:lineRule="exact"/>
        <w:ind w:left="640"/>
        <w:rPr>
          <w:rFonts w:ascii="方正仿宋_GBK" w:hAnsi="黑体" w:cs="仿宋_GB2312"/>
          <w:color w:val="0D0D0D"/>
        </w:rPr>
      </w:pPr>
      <w:r>
        <w:rPr>
          <w:rFonts w:hint="eastAsia" w:ascii="方正黑体_GBK" w:hAnsi="黑体" w:eastAsia="方正黑体_GBK" w:cs="仿宋_GB2312"/>
          <w:color w:val="0D0D0D"/>
        </w:rPr>
        <w:t>四、“三公”经费情况说明</w:t>
      </w:r>
    </w:p>
    <w:p w14:paraId="4D3AFF0F">
      <w:pPr>
        <w:adjustRightInd w:val="0"/>
        <w:snapToGrid w:val="0"/>
        <w:spacing w:line="600" w:lineRule="exact"/>
        <w:ind w:firstLine="600"/>
        <w:rPr>
          <w:rFonts w:ascii="方正仿宋_GBK" w:hAnsi="仿宋_GB2312" w:cs="仿宋_GB2312"/>
          <w:color w:val="0D0D0D"/>
        </w:rPr>
      </w:pPr>
      <w:r>
        <w:rPr>
          <w:rFonts w:hint="eastAsia" w:ascii="方正仿宋_GBK" w:hAnsi="仿宋_GB2312" w:cs="仿宋_GB2312"/>
          <w:color w:val="0D0D0D"/>
        </w:rPr>
        <w:t>2026年“三公”经费预算0万元，比2025年减少0万元。其中，因公出国（境）费用0万元，比2025年减少0万元；公务接待费0万元，比2025年减少0万元；公务用车运行维护费    0万元，比2025年减少0万元；公务用车购置费0万元，比2025年减少0万元。主要原因是本单位2026年无一般公共</w:t>
      </w:r>
      <w:r>
        <w:rPr>
          <w:rFonts w:hint="eastAsia" w:ascii="方正仿宋_GBK" w:hAnsi="仿宋_GB2312" w:cs="仿宋_GB2312"/>
          <w:color w:val="0D0D0D"/>
          <w:lang w:eastAsia="zh-CN"/>
        </w:rPr>
        <w:t>预算拨款</w:t>
      </w:r>
      <w:r>
        <w:rPr>
          <w:rFonts w:hint="eastAsia" w:ascii="方正仿宋_GBK" w:hAnsi="仿宋_GB2312" w:cs="仿宋_GB2312"/>
          <w:color w:val="0D0D0D"/>
        </w:rPr>
        <w:t>安排的“三公”经费支出。</w:t>
      </w:r>
    </w:p>
    <w:p w14:paraId="3FA36DFD">
      <w:pPr>
        <w:adjustRightInd w:val="0"/>
        <w:snapToGrid w:val="0"/>
        <w:spacing w:line="600" w:lineRule="exact"/>
        <w:ind w:left="640"/>
        <w:rPr>
          <w:rFonts w:ascii="方正黑体_GBK" w:hAnsi="黑体" w:eastAsia="方正黑体_GBK" w:cs="仿宋_GB2312"/>
          <w:color w:val="0D0D0D"/>
        </w:rPr>
      </w:pPr>
      <w:r>
        <w:rPr>
          <w:rFonts w:hint="eastAsia" w:ascii="方正黑体_GBK" w:hAnsi="黑体" w:eastAsia="方正黑体_GBK" w:cs="仿宋_GB2312"/>
          <w:color w:val="0D0D0D"/>
        </w:rPr>
        <w:t>五、其他重要事项的情况说明</w:t>
      </w:r>
    </w:p>
    <w:p w14:paraId="3666D60D">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（一）我单位不在机关运行经费统计范围之内。</w:t>
      </w:r>
    </w:p>
    <w:p w14:paraId="01475920">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二）政府采购情况。本单位政府采购预算总额2.7万元，其中，政府采购货物预算2.7万元、政府采购工程预算0万元、政府采购服务预算0万元；一般公共预算拨款政府采购0万元，其中，政府采购货物预算0万元、政府采购工程预算0万元、政府采购服务预算0万元。</w:t>
      </w:r>
    </w:p>
    <w:p w14:paraId="2F106798">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（三）绩效目标设置情况。2026年项目支出均实行了绩效目标管理，涉及一般公共预算当年财政拨款0万元。</w:t>
      </w:r>
    </w:p>
    <w:p w14:paraId="7925762F">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四）国有资产占有使用情况。截止2025年12月，本单位共有车辆0辆，其中一般公务用车0辆、执勤执法用车0辆、特种专业技术用车0辆。2026年一般公共预算安排购置车辆0辆，其中一般公务用车0辆、执勤执法用车0辆、特种专业技术用车0辆。</w:t>
      </w:r>
    </w:p>
    <w:p w14:paraId="5E31A23D">
      <w:pPr>
        <w:adjustRightInd w:val="0"/>
        <w:snapToGrid w:val="0"/>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（五）委托业务费情况。2026年委托业务费涉及财拨资金0万元。</w:t>
      </w:r>
    </w:p>
    <w:p w14:paraId="3076A5B7">
      <w:pPr>
        <w:adjustRightInd w:val="0"/>
        <w:snapToGrid w:val="0"/>
        <w:spacing w:line="600" w:lineRule="exact"/>
        <w:ind w:left="640"/>
        <w:rPr>
          <w:rFonts w:ascii="方正黑体_GBK" w:hAnsi="黑体" w:eastAsia="方正黑体_GBK" w:cs="仿宋_GB2312"/>
          <w:color w:val="0D0D0D"/>
        </w:rPr>
      </w:pPr>
      <w:r>
        <w:rPr>
          <w:rFonts w:hint="eastAsia" w:ascii="方正黑体_GBK" w:hAnsi="黑体" w:eastAsia="方正黑体_GBK" w:cs="仿宋_GB2312"/>
          <w:color w:val="0D0D0D"/>
        </w:rPr>
        <w:t>六、专业性名词解释</w:t>
      </w:r>
    </w:p>
    <w:p w14:paraId="61D247E5">
      <w:pPr>
        <w:pStyle w:val="6"/>
        <w:tabs>
          <w:tab w:val="center" w:pos="4153"/>
          <w:tab w:val="left" w:pos="7275"/>
        </w:tabs>
        <w:adjustRightInd w:val="0"/>
        <w:snapToGrid w:val="0"/>
        <w:spacing w:line="600" w:lineRule="exact"/>
        <w:ind w:firstLine="640"/>
        <w:jc w:val="left"/>
        <w:rPr>
          <w:rFonts w:ascii="方正仿宋_GBK" w:eastAsia="方正仿宋_GBK"/>
          <w:color w:val="0D0D0D"/>
          <w:sz w:val="32"/>
          <w:szCs w:val="32"/>
        </w:rPr>
      </w:pPr>
      <w:r>
        <w:rPr>
          <w:rFonts w:hint="eastAsia" w:ascii="方正仿宋_GBK" w:eastAsia="方正仿宋_GBK"/>
          <w:color w:val="0D0D0D"/>
          <w:sz w:val="32"/>
          <w:szCs w:val="32"/>
        </w:rPr>
        <w:t>（一）财政拨款收入：指本年度从本级财政部门取得的财政拨款，包括一般公共预算财政拨款和政府性基金预算财政拨款。</w:t>
      </w:r>
    </w:p>
    <w:p w14:paraId="2797354C">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（二）财政专户管理资金收入：指缴入财政专户、实行专项管理的高中以上学费、住宿费、高校委托培养费、函大、电大、夜大及短训班培训费等教育收费。单位根据教育收费标准、学生人数等合理预计。</w:t>
      </w:r>
    </w:p>
    <w:p w14:paraId="59D6AD48">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14:paraId="017B9EAC">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（四）上级补助收入：指从主管部门或上级单位取得的财政拨款以外的其他补助收入。单位结合上年度上级补助收入等情况进行预计。</w:t>
      </w:r>
    </w:p>
    <w:p w14:paraId="08826013">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7DE6B262">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5634E263">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（七）其他收入：指债务收入、投资收益等收入，单位根据情况合理预计，全部编入预算。</w:t>
      </w:r>
    </w:p>
    <w:p w14:paraId="1025234B">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6115AAC0">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1C888D6">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（十）项目支出：指在基本支出之外为完成特定行政任务和事业发展目标所发生的支出。</w:t>
      </w:r>
    </w:p>
    <w:p w14:paraId="3D2BE6C4">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一）“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2BBF826">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41656662">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（十三）工资福利支出（支出经济分类科目类级）：反映单位开支的在职职工和编制外长期聘用人员的各类劳动报酬，以及为上述人员缴纳的各项社会保险费等。</w:t>
      </w:r>
    </w:p>
    <w:p w14:paraId="6036EBCF">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（十四）商品和服务支出（支出经济分类科目类级）：反映单位购买商品和服务的支出（不包括用于购置固定资产的支出、战略性和应急储备支出）。</w:t>
      </w:r>
    </w:p>
    <w:p w14:paraId="3D9B61F5">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（十五）对个人和家庭的补助（支出经济分类科目类级）：反映用于对个人和家庭的补助支出。</w:t>
      </w:r>
    </w:p>
    <w:p w14:paraId="53E17FE1">
      <w:pPr>
        <w:adjustRightInd w:val="0"/>
        <w:snapToGrid w:val="0"/>
        <w:spacing w:line="600" w:lineRule="exact"/>
        <w:ind w:firstLine="640" w:firstLineChars="200"/>
        <w:rPr>
          <w:rFonts w:ascii="方正仿宋_GBK" w:hAnsi="仿宋"/>
          <w:color w:val="0D0D0D"/>
          <w:szCs w:val="32"/>
        </w:rPr>
      </w:pPr>
      <w:r>
        <w:rPr>
          <w:rFonts w:hint="eastAsia" w:ascii="方正仿宋_GBK" w:hAnsi="仿宋"/>
          <w:color w:val="0D0D0D"/>
          <w:szCs w:val="32"/>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2E030F15">
      <w:pPr>
        <w:adjustRightInd w:val="0"/>
        <w:snapToGrid w:val="0"/>
        <w:spacing w:line="600" w:lineRule="exact"/>
        <w:ind w:firstLine="640" w:firstLineChars="200"/>
        <w:rPr>
          <w:rFonts w:ascii="方正仿宋_GBK" w:hAnsi="仿宋_GB2312" w:cs="仿宋_GB2312"/>
          <w:color w:val="0D0D0D"/>
        </w:rPr>
      </w:pPr>
    </w:p>
    <w:p w14:paraId="3BE63B8E">
      <w:pPr>
        <w:adjustRightInd w:val="0"/>
        <w:snapToGrid w:val="0"/>
        <w:spacing w:line="600" w:lineRule="exact"/>
        <w:ind w:firstLine="640" w:firstLineChars="200"/>
        <w:rPr>
          <w:rFonts w:ascii="方正仿宋_GBK"/>
          <w:color w:val="0D0D0D"/>
        </w:rPr>
      </w:pPr>
      <w:r>
        <w:rPr>
          <w:rFonts w:hint="eastAsia" w:ascii="方正仿宋_GBK" w:hAnsi="仿宋_GB2312" w:cs="仿宋_GB2312"/>
          <w:color w:val="0D0D0D"/>
        </w:rPr>
        <w:t>（部门预算公开联系人：</w:t>
      </w:r>
      <w:r>
        <w:rPr>
          <w:rFonts w:hint="eastAsia"/>
          <w:szCs w:val="32"/>
        </w:rPr>
        <w:t>严洁</w:t>
      </w:r>
      <w:r>
        <w:rPr>
          <w:rFonts w:hint="eastAsia" w:ascii="方正仿宋_GBK" w:hAnsi="仿宋_GB2312" w:cs="仿宋_GB2312"/>
          <w:color w:val="0D0D0D"/>
        </w:rPr>
        <w:t>，联系方式：023-65004561）</w:t>
      </w:r>
    </w:p>
    <w:p w14:paraId="0B568DD0"/>
    <w:sectPr>
      <w:footerReference r:id="rId3" w:type="default"/>
      <w:footerReference r:id="rId4" w:type="even"/>
      <w:pgSz w:w="11906" w:h="16838"/>
      <w:pgMar w:top="2098" w:right="1531" w:bottom="1701" w:left="1531" w:header="851" w:footer="1474" w:gutter="0"/>
      <w:cols w:space="720"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1A9B29-396A-4B35-BD4A-5C813466D1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DA7D11E-8CAF-4D1C-BA00-F9E21A886EFB}"/>
  </w:font>
  <w:font w:name="方正仿宋_GBK">
    <w:panose1 w:val="03000509000000000000"/>
    <w:charset w:val="86"/>
    <w:family w:val="script"/>
    <w:pitch w:val="default"/>
    <w:sig w:usb0="00000001" w:usb1="080E0000" w:usb2="00000000" w:usb3="00000000" w:csb0="00040000" w:csb1="00000000"/>
    <w:embedRegular r:id="rId3" w:fontKey="{276B3892-CDF3-4245-AFFF-0D4DD6F95380}"/>
  </w:font>
  <w:font w:name="仿宋">
    <w:panose1 w:val="02010609060101010101"/>
    <w:charset w:val="86"/>
    <w:family w:val="modern"/>
    <w:pitch w:val="default"/>
    <w:sig w:usb0="800002BF" w:usb1="38CF7CFA" w:usb2="00000016" w:usb3="00000000" w:csb0="00040001" w:csb1="00000000"/>
    <w:embedRegular r:id="rId4" w:fontKey="{69520DD6-1528-4A0D-B237-127D434825A8}"/>
  </w:font>
  <w:font w:name="方正小标宋_GBK">
    <w:panose1 w:val="02000000000000000000"/>
    <w:charset w:val="86"/>
    <w:family w:val="script"/>
    <w:pitch w:val="default"/>
    <w:sig w:usb0="A00002BF" w:usb1="38CF7CFA" w:usb2="00082016" w:usb3="00000000" w:csb0="00040001" w:csb1="00000000"/>
    <w:embedRegular r:id="rId5" w:fontKey="{DDF1C2D0-FB08-4B8A-8562-A61000F1B2F7}"/>
  </w:font>
  <w:font w:name="华文中宋">
    <w:altName w:val="宋体"/>
    <w:panose1 w:val="02010600040101010101"/>
    <w:charset w:val="86"/>
    <w:family w:val="auto"/>
    <w:pitch w:val="default"/>
    <w:sig w:usb0="00000000" w:usb1="00000000" w:usb2="00000010" w:usb3="00000000" w:csb0="0004009F" w:csb1="00000000"/>
    <w:embedRegular r:id="rId6" w:fontKey="{00941925-5733-412D-94F4-4D4B0DFAC949}"/>
  </w:font>
  <w:font w:name="方正黑体_GBK">
    <w:panose1 w:val="02010600010101010101"/>
    <w:charset w:val="86"/>
    <w:family w:val="script"/>
    <w:pitch w:val="default"/>
    <w:sig w:usb0="00000001" w:usb1="080E0000" w:usb2="00000000" w:usb3="00000000" w:csb0="00040000" w:csb1="00000000"/>
    <w:embedRegular r:id="rId7" w:fontKey="{9218AF43-5A15-47A3-A78F-F8C73ADF47F8}"/>
  </w:font>
  <w:font w:name="仿宋_GB2312">
    <w:altName w:val="仿宋"/>
    <w:panose1 w:val="00000000000000000000"/>
    <w:charset w:val="86"/>
    <w:family w:val="modern"/>
    <w:pitch w:val="default"/>
    <w:sig w:usb0="00000000" w:usb1="00000000" w:usb2="00000000" w:usb3="00000000" w:csb0="00040000" w:csb1="00000000"/>
    <w:embedRegular r:id="rId8" w:fontKey="{5D0F3C4D-842C-4C35-86E5-86EB537386F8}"/>
  </w:font>
  <w:font w:name="方正楷体_GBK">
    <w:panose1 w:val="02000000000000000000"/>
    <w:charset w:val="86"/>
    <w:family w:val="script"/>
    <w:pitch w:val="default"/>
    <w:sig w:usb0="800002BF" w:usb1="38CF7CFA" w:usb2="00000016" w:usb3="00000000" w:csb0="00040000" w:csb1="00000000"/>
    <w:embedRegular r:id="rId9" w:fontKey="{C38FF74C-2AA7-45A7-AC6D-E6A81E11965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EDE95">
    <w:pPr>
      <w:pStyle w:val="2"/>
      <w:framePr w:wrap="around" w:vAnchor="text" w:hAnchor="margin" w:xAlign="outside" w:y="1"/>
      <w:ind w:right="320" w:rightChars="100"/>
      <w:rPr>
        <w:rStyle w:val="5"/>
        <w:rFonts w:ascii="宋体" w:hAnsi="宋体" w:eastAsia="宋体"/>
        <w:sz w:val="28"/>
        <w:szCs w:val="28"/>
      </w:rPr>
    </w:pPr>
    <w:r>
      <w:rPr>
        <w:rStyle w:val="5"/>
        <w:rFonts w:hint="eastAsia" w:ascii="宋体" w:hAnsi="宋体" w:eastAsia="宋体"/>
        <w:sz w:val="28"/>
        <w:szCs w:val="28"/>
      </w:rPr>
      <w:t xml:space="preserve">— </w:t>
    </w:r>
    <w:r>
      <w:rPr>
        <w:rStyle w:val="5"/>
        <w:rFonts w:eastAsia="宋体"/>
        <w:sz w:val="28"/>
        <w:szCs w:val="28"/>
      </w:rPr>
      <w:fldChar w:fldCharType="begin"/>
    </w:r>
    <w:r>
      <w:rPr>
        <w:rStyle w:val="5"/>
        <w:rFonts w:eastAsia="宋体"/>
        <w:sz w:val="28"/>
        <w:szCs w:val="28"/>
      </w:rPr>
      <w:instrText xml:space="preserve">PAGE  </w:instrText>
    </w:r>
    <w:r>
      <w:rPr>
        <w:rStyle w:val="5"/>
        <w:rFonts w:eastAsia="宋体"/>
        <w:sz w:val="28"/>
        <w:szCs w:val="28"/>
      </w:rPr>
      <w:fldChar w:fldCharType="separate"/>
    </w:r>
    <w:r>
      <w:rPr>
        <w:rStyle w:val="5"/>
        <w:rFonts w:eastAsia="宋体"/>
        <w:sz w:val="28"/>
        <w:szCs w:val="28"/>
      </w:rPr>
      <w:t>7</w:t>
    </w:r>
    <w:r>
      <w:rPr>
        <w:rStyle w:val="5"/>
        <w:rFonts w:eastAsia="宋体"/>
        <w:sz w:val="28"/>
        <w:szCs w:val="28"/>
      </w:rPr>
      <w:fldChar w:fldCharType="end"/>
    </w:r>
    <w:r>
      <w:rPr>
        <w:rStyle w:val="5"/>
        <w:rFonts w:hint="eastAsia" w:ascii="宋体" w:hAnsi="宋体" w:eastAsia="宋体"/>
        <w:sz w:val="28"/>
        <w:szCs w:val="28"/>
      </w:rPr>
      <w:t xml:space="preserve"> —</w:t>
    </w:r>
  </w:p>
  <w:p w14:paraId="5678DE76">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DA674">
    <w:pPr>
      <w:pStyle w:val="2"/>
      <w:framePr w:wrap="around" w:vAnchor="text" w:hAnchor="margin" w:xAlign="outside" w:y="1"/>
      <w:ind w:left="320" w:leftChars="100"/>
      <w:rPr>
        <w:rStyle w:val="5"/>
        <w:rFonts w:ascii="宋体" w:hAnsi="宋体" w:eastAsia="宋体"/>
        <w:sz w:val="28"/>
        <w:szCs w:val="28"/>
      </w:rPr>
    </w:pPr>
    <w:r>
      <w:rPr>
        <w:rStyle w:val="5"/>
        <w:rFonts w:hint="eastAsia" w:ascii="宋体" w:hAnsi="宋体" w:eastAsia="宋体"/>
        <w:sz w:val="28"/>
        <w:szCs w:val="28"/>
      </w:rPr>
      <w:t xml:space="preserve">— </w:t>
    </w:r>
    <w:r>
      <w:rPr>
        <w:rStyle w:val="5"/>
        <w:rFonts w:ascii="宋体" w:hAnsi="宋体" w:eastAsia="宋体"/>
        <w:sz w:val="28"/>
        <w:szCs w:val="28"/>
      </w:rPr>
      <w:fldChar w:fldCharType="begin"/>
    </w:r>
    <w:r>
      <w:rPr>
        <w:rStyle w:val="5"/>
        <w:rFonts w:ascii="宋体" w:hAnsi="宋体" w:eastAsia="宋体"/>
        <w:sz w:val="28"/>
        <w:szCs w:val="28"/>
      </w:rPr>
      <w:instrText xml:space="preserve">PAGE  </w:instrText>
    </w:r>
    <w:r>
      <w:rPr>
        <w:rStyle w:val="5"/>
        <w:rFonts w:ascii="宋体" w:hAnsi="宋体" w:eastAsia="宋体"/>
        <w:sz w:val="28"/>
        <w:szCs w:val="28"/>
      </w:rPr>
      <w:fldChar w:fldCharType="separate"/>
    </w:r>
    <w:r>
      <w:rPr>
        <w:rStyle w:val="5"/>
        <w:rFonts w:ascii="宋体" w:hAnsi="宋体" w:eastAsia="宋体"/>
        <w:sz w:val="28"/>
        <w:szCs w:val="28"/>
      </w:rPr>
      <w:t>10</w:t>
    </w:r>
    <w:r>
      <w:rPr>
        <w:rStyle w:val="5"/>
        <w:rFonts w:ascii="宋体" w:hAnsi="宋体" w:eastAsia="宋体"/>
        <w:sz w:val="28"/>
        <w:szCs w:val="28"/>
      </w:rPr>
      <w:fldChar w:fldCharType="end"/>
    </w:r>
    <w:r>
      <w:rPr>
        <w:rStyle w:val="5"/>
        <w:rFonts w:hint="eastAsia" w:ascii="宋体" w:hAnsi="宋体" w:eastAsia="宋体"/>
        <w:sz w:val="28"/>
        <w:szCs w:val="28"/>
      </w:rPr>
      <w:t xml:space="preserve"> —</w:t>
    </w:r>
  </w:p>
  <w:p w14:paraId="11AAEBE2">
    <w:pPr>
      <w:pStyle w:val="2"/>
      <w:framePr w:wrap="around" w:vAnchor="text" w:hAnchor="margin" w:xAlign="outside" w:y="1"/>
      <w:ind w:left="640" w:leftChars="200" w:right="640" w:rightChars="200" w:firstLine="360"/>
      <w:rPr>
        <w:rStyle w:val="5"/>
        <w:rFonts w:ascii="宋体" w:hAnsi="宋体" w:eastAsia="宋体"/>
        <w:sz w:val="28"/>
        <w:szCs w:val="28"/>
      </w:rPr>
    </w:pPr>
  </w:p>
  <w:p w14:paraId="59B1F106">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B3C"/>
    <w:rsid w:val="00174E68"/>
    <w:rsid w:val="003A0914"/>
    <w:rsid w:val="00573B3C"/>
    <w:rsid w:val="00A872AD"/>
    <w:rsid w:val="00C3241B"/>
    <w:rsid w:val="024535A0"/>
    <w:rsid w:val="02B349AE"/>
    <w:rsid w:val="06112DAC"/>
    <w:rsid w:val="06282A25"/>
    <w:rsid w:val="06D7510F"/>
    <w:rsid w:val="08061207"/>
    <w:rsid w:val="09773498"/>
    <w:rsid w:val="0EEE740C"/>
    <w:rsid w:val="11D359A8"/>
    <w:rsid w:val="128123D2"/>
    <w:rsid w:val="12EA441C"/>
    <w:rsid w:val="16D264BD"/>
    <w:rsid w:val="19743240"/>
    <w:rsid w:val="1B4F7512"/>
    <w:rsid w:val="1B5979EB"/>
    <w:rsid w:val="1CAA0778"/>
    <w:rsid w:val="1CFC785A"/>
    <w:rsid w:val="1DF505BC"/>
    <w:rsid w:val="1E1E31CB"/>
    <w:rsid w:val="1FD004F5"/>
    <w:rsid w:val="2584425C"/>
    <w:rsid w:val="269009DE"/>
    <w:rsid w:val="286D0FD7"/>
    <w:rsid w:val="28D220AC"/>
    <w:rsid w:val="2CEE645F"/>
    <w:rsid w:val="2D4D13D7"/>
    <w:rsid w:val="2DF31F7F"/>
    <w:rsid w:val="325154C6"/>
    <w:rsid w:val="325A3079"/>
    <w:rsid w:val="34452E08"/>
    <w:rsid w:val="3B9B5A04"/>
    <w:rsid w:val="3BB16FD5"/>
    <w:rsid w:val="3BD57167"/>
    <w:rsid w:val="40073668"/>
    <w:rsid w:val="408829FA"/>
    <w:rsid w:val="40A37834"/>
    <w:rsid w:val="439703E8"/>
    <w:rsid w:val="4473751E"/>
    <w:rsid w:val="449A2CFC"/>
    <w:rsid w:val="460102A4"/>
    <w:rsid w:val="46405B25"/>
    <w:rsid w:val="46C44060"/>
    <w:rsid w:val="47887784"/>
    <w:rsid w:val="49C425C9"/>
    <w:rsid w:val="4D783DF7"/>
    <w:rsid w:val="4FAB400F"/>
    <w:rsid w:val="514E7348"/>
    <w:rsid w:val="56A16B3C"/>
    <w:rsid w:val="5B386973"/>
    <w:rsid w:val="5B926D8C"/>
    <w:rsid w:val="5D375134"/>
    <w:rsid w:val="5FF7504F"/>
    <w:rsid w:val="60BB235F"/>
    <w:rsid w:val="611807AB"/>
    <w:rsid w:val="612B1454"/>
    <w:rsid w:val="61931D05"/>
    <w:rsid w:val="61C82E61"/>
    <w:rsid w:val="639F1C85"/>
    <w:rsid w:val="66F26570"/>
    <w:rsid w:val="69534C6C"/>
    <w:rsid w:val="697119CE"/>
    <w:rsid w:val="6FE54EC4"/>
    <w:rsid w:val="771542E1"/>
    <w:rsid w:val="7A13262E"/>
    <w:rsid w:val="7A262361"/>
    <w:rsid w:val="7AAD2A82"/>
    <w:rsid w:val="7D230D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page number"/>
    <w:qFormat/>
    <w:uiPriority w:val="0"/>
  </w:style>
  <w:style w:type="paragraph" w:styleId="6">
    <w:name w:val="List Paragraph"/>
    <w:basedOn w:val="1"/>
    <w:qFormat/>
    <w:uiPriority w:val="34"/>
    <w:pPr>
      <w:ind w:firstLine="420" w:firstLineChars="200"/>
    </w:pPr>
    <w:rPr>
      <w:rFonts w:ascii="仿宋" w:hAnsi="仿宋" w:eastAsia="仿宋"/>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2989</Words>
  <Characters>3149</Characters>
  <Lines>22</Lines>
  <Paragraphs>6</Paragraphs>
  <TotalTime>18</TotalTime>
  <ScaleCrop>false</ScaleCrop>
  <LinksUpToDate>false</LinksUpToDate>
  <CharactersWithSpaces>3153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2026-03-23T06:36:00Z</dcterms:created>
  <dc:creator>Administrator</dc:creator>
  <cp:lastModifiedBy>silence</cp:lastModifiedBy>
  <dcterms:modified xsi:type="dcterms:W3CDTF">2026-05-15T08:03:01Z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eyJoZGlkIjoiZjRmYWUxOWJhMWE5OGFmZGQyNzA0NjBkZTNhOGRjMDEiLCJ1c2VySWQiOiIyNDg4ODMzNzUifQ==</vt:lpwstr>
  </property>
  <property fmtid="{D5CDD505-2E9C-101B-9397-08002B2CF9AE}" pid="4" name="ICV">
    <vt:lpwstr>4358B0BFF8594697BF2BAE61E431C7A5_12</vt:lpwstr>
  </property>
</Properties>
</file>