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2C8ED">
      <w:pPr>
        <w:spacing w:line="600" w:lineRule="exact"/>
        <w:jc w:val="center"/>
        <w:rPr>
          <w:rFonts w:eastAsia="方正小标宋_GBK"/>
          <w:color w:val="0D0D0D"/>
          <w:sz w:val="44"/>
          <w:szCs w:val="44"/>
        </w:rPr>
      </w:pPr>
      <w:r>
        <w:rPr>
          <w:rFonts w:eastAsia="方正小标宋_GBK"/>
          <w:color w:val="0D0D0D"/>
          <w:sz w:val="44"/>
          <w:szCs w:val="44"/>
        </w:rPr>
        <w:t>含谷镇卫生院</w:t>
      </w:r>
    </w:p>
    <w:p w14:paraId="25AF516F">
      <w:pPr>
        <w:spacing w:line="600" w:lineRule="exact"/>
        <w:jc w:val="center"/>
        <w:rPr>
          <w:rFonts w:hint="eastAsia" w:eastAsia="方正小标宋_GBK"/>
          <w:color w:val="0D0D0D"/>
          <w:sz w:val="44"/>
          <w:szCs w:val="44"/>
        </w:rPr>
      </w:pPr>
      <w:r>
        <w:rPr>
          <w:rFonts w:eastAsia="方正小标宋_GBK"/>
          <w:color w:val="0D0D0D"/>
          <w:sz w:val="44"/>
          <w:szCs w:val="44"/>
        </w:rPr>
        <w:t>2026年部门预算情况说明</w:t>
      </w:r>
    </w:p>
    <w:p w14:paraId="53627BEE">
      <w:pPr>
        <w:spacing w:line="600" w:lineRule="exact"/>
        <w:jc w:val="center"/>
        <w:rPr>
          <w:rFonts w:eastAsia="方正小标宋_GBK"/>
          <w:color w:val="0D0D0D"/>
          <w:sz w:val="44"/>
          <w:szCs w:val="44"/>
        </w:rPr>
      </w:pPr>
    </w:p>
    <w:p w14:paraId="7D39F670">
      <w:pPr>
        <w:spacing w:line="600" w:lineRule="exact"/>
        <w:ind w:firstLine="640" w:firstLineChars="200"/>
        <w:rPr>
          <w:rFonts w:eastAsia="方正黑体_GBK"/>
        </w:rPr>
      </w:pPr>
      <w:r>
        <w:rPr>
          <w:rFonts w:eastAsia="方正黑体_GBK"/>
        </w:rPr>
        <w:t>一、单位基本情况</w:t>
      </w:r>
    </w:p>
    <w:p w14:paraId="02216AE1">
      <w:pPr>
        <w:spacing w:line="600" w:lineRule="exact"/>
        <w:ind w:firstLine="640" w:firstLineChars="200"/>
      </w:pPr>
      <w:r>
        <w:rPr>
          <w:rFonts w:eastAsia="方正楷体_GBK"/>
        </w:rPr>
        <w:t>（一）职能职责</w:t>
      </w:r>
    </w:p>
    <w:p w14:paraId="38F3B38E">
      <w:pPr>
        <w:spacing w:line="600" w:lineRule="exact"/>
        <w:ind w:firstLine="640" w:firstLineChars="200"/>
      </w:pPr>
      <w:r>
        <w:t>含谷镇卫生院</w:t>
      </w:r>
      <w:r>
        <w:rPr>
          <w:szCs w:val="32"/>
        </w:rPr>
        <w:t>是集预防、保健、医疗、康复、健康教育、计划生育指导服务六位一体的</w:t>
      </w:r>
      <w:bookmarkStart w:id="0" w:name="_GoBack"/>
      <w:bookmarkEnd w:id="0"/>
      <w:r>
        <w:rPr>
          <w:szCs w:val="32"/>
        </w:rPr>
        <w:t>国家非营利性医疗机构</w:t>
      </w:r>
      <w:r>
        <w:t>。</w:t>
      </w:r>
      <w:r>
        <w:rPr>
          <w:szCs w:val="32"/>
        </w:rPr>
        <w:t>为重庆市规范化镇卫生院，医保定点单位，重庆市中医药行业协会理事单位，重庆市中医治未病专科、内分泌糖尿病专科、疼痛专科联盟成员单位，区精神文明单位标兵，区“巾帼文明岗”，区基层中医药工作“先进单位”。拥有重庆市基层特色专科1个(针灸科)，重庆市精品中医馆1个。</w:t>
      </w:r>
    </w:p>
    <w:p w14:paraId="5EC67335">
      <w:pPr>
        <w:pStyle w:val="9"/>
        <w:spacing w:before="0" w:beforeAutospacing="0" w:after="0" w:afterAutospacing="0" w:line="596" w:lineRule="exact"/>
        <w:ind w:firstLine="640" w:firstLineChars="200"/>
        <w:rPr>
          <w:rFonts w:ascii="Times New Roman" w:hAnsi="Times New Roman" w:cs="Times New Roman"/>
          <w:kern w:val="2"/>
          <w:sz w:val="32"/>
          <w:szCs w:val="32"/>
        </w:rPr>
      </w:pPr>
      <w:r>
        <w:rPr>
          <w:rFonts w:ascii="Times New Roman" w:hAnsi="Times New Roman" w:cs="Times New Roman"/>
          <w:kern w:val="2"/>
          <w:sz w:val="32"/>
          <w:szCs w:val="32"/>
        </w:rPr>
        <w:t>宗旨和业务范围：开展公共卫生和基本医疗服务，保障群众身体健康。</w:t>
      </w:r>
    </w:p>
    <w:p w14:paraId="555B4C04">
      <w:pPr>
        <w:pStyle w:val="9"/>
        <w:spacing w:before="0" w:beforeAutospacing="0" w:after="0" w:afterAutospacing="0" w:line="596" w:lineRule="exact"/>
        <w:ind w:firstLine="640" w:firstLineChars="200"/>
        <w:rPr>
          <w:rFonts w:ascii="Times New Roman" w:hAnsi="Times New Roman" w:cs="Times New Roman"/>
          <w:kern w:val="2"/>
          <w:sz w:val="32"/>
          <w:szCs w:val="32"/>
        </w:rPr>
      </w:pPr>
      <w:r>
        <w:rPr>
          <w:rFonts w:ascii="Times New Roman" w:hAnsi="Times New Roman" w:cs="Times New Roman"/>
          <w:bCs/>
          <w:kern w:val="2"/>
          <w:sz w:val="32"/>
          <w:szCs w:val="32"/>
        </w:rPr>
        <w:t>一是开展基本公共卫生服务</w:t>
      </w:r>
      <w:r>
        <w:rPr>
          <w:rFonts w:ascii="Times New Roman" w:hAnsi="Times New Roman" w:cs="Times New Roman"/>
          <w:b/>
          <w:bCs/>
          <w:kern w:val="2"/>
          <w:sz w:val="32"/>
          <w:szCs w:val="32"/>
        </w:rPr>
        <w:t>。</w:t>
      </w:r>
      <w:r>
        <w:rPr>
          <w:rFonts w:ascii="Times New Roman" w:hAnsi="Times New Roman" w:cs="Times New Roman"/>
          <w:kern w:val="2"/>
          <w:sz w:val="32"/>
          <w:szCs w:val="32"/>
        </w:rPr>
        <w:t>主要包括承担辖区内疾病控制、妇幼保健、孕产保健、健康教育、残疾人康复、计划生育指导等基本公共卫生服务，协助或独立完成重大公共卫生服务项目、卫生应急等任务。</w:t>
      </w:r>
    </w:p>
    <w:p w14:paraId="0CD689B0">
      <w:pPr>
        <w:pStyle w:val="9"/>
        <w:spacing w:before="0" w:beforeAutospacing="0" w:after="0" w:afterAutospacing="0" w:line="596" w:lineRule="exact"/>
        <w:ind w:firstLine="640" w:firstLineChars="200"/>
        <w:rPr>
          <w:rFonts w:ascii="Times New Roman" w:hAnsi="Times New Roman" w:cs="Times New Roman"/>
          <w:kern w:val="2"/>
          <w:sz w:val="32"/>
          <w:szCs w:val="32"/>
        </w:rPr>
      </w:pPr>
      <w:r>
        <w:rPr>
          <w:rFonts w:ascii="Times New Roman" w:hAnsi="Times New Roman" w:cs="Times New Roman"/>
          <w:bCs/>
          <w:kern w:val="2"/>
          <w:sz w:val="32"/>
          <w:szCs w:val="32"/>
        </w:rPr>
        <w:t>二是开展基本诊疗服务</w:t>
      </w:r>
      <w:r>
        <w:rPr>
          <w:rFonts w:ascii="Times New Roman" w:hAnsi="Times New Roman" w:cs="Times New Roman"/>
          <w:b/>
          <w:bCs/>
          <w:kern w:val="2"/>
          <w:sz w:val="32"/>
          <w:szCs w:val="32"/>
        </w:rPr>
        <w:t>。</w:t>
      </w:r>
      <w:r>
        <w:rPr>
          <w:rFonts w:ascii="Times New Roman" w:hAnsi="Times New Roman" w:cs="Times New Roman"/>
          <w:kern w:val="2"/>
          <w:sz w:val="32"/>
          <w:szCs w:val="32"/>
        </w:rPr>
        <w:t>主要包括使用适宜技术、设备和基本药物，开展常见病、多发病的门诊和住院诊治、院内外急救、转诊和中医药等服务。</w:t>
      </w:r>
    </w:p>
    <w:p w14:paraId="191A2E1E">
      <w:pPr>
        <w:pStyle w:val="9"/>
        <w:spacing w:before="0" w:beforeAutospacing="0" w:after="0" w:afterAutospacing="0" w:line="596" w:lineRule="exact"/>
        <w:ind w:firstLine="640" w:firstLineChars="200"/>
        <w:rPr>
          <w:rFonts w:ascii="Times New Roman" w:hAnsi="Times New Roman" w:cs="Times New Roman"/>
          <w:kern w:val="2"/>
          <w:sz w:val="32"/>
          <w:szCs w:val="32"/>
        </w:rPr>
      </w:pPr>
      <w:r>
        <w:rPr>
          <w:rFonts w:ascii="Times New Roman" w:hAnsi="Times New Roman" w:cs="Times New Roman"/>
          <w:bCs/>
          <w:kern w:val="2"/>
          <w:sz w:val="32"/>
          <w:szCs w:val="32"/>
        </w:rPr>
        <w:t>三是开展计划生育服务</w:t>
      </w:r>
      <w:r>
        <w:rPr>
          <w:rFonts w:ascii="Times New Roman" w:hAnsi="Times New Roman" w:cs="Times New Roman"/>
          <w:b/>
          <w:bCs/>
          <w:kern w:val="2"/>
          <w:sz w:val="32"/>
          <w:szCs w:val="32"/>
        </w:rPr>
        <w:t>。</w:t>
      </w:r>
      <w:r>
        <w:rPr>
          <w:rFonts w:ascii="Times New Roman" w:hAnsi="Times New Roman" w:cs="Times New Roman"/>
          <w:kern w:val="2"/>
          <w:sz w:val="32"/>
          <w:szCs w:val="32"/>
        </w:rPr>
        <w:t>主要包括承担计划生育宣传教育、技术服务、优生指导、药具发放、信息咨询、随访服务、生殖保健、人员培训等八项任务；落实妇幼重大公共卫生服务项目和基本公共卫生服务项目，配合承担孕前优生健康检查项目等出生缺陷综合防治工作；做好妇幼保健计划生育服务相关信息的收集、整理和上报工作；负责对村（社区）级服务人员提供业务培训指导。</w:t>
      </w:r>
    </w:p>
    <w:p w14:paraId="4738FCFE">
      <w:pPr>
        <w:pStyle w:val="9"/>
        <w:spacing w:before="0" w:beforeAutospacing="0" w:after="0" w:afterAutospacing="0" w:line="596" w:lineRule="exact"/>
        <w:ind w:firstLine="640" w:firstLineChars="200"/>
        <w:rPr>
          <w:rFonts w:ascii="Times New Roman" w:hAnsi="Times New Roman" w:cs="Times New Roman"/>
          <w:kern w:val="2"/>
          <w:sz w:val="32"/>
          <w:szCs w:val="32"/>
        </w:rPr>
      </w:pPr>
      <w:r>
        <w:rPr>
          <w:rFonts w:ascii="Times New Roman" w:hAnsi="Times New Roman" w:cs="Times New Roman"/>
          <w:bCs/>
          <w:kern w:val="2"/>
          <w:sz w:val="32"/>
          <w:szCs w:val="32"/>
        </w:rPr>
        <w:t>四是推进乡村卫生服务一体化管理</w:t>
      </w:r>
      <w:r>
        <w:rPr>
          <w:rFonts w:ascii="Times New Roman" w:hAnsi="Times New Roman" w:cs="Times New Roman"/>
          <w:b/>
          <w:bCs/>
          <w:kern w:val="2"/>
          <w:sz w:val="32"/>
          <w:szCs w:val="32"/>
        </w:rPr>
        <w:t>。</w:t>
      </w:r>
      <w:r>
        <w:rPr>
          <w:rFonts w:ascii="Times New Roman" w:hAnsi="Times New Roman" w:cs="Times New Roman"/>
          <w:kern w:val="2"/>
          <w:sz w:val="32"/>
          <w:szCs w:val="32"/>
        </w:rPr>
        <w:t>主要包括协助卫生计生行政主管部门做好辖区内村卫生室和诊所的管理及技术指导等工作。</w:t>
      </w:r>
    </w:p>
    <w:p w14:paraId="28BB23A9">
      <w:pPr>
        <w:pStyle w:val="9"/>
        <w:spacing w:before="0" w:beforeAutospacing="0" w:after="0" w:afterAutospacing="0" w:line="596" w:lineRule="exact"/>
        <w:ind w:firstLine="482" w:firstLineChars="150"/>
        <w:rPr>
          <w:rFonts w:ascii="Times New Roman" w:hAnsi="Times New Roman" w:cs="Times New Roman"/>
          <w:kern w:val="2"/>
          <w:sz w:val="32"/>
          <w:szCs w:val="32"/>
        </w:rPr>
      </w:pPr>
      <w:r>
        <w:rPr>
          <w:rFonts w:hint="eastAsia" w:ascii="Times New Roman" w:hAnsi="Times New Roman" w:cs="Times New Roman"/>
          <w:b/>
          <w:bCs/>
          <w:kern w:val="2"/>
          <w:sz w:val="32"/>
          <w:szCs w:val="32"/>
        </w:rPr>
        <w:t xml:space="preserve"> </w:t>
      </w:r>
      <w:r>
        <w:rPr>
          <w:rFonts w:ascii="Times New Roman" w:hAnsi="Times New Roman" w:cs="Times New Roman"/>
          <w:bCs/>
          <w:kern w:val="2"/>
          <w:sz w:val="32"/>
          <w:szCs w:val="32"/>
        </w:rPr>
        <w:t>五是做好其他相关工作</w:t>
      </w:r>
      <w:r>
        <w:rPr>
          <w:rFonts w:ascii="Times New Roman" w:hAnsi="Times New Roman" w:cs="Times New Roman"/>
          <w:b/>
          <w:bCs/>
          <w:kern w:val="2"/>
          <w:sz w:val="32"/>
          <w:szCs w:val="32"/>
        </w:rPr>
        <w:t>。</w:t>
      </w:r>
      <w:r>
        <w:rPr>
          <w:rFonts w:ascii="Times New Roman" w:hAnsi="Times New Roman" w:cs="Times New Roman"/>
          <w:kern w:val="2"/>
          <w:sz w:val="32"/>
          <w:szCs w:val="32"/>
        </w:rPr>
        <w:t>主要包括协助镇人民政府制定、实施农村基本医疗保健规划，开展爱国卫生工作。</w:t>
      </w:r>
    </w:p>
    <w:p w14:paraId="2FA811AA">
      <w:pPr>
        <w:spacing w:line="600" w:lineRule="exact"/>
        <w:ind w:firstLine="640" w:firstLineChars="200"/>
        <w:rPr>
          <w:rFonts w:eastAsia="方正楷体_GBK"/>
        </w:rPr>
      </w:pPr>
      <w:r>
        <w:rPr>
          <w:rFonts w:eastAsia="方正楷体_GBK"/>
        </w:rPr>
        <w:t>（二）单位构成</w:t>
      </w:r>
    </w:p>
    <w:p w14:paraId="187BCEB0">
      <w:pPr>
        <w:spacing w:line="600" w:lineRule="exact"/>
        <w:ind w:firstLine="640" w:firstLineChars="200"/>
      </w:pPr>
      <w:r>
        <w:t>含谷镇卫生院现设有内科、外科、全科、妇科、口腔科、医学检验科、医学影像科、中医科、针灸科、麻醉科、全科，下设3个村卫生室。</w:t>
      </w:r>
    </w:p>
    <w:p w14:paraId="47EB096C">
      <w:pPr>
        <w:adjustRightInd w:val="0"/>
        <w:snapToGrid w:val="0"/>
        <w:spacing w:line="600" w:lineRule="exact"/>
        <w:ind w:left="640"/>
        <w:rPr>
          <w:color w:val="0D0D0D"/>
        </w:rPr>
      </w:pPr>
      <w:r>
        <w:rPr>
          <w:rFonts w:eastAsia="方正黑体_GBK"/>
          <w:color w:val="0D0D0D"/>
        </w:rPr>
        <w:t>二、部门收支总体情况</w:t>
      </w:r>
    </w:p>
    <w:p w14:paraId="02C49AAE">
      <w:pPr>
        <w:adjustRightInd w:val="0"/>
        <w:snapToGrid w:val="0"/>
        <w:spacing w:line="600" w:lineRule="exact"/>
        <w:ind w:firstLine="640" w:firstLineChars="200"/>
        <w:rPr>
          <w:color w:val="0D0D0D"/>
        </w:rPr>
      </w:pPr>
      <w:r>
        <w:rPr>
          <w:color w:val="0D0D0D"/>
        </w:rPr>
        <w:t>（一）收入预算：2026年年初预算数2128.91万元，其中：一般公共预算拨款628.91万元，政府性基金预算拨款0万元，国有资本经营预算收入0万元，事业收入1500万元，事业单位经营收入0万元，其他收入0万元。收入较2025年减少10.15万元，</w:t>
      </w:r>
      <w:r>
        <w:rPr>
          <w:szCs w:val="22"/>
        </w:rPr>
        <w:t>主要是一般公共预算拨款增加39.85万元，事业收入减少50万元</w:t>
      </w:r>
      <w:r>
        <w:rPr>
          <w:color w:val="0D0D0D"/>
        </w:rPr>
        <w:t>。</w:t>
      </w:r>
    </w:p>
    <w:p w14:paraId="49258CBB">
      <w:pPr>
        <w:adjustRightInd w:val="0"/>
        <w:snapToGrid w:val="0"/>
        <w:spacing w:line="600" w:lineRule="exact"/>
        <w:ind w:firstLine="640" w:firstLineChars="200"/>
        <w:rPr>
          <w:color w:val="0D0D0D"/>
        </w:rPr>
      </w:pPr>
      <w:r>
        <w:rPr>
          <w:color w:val="0D0D0D"/>
        </w:rPr>
        <w:t>（二）支出预算：2026年年初预算数2128.91万元，其中：一般公共服务支出预算0万元，教育支出预算0万元，社会保障和就业支出预算155.24万元，卫生健康支出预算1933.35万元，住房保障支出预算40.32万元。支出预算较2025年减少10.15万元，主要是基本支出预算增加219.05万元，项目支出预算减少229.2万元。</w:t>
      </w:r>
    </w:p>
    <w:p w14:paraId="251C3771">
      <w:pPr>
        <w:adjustRightInd w:val="0"/>
        <w:snapToGrid w:val="0"/>
        <w:spacing w:line="600" w:lineRule="exact"/>
        <w:ind w:left="640"/>
        <w:rPr>
          <w:rFonts w:eastAsia="方正黑体_GBK"/>
          <w:color w:val="0D0D0D"/>
        </w:rPr>
      </w:pPr>
      <w:r>
        <w:rPr>
          <w:rFonts w:eastAsia="方正黑体_GBK"/>
          <w:color w:val="0D0D0D"/>
        </w:rPr>
        <w:t>三、部门预算情况说明</w:t>
      </w:r>
    </w:p>
    <w:p w14:paraId="6CEF60C0">
      <w:pPr>
        <w:adjustRightInd w:val="0"/>
        <w:snapToGrid w:val="0"/>
        <w:spacing w:line="600" w:lineRule="exact"/>
        <w:ind w:firstLine="640" w:firstLineChars="200"/>
        <w:rPr>
          <w:color w:val="0D0D0D"/>
        </w:rPr>
      </w:pPr>
      <w:r>
        <w:rPr>
          <w:color w:val="0D0D0D"/>
        </w:rPr>
        <w:t>2026年一般公共预算财政拨款收入628.91万元，一般公共预算财政拨款支出628.91万元，比2025年增加39.85万元。其中：基本支出628.91万元，比2025年增加39.85万元，主要原因是人员变化调整，主要用于保障在职人员工资福利及社会保险缴费，离休人员离休费，退休人员补助等，保障部门正常运转的各项商品服务支出；项目支出0万元，</w:t>
      </w:r>
      <w:r>
        <w:t>与2025年预算数一致</w:t>
      </w:r>
      <w:r>
        <w:rPr>
          <w:color w:val="0D0D0D"/>
        </w:rPr>
        <w:t>。</w:t>
      </w:r>
    </w:p>
    <w:p w14:paraId="0A7966DC">
      <w:pPr>
        <w:adjustRightInd w:val="0"/>
        <w:snapToGrid w:val="0"/>
        <w:spacing w:line="600" w:lineRule="exact"/>
        <w:ind w:firstLine="640" w:firstLineChars="200"/>
        <w:rPr>
          <w:color w:val="0D0D0D"/>
        </w:rPr>
      </w:pPr>
      <w:r>
        <w:rPr>
          <w:color w:val="0D0D0D"/>
        </w:rPr>
        <w:t>2026年政府性基金预算收入0万元，政府性基金预算支出0万元，</w:t>
      </w:r>
      <w:r>
        <w:t>与2025年预算数一致</w:t>
      </w:r>
      <w:r>
        <w:rPr>
          <w:color w:val="0D0D0D"/>
        </w:rPr>
        <w:t>。</w:t>
      </w:r>
      <w:r>
        <w:rPr>
          <w:rFonts w:hint="eastAsia"/>
          <w:color w:val="0D0D0D"/>
        </w:rPr>
        <w:t>主要原因是</w:t>
      </w:r>
      <w:r>
        <w:t>含谷镇卫生院</w:t>
      </w:r>
      <w:r>
        <w:rPr>
          <w:color w:val="0D0D0D"/>
        </w:rPr>
        <w:t>2026年无使用政府性基金预算拨款安排的支出</w:t>
      </w:r>
      <w:r>
        <w:t>。</w:t>
      </w:r>
    </w:p>
    <w:p w14:paraId="5119AE96">
      <w:pPr>
        <w:adjustRightInd w:val="0"/>
        <w:snapToGrid w:val="0"/>
        <w:spacing w:line="600" w:lineRule="exact"/>
        <w:ind w:left="640"/>
        <w:rPr>
          <w:color w:val="0D0D0D"/>
        </w:rPr>
      </w:pPr>
      <w:r>
        <w:rPr>
          <w:rFonts w:eastAsia="方正黑体_GBK"/>
          <w:color w:val="0D0D0D"/>
        </w:rPr>
        <w:t>四、“三公”经费情况说明</w:t>
      </w:r>
    </w:p>
    <w:p w14:paraId="739EACCF">
      <w:pPr>
        <w:adjustRightInd w:val="0"/>
        <w:snapToGrid w:val="0"/>
        <w:spacing w:line="600" w:lineRule="exact"/>
        <w:ind w:firstLine="600"/>
        <w:rPr>
          <w:color w:val="0D0D0D"/>
        </w:rPr>
      </w:pPr>
      <w:r>
        <w:rPr>
          <w:color w:val="0D0D0D"/>
        </w:rPr>
        <w:t>2026年“三公”经费预算0万元，</w:t>
      </w:r>
      <w:r>
        <w:rPr>
          <w:szCs w:val="22"/>
        </w:rPr>
        <w:t>与2025年预算数一致</w:t>
      </w:r>
      <w:r>
        <w:rPr>
          <w:color w:val="0D0D0D"/>
        </w:rPr>
        <w:t>。其中，因公出国（境）费用0万元，</w:t>
      </w:r>
      <w:r>
        <w:rPr>
          <w:szCs w:val="22"/>
        </w:rPr>
        <w:t>与2025年预算数一致</w:t>
      </w:r>
      <w:r>
        <w:rPr>
          <w:color w:val="0D0D0D"/>
        </w:rPr>
        <w:t>；公务接待费0万元，</w:t>
      </w:r>
      <w:r>
        <w:rPr>
          <w:szCs w:val="22"/>
        </w:rPr>
        <w:t>与2025年预算数一致</w:t>
      </w:r>
      <w:r>
        <w:rPr>
          <w:color w:val="0D0D0D"/>
        </w:rPr>
        <w:t>；公务用车运行维护费0万元，</w:t>
      </w:r>
      <w:r>
        <w:rPr>
          <w:szCs w:val="22"/>
        </w:rPr>
        <w:t>与2025年预算数一致</w:t>
      </w:r>
      <w:r>
        <w:rPr>
          <w:color w:val="0D0D0D"/>
        </w:rPr>
        <w:t>；公务用车购置费0万元，</w:t>
      </w:r>
      <w:r>
        <w:rPr>
          <w:szCs w:val="22"/>
        </w:rPr>
        <w:t>与2025年预算数一致</w:t>
      </w:r>
      <w:r>
        <w:rPr>
          <w:color w:val="0D0D0D"/>
        </w:rPr>
        <w:t>。</w:t>
      </w:r>
      <w:r>
        <w:rPr>
          <w:szCs w:val="22"/>
        </w:rPr>
        <w:t>主要原因是</w:t>
      </w:r>
      <w:r>
        <w:t>本单位2026年无一般公共</w:t>
      </w:r>
      <w:r>
        <w:rPr>
          <w:rFonts w:hint="eastAsia"/>
          <w:lang w:eastAsia="zh-CN"/>
        </w:rPr>
        <w:t>预算拨款</w:t>
      </w:r>
      <w:r>
        <w:t>安排的“三公”经费支出</w:t>
      </w:r>
      <w:r>
        <w:rPr>
          <w:szCs w:val="22"/>
        </w:rPr>
        <w:t>。</w:t>
      </w:r>
    </w:p>
    <w:p w14:paraId="3D8E5078">
      <w:pPr>
        <w:adjustRightInd w:val="0"/>
        <w:snapToGrid w:val="0"/>
        <w:spacing w:line="600" w:lineRule="exact"/>
        <w:ind w:left="640"/>
        <w:rPr>
          <w:rFonts w:eastAsia="方正黑体_GBK"/>
          <w:color w:val="0D0D0D"/>
        </w:rPr>
      </w:pPr>
      <w:r>
        <w:rPr>
          <w:rFonts w:eastAsia="方正黑体_GBK"/>
          <w:color w:val="0D0D0D"/>
        </w:rPr>
        <w:t>五、其他重要事项的情况说明</w:t>
      </w:r>
    </w:p>
    <w:p w14:paraId="254532AD">
      <w:pPr>
        <w:adjustRightInd w:val="0"/>
        <w:snapToGrid w:val="0"/>
        <w:spacing w:line="600" w:lineRule="exact"/>
        <w:ind w:firstLine="640" w:firstLineChars="200"/>
        <w:rPr>
          <w:color w:val="0D0D0D"/>
        </w:rPr>
      </w:pPr>
      <w:r>
        <w:rPr>
          <w:color w:val="0D0D0D"/>
        </w:rPr>
        <w:t>（一）我单位不在机关运行经费统计范围之内。</w:t>
      </w:r>
    </w:p>
    <w:p w14:paraId="7B2AC8E7">
      <w:pPr>
        <w:adjustRightInd w:val="0"/>
        <w:snapToGrid w:val="0"/>
        <w:spacing w:line="600" w:lineRule="exact"/>
        <w:ind w:firstLine="640" w:firstLineChars="200"/>
        <w:rPr>
          <w:color w:val="0D0D0D"/>
        </w:rPr>
      </w:pPr>
      <w:r>
        <w:rPr>
          <w:color w:val="0D0D0D"/>
        </w:rPr>
        <w:t>（二）政府采购情况。</w:t>
      </w:r>
      <w:r>
        <w:rPr>
          <w:szCs w:val="22"/>
        </w:rPr>
        <w:t>本单位政府采购预算总额2万元</w:t>
      </w:r>
      <w:r>
        <w:rPr>
          <w:color w:val="0D0D0D"/>
        </w:rPr>
        <w:t>，其中，政府采购货物预算2万元、政府采购工程预算0万元、政府采购服务预算0万元；一般公共预算拨款政府采购0万元，其中，政府采购货物预算0万元、政府采购工程预算0万元、政府采购服务预算0万元。</w:t>
      </w:r>
    </w:p>
    <w:p w14:paraId="56E95B32">
      <w:pPr>
        <w:adjustRightInd w:val="0"/>
        <w:snapToGrid w:val="0"/>
        <w:spacing w:line="600" w:lineRule="exact"/>
        <w:ind w:firstLine="640" w:firstLineChars="200"/>
        <w:rPr>
          <w:color w:val="0D0D0D"/>
        </w:rPr>
      </w:pPr>
      <w:r>
        <w:rPr>
          <w:color w:val="0D0D0D"/>
        </w:rPr>
        <w:t>（三）绩效目标设置情况。2026年项目支出均实行了绩效目标管理，涉及一般公共预算当年财政拨款0万元。</w:t>
      </w:r>
    </w:p>
    <w:p w14:paraId="0ECA7E73">
      <w:pPr>
        <w:adjustRightInd w:val="0"/>
        <w:snapToGrid w:val="0"/>
        <w:spacing w:line="600" w:lineRule="exact"/>
        <w:ind w:firstLine="640" w:firstLineChars="200"/>
        <w:rPr>
          <w:color w:val="000000" w:themeColor="text1"/>
        </w:rPr>
      </w:pPr>
      <w:r>
        <w:rPr>
          <w:color w:val="0D0D0D"/>
        </w:rPr>
        <w:t>（四）国有资产占有使用情况。截止2025年12月，所属各预算单位共有车辆1辆，其中一般公务用车0辆、执勤执法用车0辆</w:t>
      </w:r>
      <w:r>
        <w:rPr>
          <w:rFonts w:hint="eastAsia"/>
          <w:color w:val="000000" w:themeColor="text1"/>
        </w:rPr>
        <w:t>、</w:t>
      </w:r>
      <w:r>
        <w:rPr>
          <w:szCs w:val="22"/>
        </w:rPr>
        <w:t>特种专业技术用车1辆</w:t>
      </w:r>
      <w:r>
        <w:rPr>
          <w:color w:val="0D0D0D"/>
        </w:rPr>
        <w:t>。2026年一般公共预算安排购置车辆0辆，其中一般公务用车0辆、执勤执法用车0辆</w:t>
      </w:r>
      <w:r>
        <w:rPr>
          <w:rFonts w:hint="eastAsia"/>
          <w:color w:val="0D0D0D"/>
        </w:rPr>
        <w:t>、</w:t>
      </w:r>
      <w:r>
        <w:rPr>
          <w:color w:val="000000" w:themeColor="text1"/>
          <w:szCs w:val="22"/>
        </w:rPr>
        <w:t>特种专业技术用车</w:t>
      </w:r>
      <w:r>
        <w:rPr>
          <w:rFonts w:hint="eastAsia"/>
          <w:color w:val="000000" w:themeColor="text1"/>
          <w:szCs w:val="22"/>
        </w:rPr>
        <w:t>0</w:t>
      </w:r>
      <w:r>
        <w:rPr>
          <w:color w:val="000000" w:themeColor="text1"/>
          <w:szCs w:val="22"/>
        </w:rPr>
        <w:t>辆</w:t>
      </w:r>
      <w:r>
        <w:rPr>
          <w:rFonts w:hint="eastAsia"/>
          <w:color w:val="000000" w:themeColor="text1"/>
          <w:szCs w:val="22"/>
        </w:rPr>
        <w:t>。</w:t>
      </w:r>
    </w:p>
    <w:p w14:paraId="7D41EC09">
      <w:pPr>
        <w:adjustRightInd w:val="0"/>
        <w:snapToGrid w:val="0"/>
        <w:spacing w:line="600" w:lineRule="exact"/>
        <w:ind w:firstLine="640" w:firstLineChars="200"/>
        <w:rPr>
          <w:color w:val="0D0D0D"/>
        </w:rPr>
      </w:pPr>
      <w:r>
        <w:rPr>
          <w:color w:val="0D0D0D"/>
        </w:rPr>
        <w:t>（五）委托业务费情况。2026年委托业务费涉及财拨资金0万元。</w:t>
      </w:r>
    </w:p>
    <w:p w14:paraId="7E2A5B6B">
      <w:pPr>
        <w:adjustRightInd w:val="0"/>
        <w:snapToGrid w:val="0"/>
        <w:spacing w:line="600" w:lineRule="exact"/>
        <w:ind w:left="640"/>
        <w:rPr>
          <w:rFonts w:eastAsia="方正黑体_GBK"/>
          <w:color w:val="0D0D0D"/>
        </w:rPr>
      </w:pPr>
      <w:r>
        <w:rPr>
          <w:rFonts w:eastAsia="方正黑体_GBK"/>
          <w:color w:val="0D0D0D"/>
        </w:rPr>
        <w:t>六、专业性名词解释</w:t>
      </w:r>
    </w:p>
    <w:p w14:paraId="60346028">
      <w:pPr>
        <w:pStyle w:val="7"/>
        <w:tabs>
          <w:tab w:val="center" w:pos="4153"/>
          <w:tab w:val="left" w:pos="7275"/>
        </w:tabs>
        <w:adjustRightInd w:val="0"/>
        <w:snapToGrid w:val="0"/>
        <w:spacing w:line="600" w:lineRule="exact"/>
        <w:ind w:firstLine="640"/>
        <w:jc w:val="left"/>
        <w:rPr>
          <w:rFonts w:ascii="Times New Roman" w:hAnsi="Times New Roman" w:eastAsia="方正仿宋_GBK"/>
          <w:color w:val="0D0D0D"/>
          <w:sz w:val="32"/>
          <w:szCs w:val="32"/>
        </w:rPr>
      </w:pPr>
      <w:r>
        <w:rPr>
          <w:rFonts w:ascii="Times New Roman" w:hAnsi="Times New Roman" w:eastAsia="方正仿宋_GBK"/>
          <w:color w:val="0D0D0D"/>
          <w:sz w:val="32"/>
          <w:szCs w:val="32"/>
        </w:rPr>
        <w:t>（一）财政拨款收入：指本年度从本级财政部门取得的财政拨款，包括一般公共预算财政拨款和政府性基金预算财政拨款。</w:t>
      </w:r>
    </w:p>
    <w:p w14:paraId="6ED4428E">
      <w:pPr>
        <w:adjustRightInd w:val="0"/>
        <w:snapToGrid w:val="0"/>
        <w:spacing w:line="600" w:lineRule="exact"/>
        <w:ind w:firstLine="640" w:firstLineChars="200"/>
        <w:rPr>
          <w:color w:val="0D0D0D"/>
          <w:szCs w:val="32"/>
        </w:rPr>
      </w:pPr>
      <w:r>
        <w:rPr>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232E7328">
      <w:pPr>
        <w:adjustRightInd w:val="0"/>
        <w:snapToGrid w:val="0"/>
        <w:spacing w:line="600" w:lineRule="exact"/>
        <w:ind w:firstLine="640" w:firstLineChars="200"/>
        <w:rPr>
          <w:color w:val="0D0D0D"/>
          <w:szCs w:val="32"/>
        </w:rPr>
      </w:pPr>
      <w:r>
        <w:rPr>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5A6EAEB1">
      <w:pPr>
        <w:adjustRightInd w:val="0"/>
        <w:snapToGrid w:val="0"/>
        <w:spacing w:line="600" w:lineRule="exact"/>
        <w:ind w:firstLine="640" w:firstLineChars="200"/>
        <w:rPr>
          <w:color w:val="0D0D0D"/>
          <w:szCs w:val="32"/>
        </w:rPr>
      </w:pPr>
      <w:r>
        <w:rPr>
          <w:color w:val="0D0D0D"/>
          <w:szCs w:val="32"/>
        </w:rPr>
        <w:t>（四）上级补助收入：指从主管部门或上级单位取得的财政拨款以外的其他补助收入。单位结合上年度上级补助收入等情况进行预计。</w:t>
      </w:r>
    </w:p>
    <w:p w14:paraId="4872CCFB">
      <w:pPr>
        <w:adjustRightInd w:val="0"/>
        <w:snapToGrid w:val="0"/>
        <w:spacing w:line="600" w:lineRule="exact"/>
        <w:ind w:firstLine="640" w:firstLineChars="200"/>
        <w:rPr>
          <w:color w:val="0D0D0D"/>
          <w:szCs w:val="32"/>
        </w:rPr>
      </w:pPr>
      <w:r>
        <w:rPr>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1F894F86">
      <w:pPr>
        <w:adjustRightInd w:val="0"/>
        <w:snapToGrid w:val="0"/>
        <w:spacing w:line="600" w:lineRule="exact"/>
        <w:ind w:firstLine="640" w:firstLineChars="200"/>
        <w:rPr>
          <w:color w:val="0D0D0D"/>
          <w:szCs w:val="32"/>
        </w:rPr>
      </w:pPr>
      <w:r>
        <w:rPr>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7330A03C">
      <w:pPr>
        <w:adjustRightInd w:val="0"/>
        <w:snapToGrid w:val="0"/>
        <w:spacing w:line="600" w:lineRule="exact"/>
        <w:ind w:firstLine="640" w:firstLineChars="200"/>
        <w:rPr>
          <w:color w:val="0D0D0D"/>
          <w:szCs w:val="32"/>
        </w:rPr>
      </w:pPr>
      <w:r>
        <w:rPr>
          <w:color w:val="0D0D0D"/>
          <w:szCs w:val="32"/>
        </w:rPr>
        <w:t>（七）其他收入：指债务收入、投资收益等收入，单位根据情况合理预计，全部编入预算。</w:t>
      </w:r>
    </w:p>
    <w:p w14:paraId="1DF6CE66">
      <w:pPr>
        <w:adjustRightInd w:val="0"/>
        <w:snapToGrid w:val="0"/>
        <w:spacing w:line="600" w:lineRule="exact"/>
        <w:ind w:firstLine="640" w:firstLineChars="200"/>
        <w:rPr>
          <w:color w:val="0D0D0D"/>
          <w:szCs w:val="32"/>
        </w:rPr>
      </w:pPr>
      <w:r>
        <w:rPr>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4D8A1E31">
      <w:pPr>
        <w:adjustRightInd w:val="0"/>
        <w:snapToGrid w:val="0"/>
        <w:spacing w:line="600" w:lineRule="exact"/>
        <w:ind w:firstLine="640" w:firstLineChars="200"/>
        <w:rPr>
          <w:color w:val="0D0D0D"/>
          <w:szCs w:val="32"/>
        </w:rPr>
      </w:pPr>
      <w:r>
        <w:rPr>
          <w:color w:val="0D0D0D"/>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1E509F4">
      <w:pPr>
        <w:adjustRightInd w:val="0"/>
        <w:snapToGrid w:val="0"/>
        <w:spacing w:line="600" w:lineRule="exact"/>
        <w:ind w:firstLine="640" w:firstLineChars="200"/>
        <w:rPr>
          <w:color w:val="0D0D0D"/>
          <w:szCs w:val="32"/>
        </w:rPr>
      </w:pPr>
      <w:r>
        <w:rPr>
          <w:color w:val="0D0D0D"/>
          <w:szCs w:val="32"/>
        </w:rPr>
        <w:t>（十）项目支出：指在基本支出之外为完成特定行政任务和事业发展目标所发生的支出。</w:t>
      </w:r>
    </w:p>
    <w:p w14:paraId="78F22F81">
      <w:pPr>
        <w:adjustRightInd w:val="0"/>
        <w:snapToGrid w:val="0"/>
        <w:spacing w:line="600" w:lineRule="exact"/>
        <w:ind w:firstLine="640" w:firstLineChars="200"/>
        <w:rPr>
          <w:color w:val="0D0D0D"/>
          <w:szCs w:val="32"/>
        </w:rPr>
      </w:pPr>
      <w:r>
        <w:rPr>
          <w:color w:val="0D0D0D"/>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0EC49B">
      <w:pPr>
        <w:adjustRightInd w:val="0"/>
        <w:snapToGrid w:val="0"/>
        <w:spacing w:line="600" w:lineRule="exact"/>
        <w:ind w:firstLine="640" w:firstLineChars="200"/>
        <w:rPr>
          <w:color w:val="0D0D0D"/>
          <w:szCs w:val="32"/>
        </w:rPr>
      </w:pPr>
      <w:r>
        <w:rPr>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377EE062">
      <w:pPr>
        <w:adjustRightInd w:val="0"/>
        <w:snapToGrid w:val="0"/>
        <w:spacing w:line="600" w:lineRule="exact"/>
        <w:ind w:firstLine="640" w:firstLineChars="200"/>
        <w:rPr>
          <w:color w:val="0D0D0D"/>
          <w:szCs w:val="32"/>
        </w:rPr>
      </w:pPr>
      <w:r>
        <w:rPr>
          <w:color w:val="0D0D0D"/>
          <w:szCs w:val="32"/>
        </w:rPr>
        <w:t>（十三）工资福利支出（支出经济分类科目类级）：反映单位开支的在职职工和编制外长期聘用人员的各类劳动报酬，以及为上述人员缴纳的各项社会保险费等。</w:t>
      </w:r>
    </w:p>
    <w:p w14:paraId="5FAD94BE">
      <w:pPr>
        <w:adjustRightInd w:val="0"/>
        <w:snapToGrid w:val="0"/>
        <w:spacing w:line="600" w:lineRule="exact"/>
        <w:ind w:firstLine="640" w:firstLineChars="200"/>
        <w:rPr>
          <w:color w:val="0D0D0D"/>
          <w:szCs w:val="32"/>
        </w:rPr>
      </w:pPr>
      <w:r>
        <w:rPr>
          <w:color w:val="0D0D0D"/>
          <w:szCs w:val="32"/>
        </w:rPr>
        <w:t>（十四）商品和服务支出（支出经济分类科目类级）：反映单位购买商品和服务的支出（不包括用于购置固定资产的支出、战略性和应急储备支出）。</w:t>
      </w:r>
    </w:p>
    <w:p w14:paraId="2C2B0953">
      <w:pPr>
        <w:adjustRightInd w:val="0"/>
        <w:snapToGrid w:val="0"/>
        <w:spacing w:line="600" w:lineRule="exact"/>
        <w:ind w:firstLine="640" w:firstLineChars="200"/>
        <w:rPr>
          <w:color w:val="0D0D0D"/>
          <w:szCs w:val="32"/>
        </w:rPr>
      </w:pPr>
      <w:r>
        <w:rPr>
          <w:color w:val="0D0D0D"/>
          <w:szCs w:val="32"/>
        </w:rPr>
        <w:t>（十五）对个人和家庭的补助（支出经济分类科目类级）：反映用于对个人和家庭的补助支出。</w:t>
      </w:r>
    </w:p>
    <w:p w14:paraId="6C1660A6">
      <w:pPr>
        <w:adjustRightInd w:val="0"/>
        <w:snapToGrid w:val="0"/>
        <w:spacing w:line="600" w:lineRule="exact"/>
        <w:ind w:firstLine="640" w:firstLineChars="200"/>
        <w:rPr>
          <w:color w:val="0D0D0D"/>
          <w:szCs w:val="32"/>
        </w:rPr>
      </w:pPr>
      <w:r>
        <w:rPr>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07D2AC5E">
      <w:pPr>
        <w:adjustRightInd w:val="0"/>
        <w:snapToGrid w:val="0"/>
        <w:spacing w:line="600" w:lineRule="exact"/>
        <w:ind w:firstLine="640" w:firstLineChars="200"/>
        <w:rPr>
          <w:color w:val="0D0D0D"/>
        </w:rPr>
      </w:pPr>
    </w:p>
    <w:p w14:paraId="0B547990">
      <w:pPr>
        <w:adjustRightInd w:val="0"/>
        <w:snapToGrid w:val="0"/>
        <w:spacing w:line="600" w:lineRule="exact"/>
        <w:ind w:firstLine="640" w:firstLineChars="200"/>
        <w:rPr>
          <w:color w:val="0D0D0D"/>
        </w:rPr>
      </w:pPr>
      <w:r>
        <w:rPr>
          <w:rFonts w:hint="eastAsia"/>
          <w:color w:val="0D0D0D"/>
        </w:rPr>
        <w:t>（</w:t>
      </w:r>
      <w:r>
        <w:rPr>
          <w:color w:val="0D0D0D"/>
        </w:rPr>
        <w:t>部门预算公开联系人：罗洋，联系方式：</w:t>
      </w:r>
      <w:r>
        <w:rPr>
          <w:szCs w:val="22"/>
        </w:rPr>
        <w:t>023-65730443</w:t>
      </w:r>
      <w:r>
        <w:rPr>
          <w:rFonts w:hint="eastAsia"/>
          <w:szCs w:val="22"/>
        </w:rPr>
        <w:t>）</w:t>
      </w:r>
    </w:p>
    <w:p w14:paraId="3767ACE0"/>
    <w:sectPr>
      <w:footerReference r:id="rId3" w:type="default"/>
      <w:footerReference r:id="rId4" w:type="even"/>
      <w:pgSz w:w="11906" w:h="16838"/>
      <w:pgMar w:top="2098" w:right="1531" w:bottom="1701"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70906BA-18CE-48C8-9E13-FD6D8A6C8119}"/>
  </w:font>
  <w:font w:name="方正仿宋_GBK">
    <w:panose1 w:val="03000509000000000000"/>
    <w:charset w:val="86"/>
    <w:family w:val="script"/>
    <w:pitch w:val="default"/>
    <w:sig w:usb0="00000001" w:usb1="080E0000" w:usb2="00000000" w:usb3="00000000" w:csb0="00040000" w:csb1="00000000"/>
    <w:embedRegular r:id="rId2" w:fontKey="{8DFBCD84-01FA-4E95-AB46-41D216E38DB4}"/>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EB197C01-3778-4FCA-9A79-166E307FE830}"/>
  </w:font>
  <w:font w:name="方正黑体_GBK">
    <w:panose1 w:val="02010600010101010101"/>
    <w:charset w:val="86"/>
    <w:family w:val="script"/>
    <w:pitch w:val="default"/>
    <w:sig w:usb0="00000001" w:usb1="080E0000" w:usb2="00000000" w:usb3="00000000" w:csb0="00040000" w:csb1="00000000"/>
    <w:embedRegular r:id="rId4" w:fontKey="{506AC2B9-F8D6-4C23-A80A-17FBA919286E}"/>
  </w:font>
  <w:font w:name="方正楷体_GBK">
    <w:panose1 w:val="02000000000000000000"/>
    <w:charset w:val="86"/>
    <w:family w:val="script"/>
    <w:pitch w:val="default"/>
    <w:sig w:usb0="800002BF" w:usb1="38CF7CFA" w:usb2="00000016" w:usb3="00000000" w:csb0="00040000" w:csb1="00000000"/>
    <w:embedRegular r:id="rId5" w:fontKey="{0939BF48-3545-4AF9-8DDD-FA3E4D26FA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DBE6">
    <w:pPr>
      <w:pStyle w:val="2"/>
      <w:framePr w:wrap="around" w:vAnchor="text" w:hAnchor="margin" w:xAlign="outside" w:y="1"/>
      <w:ind w:right="320" w:rightChars="100"/>
      <w:rPr>
        <w:rStyle w:val="6"/>
        <w:rFonts w:ascii="宋体" w:hAnsi="宋体" w:eastAsia="宋体"/>
        <w:sz w:val="28"/>
        <w:szCs w:val="28"/>
      </w:rPr>
    </w:pPr>
    <w:r>
      <w:rPr>
        <w:rStyle w:val="6"/>
        <w:rFonts w:hint="eastAsia" w:ascii="宋体" w:hAnsi="宋体" w:eastAsia="宋体"/>
        <w:sz w:val="28"/>
        <w:szCs w:val="28"/>
      </w:rPr>
      <w:t xml:space="preserve">— </w:t>
    </w:r>
    <w:r>
      <w:rPr>
        <w:rStyle w:val="6"/>
        <w:rFonts w:eastAsia="宋体"/>
        <w:sz w:val="28"/>
        <w:szCs w:val="28"/>
      </w:rPr>
      <w:fldChar w:fldCharType="begin"/>
    </w:r>
    <w:r>
      <w:rPr>
        <w:rStyle w:val="6"/>
        <w:rFonts w:eastAsia="宋体"/>
        <w:sz w:val="28"/>
        <w:szCs w:val="28"/>
      </w:rPr>
      <w:instrText xml:space="preserve">PAGE  </w:instrText>
    </w:r>
    <w:r>
      <w:rPr>
        <w:rStyle w:val="6"/>
        <w:rFonts w:eastAsia="宋体"/>
        <w:sz w:val="28"/>
        <w:szCs w:val="28"/>
      </w:rPr>
      <w:fldChar w:fldCharType="separate"/>
    </w:r>
    <w:r>
      <w:rPr>
        <w:rStyle w:val="6"/>
        <w:rFonts w:eastAsia="宋体"/>
        <w:sz w:val="28"/>
        <w:szCs w:val="28"/>
      </w:rPr>
      <w:t>7</w:t>
    </w:r>
    <w:r>
      <w:rPr>
        <w:rStyle w:val="6"/>
        <w:rFonts w:eastAsia="宋体"/>
        <w:sz w:val="28"/>
        <w:szCs w:val="28"/>
      </w:rPr>
      <w:fldChar w:fldCharType="end"/>
    </w:r>
    <w:r>
      <w:rPr>
        <w:rStyle w:val="6"/>
        <w:rFonts w:hint="eastAsia" w:ascii="宋体" w:hAnsi="宋体" w:eastAsia="宋体"/>
        <w:sz w:val="28"/>
        <w:szCs w:val="28"/>
      </w:rPr>
      <w:t xml:space="preserve"> —</w:t>
    </w:r>
  </w:p>
  <w:p w14:paraId="2E8AD187">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C4102">
    <w:pPr>
      <w:pStyle w:val="2"/>
      <w:framePr w:wrap="around" w:vAnchor="text" w:hAnchor="margin" w:xAlign="outside" w:y="1"/>
      <w:ind w:left="320" w:leftChars="100"/>
      <w:rPr>
        <w:rStyle w:val="6"/>
        <w:rFonts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10</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14:paraId="0D7A9F7E">
    <w:pPr>
      <w:pStyle w:val="2"/>
      <w:framePr w:wrap="around" w:vAnchor="text" w:hAnchor="margin" w:xAlign="outside" w:y="1"/>
      <w:ind w:left="640" w:leftChars="200" w:right="640" w:rightChars="200" w:firstLine="360"/>
      <w:rPr>
        <w:rStyle w:val="6"/>
        <w:rFonts w:ascii="宋体" w:hAnsi="宋体" w:eastAsia="宋体"/>
        <w:sz w:val="28"/>
        <w:szCs w:val="28"/>
      </w:rPr>
    </w:pPr>
  </w:p>
  <w:p w14:paraId="2CE375CA">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A2B4B"/>
    <w:rsid w:val="00083761"/>
    <w:rsid w:val="000A2B4B"/>
    <w:rsid w:val="0010632F"/>
    <w:rsid w:val="00131EF3"/>
    <w:rsid w:val="00190730"/>
    <w:rsid w:val="001F7D32"/>
    <w:rsid w:val="003B13ED"/>
    <w:rsid w:val="00415FAE"/>
    <w:rsid w:val="00562BBC"/>
    <w:rsid w:val="00564D90"/>
    <w:rsid w:val="006A5131"/>
    <w:rsid w:val="00725595"/>
    <w:rsid w:val="007C43E3"/>
    <w:rsid w:val="007D7F9F"/>
    <w:rsid w:val="008015F6"/>
    <w:rsid w:val="00821582"/>
    <w:rsid w:val="009378A8"/>
    <w:rsid w:val="00A5198E"/>
    <w:rsid w:val="00A54AB1"/>
    <w:rsid w:val="00B55179"/>
    <w:rsid w:val="00DA29C2"/>
    <w:rsid w:val="00E11697"/>
    <w:rsid w:val="00FA4489"/>
    <w:rsid w:val="0BFE4EEC"/>
    <w:rsid w:val="0CB753A7"/>
    <w:rsid w:val="10D31FC4"/>
    <w:rsid w:val="135476EE"/>
    <w:rsid w:val="138E2FF9"/>
    <w:rsid w:val="1D5A2821"/>
    <w:rsid w:val="291E22D1"/>
    <w:rsid w:val="2C5A59AB"/>
    <w:rsid w:val="31B86968"/>
    <w:rsid w:val="38AC78FA"/>
    <w:rsid w:val="39A474B2"/>
    <w:rsid w:val="3E1B009B"/>
    <w:rsid w:val="400718BA"/>
    <w:rsid w:val="417252AC"/>
    <w:rsid w:val="4913561C"/>
    <w:rsid w:val="52AD4F6C"/>
    <w:rsid w:val="54403896"/>
    <w:rsid w:val="5C7D5034"/>
    <w:rsid w:val="6E557B10"/>
    <w:rsid w:val="707945E1"/>
    <w:rsid w:val="73506305"/>
    <w:rsid w:val="75076E2F"/>
    <w:rsid w:val="77F951E6"/>
    <w:rsid w:val="78C7160B"/>
    <w:rsid w:val="7D6173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 w:type="paragraph" w:styleId="7">
    <w:name w:val="List Paragraph"/>
    <w:basedOn w:val="1"/>
    <w:qFormat/>
    <w:uiPriority w:val="34"/>
    <w:pPr>
      <w:ind w:firstLine="420" w:firstLineChars="200"/>
    </w:pPr>
    <w:rPr>
      <w:rFonts w:ascii="仿宋" w:hAnsi="仿宋" w:eastAsia="仿宋"/>
      <w:sz w:val="28"/>
      <w:szCs w:val="22"/>
    </w:rPr>
  </w:style>
  <w:style w:type="character" w:customStyle="1" w:styleId="8">
    <w:name w:val="页眉 Char"/>
    <w:basedOn w:val="5"/>
    <w:link w:val="3"/>
    <w:qFormat/>
    <w:uiPriority w:val="0"/>
    <w:rPr>
      <w:rFonts w:ascii="Times New Roman" w:hAnsi="Times New Roman" w:eastAsia="方正仿宋_GBK" w:cs="Times New Roman"/>
      <w:kern w:val="2"/>
      <w:sz w:val="18"/>
      <w:szCs w:val="18"/>
    </w:rPr>
  </w:style>
  <w:style w:type="paragraph" w:customStyle="1" w:styleId="9">
    <w:name w:val="msonormalcxspmiddle"/>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3268</Words>
  <Characters>3430</Characters>
  <Lines>24</Lines>
  <Paragraphs>6</Paragraphs>
  <TotalTime>11</TotalTime>
  <ScaleCrop>false</ScaleCrop>
  <LinksUpToDate>false</LinksUpToDate>
  <CharactersWithSpaces>3431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2026-03-23T00:51:00Z</dcterms:created>
  <dc:creator>Administrator</dc:creator>
  <cp:lastModifiedBy>silence</cp:lastModifiedBy>
  <dcterms:modified xsi:type="dcterms:W3CDTF">2026-05-15T07:45:06Z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eyJoZGlkIjoiZjRmYWUxOWJhMWE5OGFmZGQyNzA0NjBkZTNhOGRjMDEiLCJ1c2VySWQiOiIyNDg4ODMzNzUifQ==</vt:lpwstr>
  </property>
  <property fmtid="{D5CDD505-2E9C-101B-9397-08002B2CF9AE}" pid="4" name="ICV">
    <vt:lpwstr>C848B7349AA84364B23756C1A81AE10E_12</vt:lpwstr>
  </property>
</Properties>
</file>