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90" w:rsidRDefault="00070DF8">
      <w:pPr>
        <w:overflowPunct w:val="0"/>
        <w:snapToGrid w:val="0"/>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巴福镇卫生院</w:t>
      </w:r>
    </w:p>
    <w:p w:rsidR="00050190" w:rsidRDefault="00070DF8">
      <w:pPr>
        <w:overflowPunct w:val="0"/>
        <w:snapToGrid w:val="0"/>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2026</w:t>
      </w:r>
      <w:r>
        <w:rPr>
          <w:rFonts w:ascii="Times New Roman" w:eastAsia="方正小标宋_GBK" w:hAnsi="Times New Roman" w:hint="eastAsia"/>
          <w:sz w:val="44"/>
          <w:szCs w:val="44"/>
        </w:rPr>
        <w:t>年部门预算情况说明</w:t>
      </w:r>
    </w:p>
    <w:p w:rsidR="00050190" w:rsidRDefault="00050190">
      <w:pPr>
        <w:spacing w:line="600" w:lineRule="exact"/>
        <w:jc w:val="center"/>
        <w:rPr>
          <w:rFonts w:ascii="方正小标宋_GBK" w:eastAsia="方正小标宋_GBK" w:hAnsi="华文中宋" w:cs="华文中宋"/>
          <w:sz w:val="44"/>
          <w:szCs w:val="44"/>
        </w:rPr>
      </w:pPr>
    </w:p>
    <w:p w:rsidR="00050190" w:rsidRDefault="00070DF8">
      <w:pPr>
        <w:adjustRightInd w:val="0"/>
        <w:snapToGrid w:val="0"/>
        <w:spacing w:line="600" w:lineRule="exact"/>
        <w:ind w:firstLine="646"/>
        <w:rPr>
          <w:rFonts w:ascii="Times New Roman" w:eastAsia="方正黑体_GBK" w:hAnsi="Times New Roman"/>
          <w:sz w:val="32"/>
          <w:szCs w:val="32"/>
        </w:rPr>
      </w:pPr>
      <w:r>
        <w:rPr>
          <w:rFonts w:ascii="Times New Roman" w:eastAsia="方正黑体_GBK" w:hAnsi="Times New Roman" w:hint="eastAsia"/>
          <w:sz w:val="32"/>
          <w:szCs w:val="32"/>
        </w:rPr>
        <w:t>一、</w:t>
      </w:r>
      <w:r>
        <w:rPr>
          <w:rFonts w:ascii="Times New Roman" w:eastAsia="方正黑体_GBK" w:hAnsi="Times New Roman" w:hint="eastAsia"/>
          <w:sz w:val="32"/>
          <w:szCs w:val="32"/>
        </w:rPr>
        <w:t>单位基本情况</w:t>
      </w:r>
    </w:p>
    <w:p w:rsidR="00050190" w:rsidRDefault="00070DF8">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t>（一）职能职责</w:t>
      </w:r>
    </w:p>
    <w:p w:rsidR="00050190" w:rsidRDefault="00070DF8">
      <w:pPr>
        <w:pStyle w:val="a5"/>
        <w:tabs>
          <w:tab w:val="center" w:pos="4153"/>
          <w:tab w:val="left" w:pos="7275"/>
        </w:tabs>
        <w:spacing w:line="600" w:lineRule="exact"/>
        <w:ind w:firstLine="640"/>
        <w:jc w:val="left"/>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1</w:t>
      </w:r>
      <w:r>
        <w:rPr>
          <w:rFonts w:ascii="方正仿宋_GBK" w:eastAsia="方正仿宋_GBK" w:hAnsi="仿宋_GB2312" w:cs="仿宋_GB2312" w:hint="eastAsia"/>
          <w:sz w:val="32"/>
        </w:rPr>
        <w:t>）提供基本医疗服务，开展农村常见病、多发病及诊断明确的慢性非传染性疾病的诊疗与护理工作。</w:t>
      </w:r>
    </w:p>
    <w:p w:rsidR="00050190" w:rsidRDefault="00070DF8">
      <w:pPr>
        <w:pStyle w:val="a5"/>
        <w:tabs>
          <w:tab w:val="center" w:pos="4153"/>
          <w:tab w:val="left" w:pos="7275"/>
        </w:tabs>
        <w:spacing w:line="600" w:lineRule="exact"/>
        <w:ind w:firstLine="640"/>
        <w:jc w:val="left"/>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2</w:t>
      </w:r>
      <w:r>
        <w:rPr>
          <w:rFonts w:ascii="方正仿宋_GBK" w:eastAsia="方正仿宋_GBK" w:hAnsi="仿宋_GB2312" w:cs="仿宋_GB2312" w:hint="eastAsia"/>
          <w:sz w:val="32"/>
        </w:rPr>
        <w:t>）贯彻落实国家基本药物制度，乡镇卫生院需全部配备和使用基本药物；执行网上统一采购、统一配送的基本药物采购机制；实行基本药物零差率销售。</w:t>
      </w:r>
    </w:p>
    <w:p w:rsidR="00050190" w:rsidRDefault="00070DF8">
      <w:pPr>
        <w:pStyle w:val="a5"/>
        <w:tabs>
          <w:tab w:val="center" w:pos="4153"/>
          <w:tab w:val="left" w:pos="7275"/>
        </w:tabs>
        <w:spacing w:line="600" w:lineRule="exact"/>
        <w:ind w:firstLine="640"/>
        <w:jc w:val="left"/>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3</w:t>
      </w:r>
      <w:r>
        <w:rPr>
          <w:rFonts w:ascii="方正仿宋_GBK" w:eastAsia="方正仿宋_GBK" w:hAnsi="仿宋_GB2312" w:cs="仿宋_GB2312" w:hint="eastAsia"/>
          <w:sz w:val="32"/>
        </w:rPr>
        <w:t>）协助开展突发公共卫生事件的应急调查与处置工作，承担区域内公共卫生相关信息的收集与报告任务。</w:t>
      </w:r>
    </w:p>
    <w:p w:rsidR="00050190" w:rsidRDefault="00070DF8">
      <w:pPr>
        <w:pStyle w:val="a5"/>
        <w:tabs>
          <w:tab w:val="center" w:pos="4153"/>
          <w:tab w:val="left" w:pos="7275"/>
        </w:tabs>
        <w:spacing w:line="600" w:lineRule="exact"/>
        <w:ind w:left="640" w:firstLineChars="0" w:firstLine="0"/>
        <w:jc w:val="left"/>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4</w:t>
      </w:r>
      <w:r>
        <w:rPr>
          <w:rFonts w:ascii="方正仿宋_GBK" w:eastAsia="方正仿宋_GBK" w:hAnsi="仿宋_GB2312" w:cs="仿宋_GB2312" w:hint="eastAsia"/>
          <w:sz w:val="32"/>
        </w:rPr>
        <w:t>）开展康复治疗与康复训练，提供计划生育技术指导及相关服务。</w:t>
      </w:r>
    </w:p>
    <w:p w:rsidR="00050190" w:rsidRDefault="00070DF8">
      <w:pPr>
        <w:pStyle w:val="a5"/>
        <w:tabs>
          <w:tab w:val="center" w:pos="4153"/>
          <w:tab w:val="left" w:pos="7275"/>
        </w:tabs>
        <w:spacing w:line="600" w:lineRule="exact"/>
        <w:ind w:firstLine="640"/>
        <w:jc w:val="left"/>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）对所属行政村卫生室实施一体化管理，承担对村卫生室及乡村医生的业务管理与指导职责。</w:t>
      </w:r>
    </w:p>
    <w:p w:rsidR="00050190" w:rsidRDefault="00070DF8">
      <w:pPr>
        <w:pStyle w:val="a5"/>
        <w:tabs>
          <w:tab w:val="center" w:pos="4153"/>
          <w:tab w:val="left" w:pos="7275"/>
        </w:tabs>
        <w:spacing w:line="600" w:lineRule="exact"/>
        <w:ind w:firstLine="640"/>
        <w:jc w:val="left"/>
        <w:rPr>
          <w:rFonts w:ascii="方正仿宋_GBK" w:eastAsia="方正仿宋_GBK" w:hAnsi="仿宋_GB2312" w:cs="仿宋_GB2312"/>
          <w:sz w:val="32"/>
        </w:rPr>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6</w:t>
      </w:r>
      <w:r>
        <w:rPr>
          <w:rFonts w:ascii="方正仿宋_GBK" w:eastAsia="方正仿宋_GBK" w:hAnsi="仿宋_GB2312" w:cs="仿宋_GB2312" w:hint="eastAsia"/>
          <w:sz w:val="32"/>
        </w:rPr>
        <w:t>）协助做好区域内食品卫生、饮用水卫生、公共场所卫生、职业卫生等公共卫生工作；协助</w:t>
      </w:r>
      <w:r>
        <w:rPr>
          <w:rFonts w:ascii="方正仿宋_GBK" w:eastAsia="方正仿宋_GBK" w:hAnsi="仿宋_GB2312" w:cs="仿宋_GB2312" w:hint="eastAsia"/>
          <w:sz w:val="32"/>
        </w:rPr>
        <w:t>推进</w:t>
      </w:r>
      <w:r>
        <w:rPr>
          <w:rFonts w:ascii="方正仿宋_GBK" w:eastAsia="方正仿宋_GBK" w:hAnsi="仿宋_GB2312" w:cs="仿宋_GB2312" w:hint="eastAsia"/>
          <w:sz w:val="32"/>
        </w:rPr>
        <w:t>爱国卫生工作。</w:t>
      </w:r>
    </w:p>
    <w:p w:rsidR="00050190" w:rsidRDefault="00070DF8">
      <w:pPr>
        <w:pStyle w:val="a5"/>
        <w:tabs>
          <w:tab w:val="center" w:pos="4153"/>
          <w:tab w:val="left" w:pos="7275"/>
        </w:tabs>
        <w:spacing w:line="600" w:lineRule="exact"/>
        <w:ind w:firstLine="640"/>
        <w:jc w:val="left"/>
        <w:rPr>
          <w:rFonts w:ascii="Times New Roman" w:eastAsia="方正楷体_GBK" w:hAnsi="Times New Roman"/>
          <w:sz w:val="32"/>
          <w:szCs w:val="32"/>
        </w:rPr>
      </w:pPr>
      <w:r>
        <w:rPr>
          <w:rFonts w:ascii="Times New Roman" w:eastAsia="方正楷体_GBK" w:hAnsi="Times New Roman" w:hint="eastAsia"/>
          <w:sz w:val="32"/>
          <w:szCs w:val="32"/>
        </w:rPr>
        <w:t>（二）单位构成</w:t>
      </w:r>
    </w:p>
    <w:p w:rsidR="00050190" w:rsidRDefault="00070DF8">
      <w:pPr>
        <w:spacing w:line="600" w:lineRule="exact"/>
        <w:ind w:firstLineChars="200" w:firstLine="640"/>
      </w:pPr>
      <w:r>
        <w:rPr>
          <w:rFonts w:ascii="方正仿宋_GBK" w:eastAsia="方正仿宋_GBK" w:hAnsi="仿宋_GB2312" w:cs="仿宋_GB2312" w:hint="eastAsia"/>
          <w:sz w:val="32"/>
        </w:rPr>
        <w:t>医院设有内科、外科、妇科、检验科、中医科、护理部、放射科、公共卫生科等科室，可开展常见病、多发病的诊断与治疗工作。</w:t>
      </w:r>
    </w:p>
    <w:p w:rsidR="00050190" w:rsidRDefault="00070DF8">
      <w:pPr>
        <w:adjustRightInd w:val="0"/>
        <w:snapToGrid w:val="0"/>
        <w:spacing w:line="600" w:lineRule="exact"/>
        <w:ind w:firstLine="646"/>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hint="eastAsia"/>
          <w:sz w:val="32"/>
          <w:szCs w:val="32"/>
        </w:rPr>
        <w:t>部门</w:t>
      </w:r>
      <w:r>
        <w:rPr>
          <w:rFonts w:ascii="Times New Roman" w:eastAsia="方正黑体_GBK" w:hAnsi="Times New Roman"/>
          <w:sz w:val="32"/>
          <w:szCs w:val="32"/>
        </w:rPr>
        <w:t>收支总体情况</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hint="eastAsia"/>
          <w:sz w:val="32"/>
          <w:szCs w:val="32"/>
        </w:rPr>
        <w:lastRenderedPageBreak/>
        <w:t>（一）收入预算：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年年初预算数</w:t>
      </w:r>
      <w:r>
        <w:rPr>
          <w:rFonts w:ascii="Times New Roman" w:eastAsia="方正仿宋_GBK" w:hAnsi="Times New Roman" w:hint="eastAsia"/>
          <w:sz w:val="32"/>
          <w:szCs w:val="32"/>
        </w:rPr>
        <w:t>1363.51</w:t>
      </w:r>
      <w:r>
        <w:rPr>
          <w:rFonts w:ascii="Times New Roman" w:eastAsia="方正仿宋_GBK" w:hAnsi="Times New Roman" w:hint="eastAsia"/>
          <w:sz w:val="32"/>
          <w:szCs w:val="32"/>
        </w:rPr>
        <w:t>万元，其中：一般公共预算拨款</w:t>
      </w:r>
      <w:r>
        <w:rPr>
          <w:rFonts w:ascii="Times New Roman" w:eastAsia="方正仿宋_GBK" w:hAnsi="Times New Roman" w:hint="eastAsia"/>
          <w:sz w:val="32"/>
          <w:szCs w:val="32"/>
        </w:rPr>
        <w:t>583.51</w:t>
      </w:r>
      <w:r>
        <w:rPr>
          <w:rFonts w:ascii="Times New Roman" w:eastAsia="方正仿宋_GBK" w:hAnsi="Times New Roman" w:hint="eastAsia"/>
          <w:sz w:val="32"/>
          <w:szCs w:val="32"/>
        </w:rPr>
        <w:t>万元，政府性基金预算拨款</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万元，国有资本经营预算收入</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万元，事业收入</w:t>
      </w:r>
      <w:r>
        <w:rPr>
          <w:rFonts w:ascii="Times New Roman" w:eastAsia="方正仿宋_GBK" w:hAnsi="Times New Roman" w:hint="eastAsia"/>
          <w:sz w:val="32"/>
          <w:szCs w:val="32"/>
        </w:rPr>
        <w:t>780</w:t>
      </w:r>
      <w:r>
        <w:rPr>
          <w:rFonts w:ascii="Times New Roman" w:eastAsia="方正仿宋_GBK" w:hAnsi="Times New Roman" w:hint="eastAsia"/>
          <w:sz w:val="32"/>
          <w:szCs w:val="32"/>
        </w:rPr>
        <w:t>万元，事业单位经营收入</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万元，其他收入</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万元。收入较</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年减少</w:t>
      </w:r>
      <w:r>
        <w:rPr>
          <w:rFonts w:ascii="Times New Roman" w:eastAsia="方正仿宋_GBK" w:hAnsi="Times New Roman" w:hint="eastAsia"/>
          <w:sz w:val="32"/>
          <w:szCs w:val="32"/>
        </w:rPr>
        <w:t>51.31</w:t>
      </w:r>
      <w:r>
        <w:rPr>
          <w:rFonts w:ascii="Times New Roman" w:eastAsia="方正仿宋_GBK" w:hAnsi="Times New Roman" w:hint="eastAsia"/>
          <w:sz w:val="32"/>
          <w:szCs w:val="32"/>
        </w:rPr>
        <w:t>万元，主要是一般公共预算拨款增加</w:t>
      </w:r>
      <w:r>
        <w:rPr>
          <w:rFonts w:ascii="Times New Roman" w:eastAsia="方正仿宋_GBK" w:hAnsi="Times New Roman" w:hint="eastAsia"/>
          <w:sz w:val="32"/>
          <w:szCs w:val="32"/>
        </w:rPr>
        <w:t>68.69</w:t>
      </w:r>
      <w:r>
        <w:rPr>
          <w:rFonts w:ascii="Times New Roman" w:eastAsia="方正仿宋_GBK" w:hAnsi="Times New Roman" w:hint="eastAsia"/>
          <w:sz w:val="32"/>
          <w:szCs w:val="32"/>
        </w:rPr>
        <w:t>万元，事业收入预算减少</w:t>
      </w:r>
      <w:r>
        <w:rPr>
          <w:rFonts w:ascii="Times New Roman" w:eastAsia="方正仿宋_GBK" w:hAnsi="Times New Roman" w:hint="eastAsia"/>
          <w:sz w:val="32"/>
          <w:szCs w:val="32"/>
        </w:rPr>
        <w:t>120</w:t>
      </w:r>
      <w:r>
        <w:rPr>
          <w:rFonts w:ascii="Times New Roman" w:eastAsia="方正仿宋_GBK" w:hAnsi="Times New Roman" w:hint="eastAsia"/>
          <w:sz w:val="32"/>
          <w:szCs w:val="32"/>
        </w:rPr>
        <w:t>万元。</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hint="eastAsia"/>
          <w:sz w:val="32"/>
          <w:szCs w:val="32"/>
        </w:rPr>
        <w:t>（二）支出预算：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年年初预算数</w:t>
      </w:r>
      <w:r>
        <w:rPr>
          <w:rFonts w:ascii="Times New Roman" w:eastAsia="方正仿宋_GBK" w:hAnsi="Times New Roman" w:hint="eastAsia"/>
          <w:sz w:val="32"/>
          <w:szCs w:val="32"/>
        </w:rPr>
        <w:t>1363.51</w:t>
      </w:r>
      <w:r>
        <w:rPr>
          <w:rFonts w:ascii="Times New Roman" w:eastAsia="方正仿宋_GBK" w:hAnsi="Times New Roman" w:hint="eastAsia"/>
          <w:sz w:val="32"/>
          <w:szCs w:val="32"/>
        </w:rPr>
        <w:t>万元，其中：一般公共服务支出预算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万元，教育支出预算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万元，社会保障和就业支出预算</w:t>
      </w:r>
      <w:r>
        <w:rPr>
          <w:rFonts w:ascii="Times New Roman" w:eastAsia="方正仿宋_GBK" w:hAnsi="Times New Roman" w:hint="eastAsia"/>
          <w:sz w:val="32"/>
          <w:szCs w:val="32"/>
        </w:rPr>
        <w:t>130.87</w:t>
      </w:r>
      <w:r>
        <w:rPr>
          <w:rFonts w:ascii="Times New Roman" w:eastAsia="方正仿宋_GBK" w:hAnsi="Times New Roman" w:hint="eastAsia"/>
          <w:sz w:val="32"/>
          <w:szCs w:val="32"/>
        </w:rPr>
        <w:t>万元，卫生健康支出预算</w:t>
      </w:r>
      <w:r>
        <w:rPr>
          <w:rFonts w:ascii="Times New Roman" w:eastAsia="方正仿宋_GBK" w:hAnsi="Times New Roman" w:hint="eastAsia"/>
          <w:sz w:val="32"/>
          <w:szCs w:val="32"/>
        </w:rPr>
        <w:t>1194.06</w:t>
      </w:r>
      <w:r>
        <w:rPr>
          <w:rFonts w:ascii="Times New Roman" w:eastAsia="方正仿宋_GBK" w:hAnsi="Times New Roman" w:hint="eastAsia"/>
          <w:sz w:val="32"/>
          <w:szCs w:val="32"/>
        </w:rPr>
        <w:t>万元，住房保障支出预算</w:t>
      </w:r>
      <w:r>
        <w:rPr>
          <w:rFonts w:ascii="Times New Roman" w:eastAsia="方正仿宋_GBK" w:hAnsi="Times New Roman" w:hint="eastAsia"/>
          <w:sz w:val="32"/>
          <w:szCs w:val="32"/>
        </w:rPr>
        <w:t>38.59</w:t>
      </w:r>
      <w:r>
        <w:rPr>
          <w:rFonts w:ascii="Times New Roman" w:eastAsia="方正仿宋_GBK" w:hAnsi="Times New Roman" w:hint="eastAsia"/>
          <w:sz w:val="32"/>
          <w:szCs w:val="32"/>
        </w:rPr>
        <w:t>万元。支出预算较</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年减少</w:t>
      </w:r>
      <w:r>
        <w:rPr>
          <w:rFonts w:ascii="Times New Roman" w:eastAsia="方正仿宋_GBK" w:hAnsi="Times New Roman" w:hint="eastAsia"/>
          <w:sz w:val="32"/>
          <w:szCs w:val="32"/>
        </w:rPr>
        <w:t>51.31</w:t>
      </w:r>
      <w:r>
        <w:rPr>
          <w:rFonts w:ascii="Times New Roman" w:eastAsia="方正仿宋_GBK" w:hAnsi="Times New Roman" w:hint="eastAsia"/>
          <w:sz w:val="32"/>
          <w:szCs w:val="32"/>
        </w:rPr>
        <w:t>万元，主要是社会保障和就业支出增加</w:t>
      </w:r>
      <w:r>
        <w:rPr>
          <w:rFonts w:ascii="Times New Roman" w:eastAsia="方正仿宋_GBK" w:hAnsi="Times New Roman" w:hint="eastAsia"/>
          <w:color w:val="000000" w:themeColor="text1"/>
          <w:sz w:val="32"/>
          <w:szCs w:val="32"/>
        </w:rPr>
        <w:t>14.8</w:t>
      </w:r>
      <w:r>
        <w:rPr>
          <w:rFonts w:ascii="Times New Roman" w:eastAsia="方正仿宋_GBK" w:hAnsi="Times New Roman" w:hint="eastAsia"/>
          <w:color w:val="000000" w:themeColor="text1"/>
          <w:sz w:val="32"/>
          <w:szCs w:val="32"/>
        </w:rPr>
        <w:t>万</w:t>
      </w:r>
      <w:r>
        <w:rPr>
          <w:rFonts w:ascii="Times New Roman" w:eastAsia="方正仿宋_GBK" w:hAnsi="Times New Roman" w:hint="eastAsia"/>
          <w:sz w:val="32"/>
          <w:szCs w:val="32"/>
        </w:rPr>
        <w:t>元，卫生健康支出减少</w:t>
      </w:r>
      <w:r>
        <w:rPr>
          <w:rFonts w:ascii="Times New Roman" w:eastAsia="方正仿宋_GBK" w:hAnsi="Times New Roman" w:hint="eastAsia"/>
          <w:sz w:val="32"/>
          <w:szCs w:val="32"/>
        </w:rPr>
        <w:t>71.04</w:t>
      </w:r>
      <w:r>
        <w:rPr>
          <w:rFonts w:ascii="Times New Roman" w:eastAsia="方正仿宋_GBK" w:hAnsi="Times New Roman" w:hint="eastAsia"/>
          <w:sz w:val="32"/>
          <w:szCs w:val="32"/>
        </w:rPr>
        <w:t>万元，住房保障支出增加</w:t>
      </w:r>
      <w:r>
        <w:rPr>
          <w:rFonts w:ascii="Times New Roman" w:eastAsia="方正仿宋_GBK" w:hAnsi="Times New Roman" w:hint="eastAsia"/>
          <w:sz w:val="32"/>
          <w:szCs w:val="32"/>
        </w:rPr>
        <w:t>4.93</w:t>
      </w:r>
      <w:r>
        <w:rPr>
          <w:rFonts w:ascii="Times New Roman" w:eastAsia="方正仿宋_GBK" w:hAnsi="Times New Roman" w:hint="eastAsia"/>
          <w:sz w:val="32"/>
          <w:szCs w:val="32"/>
        </w:rPr>
        <w:t>万元。</w:t>
      </w:r>
    </w:p>
    <w:p w:rsidR="00050190" w:rsidRDefault="00070DF8">
      <w:pPr>
        <w:adjustRightInd w:val="0"/>
        <w:snapToGrid w:val="0"/>
        <w:spacing w:line="600" w:lineRule="exact"/>
        <w:ind w:firstLine="646"/>
        <w:rPr>
          <w:rFonts w:ascii="Times New Roman" w:eastAsia="方正黑体_GBK" w:hAnsi="Times New Roman"/>
          <w:sz w:val="32"/>
          <w:szCs w:val="32"/>
        </w:rPr>
      </w:pPr>
      <w:r>
        <w:rPr>
          <w:rFonts w:ascii="Times New Roman" w:eastAsia="方正黑体_GBK" w:hAnsi="Times New Roman" w:hint="eastAsia"/>
          <w:sz w:val="32"/>
          <w:szCs w:val="32"/>
        </w:rPr>
        <w:t>三、</w:t>
      </w:r>
      <w:r>
        <w:rPr>
          <w:rFonts w:ascii="Times New Roman" w:eastAsia="方正黑体_GBK" w:hAnsi="Times New Roman" w:hint="eastAsia"/>
          <w:sz w:val="32"/>
          <w:szCs w:val="32"/>
        </w:rPr>
        <w:t>部门预算情况说明</w:t>
      </w:r>
    </w:p>
    <w:p w:rsidR="00050190" w:rsidRDefault="00070DF8">
      <w:pPr>
        <w:pStyle w:val="a5"/>
        <w:tabs>
          <w:tab w:val="center" w:pos="4153"/>
          <w:tab w:val="left" w:pos="7275"/>
        </w:tabs>
        <w:spacing w:line="600" w:lineRule="exact"/>
        <w:ind w:firstLine="640"/>
        <w:jc w:val="left"/>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年一般公共预算财政拨款收入</w:t>
      </w:r>
      <w:r>
        <w:rPr>
          <w:rFonts w:ascii="Times New Roman" w:eastAsia="方正仿宋_GBK" w:hAnsi="Times New Roman" w:hint="eastAsia"/>
          <w:sz w:val="32"/>
          <w:szCs w:val="32"/>
        </w:rPr>
        <w:t>583.51</w:t>
      </w:r>
      <w:r>
        <w:rPr>
          <w:rFonts w:ascii="Times New Roman" w:eastAsia="方正仿宋_GBK" w:hAnsi="Times New Roman" w:hint="eastAsia"/>
          <w:sz w:val="32"/>
          <w:szCs w:val="32"/>
        </w:rPr>
        <w:t>万元，一般公共预算财政拨款支出</w:t>
      </w:r>
      <w:r>
        <w:rPr>
          <w:rFonts w:ascii="Times New Roman" w:eastAsia="方正仿宋_GBK" w:hAnsi="Times New Roman" w:hint="eastAsia"/>
          <w:sz w:val="32"/>
          <w:szCs w:val="32"/>
        </w:rPr>
        <w:t>583.51</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68.59</w:t>
      </w:r>
      <w:r>
        <w:rPr>
          <w:rFonts w:ascii="Times New Roman" w:eastAsia="方正仿宋_GBK" w:hAnsi="Times New Roman" w:hint="eastAsia"/>
          <w:sz w:val="32"/>
          <w:szCs w:val="32"/>
        </w:rPr>
        <w:t>万元。其中：基本支出</w:t>
      </w:r>
      <w:r>
        <w:rPr>
          <w:rFonts w:ascii="Times New Roman" w:eastAsia="方正仿宋_GBK" w:hAnsi="Times New Roman" w:hint="eastAsia"/>
          <w:sz w:val="32"/>
          <w:szCs w:val="32"/>
        </w:rPr>
        <w:t>5</w:t>
      </w:r>
      <w:r>
        <w:rPr>
          <w:rFonts w:ascii="Times New Roman" w:eastAsia="方正仿宋_GBK" w:hAnsi="Times New Roman" w:hint="eastAsia"/>
          <w:sz w:val="32"/>
          <w:szCs w:val="32"/>
        </w:rPr>
        <w:t>83.51</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68.59</w:t>
      </w:r>
      <w:r>
        <w:rPr>
          <w:rFonts w:ascii="Times New Roman" w:eastAsia="方正仿宋_GBK" w:hAnsi="Times New Roman" w:hint="eastAsia"/>
          <w:sz w:val="32"/>
          <w:szCs w:val="32"/>
        </w:rPr>
        <w:t>万元，主要原因是</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年社会保险缴费基数调整，资金主要用于保障在职人员工资福利及社会保险缴费、离休人员离休费、退休人员补助等支出，以及保障单位正常运转的各项商品服务支出；项目支出为</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万元，与</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年同比无增减。</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年政府性基金预算收入</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万元，政府性基金预算支出</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万元，主要是巴福镇卫生院</w:t>
      </w:r>
      <w:r>
        <w:rPr>
          <w:rFonts w:ascii="Times New Roman" w:eastAsia="方正仿宋_GBK" w:hAnsi="Times New Roman" w:hint="eastAsia"/>
          <w:sz w:val="32"/>
          <w:szCs w:val="32"/>
        </w:rPr>
        <w:t>2026</w:t>
      </w:r>
      <w:r>
        <w:rPr>
          <w:rFonts w:ascii="Times New Roman" w:eastAsia="方正仿宋_GBK" w:hAnsi="Times New Roman" w:hint="eastAsia"/>
          <w:sz w:val="32"/>
          <w:szCs w:val="32"/>
        </w:rPr>
        <w:lastRenderedPageBreak/>
        <w:t>年无使用政府性基金预算拨款安排的支出。</w:t>
      </w:r>
    </w:p>
    <w:p w:rsidR="00050190" w:rsidRDefault="00070DF8">
      <w:pPr>
        <w:adjustRightInd w:val="0"/>
        <w:snapToGrid w:val="0"/>
        <w:spacing w:line="600" w:lineRule="exact"/>
        <w:ind w:firstLine="646"/>
        <w:rPr>
          <w:rFonts w:ascii="Times New Roman" w:eastAsia="方正黑体_GBK" w:hAnsi="Times New Roman"/>
          <w:sz w:val="32"/>
          <w:szCs w:val="32"/>
        </w:rPr>
      </w:pPr>
      <w:r>
        <w:rPr>
          <w:rFonts w:ascii="Times New Roman" w:eastAsia="方正黑体_GBK" w:hAnsi="Times New Roman" w:hint="eastAsia"/>
          <w:sz w:val="32"/>
          <w:szCs w:val="32"/>
        </w:rPr>
        <w:t>四、</w:t>
      </w:r>
      <w:r>
        <w:rPr>
          <w:rFonts w:ascii="Times New Roman" w:eastAsia="方正黑体_GBK" w:hAnsi="Times New Roman" w:hint="eastAsia"/>
          <w:sz w:val="32"/>
          <w:szCs w:val="32"/>
        </w:rPr>
        <w:t>“三公”经费情况说明</w:t>
      </w:r>
    </w:p>
    <w:p w:rsidR="00050190" w:rsidRDefault="00070DF8">
      <w:pPr>
        <w:spacing w:line="600" w:lineRule="exact"/>
        <w:ind w:firstLine="60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年“三公”经费预算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万元。其中：因公出国（境）费用</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万元；公务接待费</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万元；公务用车运行维护费</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万元；公务用车购置费</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万元。主要原因是本单位</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年无使用一般公共预算拨款安排的“三公”经费支出。</w:t>
      </w:r>
    </w:p>
    <w:p w:rsidR="00050190" w:rsidRDefault="00070DF8">
      <w:pPr>
        <w:adjustRightInd w:val="0"/>
        <w:snapToGrid w:val="0"/>
        <w:spacing w:line="600" w:lineRule="exact"/>
        <w:ind w:firstLine="646"/>
        <w:rPr>
          <w:rFonts w:ascii="Times New Roman" w:eastAsia="方正黑体_GBK" w:hAnsi="Times New Roman"/>
          <w:sz w:val="32"/>
          <w:szCs w:val="32"/>
        </w:rPr>
      </w:pPr>
      <w:r>
        <w:rPr>
          <w:rFonts w:ascii="Times New Roman" w:eastAsia="方正黑体_GBK" w:hAnsi="Times New Roman" w:hint="eastAsia"/>
          <w:sz w:val="32"/>
          <w:szCs w:val="32"/>
        </w:rPr>
        <w:t>五、</w:t>
      </w:r>
      <w:r>
        <w:rPr>
          <w:rFonts w:ascii="Times New Roman" w:eastAsia="方正黑体_GBK" w:hAnsi="Times New Roman" w:hint="eastAsia"/>
          <w:sz w:val="32"/>
          <w:szCs w:val="32"/>
        </w:rPr>
        <w:t>其他重要事项的情况说明</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（一）我单位不在机关运行经费统计范围之内。</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（二）政府采购情况。本单位政府采购预算总额</w:t>
      </w:r>
      <w:r>
        <w:rPr>
          <w:rFonts w:ascii="Times New Roman" w:eastAsia="方正仿宋_GBK" w:hAnsi="Times New Roman" w:hint="eastAsia"/>
          <w:sz w:val="32"/>
          <w:szCs w:val="32"/>
        </w:rPr>
        <w:t>2.5</w:t>
      </w:r>
      <w:r>
        <w:rPr>
          <w:rFonts w:ascii="Times New Roman" w:eastAsia="方正仿宋_GBK" w:hAnsi="Times New Roman" w:hint="eastAsia"/>
          <w:sz w:val="32"/>
          <w:szCs w:val="32"/>
        </w:rPr>
        <w:t>万元，其中，政府采购货物预算</w:t>
      </w:r>
      <w:r>
        <w:rPr>
          <w:rFonts w:ascii="Times New Roman" w:eastAsia="方正仿宋_GBK" w:hAnsi="Times New Roman" w:hint="eastAsia"/>
          <w:sz w:val="32"/>
          <w:szCs w:val="32"/>
        </w:rPr>
        <w:t>2.5</w:t>
      </w:r>
      <w:r>
        <w:rPr>
          <w:rFonts w:ascii="Times New Roman" w:eastAsia="方正仿宋_GBK" w:hAnsi="Times New Roman" w:hint="eastAsia"/>
          <w:sz w:val="32"/>
          <w:szCs w:val="32"/>
        </w:rPr>
        <w:t>万元、政府采购工程预算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万元、政府采购服务预算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万元；一</w:t>
      </w:r>
      <w:r>
        <w:rPr>
          <w:rFonts w:ascii="Times New Roman" w:eastAsia="方正仿宋_GBK" w:hAnsi="Times New Roman" w:hint="eastAsia"/>
          <w:sz w:val="32"/>
          <w:szCs w:val="32"/>
        </w:rPr>
        <w:t>般公共预算拨款政府采购</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万元，其中，政府采购货物预算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万元、政府采购工程预算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万元、政府采购服务预算</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（三）绩效目标设置情况。</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年项目支出均实行了绩效目标管理，涉及一般公共预算当年财政拨款</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（四）国有资产占有使用情况。截止</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hint="eastAsia"/>
          <w:sz w:val="32"/>
          <w:szCs w:val="32"/>
        </w:rPr>
        <w:t>12</w:t>
      </w:r>
      <w:r>
        <w:rPr>
          <w:rFonts w:ascii="Times New Roman" w:eastAsia="方正仿宋_GBK" w:hAnsi="Times New Roman" w:hint="eastAsia"/>
          <w:sz w:val="32"/>
          <w:szCs w:val="32"/>
        </w:rPr>
        <w:t>月，本单位共有车辆</w:t>
      </w:r>
      <w:r>
        <w:rPr>
          <w:rFonts w:ascii="Times New Roman" w:eastAsia="方正仿宋_GBK" w:hAnsi="Times New Roman" w:hint="eastAsia"/>
          <w:sz w:val="32"/>
          <w:szCs w:val="32"/>
        </w:rPr>
        <w:t>1</w:t>
      </w:r>
      <w:r>
        <w:rPr>
          <w:rFonts w:ascii="Times New Roman" w:eastAsia="方正仿宋_GBK" w:hAnsi="Times New Roman" w:hint="eastAsia"/>
          <w:sz w:val="32"/>
          <w:szCs w:val="32"/>
        </w:rPr>
        <w:t>辆，其中一般公务用车</w:t>
      </w:r>
      <w:r>
        <w:rPr>
          <w:rFonts w:ascii="Times New Roman" w:eastAsia="方正仿宋_GBK" w:hAnsi="Times New Roman" w:hint="eastAsia"/>
          <w:sz w:val="32"/>
          <w:szCs w:val="32"/>
        </w:rPr>
        <w:t>0</w:t>
      </w:r>
      <w:r>
        <w:rPr>
          <w:rFonts w:ascii="Times New Roman" w:eastAsia="方正仿宋_GBK" w:hAnsi="Times New Roman" w:hint="eastAsia"/>
          <w:sz w:val="32"/>
          <w:szCs w:val="32"/>
        </w:rPr>
        <w:t>辆、执勤执法用车</w:t>
      </w:r>
      <w:r>
        <w:rPr>
          <w:rFonts w:ascii="Times New Roman" w:eastAsia="方正仿宋_GBK" w:hAnsi="Times New Roman" w:hint="eastAsia"/>
          <w:sz w:val="32"/>
          <w:szCs w:val="32"/>
        </w:rPr>
        <w:t>0</w:t>
      </w:r>
      <w:r>
        <w:rPr>
          <w:rFonts w:ascii="Times New Roman" w:eastAsia="方正仿宋_GBK" w:hAnsi="Times New Roman" w:hint="eastAsia"/>
          <w:sz w:val="32"/>
          <w:szCs w:val="32"/>
        </w:rPr>
        <w:t>辆、特种专业技术车辆</w:t>
      </w:r>
      <w:r>
        <w:rPr>
          <w:rFonts w:ascii="Times New Roman" w:eastAsia="方正仿宋_GBK" w:hAnsi="Times New Roman" w:hint="eastAsia"/>
          <w:sz w:val="32"/>
          <w:szCs w:val="32"/>
        </w:rPr>
        <w:t>1</w:t>
      </w:r>
      <w:r>
        <w:rPr>
          <w:rFonts w:ascii="Times New Roman" w:eastAsia="方正仿宋_GBK" w:hAnsi="Times New Roman" w:hint="eastAsia"/>
          <w:sz w:val="32"/>
          <w:szCs w:val="32"/>
        </w:rPr>
        <w:t>辆。</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年一般公共预算安排购置车辆</w:t>
      </w:r>
      <w:r>
        <w:rPr>
          <w:rFonts w:ascii="Times New Roman" w:eastAsia="方正仿宋_GBK" w:hAnsi="Times New Roman" w:hint="eastAsia"/>
          <w:sz w:val="32"/>
          <w:szCs w:val="32"/>
        </w:rPr>
        <w:t>0</w:t>
      </w:r>
      <w:r>
        <w:rPr>
          <w:rFonts w:ascii="Times New Roman" w:eastAsia="方正仿宋_GBK" w:hAnsi="Times New Roman" w:hint="eastAsia"/>
          <w:sz w:val="32"/>
          <w:szCs w:val="32"/>
        </w:rPr>
        <w:t>辆，其中一般公务用车</w:t>
      </w:r>
      <w:r>
        <w:rPr>
          <w:rFonts w:ascii="Times New Roman" w:eastAsia="方正仿宋_GBK" w:hAnsi="Times New Roman" w:hint="eastAsia"/>
          <w:sz w:val="32"/>
          <w:szCs w:val="32"/>
        </w:rPr>
        <w:t>0</w:t>
      </w:r>
      <w:r>
        <w:rPr>
          <w:rFonts w:ascii="Times New Roman" w:eastAsia="方正仿宋_GBK" w:hAnsi="Times New Roman" w:hint="eastAsia"/>
          <w:sz w:val="32"/>
          <w:szCs w:val="32"/>
        </w:rPr>
        <w:t>辆、执勤执法用车</w:t>
      </w:r>
      <w:r>
        <w:rPr>
          <w:rFonts w:ascii="Times New Roman" w:eastAsia="方正仿宋_GBK" w:hAnsi="Times New Roman" w:hint="eastAsia"/>
          <w:sz w:val="32"/>
          <w:szCs w:val="32"/>
        </w:rPr>
        <w:t>0</w:t>
      </w:r>
      <w:r>
        <w:rPr>
          <w:rFonts w:ascii="Times New Roman" w:eastAsia="方正仿宋_GBK" w:hAnsi="Times New Roman" w:hint="eastAsia"/>
          <w:sz w:val="32"/>
          <w:szCs w:val="32"/>
        </w:rPr>
        <w:t>辆、特种专业技术车辆</w:t>
      </w:r>
      <w:r>
        <w:rPr>
          <w:rFonts w:ascii="Times New Roman" w:eastAsia="方正仿宋_GBK" w:hAnsi="Times New Roman" w:hint="eastAsia"/>
          <w:sz w:val="32"/>
          <w:szCs w:val="32"/>
        </w:rPr>
        <w:t>0</w:t>
      </w:r>
      <w:r>
        <w:rPr>
          <w:rFonts w:ascii="Times New Roman" w:eastAsia="方正仿宋_GBK" w:hAnsi="Times New Roman" w:hint="eastAsia"/>
          <w:sz w:val="32"/>
          <w:szCs w:val="32"/>
        </w:rPr>
        <w:t>辆。</w:t>
      </w:r>
    </w:p>
    <w:p w:rsidR="00050190" w:rsidRDefault="00070DF8">
      <w:pPr>
        <w:pStyle w:val="a5"/>
        <w:tabs>
          <w:tab w:val="center" w:pos="4153"/>
          <w:tab w:val="left" w:pos="7275"/>
        </w:tabs>
        <w:spacing w:line="600" w:lineRule="exact"/>
        <w:ind w:firstLine="640"/>
        <w:jc w:val="left"/>
      </w:pPr>
      <w:r>
        <w:rPr>
          <w:rFonts w:ascii="Times New Roman" w:eastAsia="方正仿宋_GBK" w:hAnsi="Times New Roman" w:hint="eastAsia"/>
          <w:sz w:val="32"/>
          <w:szCs w:val="32"/>
        </w:rPr>
        <w:t>（五）委托业务费情况。</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年委托业务费涉及财</w:t>
      </w:r>
      <w:r>
        <w:rPr>
          <w:rFonts w:ascii="Times New Roman" w:eastAsia="方正仿宋_GBK" w:hAnsi="Times New Roman" w:hint="eastAsia"/>
          <w:color w:val="000000" w:themeColor="text1"/>
          <w:sz w:val="32"/>
          <w:szCs w:val="32"/>
        </w:rPr>
        <w:t>拨</w:t>
      </w:r>
      <w:r>
        <w:rPr>
          <w:rFonts w:ascii="Times New Roman" w:eastAsia="方正仿宋_GBK" w:hAnsi="Times New Roman" w:hint="eastAsia"/>
          <w:sz w:val="32"/>
          <w:szCs w:val="32"/>
        </w:rPr>
        <w:t>资</w:t>
      </w:r>
      <w:r>
        <w:rPr>
          <w:rFonts w:ascii="Times New Roman" w:eastAsia="方正仿宋_GBK" w:hAnsi="Times New Roman" w:hint="eastAsia"/>
          <w:sz w:val="32"/>
          <w:szCs w:val="32"/>
        </w:rPr>
        <w:lastRenderedPageBreak/>
        <w:t>金</w:t>
      </w:r>
      <w:r>
        <w:rPr>
          <w:rFonts w:ascii="Times New Roman" w:eastAsia="方正仿宋_GBK" w:hAnsi="Times New Roman" w:hint="eastAsia"/>
          <w:sz w:val="32"/>
          <w:szCs w:val="32"/>
        </w:rPr>
        <w:t>0</w:t>
      </w:r>
      <w:r>
        <w:rPr>
          <w:rFonts w:ascii="Times New Roman" w:eastAsia="方正仿宋_GBK" w:hAnsi="Times New Roman" w:hint="eastAsia"/>
          <w:sz w:val="32"/>
          <w:szCs w:val="32"/>
        </w:rPr>
        <w:t>万元。</w:t>
      </w:r>
    </w:p>
    <w:p w:rsidR="00050190" w:rsidRDefault="00070DF8">
      <w:pPr>
        <w:adjustRightInd w:val="0"/>
        <w:snapToGrid w:val="0"/>
        <w:spacing w:line="600" w:lineRule="exact"/>
        <w:ind w:firstLine="646"/>
        <w:rPr>
          <w:rFonts w:ascii="Times New Roman" w:eastAsia="方正黑体_GBK" w:hAnsi="Times New Roman"/>
          <w:sz w:val="32"/>
          <w:szCs w:val="32"/>
        </w:rPr>
      </w:pPr>
      <w:r>
        <w:rPr>
          <w:rFonts w:ascii="Times New Roman" w:eastAsia="方正黑体_GBK" w:hAnsi="Times New Roman" w:hint="eastAsia"/>
          <w:sz w:val="32"/>
          <w:szCs w:val="32"/>
        </w:rPr>
        <w:t>六、</w:t>
      </w:r>
      <w:r>
        <w:rPr>
          <w:rFonts w:ascii="Times New Roman" w:eastAsia="方正黑体_GBK" w:hAnsi="Times New Roman" w:hint="eastAsia"/>
          <w:sz w:val="32"/>
          <w:szCs w:val="32"/>
        </w:rPr>
        <w:t>专业性名词解释</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（一）财政拨款收入：指本年度从本级财政部门取得的财政拨款，包括一般公共预算财政拨款和政府性基金预算财政拨款。</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（二）财政专户管理资金收入：指缴入财政专户、实行专项管理的高中以上学费、住宿费、高校委托培养费、函大、电大、夜大及短训班培训费等教育收费。单位根据教育收费标准、学生人数等合理预计。</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（四）上级补助</w:t>
      </w:r>
      <w:r>
        <w:rPr>
          <w:rFonts w:ascii="Times New Roman" w:eastAsia="方正仿宋_GBK" w:hAnsi="Times New Roman" w:hint="eastAsia"/>
          <w:sz w:val="32"/>
          <w:szCs w:val="32"/>
        </w:rPr>
        <w:t>收入：指从主管部门或上级单位取得的财政拨款以外的其他补助收入。单位结合上年度上级补助收入等情况进行预计。</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（六）事业单位经营收入：指事业单位在专业业务活动及其辅助活动之外开展非独立核算经营活动取得的收入。单位应当根据本年度事业单位经营活动计划，结合上年度事业</w:t>
      </w:r>
      <w:r>
        <w:rPr>
          <w:rFonts w:ascii="Times New Roman" w:eastAsia="方正仿宋_GBK" w:hAnsi="Times New Roman" w:hint="eastAsia"/>
          <w:sz w:val="32"/>
          <w:szCs w:val="32"/>
        </w:rPr>
        <w:lastRenderedPageBreak/>
        <w:t>单位经营收入规模、经营状况和市场行情等因素进行预计。</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（七</w:t>
      </w:r>
      <w:r>
        <w:rPr>
          <w:rFonts w:ascii="Times New Roman" w:eastAsia="方正仿宋_GBK" w:hAnsi="Times New Roman" w:hint="eastAsia"/>
          <w:sz w:val="32"/>
          <w:szCs w:val="32"/>
        </w:rPr>
        <w:t>）其他收入：指债务收入、投资收益等收入，单位根据情况合理预计，全部编入预算。</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（九）基本支出：指为保障机构</w:t>
      </w:r>
      <w:r>
        <w:rPr>
          <w:rFonts w:ascii="Times New Roman" w:eastAsia="方正仿宋_GBK" w:hAnsi="Times New Roman" w:hint="eastAsia"/>
          <w:sz w:val="32"/>
          <w:szCs w:val="32"/>
        </w:rPr>
        <w:t>正常运转、完成日常工作任务而发生的人员经费和公用经费。其中：人员经费指政府收支分类经济科目中的“工资福利支出”和“对个人和家庭的补助”</w:t>
      </w:r>
      <w:r>
        <w:rPr>
          <w:rFonts w:ascii="Times New Roman" w:eastAsia="方正仿宋_GBK" w:hAnsi="Times New Roman" w:hint="eastAsia"/>
          <w:sz w:val="32"/>
          <w:szCs w:val="32"/>
        </w:rPr>
        <w:t>;</w:t>
      </w:r>
      <w:r>
        <w:rPr>
          <w:rFonts w:ascii="Times New Roman" w:eastAsia="方正仿宋_GBK" w:hAnsi="Times New Roman" w:hint="eastAsia"/>
          <w:sz w:val="32"/>
          <w:szCs w:val="32"/>
        </w:rPr>
        <w:t>公用经费指政府收支分类经济科目中除“工资福利支出”和“对个人和家庭的补助”外的其他支出。</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（十）项目支出：指在基本支出之外为完成特定行政任务和事业发展目标所发生的支出。</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w:t>
      </w:r>
      <w:r>
        <w:rPr>
          <w:rFonts w:ascii="Times New Roman" w:eastAsia="方正仿宋_GBK" w:hAnsi="Times New Roman" w:hint="eastAsia"/>
          <w:sz w:val="32"/>
          <w:szCs w:val="32"/>
        </w:rPr>
        <w:t>；公务用车购置费反映单位公务用车购置支出（含车辆购置</w:t>
      </w:r>
      <w:r>
        <w:rPr>
          <w:rFonts w:ascii="Times New Roman" w:eastAsia="方正仿宋_GBK" w:hAnsi="Times New Roman" w:hint="eastAsia"/>
          <w:sz w:val="32"/>
          <w:szCs w:val="32"/>
        </w:rPr>
        <w:lastRenderedPageBreak/>
        <w:t>税）</w:t>
      </w:r>
      <w:r>
        <w:rPr>
          <w:rFonts w:ascii="Times New Roman" w:eastAsia="方正仿宋_GBK" w:hAnsi="Times New Roman" w:hint="eastAsia"/>
          <w:sz w:val="32"/>
          <w:szCs w:val="32"/>
        </w:rPr>
        <w:t>;</w:t>
      </w:r>
      <w:r>
        <w:rPr>
          <w:rFonts w:ascii="Times New Roman" w:eastAsia="方正仿宋_GBK" w:hAnsi="Times New Roman" w:hint="eastAsia"/>
          <w:sz w:val="32"/>
          <w:szCs w:val="32"/>
        </w:rPr>
        <w:t>公务用车运行维护费反映单位按规定保留的公务用车燃料费、维修费、过路过桥费、保险费、安全奖励费用等支出；公务接待费反映单位按规定开支的各类公务接待（含外宾接待）支出。</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（十三）工资福利支出（</w:t>
      </w:r>
      <w:r>
        <w:rPr>
          <w:rFonts w:ascii="Times New Roman" w:eastAsia="方正仿宋_GBK" w:hAnsi="Times New Roman" w:hint="eastAsia"/>
          <w:sz w:val="32"/>
          <w:szCs w:val="32"/>
        </w:rPr>
        <w:t>支出经济分类科目类级）：反映单位开支的在职职工和编制外长期聘用人员的各类劳动报酬，以及为上述人员缴纳的各项社会保险费等。</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（十四）商品和服务支出（支出经济分类科目类级）：反映单位购买商品和服务的支出（不包括用于购置固定资产的支出、战略性和应急储备支出）。</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（十五）对个人和家庭的补助（支出经济分类科目类级）：反映用于对个人和家庭的补助支出。</w:t>
      </w:r>
    </w:p>
    <w:p w:rsidR="00050190" w:rsidRDefault="00070DF8">
      <w:pPr>
        <w:pStyle w:val="a5"/>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hint="eastAsia"/>
          <w:sz w:val="32"/>
          <w:szCs w:val="32"/>
        </w:rPr>
        <w:t>（十六）其他资本性支出（支出经济分类科目类级）：反映非本级发展与改革部门集中安排的用于购置固定资产、战略性和应急性储备、土地和无形资产，以及构建基础设施、大型修缮和财政支</w:t>
      </w:r>
      <w:r>
        <w:rPr>
          <w:rFonts w:ascii="Times New Roman" w:eastAsia="方正仿宋_GBK" w:hAnsi="Times New Roman" w:hint="eastAsia"/>
          <w:sz w:val="32"/>
          <w:szCs w:val="32"/>
        </w:rPr>
        <w:t>持企业更新改造所发生的支出。</w:t>
      </w:r>
    </w:p>
    <w:p w:rsidR="00050190" w:rsidRDefault="00050190">
      <w:pPr>
        <w:pStyle w:val="a5"/>
        <w:tabs>
          <w:tab w:val="center" w:pos="4153"/>
          <w:tab w:val="left" w:pos="7275"/>
        </w:tabs>
        <w:spacing w:line="600" w:lineRule="exact"/>
        <w:ind w:firstLine="640"/>
        <w:jc w:val="left"/>
        <w:rPr>
          <w:rFonts w:ascii="Times New Roman" w:eastAsia="方正仿宋_GBK" w:hAnsi="Times New Roman"/>
          <w:sz w:val="32"/>
          <w:szCs w:val="32"/>
        </w:rPr>
      </w:pPr>
    </w:p>
    <w:p w:rsidR="00050190" w:rsidRDefault="00050190">
      <w:pPr>
        <w:pStyle w:val="a5"/>
        <w:tabs>
          <w:tab w:val="center" w:pos="4153"/>
          <w:tab w:val="left" w:pos="7275"/>
        </w:tabs>
        <w:spacing w:line="600" w:lineRule="exact"/>
        <w:ind w:firstLine="640"/>
        <w:jc w:val="left"/>
        <w:rPr>
          <w:rFonts w:ascii="Times New Roman" w:eastAsia="方正仿宋_GBK" w:hAnsi="Times New Roman"/>
          <w:sz w:val="32"/>
          <w:szCs w:val="32"/>
        </w:rPr>
      </w:pPr>
      <w:bookmarkStart w:id="0" w:name="_GoBack"/>
      <w:bookmarkEnd w:id="0"/>
    </w:p>
    <w:p w:rsidR="00050190" w:rsidRDefault="00070DF8">
      <w:p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（部门预算公开联系</w:t>
      </w:r>
      <w:r>
        <w:rPr>
          <w:rFonts w:ascii="Times New Roman" w:eastAsia="方正仿宋_GBK" w:hAnsi="Times New Roman" w:hint="eastAsia"/>
          <w:sz w:val="32"/>
          <w:szCs w:val="32"/>
        </w:rPr>
        <w:t>:</w:t>
      </w:r>
      <w:r>
        <w:rPr>
          <w:rFonts w:ascii="Times New Roman" w:eastAsia="方正仿宋_GBK" w:hAnsi="Times New Roman" w:hint="eastAsia"/>
          <w:sz w:val="32"/>
          <w:szCs w:val="32"/>
        </w:rPr>
        <w:t>曹红娟，联系方式：</w:t>
      </w:r>
      <w:r>
        <w:rPr>
          <w:rFonts w:ascii="Times New Roman" w:eastAsia="方正仿宋_GBK" w:hAnsi="Times New Roman" w:hint="eastAsia"/>
          <w:sz w:val="32"/>
          <w:szCs w:val="32"/>
        </w:rPr>
        <w:t>023-68622659</w:t>
      </w:r>
      <w:r>
        <w:rPr>
          <w:rFonts w:ascii="Times New Roman" w:eastAsia="方正仿宋_GBK" w:hAnsi="Times New Roman" w:hint="eastAsia"/>
          <w:sz w:val="32"/>
          <w:szCs w:val="32"/>
        </w:rPr>
        <w:t>）</w:t>
      </w:r>
    </w:p>
    <w:sectPr w:rsidR="00050190">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F8" w:rsidRDefault="00070DF8">
      <w:r>
        <w:separator/>
      </w:r>
    </w:p>
  </w:endnote>
  <w:endnote w:type="continuationSeparator" w:id="0">
    <w:p w:rsidR="00070DF8" w:rsidRDefault="0007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1D74D489-AC95-478C-85E8-6633D88EC6B7}"/>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Regular r:id="rId2" w:subsetted="1" w:fontKey="{5B5D01A4-96D9-4110-94AD-709DF5772653}"/>
  </w:font>
  <w:font w:name="方正楷体_GBK">
    <w:panose1 w:val="03000509000000000000"/>
    <w:charset w:val="86"/>
    <w:family w:val="script"/>
    <w:pitch w:val="fixed"/>
    <w:sig w:usb0="00000001" w:usb1="080E0000" w:usb2="00000010" w:usb3="00000000" w:csb0="00040000" w:csb1="00000000"/>
    <w:embedRegular r:id="rId3" w:subsetted="1" w:fontKey="{3C103B68-0343-40D1-8A65-4FCC4CE54602}"/>
  </w:font>
  <w:font w:name="方正仿宋_GBK">
    <w:panose1 w:val="03000509000000000000"/>
    <w:charset w:val="86"/>
    <w:family w:val="script"/>
    <w:pitch w:val="fixed"/>
    <w:sig w:usb0="00000001" w:usb1="080E0000" w:usb2="00000010" w:usb3="00000000" w:csb0="00040000" w:csb1="00000000"/>
    <w:embedRegular r:id="rId4" w:subsetted="1" w:fontKey="{B32EFD91-4BCD-404E-9494-ADBE82F3A6D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190" w:rsidRDefault="00070DF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437515" cy="290830"/>
              <wp:effectExtent l="0" t="0" r="0" b="0"/>
              <wp:wrapNone/>
              <wp:docPr id="1" name="文本框 1"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43751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0190" w:rsidRDefault="00070DF8">
                          <w:pPr>
                            <w:pStyle w:val="a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7C1E9A">
                            <w:rPr>
                              <w:rFonts w:ascii="方正仿宋_GBK" w:eastAsia="方正仿宋_GBK" w:hAnsi="方正仿宋_GBK" w:cs="方正仿宋_GBK"/>
                              <w:noProof/>
                              <w:sz w:val="32"/>
                              <w:szCs w:val="32"/>
                            </w:rPr>
                            <w:t>- 6 -</w:t>
                          </w:r>
                          <w:r>
                            <w:rPr>
                              <w:rFonts w:ascii="方正仿宋_GBK" w:eastAsia="方正仿宋_GBK" w:hAnsi="方正仿宋_GBK" w:cs="方正仿宋_GBK" w:hint="eastAsia"/>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alt="说明: 7b0a20202020227461726765744d6f64756c65223a202270726f636573734f6e6c696e65466f6e7473220a7d0a" style="position:absolute;margin-left:-16.75pt;margin-top:1.5pt;width:34.45pt;height:22.9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pwrAIAAG0FAAAOAAAAZHJzL2Uyb0RvYy54bWysVN1u0zAUvkfiHSzfs6T53aqmU9k0hDSx&#10;iYG4dh27jXBsY7tNygPAG3DFDfc8156DYyfp0OBmCFVyT87/+c7P4rxvBdozYxslKzw7iTFikqq6&#10;kZsKv3939eIUI+uIrIlQklX4wCw+Xz5/tuj0nCVqq0TNDAIn0s47XeGtc3oeRZZuWUvsidJMgpAr&#10;0xIHn2YT1YZ04L0VURLHRdQpU2ujKLMWuJeDEC+Df84ZdTecW+aQqDDk5sJrwrv2b7RckPnGEL1t&#10;6JgG+YcsWtJICHp0dUkcQTvT/OGqbahRVnF3QlUbKc4bykINUM0sflTN3ZZoFmoBcKw+wmT/n1v6&#10;Zn9rUFND7zCSpIUW3X/7ev/95/2PLwhYNbMU4CrXMUni8ZeUWTErk6Is8jLL6oIXWZkXtMiTJPVa&#10;SRmDlBcpyNMyzXjBQHoGb54VwGdlVqZJEpOyjonvQKftHBK505CK61+q3mcz8i0wPbA9N63/B8gQ&#10;yKGXh2P/WO8QBWaWlvksx4iCKDmLT9PQ3+jBWBvrXjHVIk9U2MB4hK6R/bV1EBBUJxUfS6qrRogw&#10;IkKirsJFmsfB4CgBCyHB0JcwpBoodxDMexDyLeMAb8jYM8Jgswth0J7ASBJKmXSh2OAJtL0Wh7BP&#10;MRz1vSkLQ/8U46NFiKykOxq3jVQm1Pso7frjlDIf9CcEhro9BK5f92ML16o+QGeNGrbPanrVAP7X&#10;xLpbYmDdoJlwQtwNPFwowFmNFEZbZT7/je/1YQtAilEH61th+2lHDMNIvJawH37XJ8JMxHoi5K69&#10;UAA/DDhkE0gwME5MJDeq/QCXZeWjgIhICrEq7Cbywg1HBC4TZatVUIKN1sRdyztNvWsPp1SrnVO8&#10;CcPlYRmwGOGCnQ4zN94ffzR+/w5aD1dy+QsAAP//AwBQSwMEFAAGAAgAAAAhADleVuXbAAAABAEA&#10;AA8AAABkcnMvZG93bnJldi54bWxMj0tPwzAQhO9I/AdrkbhRp4CqNGRTIR43oNCCBDcnNkmEH5G9&#10;ScO/ZznBaTWa0cy35WZ2Vkwmpj54hOUiA2F8E3TvW4TX/f1ZDiKR8lrZ4A3Ct0mwqY6PSlXocPAv&#10;ZtpRK7jEp0IhdERDIWVqOuNUWoTBePY+Q3SKWMZW6qgOXO6sPM+ylXSq97zQqcHcdKb52o0Owb6n&#10;+FBn9DHdto/0vJXj293yCfH0ZL6+AkFmpr8w/OIzOlTMVIfR6yQsAj9CCBd82FzlaxA1wmWeg6xK&#10;+R+++gEAAP//AwBQSwECLQAUAAYACAAAACEAtoM4kv4AAADhAQAAEwAAAAAAAAAAAAAAAAAAAAAA&#10;W0NvbnRlbnRfVHlwZXNdLnhtbFBLAQItABQABgAIAAAAIQA4/SH/1gAAAJQBAAALAAAAAAAAAAAA&#10;AAAAAC8BAABfcmVscy8ucmVsc1BLAQItABQABgAIAAAAIQCOjipwrAIAAG0FAAAOAAAAAAAAAAAA&#10;AAAAAC4CAABkcnMvZTJvRG9jLnhtbFBLAQItABQABgAIAAAAIQA5Xlbl2wAAAAQBAAAPAAAAAAAA&#10;AAAAAAAAAAYFAABkcnMvZG93bnJldi54bWxQSwUGAAAAAAQABADzAAAADgYAAAAA&#10;" filled="f" stroked="f" strokeweight=".5pt">
              <v:textbox inset="0,0,0,0">
                <w:txbxContent>
                  <w:p w:rsidR="00050190" w:rsidRDefault="00070DF8">
                    <w:pPr>
                      <w:pStyle w:val="a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7C1E9A">
                      <w:rPr>
                        <w:rFonts w:ascii="方正仿宋_GBK" w:eastAsia="方正仿宋_GBK" w:hAnsi="方正仿宋_GBK" w:cs="方正仿宋_GBK"/>
                        <w:noProof/>
                        <w:sz w:val="32"/>
                        <w:szCs w:val="32"/>
                      </w:rPr>
                      <w:t>- 6 -</w:t>
                    </w:r>
                    <w:r>
                      <w:rPr>
                        <w:rFonts w:ascii="方正仿宋_GBK" w:eastAsia="方正仿宋_GBK" w:hAnsi="方正仿宋_GBK" w:cs="方正仿宋_GBK"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F8" w:rsidRDefault="00070DF8">
      <w:r>
        <w:separator/>
      </w:r>
    </w:p>
  </w:footnote>
  <w:footnote w:type="continuationSeparator" w:id="0">
    <w:p w:rsidR="00070DF8" w:rsidRDefault="00070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DhmOGU0YTg5YWIyN2EyMTFiOTQ5YzViOTQ1YzAifQ=="/>
  </w:docVars>
  <w:rsids>
    <w:rsidRoot w:val="2A0C154E"/>
    <w:rsid w:val="00050190"/>
    <w:rsid w:val="00070DF8"/>
    <w:rsid w:val="007C1E9A"/>
    <w:rsid w:val="00AA7CA4"/>
    <w:rsid w:val="00BC1277"/>
    <w:rsid w:val="00CA4E3C"/>
    <w:rsid w:val="00E41379"/>
    <w:rsid w:val="041C5D96"/>
    <w:rsid w:val="044C330C"/>
    <w:rsid w:val="045226B8"/>
    <w:rsid w:val="05A351AD"/>
    <w:rsid w:val="07034156"/>
    <w:rsid w:val="075C1AB8"/>
    <w:rsid w:val="08397703"/>
    <w:rsid w:val="09063A89"/>
    <w:rsid w:val="091F0FEF"/>
    <w:rsid w:val="092C1016"/>
    <w:rsid w:val="09D65B51"/>
    <w:rsid w:val="0C833643"/>
    <w:rsid w:val="0D030411"/>
    <w:rsid w:val="0D9F26FE"/>
    <w:rsid w:val="0E032C8D"/>
    <w:rsid w:val="0EEC3721"/>
    <w:rsid w:val="109E2D10"/>
    <w:rsid w:val="10AC13BA"/>
    <w:rsid w:val="11AE78F0"/>
    <w:rsid w:val="12FB3F33"/>
    <w:rsid w:val="130C25E4"/>
    <w:rsid w:val="13FD4676"/>
    <w:rsid w:val="14390629"/>
    <w:rsid w:val="14B95E54"/>
    <w:rsid w:val="15144CF6"/>
    <w:rsid w:val="15DD0268"/>
    <w:rsid w:val="1679607E"/>
    <w:rsid w:val="188744BB"/>
    <w:rsid w:val="18954E2A"/>
    <w:rsid w:val="18B74DA0"/>
    <w:rsid w:val="19E86730"/>
    <w:rsid w:val="1A0A0EFF"/>
    <w:rsid w:val="1A725422"/>
    <w:rsid w:val="1AD843AD"/>
    <w:rsid w:val="1AEE4C06"/>
    <w:rsid w:val="1B283D33"/>
    <w:rsid w:val="1CEB14BC"/>
    <w:rsid w:val="1CED06A7"/>
    <w:rsid w:val="1D70551D"/>
    <w:rsid w:val="1FB84B14"/>
    <w:rsid w:val="1FD2426D"/>
    <w:rsid w:val="21262AC3"/>
    <w:rsid w:val="22445E65"/>
    <w:rsid w:val="23395841"/>
    <w:rsid w:val="24584DA1"/>
    <w:rsid w:val="2479115B"/>
    <w:rsid w:val="26C065DE"/>
    <w:rsid w:val="270C5C62"/>
    <w:rsid w:val="27147861"/>
    <w:rsid w:val="27A231ED"/>
    <w:rsid w:val="27FB0808"/>
    <w:rsid w:val="28915481"/>
    <w:rsid w:val="296E3259"/>
    <w:rsid w:val="2A0C154E"/>
    <w:rsid w:val="2A202079"/>
    <w:rsid w:val="2BD66E93"/>
    <w:rsid w:val="2D300825"/>
    <w:rsid w:val="2F454A5C"/>
    <w:rsid w:val="308817FA"/>
    <w:rsid w:val="30CB2040"/>
    <w:rsid w:val="30EF4ACE"/>
    <w:rsid w:val="3220355E"/>
    <w:rsid w:val="34403A44"/>
    <w:rsid w:val="348A1D3E"/>
    <w:rsid w:val="35584DBD"/>
    <w:rsid w:val="35CD1307"/>
    <w:rsid w:val="36E52680"/>
    <w:rsid w:val="398B5761"/>
    <w:rsid w:val="3A5B0838"/>
    <w:rsid w:val="3D2739F3"/>
    <w:rsid w:val="3D3D167D"/>
    <w:rsid w:val="3D7824A0"/>
    <w:rsid w:val="3E5527E2"/>
    <w:rsid w:val="3E8C42DE"/>
    <w:rsid w:val="3EE3321B"/>
    <w:rsid w:val="405577DE"/>
    <w:rsid w:val="40592524"/>
    <w:rsid w:val="415B7834"/>
    <w:rsid w:val="41C37A62"/>
    <w:rsid w:val="44BE7043"/>
    <w:rsid w:val="452F508E"/>
    <w:rsid w:val="47446AC5"/>
    <w:rsid w:val="49B20AE8"/>
    <w:rsid w:val="4A572534"/>
    <w:rsid w:val="4A696166"/>
    <w:rsid w:val="4B1C72D3"/>
    <w:rsid w:val="4D5165BE"/>
    <w:rsid w:val="4F7A5C04"/>
    <w:rsid w:val="503359A1"/>
    <w:rsid w:val="51C25640"/>
    <w:rsid w:val="52D90E94"/>
    <w:rsid w:val="55180399"/>
    <w:rsid w:val="55CB540B"/>
    <w:rsid w:val="565432B3"/>
    <w:rsid w:val="5AE42ACB"/>
    <w:rsid w:val="5D243653"/>
    <w:rsid w:val="5DED7EE9"/>
    <w:rsid w:val="5E1C6886"/>
    <w:rsid w:val="60844B35"/>
    <w:rsid w:val="608A1A1F"/>
    <w:rsid w:val="60BD0047"/>
    <w:rsid w:val="618E3791"/>
    <w:rsid w:val="62570ADF"/>
    <w:rsid w:val="62DF24F6"/>
    <w:rsid w:val="6474468C"/>
    <w:rsid w:val="65547AF6"/>
    <w:rsid w:val="662A20DC"/>
    <w:rsid w:val="690F51B7"/>
    <w:rsid w:val="6AF15BA1"/>
    <w:rsid w:val="6B225676"/>
    <w:rsid w:val="6EEE586F"/>
    <w:rsid w:val="700825B0"/>
    <w:rsid w:val="70152D5C"/>
    <w:rsid w:val="70980188"/>
    <w:rsid w:val="70B86135"/>
    <w:rsid w:val="72464D9B"/>
    <w:rsid w:val="736B3932"/>
    <w:rsid w:val="7615764E"/>
    <w:rsid w:val="76F123A0"/>
    <w:rsid w:val="7A3727C0"/>
    <w:rsid w:val="7C1C080B"/>
    <w:rsid w:val="7CCA7F60"/>
    <w:rsid w:val="7D1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470</Words>
  <Characters>2679</Characters>
  <Application>Microsoft Office Word</Application>
  <DocSecurity>0</DocSecurity>
  <Lines>22</Lines>
  <Paragraphs>6</Paragraphs>
  <ScaleCrop>false</ScaleCrop>
  <Company>Microsoft</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航航ma</dc:creator>
  <cp:lastModifiedBy>bear</cp:lastModifiedBy>
  <cp:revision>6</cp:revision>
  <cp:lastPrinted>2022-04-20T07:58:00Z</cp:lastPrinted>
  <dcterms:created xsi:type="dcterms:W3CDTF">2021-04-15T09:16:00Z</dcterms:created>
  <dcterms:modified xsi:type="dcterms:W3CDTF">2026-05-08T02:35:00Z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1FEEE37840BB4C9A8E15804899E9B3E2_13</vt:lpwstr>
  </property>
  <property fmtid="{D5CDD505-2E9C-101B-9397-08002B2CF9AE}" pid="4" name="KSOSaveFontToCloudKey">
    <vt:lpwstr>269977890_btnclosed</vt:lpwstr>
  </property>
  <property fmtid="{D5CDD505-2E9C-101B-9397-08002B2CF9AE}" pid="5" name="KSOTemplateDocerSaveRecord">
    <vt:lpwstr>eyJoZGlkIjoiNzIyODc5OTkxZDYzMDM3YTY0ZGQwMjk5ZmI2YTFiNjAiLCJ1c2VySWQiOiI1NDQ4MDY5MDQifQ==</vt:lpwstr>
  </property>
</Properties>
</file>