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6D2B4">
      <w:pPr>
        <w:spacing w:line="600" w:lineRule="exact"/>
        <w:jc w:val="center"/>
        <w:rPr>
          <w:rFonts w:eastAsia="方正小标宋_GBK"/>
          <w:color w:val="0D0D0D"/>
          <w:sz w:val="44"/>
          <w:szCs w:val="44"/>
        </w:rPr>
      </w:pPr>
      <w:r>
        <w:rPr>
          <w:rFonts w:eastAsia="方正小标宋_GBK"/>
          <w:color w:val="0D0D0D"/>
          <w:sz w:val="44"/>
          <w:szCs w:val="44"/>
        </w:rPr>
        <w:t>重庆科学城慧谷小学校</w:t>
      </w:r>
    </w:p>
    <w:p w14:paraId="5363AEFD">
      <w:pPr>
        <w:spacing w:line="600" w:lineRule="exact"/>
        <w:jc w:val="center"/>
        <w:rPr>
          <w:rFonts w:eastAsia="方正小标宋_GBK"/>
          <w:color w:val="0D0D0D"/>
          <w:sz w:val="44"/>
          <w:szCs w:val="44"/>
        </w:rPr>
      </w:pPr>
      <w:r>
        <w:rPr>
          <w:rFonts w:eastAsia="方正小标宋_GBK"/>
          <w:color w:val="0D0D0D"/>
          <w:sz w:val="44"/>
          <w:szCs w:val="44"/>
        </w:rPr>
        <w:t>2026年部门预算情况说明</w:t>
      </w:r>
    </w:p>
    <w:p w14:paraId="4FDD3D8B">
      <w:pPr>
        <w:adjustRightInd w:val="0"/>
        <w:snapToGrid w:val="0"/>
        <w:spacing w:line="600" w:lineRule="exact"/>
        <w:ind w:left="640"/>
        <w:rPr>
          <w:rFonts w:eastAsia="方正黑体_GBK"/>
          <w:color w:val="0D0D0D"/>
        </w:rPr>
      </w:pPr>
    </w:p>
    <w:p w14:paraId="6A73B355">
      <w:pPr>
        <w:adjustRightInd w:val="0"/>
        <w:snapToGrid w:val="0"/>
        <w:spacing w:line="600" w:lineRule="exact"/>
        <w:ind w:firstLine="640" w:firstLineChars="200"/>
        <w:rPr>
          <w:rFonts w:eastAsia="方正黑体_GBK"/>
          <w:color w:val="0D0D0D"/>
        </w:rPr>
      </w:pPr>
      <w:r>
        <w:rPr>
          <w:rFonts w:eastAsia="方正黑体_GBK"/>
          <w:color w:val="0D0D0D"/>
        </w:rPr>
        <w:t>一、单位基本情况</w:t>
      </w:r>
    </w:p>
    <w:p w14:paraId="73B3A369">
      <w:pPr>
        <w:adjustRightInd w:val="0"/>
        <w:snapToGrid w:val="0"/>
        <w:spacing w:line="600" w:lineRule="exact"/>
        <w:ind w:firstLine="640" w:firstLineChars="200"/>
        <w:rPr>
          <w:color w:val="0D0D0D"/>
        </w:rPr>
      </w:pPr>
      <w:r>
        <w:rPr>
          <w:rFonts w:eastAsia="方正楷体_GBK"/>
          <w:color w:val="0D0D0D"/>
        </w:rPr>
        <w:t>（一）职能职责</w:t>
      </w:r>
    </w:p>
    <w:p w14:paraId="699905C8">
      <w:pPr>
        <w:pStyle w:val="11"/>
        <w:spacing w:after="0" w:line="600" w:lineRule="exact"/>
        <w:ind w:firstLine="640" w:firstLineChars="200"/>
        <w:rPr>
          <w:szCs w:val="32"/>
        </w:rPr>
      </w:pPr>
      <w:r>
        <w:rPr>
          <w:szCs w:val="32"/>
        </w:rPr>
        <w:t>实施普通小学义务教育，促进学生全面发展。开展教育教学工作；开展学校德育工作；</w:t>
      </w:r>
      <w:bookmarkStart w:id="0" w:name="_GoBack"/>
      <w:bookmarkEnd w:id="0"/>
      <w:r>
        <w:rPr>
          <w:szCs w:val="32"/>
        </w:rPr>
        <w:t>开展学校体育、卫生、艺术工作；负责学校行政管理工作；开展对外交流工作；维护校园安全，提供后勤保障服务。</w:t>
      </w:r>
    </w:p>
    <w:p w14:paraId="4A7BAA2F">
      <w:pPr>
        <w:pStyle w:val="32"/>
        <w:tabs>
          <w:tab w:val="center" w:pos="4153"/>
          <w:tab w:val="left" w:pos="7275"/>
        </w:tabs>
        <w:adjustRightInd w:val="0"/>
        <w:snapToGrid w:val="0"/>
        <w:spacing w:line="600" w:lineRule="exact"/>
        <w:ind w:left="0" w:firstLine="640" w:firstLineChars="200"/>
        <w:rPr>
          <w:rFonts w:ascii="Times New Roman" w:hAnsi="Times New Roman" w:eastAsia="方正楷体_GBK" w:cs="Times New Roman"/>
          <w:color w:val="0D0D0D"/>
          <w:sz w:val="32"/>
        </w:rPr>
      </w:pPr>
      <w:r>
        <w:rPr>
          <w:rFonts w:ascii="Times New Roman" w:hAnsi="Times New Roman" w:eastAsia="方正楷体_GBK" w:cs="Times New Roman"/>
          <w:color w:val="0D0D0D"/>
          <w:sz w:val="32"/>
        </w:rPr>
        <w:t>（二）单位构成</w:t>
      </w:r>
    </w:p>
    <w:p w14:paraId="691EBB8D">
      <w:pPr>
        <w:spacing w:line="600" w:lineRule="exact"/>
        <w:ind w:firstLine="640" w:firstLineChars="200"/>
        <w:rPr>
          <w:szCs w:val="32"/>
        </w:rPr>
      </w:pPr>
      <w:r>
        <w:rPr>
          <w:szCs w:val="32"/>
        </w:rPr>
        <w:t>我校为独立核算的全额财政拨款事业单位。本部门构成1个，下设机构教导处，德育处，后勤处，办公室，无二级单位。</w:t>
      </w:r>
    </w:p>
    <w:p w14:paraId="1085A9B2">
      <w:pPr>
        <w:adjustRightInd w:val="0"/>
        <w:snapToGrid w:val="0"/>
        <w:spacing w:line="600" w:lineRule="exact"/>
        <w:ind w:firstLine="640" w:firstLineChars="200"/>
        <w:rPr>
          <w:color w:val="0D0D0D"/>
        </w:rPr>
      </w:pPr>
      <w:r>
        <w:rPr>
          <w:rFonts w:eastAsia="方正黑体_GBK"/>
          <w:color w:val="0D0D0D"/>
        </w:rPr>
        <w:t>二、部门收支总体情况</w:t>
      </w:r>
    </w:p>
    <w:p w14:paraId="72CBD878">
      <w:pPr>
        <w:adjustRightInd w:val="0"/>
        <w:snapToGrid w:val="0"/>
        <w:spacing w:line="600" w:lineRule="exact"/>
        <w:ind w:firstLine="640" w:firstLineChars="200"/>
        <w:rPr>
          <w:color w:val="0D0D0D"/>
        </w:rPr>
      </w:pPr>
      <w:r>
        <w:rPr>
          <w:color w:val="0D0D0D"/>
        </w:rPr>
        <w:t>（一）收入预算：2026年年初预算数729万元，其中：一般公共预算拨款729万元，政府性基金预算拨款0万元，国有资本经营预算收入0万元，事业收入0万元，事业单位经营收入0万元，其他收入0 万元。收入较2025年增加31.4万元，主要是学生及非编</w:t>
      </w:r>
      <w:r>
        <w:rPr>
          <w:rFonts w:hint="eastAsia"/>
          <w:color w:val="0D0D0D"/>
        </w:rPr>
        <w:t>人员</w:t>
      </w:r>
      <w:r>
        <w:rPr>
          <w:color w:val="0D0D0D"/>
        </w:rPr>
        <w:t>增加导致相关经费拨款增加31.4万元。</w:t>
      </w:r>
    </w:p>
    <w:p w14:paraId="113C6663">
      <w:pPr>
        <w:adjustRightInd w:val="0"/>
        <w:snapToGrid w:val="0"/>
        <w:spacing w:line="600" w:lineRule="exact"/>
        <w:ind w:firstLine="640" w:firstLineChars="200"/>
        <w:rPr>
          <w:color w:val="0D0D0D"/>
        </w:rPr>
      </w:pPr>
      <w:r>
        <w:rPr>
          <w:color w:val="0D0D0D"/>
        </w:rPr>
        <w:t>（二）支出预算：2026年年初预算数729万元，其中：一般公共服务支出预算729万元，教育支出预算568.7万元，社会保障和就业支出预算91.25元，卫生健康支出预算36.46万元，住房保障支出预算32.59万元。支出预算较2025年增加31.4万元，主要是基本支出预算增加6.3元，项目支出预算增加25.1万元。</w:t>
      </w:r>
    </w:p>
    <w:p w14:paraId="5530A1EE">
      <w:pPr>
        <w:adjustRightInd w:val="0"/>
        <w:snapToGrid w:val="0"/>
        <w:spacing w:line="600" w:lineRule="exact"/>
        <w:ind w:firstLine="640" w:firstLineChars="200"/>
        <w:rPr>
          <w:rFonts w:eastAsia="方正黑体_GBK"/>
          <w:color w:val="0D0D0D"/>
        </w:rPr>
      </w:pPr>
      <w:r>
        <w:rPr>
          <w:rFonts w:eastAsia="方正黑体_GBK"/>
          <w:color w:val="0D0D0D"/>
        </w:rPr>
        <w:t>三、部门预算情况说明</w:t>
      </w:r>
    </w:p>
    <w:p w14:paraId="45C1099E">
      <w:pPr>
        <w:adjustRightInd w:val="0"/>
        <w:snapToGrid w:val="0"/>
        <w:spacing w:line="600" w:lineRule="exact"/>
        <w:ind w:firstLine="640" w:firstLineChars="200"/>
        <w:rPr>
          <w:color w:val="0D0D0D"/>
        </w:rPr>
      </w:pPr>
      <w:r>
        <w:rPr>
          <w:color w:val="0D0D0D"/>
        </w:rPr>
        <w:t>2026年一般公共预算财政拨款收入729万元，一般公共预算财政拨款支出729万元，比2025年增加31.4万元。其中：基本支出578.4万元，比2025年增加6.3万元，主要原因是学生人数增加导致相关经费增加等，主要用于保障在职人员工资福利及社会保险缴费等，保障部门正常运转的各项商品服务支出等重点工作；项目支出150.6万元，比2025年增加25.1万元，主要原因是学生人数增加，非编</w:t>
      </w:r>
      <w:r>
        <w:rPr>
          <w:rFonts w:hint="eastAsia"/>
          <w:color w:val="0D0D0D"/>
        </w:rPr>
        <w:t>人员</w:t>
      </w:r>
      <w:r>
        <w:rPr>
          <w:color w:val="0D0D0D"/>
        </w:rPr>
        <w:t>人数增加等，主要用于保障非编教师工资福利及社会保险缴费等重点工作。</w:t>
      </w:r>
    </w:p>
    <w:p w14:paraId="6FE1C43E">
      <w:pPr>
        <w:spacing w:line="600" w:lineRule="exact"/>
        <w:ind w:firstLine="640" w:firstLineChars="200"/>
      </w:pPr>
      <w:r>
        <w:t>重庆科学城慧谷小学校2026年无使用政府性基金预算拨款安排的支出。</w:t>
      </w:r>
    </w:p>
    <w:p w14:paraId="1884309D">
      <w:pPr>
        <w:adjustRightInd w:val="0"/>
        <w:snapToGrid w:val="0"/>
        <w:spacing w:line="600" w:lineRule="exact"/>
        <w:ind w:firstLine="640" w:firstLineChars="200"/>
        <w:rPr>
          <w:color w:val="0D0D0D"/>
        </w:rPr>
      </w:pPr>
      <w:r>
        <w:rPr>
          <w:rFonts w:eastAsia="方正黑体_GBK"/>
          <w:color w:val="0D0D0D"/>
        </w:rPr>
        <w:t>四、“三公”经费情况说明</w:t>
      </w:r>
    </w:p>
    <w:p w14:paraId="15360B9C">
      <w:pPr>
        <w:spacing w:line="600" w:lineRule="exact"/>
        <w:ind w:firstLine="640" w:firstLineChars="200"/>
      </w:pPr>
      <w:r>
        <w:t>重庆科学城慧谷小学校2026年及2025年均无“三公”经费预算拨款安排的支出。</w:t>
      </w:r>
    </w:p>
    <w:p w14:paraId="01ABB7E9">
      <w:pPr>
        <w:adjustRightInd w:val="0"/>
        <w:snapToGrid w:val="0"/>
        <w:spacing w:line="600" w:lineRule="exact"/>
        <w:ind w:firstLine="640" w:firstLineChars="200"/>
        <w:rPr>
          <w:rFonts w:eastAsia="方正黑体_GBK"/>
          <w:color w:val="0D0D0D"/>
        </w:rPr>
      </w:pPr>
      <w:r>
        <w:rPr>
          <w:rFonts w:eastAsia="方正黑体_GBK"/>
          <w:color w:val="0D0D0D"/>
        </w:rPr>
        <w:t>五、其他重要事项的情况说明</w:t>
      </w:r>
    </w:p>
    <w:p w14:paraId="29780631">
      <w:pPr>
        <w:adjustRightInd w:val="0"/>
        <w:snapToGrid w:val="0"/>
        <w:spacing w:line="600" w:lineRule="exact"/>
        <w:ind w:firstLine="640" w:firstLineChars="200"/>
        <w:rPr>
          <w:color w:val="0D0D0D"/>
        </w:rPr>
      </w:pPr>
      <w:r>
        <w:rPr>
          <w:color w:val="0D0D0D"/>
        </w:rPr>
        <w:t>（一）我单位不在机关运行经费统计范围之内。</w:t>
      </w:r>
    </w:p>
    <w:p w14:paraId="7C924869">
      <w:pPr>
        <w:adjustRightInd w:val="0"/>
        <w:snapToGrid w:val="0"/>
        <w:spacing w:line="600" w:lineRule="exact"/>
        <w:ind w:firstLine="640" w:firstLineChars="200"/>
        <w:rPr>
          <w:color w:val="0D0D0D"/>
        </w:rPr>
      </w:pPr>
      <w:r>
        <w:rPr>
          <w:color w:val="0D0D0D"/>
        </w:rPr>
        <w:t>（二）政府采购情况。政府采购预算总额1.01万元，其中，政府采购货物预算1.01万元。</w:t>
      </w:r>
    </w:p>
    <w:p w14:paraId="12F0D058">
      <w:pPr>
        <w:adjustRightInd w:val="0"/>
        <w:snapToGrid w:val="0"/>
        <w:spacing w:line="600" w:lineRule="exact"/>
        <w:ind w:firstLine="640" w:firstLineChars="200"/>
        <w:rPr>
          <w:color w:val="0D0D0D"/>
        </w:rPr>
      </w:pPr>
      <w:r>
        <w:rPr>
          <w:color w:val="0D0D0D"/>
        </w:rPr>
        <w:t>（三）绩效目标设置情况。2026年项目支出均实行了绩效目标管理，涉及一般公共预算当年财政拨款150.6万元。</w:t>
      </w:r>
    </w:p>
    <w:p w14:paraId="3B757E89">
      <w:pPr>
        <w:adjustRightInd w:val="0"/>
        <w:snapToGrid w:val="0"/>
        <w:spacing w:line="600" w:lineRule="exact"/>
        <w:ind w:firstLine="640" w:firstLineChars="200"/>
        <w:rPr>
          <w:color w:val="0D0D0D"/>
        </w:rPr>
      </w:pPr>
      <w:r>
        <w:rPr>
          <w:color w:val="0D0D0D"/>
        </w:rPr>
        <w:t>（四）国有资产占有使用情况。</w:t>
      </w:r>
      <w:r>
        <w:rPr>
          <w:rFonts w:hint="eastAsia"/>
          <w:color w:val="0D0D0D"/>
          <w:lang w:eastAsia="zh-CN"/>
        </w:rPr>
        <w:t>截至</w:t>
      </w:r>
      <w:r>
        <w:rPr>
          <w:color w:val="0D0D0D"/>
        </w:rPr>
        <w:t>2025年12月，所属各预算单位共有车辆0辆，其中一般公务用车0辆、执勤执法用车0辆。2026年一般公共预算安排购置车辆0辆，其中一般公务用车0辆、执勤执法用车0辆。</w:t>
      </w:r>
    </w:p>
    <w:p w14:paraId="25841AF3">
      <w:pPr>
        <w:adjustRightInd w:val="0"/>
        <w:snapToGrid w:val="0"/>
        <w:spacing w:line="600" w:lineRule="exact"/>
        <w:ind w:firstLine="640" w:firstLineChars="200"/>
        <w:rPr>
          <w:color w:val="0D0D0D"/>
        </w:rPr>
      </w:pPr>
      <w:r>
        <w:rPr>
          <w:color w:val="0D0D0D"/>
        </w:rPr>
        <w:t>（五）委托业务费情况。2026年委托业务费涉及财拨资金0万元。</w:t>
      </w:r>
    </w:p>
    <w:p w14:paraId="580A9333">
      <w:pPr>
        <w:adjustRightInd w:val="0"/>
        <w:snapToGrid w:val="0"/>
        <w:spacing w:line="600" w:lineRule="exact"/>
        <w:ind w:firstLine="640" w:firstLineChars="200"/>
        <w:rPr>
          <w:rFonts w:eastAsia="方正黑体_GBK"/>
          <w:color w:val="0D0D0D"/>
        </w:rPr>
      </w:pPr>
      <w:r>
        <w:rPr>
          <w:rFonts w:eastAsia="方正黑体_GBK"/>
          <w:color w:val="0D0D0D"/>
        </w:rPr>
        <w:t>六、专业性名词解释</w:t>
      </w:r>
    </w:p>
    <w:p w14:paraId="28BDEAD6">
      <w:pPr>
        <w:adjustRightInd w:val="0"/>
        <w:snapToGrid w:val="0"/>
        <w:spacing w:line="600" w:lineRule="exact"/>
        <w:ind w:firstLine="640" w:firstLineChars="200"/>
        <w:rPr>
          <w:color w:val="0D0D0D"/>
          <w:szCs w:val="32"/>
        </w:rPr>
      </w:pPr>
      <w:r>
        <w:rPr>
          <w:color w:val="0D0D0D"/>
          <w:szCs w:val="32"/>
        </w:rPr>
        <w:t>（一）财政拨款收入：指本年度从本级财政部门取得的财政拨款，包括一般公共预算财政拨款和政府性基金预算财政拨款。</w:t>
      </w:r>
    </w:p>
    <w:p w14:paraId="18E6EF62">
      <w:pPr>
        <w:adjustRightInd w:val="0"/>
        <w:snapToGrid w:val="0"/>
        <w:spacing w:line="600" w:lineRule="exact"/>
        <w:ind w:firstLine="640" w:firstLineChars="200"/>
        <w:rPr>
          <w:color w:val="0D0D0D"/>
          <w:szCs w:val="32"/>
        </w:rPr>
      </w:pPr>
      <w:r>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6E7A3BB2">
      <w:pPr>
        <w:adjustRightInd w:val="0"/>
        <w:snapToGrid w:val="0"/>
        <w:spacing w:line="600" w:lineRule="exact"/>
        <w:ind w:firstLine="640" w:firstLineChars="200"/>
        <w:rPr>
          <w:color w:val="0D0D0D"/>
          <w:szCs w:val="32"/>
        </w:rPr>
      </w:pPr>
      <w:r>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6251053C">
      <w:pPr>
        <w:adjustRightInd w:val="0"/>
        <w:snapToGrid w:val="0"/>
        <w:spacing w:line="600" w:lineRule="exact"/>
        <w:ind w:firstLine="640" w:firstLineChars="200"/>
        <w:rPr>
          <w:color w:val="0D0D0D"/>
          <w:szCs w:val="32"/>
        </w:rPr>
      </w:pPr>
      <w:r>
        <w:rPr>
          <w:color w:val="0D0D0D"/>
          <w:szCs w:val="32"/>
        </w:rPr>
        <w:t>（四）上级补助收入：指从主管部门或上级单位取得的财政拨款以外的其他补助收入。单位结合上年度上级补助收入等情况进行预计。</w:t>
      </w:r>
    </w:p>
    <w:p w14:paraId="5942CC73">
      <w:pPr>
        <w:adjustRightInd w:val="0"/>
        <w:snapToGrid w:val="0"/>
        <w:spacing w:line="600" w:lineRule="exact"/>
        <w:ind w:firstLine="640" w:firstLineChars="200"/>
        <w:rPr>
          <w:color w:val="0D0D0D"/>
          <w:szCs w:val="32"/>
        </w:rPr>
      </w:pPr>
      <w:r>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72AA4911">
      <w:pPr>
        <w:adjustRightInd w:val="0"/>
        <w:snapToGrid w:val="0"/>
        <w:spacing w:line="600" w:lineRule="exact"/>
        <w:ind w:firstLine="640" w:firstLineChars="200"/>
        <w:rPr>
          <w:color w:val="0D0D0D"/>
          <w:szCs w:val="32"/>
        </w:rPr>
      </w:pPr>
      <w:r>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09C20398">
      <w:pPr>
        <w:adjustRightInd w:val="0"/>
        <w:snapToGrid w:val="0"/>
        <w:spacing w:line="600" w:lineRule="exact"/>
        <w:ind w:firstLine="640" w:firstLineChars="200"/>
        <w:rPr>
          <w:color w:val="0D0D0D"/>
          <w:szCs w:val="32"/>
        </w:rPr>
      </w:pPr>
      <w:r>
        <w:rPr>
          <w:color w:val="0D0D0D"/>
          <w:szCs w:val="32"/>
        </w:rPr>
        <w:t>（七）其他收入：指债务收入、投资收益等收入，单位根据情况合理预计，全部编入预算。</w:t>
      </w:r>
    </w:p>
    <w:p w14:paraId="73109FC7">
      <w:pPr>
        <w:adjustRightInd w:val="0"/>
        <w:snapToGrid w:val="0"/>
        <w:spacing w:line="600" w:lineRule="exact"/>
        <w:ind w:firstLine="640" w:firstLineChars="200"/>
        <w:rPr>
          <w:color w:val="0D0D0D"/>
          <w:szCs w:val="32"/>
        </w:rPr>
      </w:pPr>
      <w:r>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FCE9305">
      <w:pPr>
        <w:adjustRightInd w:val="0"/>
        <w:snapToGrid w:val="0"/>
        <w:spacing w:line="600" w:lineRule="exact"/>
        <w:ind w:firstLine="640" w:firstLineChars="200"/>
        <w:rPr>
          <w:color w:val="0D0D0D"/>
          <w:szCs w:val="32"/>
        </w:rPr>
      </w:pPr>
      <w:r>
        <w:rPr>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2EB1F3B">
      <w:pPr>
        <w:adjustRightInd w:val="0"/>
        <w:snapToGrid w:val="0"/>
        <w:spacing w:line="600" w:lineRule="exact"/>
        <w:ind w:firstLine="640" w:firstLineChars="200"/>
        <w:rPr>
          <w:color w:val="0D0D0D"/>
          <w:szCs w:val="32"/>
        </w:rPr>
      </w:pPr>
      <w:r>
        <w:rPr>
          <w:color w:val="0D0D0D"/>
          <w:szCs w:val="32"/>
        </w:rPr>
        <w:t>（十）项目支出：指在基本支出之外为完成特定行政任务和事业发展目标所发生的支出。</w:t>
      </w:r>
    </w:p>
    <w:p w14:paraId="6119C9F0">
      <w:pPr>
        <w:adjustRightInd w:val="0"/>
        <w:snapToGrid w:val="0"/>
        <w:spacing w:line="600" w:lineRule="exact"/>
        <w:ind w:firstLine="640" w:firstLineChars="200"/>
        <w:rPr>
          <w:color w:val="0D0D0D"/>
          <w:szCs w:val="32"/>
        </w:rPr>
      </w:pPr>
      <w:r>
        <w:rPr>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64DC2C">
      <w:pPr>
        <w:adjustRightInd w:val="0"/>
        <w:snapToGrid w:val="0"/>
        <w:spacing w:line="600" w:lineRule="exact"/>
        <w:ind w:firstLine="640" w:firstLineChars="200"/>
        <w:rPr>
          <w:color w:val="0D0D0D"/>
          <w:szCs w:val="32"/>
        </w:rPr>
      </w:pPr>
      <w:r>
        <w:rPr>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95F519B">
      <w:pPr>
        <w:adjustRightInd w:val="0"/>
        <w:snapToGrid w:val="0"/>
        <w:spacing w:line="600" w:lineRule="exact"/>
        <w:ind w:firstLine="640" w:firstLineChars="200"/>
        <w:rPr>
          <w:color w:val="0D0D0D"/>
          <w:szCs w:val="32"/>
        </w:rPr>
      </w:pPr>
      <w:r>
        <w:rPr>
          <w:color w:val="0D0D0D"/>
          <w:szCs w:val="32"/>
        </w:rPr>
        <w:t>（十三）工资福利支出（支出经济分类科目类级）：反映单位开支的在职职工和编制外长期聘用人员的各类劳动报酬，以及为上述人员缴纳的各项社会保险费等。</w:t>
      </w:r>
    </w:p>
    <w:p w14:paraId="58CAAE67">
      <w:pPr>
        <w:adjustRightInd w:val="0"/>
        <w:snapToGrid w:val="0"/>
        <w:spacing w:line="600" w:lineRule="exact"/>
        <w:ind w:firstLine="640" w:firstLineChars="200"/>
        <w:rPr>
          <w:color w:val="0D0D0D"/>
          <w:szCs w:val="32"/>
        </w:rPr>
      </w:pPr>
      <w:r>
        <w:rPr>
          <w:color w:val="0D0D0D"/>
          <w:szCs w:val="32"/>
        </w:rPr>
        <w:t>（十四）商品和服务支出（支出经济分类科目类级）：反映单位购买商品和服务的支出（不包括用于购置固定资产的支出、战略性和应急储备支出）。</w:t>
      </w:r>
    </w:p>
    <w:p w14:paraId="72919270">
      <w:pPr>
        <w:adjustRightInd w:val="0"/>
        <w:snapToGrid w:val="0"/>
        <w:spacing w:line="600" w:lineRule="exact"/>
        <w:ind w:firstLine="640" w:firstLineChars="200"/>
        <w:rPr>
          <w:color w:val="0D0D0D"/>
          <w:szCs w:val="32"/>
        </w:rPr>
      </w:pPr>
      <w:r>
        <w:rPr>
          <w:color w:val="0D0D0D"/>
          <w:szCs w:val="32"/>
        </w:rPr>
        <w:t>（十五）对个人和家庭的补助（支出经济分类科目类级）：反映用于对个人和家庭的补助支出。</w:t>
      </w:r>
    </w:p>
    <w:p w14:paraId="55ABB78A">
      <w:pPr>
        <w:adjustRightInd w:val="0"/>
        <w:snapToGrid w:val="0"/>
        <w:spacing w:line="600" w:lineRule="exact"/>
        <w:ind w:firstLine="640" w:firstLineChars="200"/>
        <w:rPr>
          <w:color w:val="0D0D0D"/>
          <w:szCs w:val="32"/>
        </w:rPr>
      </w:pPr>
      <w:r>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37AD15DB">
      <w:pPr>
        <w:adjustRightInd w:val="0"/>
        <w:snapToGrid w:val="0"/>
        <w:spacing w:line="600" w:lineRule="exact"/>
        <w:ind w:firstLine="640" w:firstLineChars="200"/>
        <w:rPr>
          <w:color w:val="0D0D0D"/>
        </w:rPr>
      </w:pPr>
    </w:p>
    <w:p w14:paraId="062C3B8B">
      <w:pPr>
        <w:adjustRightInd w:val="0"/>
        <w:snapToGrid w:val="0"/>
        <w:spacing w:line="600" w:lineRule="exact"/>
        <w:ind w:firstLine="640" w:firstLineChars="200"/>
        <w:rPr>
          <w:color w:val="0D0D0D"/>
        </w:rPr>
      </w:pPr>
      <w:r>
        <w:rPr>
          <w:color w:val="0D0D0D"/>
        </w:rPr>
        <w:t>部门预算公开联系人：钱进</w:t>
      </w:r>
      <w:r>
        <w:rPr>
          <w:rFonts w:hint="eastAsia"/>
          <w:color w:val="0D0D0D"/>
        </w:rPr>
        <w:t>，</w:t>
      </w:r>
      <w:r>
        <w:rPr>
          <w:color w:val="0D0D0D"/>
        </w:rPr>
        <w:t>联系电话：023-68127975</w:t>
      </w:r>
    </w:p>
    <w:p w14:paraId="3A6FA7E9"/>
    <w:sectPr>
      <w:footerReference r:id="rId3" w:type="default"/>
      <w:footerReference r:id="rId4" w:type="even"/>
      <w:pgSz w:w="11906" w:h="16838"/>
      <w:pgMar w:top="2098" w:right="1531" w:bottom="1985"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10241ECB-29B8-4E67-AED4-DF77BD7432BC}"/>
  </w:font>
  <w:font w:name="方正仿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2" w:fontKey="{4E84B63D-9D4C-4DBC-A151-0D99F6D29186}"/>
  </w:font>
  <w:font w:name="方正黑体_GBK">
    <w:panose1 w:val="02010600010101010101"/>
    <w:charset w:val="86"/>
    <w:family w:val="script"/>
    <w:pitch w:val="default"/>
    <w:sig w:usb0="00000001" w:usb1="080E0000" w:usb2="00000000" w:usb3="00000000" w:csb0="00040000" w:csb1="00000000"/>
    <w:embedRegular r:id="rId3" w:fontKey="{8C1029FC-4C8D-4E5C-843A-ED9C7E5AC5C7}"/>
  </w:font>
  <w:font w:name="方正楷体_GBK">
    <w:panose1 w:val="02000000000000000000"/>
    <w:charset w:val="86"/>
    <w:family w:val="script"/>
    <w:pitch w:val="default"/>
    <w:sig w:usb0="800002BF" w:usb1="38CF7CFA" w:usb2="00000016" w:usb3="00000000" w:csb0="00040000" w:csb1="00000000"/>
    <w:embedRegular r:id="rId4" w:fontKey="{373D220E-CB58-4F0B-9315-9A8699934E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A95B">
    <w:pPr>
      <w:pStyle w:val="12"/>
      <w:framePr w:wrap="around" w:vAnchor="text" w:hAnchor="margin" w:xAlign="outside" w:y="1"/>
      <w:ind w:right="320" w:rightChars="100"/>
      <w:rPr>
        <w:rStyle w:val="18"/>
        <w:rFonts w:ascii="宋体" w:hAnsi="宋体" w:eastAsia="宋体"/>
        <w:sz w:val="28"/>
        <w:szCs w:val="28"/>
      </w:rPr>
    </w:pPr>
    <w:r>
      <w:rPr>
        <w:rStyle w:val="18"/>
        <w:rFonts w:hint="eastAsia" w:ascii="宋体" w:hAnsi="宋体" w:eastAsia="宋体"/>
        <w:sz w:val="28"/>
        <w:szCs w:val="28"/>
      </w:rPr>
      <w:t xml:space="preserve">— </w:t>
    </w:r>
    <w:r>
      <w:rPr>
        <w:rStyle w:val="18"/>
        <w:rFonts w:eastAsia="宋体"/>
        <w:sz w:val="28"/>
        <w:szCs w:val="28"/>
      </w:rPr>
      <w:fldChar w:fldCharType="begin"/>
    </w:r>
    <w:r>
      <w:rPr>
        <w:rStyle w:val="18"/>
        <w:rFonts w:eastAsia="宋体"/>
        <w:sz w:val="28"/>
        <w:szCs w:val="28"/>
      </w:rPr>
      <w:instrText xml:space="preserve">PAGE  </w:instrText>
    </w:r>
    <w:r>
      <w:rPr>
        <w:rStyle w:val="18"/>
        <w:rFonts w:eastAsia="宋体"/>
        <w:sz w:val="28"/>
        <w:szCs w:val="28"/>
      </w:rPr>
      <w:fldChar w:fldCharType="separate"/>
    </w:r>
    <w:r>
      <w:rPr>
        <w:rStyle w:val="18"/>
        <w:rFonts w:eastAsia="宋体"/>
        <w:sz w:val="28"/>
        <w:szCs w:val="28"/>
      </w:rPr>
      <w:t>6</w:t>
    </w:r>
    <w:r>
      <w:rPr>
        <w:rStyle w:val="18"/>
        <w:rFonts w:eastAsia="宋体"/>
        <w:sz w:val="28"/>
        <w:szCs w:val="28"/>
      </w:rPr>
      <w:fldChar w:fldCharType="end"/>
    </w:r>
    <w:r>
      <w:rPr>
        <w:rStyle w:val="18"/>
        <w:rFonts w:hint="eastAsia" w:ascii="宋体" w:hAnsi="宋体" w:eastAsia="宋体"/>
        <w:sz w:val="28"/>
        <w:szCs w:val="28"/>
      </w:rPr>
      <w:t xml:space="preserve"> —</w:t>
    </w:r>
  </w:p>
  <w:p w14:paraId="7E40E57E">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F3D3">
    <w:pPr>
      <w:pStyle w:val="12"/>
      <w:framePr w:wrap="around" w:vAnchor="text" w:hAnchor="margin" w:xAlign="outside" w:y="1"/>
      <w:ind w:left="320" w:leftChars="100"/>
      <w:rPr>
        <w:rStyle w:val="18"/>
        <w:rFonts w:ascii="宋体" w:hAnsi="宋体" w:eastAsia="宋体"/>
        <w:sz w:val="28"/>
        <w:szCs w:val="28"/>
      </w:rPr>
    </w:pPr>
    <w:r>
      <w:rPr>
        <w:rStyle w:val="18"/>
        <w:rFonts w:hint="eastAsia" w:ascii="宋体" w:hAnsi="宋体" w:eastAsia="宋体"/>
        <w:sz w:val="28"/>
        <w:szCs w:val="28"/>
      </w:rPr>
      <w:t xml:space="preserve">— </w:t>
    </w:r>
    <w:r>
      <w:rPr>
        <w:rStyle w:val="18"/>
        <w:rFonts w:ascii="宋体" w:hAnsi="宋体" w:eastAsia="宋体"/>
        <w:sz w:val="28"/>
        <w:szCs w:val="28"/>
      </w:rPr>
      <w:fldChar w:fldCharType="begin"/>
    </w:r>
    <w:r>
      <w:rPr>
        <w:rStyle w:val="18"/>
        <w:rFonts w:ascii="宋体" w:hAnsi="宋体" w:eastAsia="宋体"/>
        <w:sz w:val="28"/>
        <w:szCs w:val="28"/>
      </w:rPr>
      <w:instrText xml:space="preserve">PAGE  </w:instrText>
    </w:r>
    <w:r>
      <w:rPr>
        <w:rStyle w:val="18"/>
        <w:rFonts w:ascii="宋体" w:hAnsi="宋体" w:eastAsia="宋体"/>
        <w:sz w:val="28"/>
        <w:szCs w:val="28"/>
      </w:rPr>
      <w:fldChar w:fldCharType="separate"/>
    </w:r>
    <w:r>
      <w:rPr>
        <w:rStyle w:val="18"/>
        <w:rFonts w:ascii="宋体" w:hAnsi="宋体" w:eastAsia="宋体"/>
        <w:sz w:val="28"/>
        <w:szCs w:val="28"/>
      </w:rPr>
      <w:t>10</w:t>
    </w:r>
    <w:r>
      <w:rPr>
        <w:rStyle w:val="18"/>
        <w:rFonts w:ascii="宋体" w:hAnsi="宋体" w:eastAsia="宋体"/>
        <w:sz w:val="28"/>
        <w:szCs w:val="28"/>
      </w:rPr>
      <w:fldChar w:fldCharType="end"/>
    </w:r>
    <w:r>
      <w:rPr>
        <w:rStyle w:val="18"/>
        <w:rFonts w:hint="eastAsia" w:ascii="宋体" w:hAnsi="宋体" w:eastAsia="宋体"/>
        <w:sz w:val="28"/>
        <w:szCs w:val="28"/>
      </w:rPr>
      <w:t xml:space="preserve"> —</w:t>
    </w:r>
  </w:p>
  <w:p w14:paraId="753AC58F">
    <w:pPr>
      <w:pStyle w:val="12"/>
      <w:framePr w:wrap="around" w:vAnchor="text" w:hAnchor="margin" w:xAlign="outside" w:y="1"/>
      <w:ind w:left="640" w:leftChars="200" w:right="640" w:rightChars="200" w:firstLine="360"/>
      <w:rPr>
        <w:rStyle w:val="18"/>
        <w:rFonts w:ascii="宋体" w:hAnsi="宋体" w:eastAsia="宋体"/>
        <w:sz w:val="28"/>
        <w:szCs w:val="28"/>
      </w:rPr>
    </w:pPr>
  </w:p>
  <w:p w14:paraId="6AB9EBF8">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7A"/>
    <w:rsid w:val="00017E60"/>
    <w:rsid w:val="001139DE"/>
    <w:rsid w:val="0019252B"/>
    <w:rsid w:val="003D0A23"/>
    <w:rsid w:val="003E0552"/>
    <w:rsid w:val="00447864"/>
    <w:rsid w:val="004B0672"/>
    <w:rsid w:val="004D7C7C"/>
    <w:rsid w:val="004E0572"/>
    <w:rsid w:val="004E53C2"/>
    <w:rsid w:val="005F3EBF"/>
    <w:rsid w:val="00610EE9"/>
    <w:rsid w:val="00700EDD"/>
    <w:rsid w:val="0070213E"/>
    <w:rsid w:val="00864830"/>
    <w:rsid w:val="00895089"/>
    <w:rsid w:val="008A25A2"/>
    <w:rsid w:val="008A7F7F"/>
    <w:rsid w:val="008D407A"/>
    <w:rsid w:val="00981390"/>
    <w:rsid w:val="009A5B2C"/>
    <w:rsid w:val="009E77A7"/>
    <w:rsid w:val="00B00B92"/>
    <w:rsid w:val="00B36698"/>
    <w:rsid w:val="00B53F83"/>
    <w:rsid w:val="00B87B8C"/>
    <w:rsid w:val="00BB72B5"/>
    <w:rsid w:val="00C9493D"/>
    <w:rsid w:val="00CB287F"/>
    <w:rsid w:val="00E07290"/>
    <w:rsid w:val="00E63407"/>
    <w:rsid w:val="00F87C4E"/>
    <w:rsid w:val="00F96B4E"/>
    <w:rsid w:val="00FD2F98"/>
    <w:rsid w:val="53436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szCs w:val="22"/>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szCs w:val="22"/>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sz w:val="21"/>
      <w:szCs w:val="22"/>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sz w:val="21"/>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9"/>
    <w:qFormat/>
    <w:uiPriority w:val="0"/>
    <w:pPr>
      <w:spacing w:after="120"/>
    </w:pPr>
  </w:style>
  <w:style w:type="paragraph" w:styleId="12">
    <w:name w:val="footer"/>
    <w:basedOn w:val="1"/>
    <w:link w:val="37"/>
    <w:qFormat/>
    <w:uiPriority w:val="0"/>
    <w:pPr>
      <w:tabs>
        <w:tab w:val="center" w:pos="4153"/>
        <w:tab w:val="right" w:pos="8306"/>
      </w:tabs>
      <w:snapToGrid w:val="0"/>
      <w:jc w:val="left"/>
    </w:pPr>
    <w:rPr>
      <w:sz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page number"/>
    <w:qFormat/>
    <w:uiPriority w:val="0"/>
  </w:style>
  <w:style w:type="character" w:customStyle="1" w:styleId="19">
    <w:name w:val="标题 1 Char"/>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Char"/>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Char"/>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Char"/>
    <w:basedOn w:val="17"/>
    <w:link w:val="5"/>
    <w:semiHidden/>
    <w:qFormat/>
    <w:uiPriority w:val="9"/>
    <w:rPr>
      <w:rFonts w:cstheme="majorBidi"/>
      <w:color w:val="104862" w:themeColor="accent1" w:themeShade="BF"/>
      <w:sz w:val="28"/>
      <w:szCs w:val="28"/>
    </w:rPr>
  </w:style>
  <w:style w:type="character" w:customStyle="1" w:styleId="23">
    <w:name w:val="标题 5 Char"/>
    <w:basedOn w:val="17"/>
    <w:link w:val="6"/>
    <w:semiHidden/>
    <w:qFormat/>
    <w:uiPriority w:val="9"/>
    <w:rPr>
      <w:rFonts w:cstheme="majorBidi"/>
      <w:color w:val="104862" w:themeColor="accent1" w:themeShade="BF"/>
      <w:sz w:val="24"/>
      <w:szCs w:val="24"/>
    </w:rPr>
  </w:style>
  <w:style w:type="character" w:customStyle="1" w:styleId="24">
    <w:name w:val="标题 6 Char"/>
    <w:basedOn w:val="17"/>
    <w:link w:val="7"/>
    <w:semiHidden/>
    <w:qFormat/>
    <w:uiPriority w:val="9"/>
    <w:rPr>
      <w:rFonts w:cstheme="majorBidi"/>
      <w:b/>
      <w:bCs/>
      <w:color w:val="104862" w:themeColor="accent1" w:themeShade="BF"/>
    </w:rPr>
  </w:style>
  <w:style w:type="character" w:customStyle="1" w:styleId="25">
    <w:name w:val="标题 7 Char"/>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Char"/>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Char"/>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Char"/>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Char"/>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rFonts w:asciiTheme="minorHAnsi" w:hAnsiTheme="minorHAnsi" w:eastAsiaTheme="minorEastAsia" w:cstheme="minorBidi"/>
      <w:i/>
      <w:iCs/>
      <w:color w:val="404040" w:themeColor="text1" w:themeTint="BF"/>
      <w:sz w:val="21"/>
      <w:szCs w:val="22"/>
      <w14:textFill>
        <w14:solidFill>
          <w14:schemeClr w14:val="tx1">
            <w14:lumMod w14:val="75000"/>
            <w14:lumOff w14:val="25000"/>
          </w14:schemeClr>
        </w14:solidFill>
      </w14:textFill>
    </w:rPr>
  </w:style>
  <w:style w:type="character" w:customStyle="1" w:styleId="31">
    <w:name w:val="引用 Char"/>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rPr>
      <w:rFonts w:asciiTheme="minorHAnsi" w:hAnsiTheme="minorHAnsi" w:eastAsiaTheme="minorEastAsia" w:cstheme="minorBidi"/>
      <w:sz w:val="21"/>
      <w:szCs w:val="22"/>
    </w:r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szCs w:val="22"/>
    </w:rPr>
  </w:style>
  <w:style w:type="character" w:customStyle="1" w:styleId="35">
    <w:name w:val="明显引用 Char"/>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Char"/>
    <w:basedOn w:val="17"/>
    <w:link w:val="12"/>
    <w:qFormat/>
    <w:uiPriority w:val="0"/>
    <w:rPr>
      <w:rFonts w:ascii="Times New Roman" w:hAnsi="Times New Roman" w:eastAsia="方正仿宋_GBK" w:cs="Times New Roman"/>
      <w:sz w:val="18"/>
      <w:szCs w:val="20"/>
    </w:rPr>
  </w:style>
  <w:style w:type="character" w:customStyle="1" w:styleId="38">
    <w:name w:val="页眉 Char"/>
    <w:basedOn w:val="17"/>
    <w:link w:val="13"/>
    <w:qFormat/>
    <w:uiPriority w:val="99"/>
    <w:rPr>
      <w:rFonts w:ascii="Times New Roman" w:hAnsi="Times New Roman" w:eastAsia="方正仿宋_GBK" w:cs="Times New Roman"/>
      <w:sz w:val="18"/>
      <w:szCs w:val="18"/>
    </w:rPr>
  </w:style>
  <w:style w:type="character" w:customStyle="1" w:styleId="39">
    <w:name w:val="正文文本 Char"/>
    <w:basedOn w:val="17"/>
    <w:link w:val="11"/>
    <w:qFormat/>
    <w:uiPriority w:val="0"/>
    <w:rPr>
      <w:rFonts w:ascii="Times New Roman" w:hAnsi="Times New Roman" w:eastAsia="方正仿宋_GBK"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2514</Words>
  <Characters>2643</Characters>
  <Lines>19</Lines>
  <Paragraphs>5</Paragraphs>
  <TotalTime>2</TotalTime>
  <ScaleCrop>false</ScaleCrop>
  <LinksUpToDate>false</LinksUpToDate>
  <CharactersWithSpaces>2644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2026-03-26T02:08:00Z</dcterms:created>
  <dc:creator>Administrator</dc:creator>
  <cp:lastModifiedBy>silence</cp:lastModifiedBy>
  <dcterms:modified xsi:type="dcterms:W3CDTF">2026-07-06T09:07:09Z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eyJoZGlkIjoiZjRmYWUxOWJhMWE5OGFmZGQyNzA0NjBkZTNhOGRjMDEiLCJ1c2VySWQiOiIyNDg4ODMzNzUifQ==</vt:lpwstr>
  </property>
  <property fmtid="{D5CDD505-2E9C-101B-9397-08002B2CF9AE}" pid="3" name="KSOProductBuildVer">
    <vt:lpwstr>2052-12.1.0.26895</vt:lpwstr>
  </property>
  <property fmtid="{D5CDD505-2E9C-101B-9397-08002B2CF9AE}" pid="4" name="ICV">
    <vt:lpwstr>AA262E1C144848B7948EDF7C51B15CCC_12</vt:lpwstr>
  </property>
</Properties>
</file>