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2D214">
      <w:pPr>
        <w:spacing w:line="600" w:lineRule="exact"/>
        <w:jc w:val="center"/>
        <w:rPr>
          <w:rFonts w:eastAsia="方正小标宋_GBK"/>
          <w:sz w:val="44"/>
          <w:szCs w:val="44"/>
        </w:rPr>
      </w:pPr>
      <w:r>
        <w:rPr>
          <w:rFonts w:eastAsia="方正小标宋_GBK"/>
          <w:sz w:val="44"/>
          <w:szCs w:val="44"/>
        </w:rPr>
        <w:t>重庆科学城驿都实验学校</w:t>
      </w:r>
    </w:p>
    <w:p w14:paraId="33A235C3">
      <w:pPr>
        <w:spacing w:line="600" w:lineRule="exact"/>
        <w:jc w:val="center"/>
        <w:rPr>
          <w:rFonts w:eastAsia="方正小标宋_GBK"/>
          <w:sz w:val="44"/>
          <w:szCs w:val="44"/>
        </w:rPr>
      </w:pPr>
      <w:r>
        <w:rPr>
          <w:rFonts w:eastAsia="方正小标宋_GBK"/>
          <w:sz w:val="44"/>
          <w:szCs w:val="44"/>
        </w:rPr>
        <w:t>2026年部门预算情况说明</w:t>
      </w:r>
    </w:p>
    <w:p w14:paraId="001E70C6">
      <w:pPr>
        <w:adjustRightInd w:val="0"/>
        <w:snapToGrid w:val="0"/>
        <w:spacing w:line="600" w:lineRule="exact"/>
        <w:ind w:left="640"/>
        <w:rPr>
          <w:rFonts w:eastAsia="方正黑体_GBK"/>
        </w:rPr>
      </w:pPr>
    </w:p>
    <w:p w14:paraId="70F55447">
      <w:pPr>
        <w:adjustRightInd w:val="0"/>
        <w:snapToGrid w:val="0"/>
        <w:spacing w:line="600" w:lineRule="exact"/>
        <w:ind w:firstLine="640" w:firstLineChars="200"/>
        <w:rPr>
          <w:rFonts w:eastAsia="方正黑体_GBK"/>
        </w:rPr>
      </w:pPr>
      <w:r>
        <w:rPr>
          <w:rFonts w:eastAsia="方正黑体_GBK"/>
        </w:rPr>
        <w:t>一、单位基本情况</w:t>
      </w:r>
    </w:p>
    <w:p w14:paraId="0EAF0ADA">
      <w:pPr>
        <w:adjustRightInd w:val="0"/>
        <w:snapToGrid w:val="0"/>
        <w:spacing w:line="600" w:lineRule="exact"/>
        <w:ind w:firstLine="640" w:firstLineChars="200"/>
      </w:pPr>
      <w:r>
        <w:rPr>
          <w:rFonts w:eastAsia="方正楷体_GBK"/>
        </w:rPr>
        <w:t>（一）职能职责</w:t>
      </w:r>
    </w:p>
    <w:p w14:paraId="6C4005C4">
      <w:pPr>
        <w:adjustRightInd w:val="0"/>
        <w:snapToGrid w:val="0"/>
        <w:spacing w:line="600" w:lineRule="exact"/>
        <w:ind w:firstLine="640" w:firstLineChars="200"/>
      </w:pPr>
      <w:r>
        <w:t>实施普通小学和初中义务教育，促进学生全面发展，开展教育教学工作；开展学</w:t>
      </w:r>
      <w:bookmarkStart w:id="0" w:name="_GoBack"/>
      <w:bookmarkEnd w:id="0"/>
      <w:r>
        <w:t>校德育工作；开展学校体育、卫生、艺术工作；负责学校行政管理工作；开展对外交流工作；维护校园安全，提供后勤保障服务；按政策规定开展学前教育。</w:t>
      </w:r>
    </w:p>
    <w:p w14:paraId="6F2A0F5C">
      <w:pPr>
        <w:pStyle w:val="8"/>
        <w:tabs>
          <w:tab w:val="center" w:pos="4153"/>
          <w:tab w:val="left" w:pos="7275"/>
        </w:tabs>
        <w:adjustRightInd w:val="0"/>
        <w:snapToGrid w:val="0"/>
        <w:spacing w:line="600" w:lineRule="exact"/>
        <w:ind w:firstLine="640"/>
        <w:rPr>
          <w:rFonts w:ascii="Times New Roman" w:hAnsi="Times New Roman" w:eastAsia="方正楷体_GBK"/>
          <w:sz w:val="32"/>
        </w:rPr>
      </w:pPr>
      <w:r>
        <w:rPr>
          <w:rFonts w:ascii="Times New Roman" w:hAnsi="Times New Roman" w:eastAsia="方正楷体_GBK"/>
          <w:sz w:val="32"/>
        </w:rPr>
        <w:t>（二）单位构成</w:t>
      </w:r>
    </w:p>
    <w:p w14:paraId="3B9C30A3">
      <w:pPr>
        <w:pStyle w:val="4"/>
        <w:spacing w:before="0" w:beforeAutospacing="0" w:after="0" w:afterAutospacing="0" w:line="600" w:lineRule="exact"/>
        <w:ind w:firstLine="640" w:firstLineChars="200"/>
        <w:jc w:val="both"/>
        <w:textAlignment w:val="baseline"/>
        <w:rPr>
          <w:rFonts w:ascii="Times New Roman" w:hAnsi="Times New Roman" w:cs="Times New Roman"/>
        </w:rPr>
      </w:pPr>
      <w:r>
        <w:rPr>
          <w:rFonts w:ascii="Times New Roman" w:hAnsi="Times New Roman" w:eastAsia="方正仿宋_GBK" w:cs="Times New Roman"/>
          <w:kern w:val="2"/>
          <w:sz w:val="32"/>
          <w:szCs w:val="20"/>
        </w:rPr>
        <w:t>重庆科学城驿都实验学校位于高新区白市驿镇清河村，本单位是独立核算单位，无下级预算单位，内设教导处、德育处、安全稳定办公室、后勤处、教科室、财务室、党政办公室。</w:t>
      </w:r>
    </w:p>
    <w:p w14:paraId="7202AC90">
      <w:pPr>
        <w:adjustRightInd w:val="0"/>
        <w:snapToGrid w:val="0"/>
        <w:spacing w:line="600" w:lineRule="exact"/>
        <w:ind w:firstLine="640" w:firstLineChars="200"/>
      </w:pPr>
      <w:r>
        <w:rPr>
          <w:rFonts w:eastAsia="方正黑体_GBK"/>
        </w:rPr>
        <w:t>二、部门收支总体情况</w:t>
      </w:r>
    </w:p>
    <w:p w14:paraId="6BA2F7DC">
      <w:pPr>
        <w:adjustRightInd w:val="0"/>
        <w:snapToGrid w:val="0"/>
        <w:spacing w:line="600" w:lineRule="exact"/>
        <w:ind w:firstLine="640" w:firstLineChars="200"/>
      </w:pPr>
      <w:r>
        <w:t>（一）收入预算：2026年年初预算数2837.75万元，其中：一般公共预算拨款2829.75万元，政府性基金预算拨款0万元，国有资本经营预算收入0万元，事业收入8万元，事业单位经营收入0万元，其他收入0万元。收入较2025年减少65.95万元，主要是</w:t>
      </w:r>
      <w:r>
        <w:rPr>
          <w:rFonts w:hint="eastAsia"/>
        </w:rPr>
        <w:t>教职工人数减少等导致相关</w:t>
      </w:r>
      <w:r>
        <w:t>经费拨款减少63万元。</w:t>
      </w:r>
    </w:p>
    <w:p w14:paraId="660BB452">
      <w:pPr>
        <w:adjustRightInd w:val="0"/>
        <w:snapToGrid w:val="0"/>
        <w:spacing w:line="600" w:lineRule="exact"/>
        <w:ind w:firstLine="640" w:firstLineChars="200"/>
      </w:pPr>
      <w:r>
        <w:t>（二）支出预算：2026年年初预算数2837.75万元，其中：一般公共服务支出预算0万元，教育支出预算1945.20万元，社会保障和就业支出预算584.33万元，卫生健康支出预算160.56万元，住房保障支出预算147.66万元。支出预算较2025年减少65.95万元，主要是基本支出预算减少36.85万元，项目支出预算减少29.1万元。</w:t>
      </w:r>
    </w:p>
    <w:p w14:paraId="6A11A24D">
      <w:pPr>
        <w:adjustRightInd w:val="0"/>
        <w:snapToGrid w:val="0"/>
        <w:spacing w:line="600" w:lineRule="exact"/>
        <w:ind w:firstLine="640" w:firstLineChars="200"/>
        <w:rPr>
          <w:rFonts w:eastAsia="方正黑体_GBK"/>
        </w:rPr>
      </w:pPr>
      <w:r>
        <w:rPr>
          <w:rFonts w:eastAsia="方正黑体_GBK"/>
        </w:rPr>
        <w:t>三、部门预算情况说明</w:t>
      </w:r>
    </w:p>
    <w:p w14:paraId="418C4F1F">
      <w:pPr>
        <w:adjustRightInd w:val="0"/>
        <w:snapToGrid w:val="0"/>
        <w:spacing w:line="600" w:lineRule="exact"/>
        <w:ind w:firstLine="640" w:firstLineChars="200"/>
      </w:pPr>
      <w:r>
        <w:t>2026年一般公共预算财政拨款收入2829.75万元，一般公共预算财政拨款支出2829.75万元，比2025年减少65.95万元。其中：基本支出2582.40万元，比2025年减少36.85万元，主要原因是人员减少和绩效工资减少等</w:t>
      </w:r>
      <w:r>
        <w:rPr>
          <w:rFonts w:hint="eastAsia"/>
        </w:rPr>
        <w:t>，</w:t>
      </w:r>
      <w:r>
        <w:rPr>
          <w:rFonts w:hint="eastAsia" w:ascii="方正仿宋_GBK" w:hAnsi="仿宋_GB2312" w:cs="仿宋_GB2312"/>
          <w:color w:val="0D0D0D"/>
        </w:rPr>
        <w:t>主要用于保障在职人员工资福利及社会保险缴费，离休人员离休费，退休人员补助等，保障部门正常运转的各项商品服务支出</w:t>
      </w:r>
      <w:r>
        <w:t>；项目支出247.35万元，比2025年减少29.1万元，主要原因是</w:t>
      </w:r>
      <w:r>
        <w:rPr>
          <w:rFonts w:hint="eastAsia"/>
        </w:rPr>
        <w:t>非编</w:t>
      </w:r>
      <w:r>
        <w:t>人员减少</w:t>
      </w:r>
      <w:r>
        <w:rPr>
          <w:rFonts w:hint="eastAsia"/>
        </w:rPr>
        <w:t>等，</w:t>
      </w:r>
      <w:r>
        <w:rPr>
          <w:rFonts w:hint="eastAsia" w:ascii="方正仿宋_GBK" w:hAnsi="仿宋_GB2312" w:cs="仿宋_GB2312"/>
          <w:color w:val="0D0D0D"/>
        </w:rPr>
        <w:t>主要用于保障非编人员工资福利及社会保险缴费等重点工作</w:t>
      </w:r>
      <w:r>
        <w:t>。</w:t>
      </w:r>
    </w:p>
    <w:p w14:paraId="3EC4285C">
      <w:pPr>
        <w:spacing w:line="600" w:lineRule="exact"/>
        <w:ind w:firstLine="640" w:firstLineChars="200"/>
      </w:pPr>
      <w:r>
        <w:t>重庆科学城驿都实验学校2026年无使用政府性基金预算拨款安排的支出。</w:t>
      </w:r>
    </w:p>
    <w:p w14:paraId="064D31EF">
      <w:pPr>
        <w:adjustRightInd w:val="0"/>
        <w:snapToGrid w:val="0"/>
        <w:spacing w:line="600" w:lineRule="exact"/>
        <w:ind w:firstLine="640" w:firstLineChars="200"/>
      </w:pPr>
      <w:r>
        <w:rPr>
          <w:rFonts w:eastAsia="方正黑体_GBK"/>
        </w:rPr>
        <w:t>四、“三公”经费情况说明</w:t>
      </w:r>
    </w:p>
    <w:p w14:paraId="5A814F80">
      <w:pPr>
        <w:autoSpaceDN w:val="0"/>
        <w:spacing w:line="600" w:lineRule="exact"/>
        <w:ind w:firstLine="640" w:firstLineChars="200"/>
        <w:rPr>
          <w:szCs w:val="21"/>
        </w:rPr>
      </w:pPr>
      <w:r>
        <w:t>重庆科学城驿都实验学校2026年无使用“三公”经费预算支出。</w:t>
      </w:r>
    </w:p>
    <w:p w14:paraId="2DD3CBC0">
      <w:pPr>
        <w:adjustRightInd w:val="0"/>
        <w:snapToGrid w:val="0"/>
        <w:spacing w:line="600" w:lineRule="exact"/>
        <w:ind w:firstLine="640" w:firstLineChars="200"/>
        <w:rPr>
          <w:rFonts w:eastAsia="方正黑体_GBK"/>
        </w:rPr>
      </w:pPr>
      <w:r>
        <w:rPr>
          <w:rFonts w:eastAsia="方正黑体_GBK"/>
        </w:rPr>
        <w:t>五、其他重要事项的情况说明</w:t>
      </w:r>
    </w:p>
    <w:p w14:paraId="313C4DF5">
      <w:pPr>
        <w:adjustRightInd w:val="0"/>
        <w:snapToGrid w:val="0"/>
        <w:spacing w:line="600" w:lineRule="exact"/>
        <w:ind w:firstLine="640" w:firstLineChars="200"/>
      </w:pPr>
      <w:r>
        <w:t>（一）我单位不在机关运行经费统计范围之内。</w:t>
      </w:r>
    </w:p>
    <w:p w14:paraId="7187753C">
      <w:pPr>
        <w:adjustRightInd w:val="0"/>
        <w:snapToGrid w:val="0"/>
        <w:spacing w:line="600" w:lineRule="exact"/>
        <w:ind w:firstLine="640" w:firstLineChars="200"/>
      </w:pPr>
      <w:r>
        <w:t>（二）政府采购情况。所属各预算单位政府采购预算总额</w:t>
      </w:r>
      <w:r>
        <w:rPr>
          <w:rFonts w:hint="eastAsia"/>
        </w:rPr>
        <w:t>0</w:t>
      </w:r>
      <w:r>
        <w:t>万元，其中，政府采购货物预算0万元、政府采购工程预算0万元、政府采购服务预算0万元；一般公共预算拨款政府采购0万元，其中，政府采购货物预算0万元、政府采购工程预算0万元、政府采购服务预算0万元。</w:t>
      </w:r>
    </w:p>
    <w:p w14:paraId="74A978B4">
      <w:pPr>
        <w:adjustRightInd w:val="0"/>
        <w:snapToGrid w:val="0"/>
        <w:spacing w:line="600" w:lineRule="exact"/>
        <w:ind w:firstLine="640" w:firstLineChars="200"/>
      </w:pPr>
      <w:r>
        <w:t>（三）绩效目标设置情况。2026年项目支出均实行了绩效目标管理，涉及一般公共预算当年财政拨款247.35万元。</w:t>
      </w:r>
    </w:p>
    <w:p w14:paraId="24887F9D">
      <w:pPr>
        <w:adjustRightInd w:val="0"/>
        <w:snapToGrid w:val="0"/>
        <w:spacing w:line="600" w:lineRule="exact"/>
        <w:ind w:firstLine="640" w:firstLineChars="200"/>
      </w:pPr>
      <w:r>
        <w:t>（四）国有资产占有使用情况。</w:t>
      </w:r>
      <w:r>
        <w:rPr>
          <w:rFonts w:hint="eastAsia"/>
          <w:lang w:eastAsia="zh-CN"/>
        </w:rPr>
        <w:t>截至</w:t>
      </w:r>
      <w:r>
        <w:t>2025年12月，所属各预算单位共有车辆0辆，其中一般公务用车0辆、执勤执法用车0辆。2026年一般公共预算安排购置车辆0辆，其中一般公务用车0辆、执勤执法用车0辆。</w:t>
      </w:r>
    </w:p>
    <w:p w14:paraId="23946501">
      <w:pPr>
        <w:adjustRightInd w:val="0"/>
        <w:snapToGrid w:val="0"/>
        <w:spacing w:line="600" w:lineRule="exact"/>
        <w:ind w:firstLine="640" w:firstLineChars="200"/>
      </w:pPr>
      <w:r>
        <w:t>（五）委托业务费情况。2026年委托业务费涉及财拨资金0万元。</w:t>
      </w:r>
    </w:p>
    <w:p w14:paraId="0EF3AF55">
      <w:pPr>
        <w:adjustRightInd w:val="0"/>
        <w:snapToGrid w:val="0"/>
        <w:spacing w:line="600" w:lineRule="exact"/>
        <w:ind w:firstLine="640" w:firstLineChars="200"/>
        <w:rPr>
          <w:rFonts w:eastAsia="方正黑体_GBK"/>
        </w:rPr>
      </w:pPr>
      <w:r>
        <w:rPr>
          <w:rFonts w:eastAsia="方正黑体_GBK"/>
        </w:rPr>
        <w:t>六、专业性名词解释</w:t>
      </w:r>
    </w:p>
    <w:p w14:paraId="359A0CCC">
      <w:pPr>
        <w:pStyle w:val="8"/>
        <w:tabs>
          <w:tab w:val="center" w:pos="4153"/>
          <w:tab w:val="left" w:pos="7275"/>
        </w:tabs>
        <w:adjustRightInd w:val="0"/>
        <w:snapToGrid w:val="0"/>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14:paraId="71E9BB6F">
      <w:pPr>
        <w:adjustRightInd w:val="0"/>
        <w:snapToGrid w:val="0"/>
        <w:spacing w:line="600" w:lineRule="exact"/>
        <w:ind w:firstLine="640" w:firstLineChars="200"/>
        <w:rPr>
          <w:szCs w:val="32"/>
        </w:rPr>
      </w:pPr>
      <w:r>
        <w:rPr>
          <w:szCs w:val="32"/>
        </w:rPr>
        <w:t>（二）财政专户管理资金收入：指缴入财政专户、实行专项管理的高中以上学费、住宿费、高校委托培养费、函大、电大、夜大及短训班培训费等教育收费。单位根据教育收费标准、学生人数等合理预计。</w:t>
      </w:r>
    </w:p>
    <w:p w14:paraId="2EC87C8C">
      <w:pPr>
        <w:adjustRightInd w:val="0"/>
        <w:snapToGrid w:val="0"/>
        <w:spacing w:line="600" w:lineRule="exact"/>
        <w:ind w:firstLine="640" w:firstLineChars="200"/>
        <w:rPr>
          <w:szCs w:val="32"/>
        </w:rPr>
      </w:pPr>
      <w:r>
        <w:rPr>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C5EDE00">
      <w:pPr>
        <w:adjustRightInd w:val="0"/>
        <w:snapToGrid w:val="0"/>
        <w:spacing w:line="600" w:lineRule="exact"/>
        <w:ind w:firstLine="640" w:firstLineChars="200"/>
        <w:rPr>
          <w:szCs w:val="32"/>
        </w:rPr>
      </w:pPr>
      <w:r>
        <w:rPr>
          <w:szCs w:val="32"/>
        </w:rPr>
        <w:t>（四）上级补助收入：指从主管部门或上级单位取得的财政拨款以外的其他补助收入。单位结合上年度上级补助收入等情况进行预计。</w:t>
      </w:r>
    </w:p>
    <w:p w14:paraId="3E77895B">
      <w:pPr>
        <w:adjustRightInd w:val="0"/>
        <w:snapToGrid w:val="0"/>
        <w:spacing w:line="600" w:lineRule="exact"/>
        <w:ind w:firstLine="640" w:firstLineChars="200"/>
        <w:rPr>
          <w:szCs w:val="32"/>
        </w:rPr>
      </w:pPr>
      <w:r>
        <w:rPr>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ADD3C5B">
      <w:pPr>
        <w:adjustRightInd w:val="0"/>
        <w:snapToGrid w:val="0"/>
        <w:spacing w:line="600" w:lineRule="exact"/>
        <w:ind w:firstLine="640" w:firstLineChars="200"/>
        <w:rPr>
          <w:szCs w:val="32"/>
        </w:rPr>
      </w:pPr>
      <w:r>
        <w:rPr>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4612FCB">
      <w:pPr>
        <w:adjustRightInd w:val="0"/>
        <w:snapToGrid w:val="0"/>
        <w:spacing w:line="600" w:lineRule="exact"/>
        <w:ind w:firstLine="640" w:firstLineChars="200"/>
        <w:rPr>
          <w:szCs w:val="32"/>
        </w:rPr>
      </w:pPr>
      <w:r>
        <w:rPr>
          <w:szCs w:val="32"/>
        </w:rPr>
        <w:t>（七）其他收入：指债务收入、投资收益等收入，单位根据情况合理预计，全部编入预算。</w:t>
      </w:r>
    </w:p>
    <w:p w14:paraId="7F737C8C">
      <w:pPr>
        <w:adjustRightInd w:val="0"/>
        <w:snapToGrid w:val="0"/>
        <w:spacing w:line="600" w:lineRule="exact"/>
        <w:ind w:firstLine="640" w:firstLineChars="200"/>
        <w:rPr>
          <w:szCs w:val="32"/>
        </w:rPr>
      </w:pPr>
      <w:r>
        <w:rPr>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0C7E0617">
      <w:pPr>
        <w:adjustRightInd w:val="0"/>
        <w:snapToGrid w:val="0"/>
        <w:spacing w:line="600" w:lineRule="exact"/>
        <w:ind w:firstLine="640" w:firstLineChars="200"/>
        <w:rPr>
          <w:szCs w:val="32"/>
        </w:rPr>
      </w:pPr>
      <w:r>
        <w:rPr>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BC6450">
      <w:pPr>
        <w:adjustRightInd w:val="0"/>
        <w:snapToGrid w:val="0"/>
        <w:spacing w:line="600" w:lineRule="exact"/>
        <w:ind w:firstLine="640" w:firstLineChars="200"/>
        <w:rPr>
          <w:szCs w:val="32"/>
        </w:rPr>
      </w:pPr>
      <w:r>
        <w:rPr>
          <w:szCs w:val="32"/>
        </w:rPr>
        <w:t>（十）项目支出：指在基本支出之外为完成特定行政任务和事业发展目标所发生的支出。</w:t>
      </w:r>
    </w:p>
    <w:p w14:paraId="2B61479A">
      <w:pPr>
        <w:adjustRightInd w:val="0"/>
        <w:snapToGrid w:val="0"/>
        <w:spacing w:line="600" w:lineRule="exact"/>
        <w:ind w:firstLine="640" w:firstLineChars="200"/>
        <w:rPr>
          <w:szCs w:val="32"/>
        </w:rPr>
      </w:pPr>
      <w:r>
        <w:rPr>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E04A00F">
      <w:pPr>
        <w:adjustRightInd w:val="0"/>
        <w:snapToGrid w:val="0"/>
        <w:spacing w:line="600" w:lineRule="exact"/>
        <w:ind w:firstLine="640" w:firstLineChars="200"/>
        <w:rPr>
          <w:szCs w:val="32"/>
        </w:rPr>
      </w:pPr>
      <w:r>
        <w:rPr>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227D335F">
      <w:pPr>
        <w:adjustRightInd w:val="0"/>
        <w:snapToGrid w:val="0"/>
        <w:spacing w:line="600" w:lineRule="exact"/>
        <w:ind w:firstLine="640" w:firstLineChars="200"/>
        <w:rPr>
          <w:szCs w:val="32"/>
        </w:rPr>
      </w:pPr>
      <w:r>
        <w:rPr>
          <w:szCs w:val="32"/>
        </w:rPr>
        <w:t>（十三）工资福利支出（支出经济分类科目类级）：反映单位开支的在职职工和编制外长期聘用人员的各类劳动报酬，以及为上述人员缴纳的各项社会保险费等。</w:t>
      </w:r>
    </w:p>
    <w:p w14:paraId="382887C6">
      <w:pPr>
        <w:adjustRightInd w:val="0"/>
        <w:snapToGrid w:val="0"/>
        <w:spacing w:line="600" w:lineRule="exact"/>
        <w:ind w:firstLine="640" w:firstLineChars="200"/>
        <w:rPr>
          <w:szCs w:val="32"/>
        </w:rPr>
      </w:pPr>
      <w:r>
        <w:rPr>
          <w:szCs w:val="32"/>
        </w:rPr>
        <w:t>（十四）商品和服务支出（支出经济分类科目类级）：反映单位购买商品和服务的支出（不包括用于购置固定资产的支出、战略性和应急储备支出）。</w:t>
      </w:r>
    </w:p>
    <w:p w14:paraId="05ED7C9E">
      <w:pPr>
        <w:adjustRightInd w:val="0"/>
        <w:snapToGrid w:val="0"/>
        <w:spacing w:line="600" w:lineRule="exact"/>
        <w:ind w:firstLine="640" w:firstLineChars="200"/>
        <w:rPr>
          <w:szCs w:val="32"/>
        </w:rPr>
      </w:pPr>
      <w:r>
        <w:rPr>
          <w:szCs w:val="32"/>
        </w:rPr>
        <w:t>（十五）对个人和家庭的补助（支出经济分类科目类级）：反映用于对个人和家庭的补助支出。</w:t>
      </w:r>
    </w:p>
    <w:p w14:paraId="02D26A08">
      <w:pPr>
        <w:adjustRightInd w:val="0"/>
        <w:snapToGrid w:val="0"/>
        <w:spacing w:line="600" w:lineRule="exact"/>
        <w:ind w:firstLine="640" w:firstLineChars="200"/>
        <w:rPr>
          <w:szCs w:val="32"/>
        </w:rPr>
      </w:pPr>
      <w:r>
        <w:rPr>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5D3A63F6">
      <w:pPr>
        <w:adjustRightInd w:val="0"/>
        <w:snapToGrid w:val="0"/>
        <w:spacing w:line="600" w:lineRule="exact"/>
        <w:ind w:firstLine="640" w:firstLineChars="200"/>
      </w:pPr>
    </w:p>
    <w:p w14:paraId="2419B0E8">
      <w:pPr>
        <w:spacing w:line="600" w:lineRule="exact"/>
        <w:ind w:firstLine="640" w:firstLineChars="200"/>
      </w:pPr>
      <w:r>
        <w:t>部门预算公开联系人：彭贵林</w:t>
      </w:r>
      <w:r>
        <w:rPr>
          <w:rFonts w:hint="eastAsia"/>
        </w:rPr>
        <w:t>，</w:t>
      </w:r>
      <w:r>
        <w:t>联系电话：023-65703779</w:t>
      </w:r>
    </w:p>
    <w:p w14:paraId="08A48B47">
      <w:pPr>
        <w:adjustRightInd w:val="0"/>
        <w:snapToGrid w:val="0"/>
        <w:spacing w:line="600" w:lineRule="exact"/>
        <w:ind w:firstLine="640" w:firstLineChars="200"/>
      </w:pPr>
    </w:p>
    <w:p w14:paraId="2B7FD1D9">
      <w:pPr>
        <w:spacing w:line="600" w:lineRule="exact"/>
        <w:ind w:firstLine="640" w:firstLineChars="200"/>
      </w:pPr>
    </w:p>
    <w:sectPr>
      <w:footerReference r:id="rId3" w:type="default"/>
      <w:footerReference r:id="rId4" w:type="even"/>
      <w:pgSz w:w="11906" w:h="16838"/>
      <w:pgMar w:top="2098" w:right="1531" w:bottom="1985"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C5134B3B-59C3-4CDA-AC36-1DF51019C975}"/>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156CE000-8E3C-495E-96BE-052EACC81B03}"/>
  </w:font>
  <w:font w:name="方正黑体_GBK">
    <w:panose1 w:val="02010600010101010101"/>
    <w:charset w:val="86"/>
    <w:family w:val="script"/>
    <w:pitch w:val="default"/>
    <w:sig w:usb0="00000001" w:usb1="080E0000" w:usb2="00000000" w:usb3="00000000" w:csb0="00040000" w:csb1="00000000"/>
    <w:embedRegular r:id="rId3" w:fontKey="{41E12263-D866-430D-93A2-5BF4D5D6962A}"/>
  </w:font>
  <w:font w:name="方正楷体_GBK">
    <w:panose1 w:val="02000000000000000000"/>
    <w:charset w:val="86"/>
    <w:family w:val="script"/>
    <w:pitch w:val="default"/>
    <w:sig w:usb0="800002BF" w:usb1="38CF7CFA" w:usb2="00000016" w:usb3="00000000" w:csb0="00040000" w:csb1="00000000"/>
    <w:embedRegular r:id="rId4" w:fontKey="{083CAA38-8D63-449B-9C77-ED688DE0C7D9}"/>
  </w:font>
  <w:font w:name="仿宋_GB2312">
    <w:altName w:val="仿宋"/>
    <w:panose1 w:val="00000000000000000000"/>
    <w:charset w:val="86"/>
    <w:family w:val="modern"/>
    <w:pitch w:val="default"/>
    <w:sig w:usb0="00000000" w:usb1="00000000" w:usb2="00000010" w:usb3="00000000" w:csb0="00040000" w:csb1="00000000"/>
    <w:embedRegular r:id="rId5" w:fontKey="{25F15CC6-5E32-4E45-9575-16BB4FE7F0D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F4D0">
    <w:pPr>
      <w:pStyle w:val="2"/>
      <w:framePr w:wrap="around" w:vAnchor="text" w:hAnchor="margin" w:xAlign="outside" w:y="1"/>
      <w:ind w:right="320" w:rightChars="100"/>
      <w:rPr>
        <w:rStyle w:val="7"/>
        <w:rFonts w:ascii="宋体" w:hAnsi="宋体" w:eastAsia="宋体"/>
        <w:sz w:val="28"/>
        <w:szCs w:val="28"/>
      </w:rPr>
    </w:pPr>
    <w:r>
      <w:rPr>
        <w:rStyle w:val="7"/>
        <w:rFonts w:hint="eastAsia" w:ascii="宋体" w:hAnsi="宋体" w:eastAsia="宋体"/>
        <w:sz w:val="28"/>
        <w:szCs w:val="28"/>
      </w:rPr>
      <w:t>—</w:t>
    </w:r>
    <w:r>
      <w:rPr>
        <w:rStyle w:val="7"/>
        <w:rFonts w:eastAsia="宋体"/>
        <w:sz w:val="28"/>
        <w:szCs w:val="28"/>
      </w:rPr>
      <w:fldChar w:fldCharType="begin"/>
    </w:r>
    <w:r>
      <w:rPr>
        <w:rStyle w:val="7"/>
        <w:rFonts w:eastAsia="宋体"/>
        <w:sz w:val="28"/>
        <w:szCs w:val="28"/>
      </w:rPr>
      <w:instrText xml:space="preserve">PAGE  </w:instrText>
    </w:r>
    <w:r>
      <w:rPr>
        <w:rStyle w:val="7"/>
        <w:rFonts w:eastAsia="宋体"/>
        <w:sz w:val="28"/>
        <w:szCs w:val="28"/>
      </w:rPr>
      <w:fldChar w:fldCharType="separate"/>
    </w:r>
    <w:r>
      <w:rPr>
        <w:rStyle w:val="7"/>
        <w:rFonts w:eastAsia="宋体"/>
        <w:sz w:val="28"/>
        <w:szCs w:val="28"/>
      </w:rPr>
      <w:t>6</w:t>
    </w:r>
    <w:r>
      <w:rPr>
        <w:rStyle w:val="7"/>
        <w:rFonts w:eastAsia="宋体"/>
        <w:sz w:val="28"/>
        <w:szCs w:val="28"/>
      </w:rPr>
      <w:fldChar w:fldCharType="end"/>
    </w:r>
    <w:r>
      <w:rPr>
        <w:rStyle w:val="7"/>
        <w:rFonts w:hint="eastAsia" w:ascii="宋体" w:hAnsi="宋体" w:eastAsia="宋体"/>
        <w:sz w:val="28"/>
        <w:szCs w:val="28"/>
      </w:rPr>
      <w:t>—</w:t>
    </w:r>
  </w:p>
  <w:p w14:paraId="55A88F2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836E2">
    <w:pPr>
      <w:pStyle w:val="2"/>
      <w:framePr w:wrap="around" w:vAnchor="text" w:hAnchor="margin" w:xAlign="outside" w:y="1"/>
      <w:ind w:left="320" w:leftChars="100"/>
      <w:rPr>
        <w:rStyle w:val="7"/>
        <w:rFonts w:ascii="宋体" w:hAnsi="宋体" w:eastAsia="宋体"/>
        <w:sz w:val="28"/>
        <w:szCs w:val="28"/>
      </w:rPr>
    </w:pPr>
    <w:r>
      <w:rPr>
        <w:rStyle w:val="7"/>
        <w:rFonts w:hint="eastAsia" w:ascii="宋体" w:hAnsi="宋体" w:eastAsia="宋体"/>
        <w:sz w:val="28"/>
        <w:szCs w:val="28"/>
      </w:rPr>
      <w:t>—</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10</w:t>
    </w:r>
    <w:r>
      <w:rPr>
        <w:rStyle w:val="7"/>
        <w:rFonts w:ascii="宋体" w:hAnsi="宋体" w:eastAsia="宋体"/>
        <w:sz w:val="28"/>
        <w:szCs w:val="28"/>
      </w:rPr>
      <w:fldChar w:fldCharType="end"/>
    </w:r>
    <w:r>
      <w:rPr>
        <w:rStyle w:val="7"/>
        <w:rFonts w:hint="eastAsia" w:ascii="宋体" w:hAnsi="宋体" w:eastAsia="宋体"/>
        <w:sz w:val="28"/>
        <w:szCs w:val="28"/>
      </w:rPr>
      <w:t>—</w:t>
    </w:r>
  </w:p>
  <w:p w14:paraId="7B0E39B0">
    <w:pPr>
      <w:pStyle w:val="2"/>
      <w:framePr w:wrap="around" w:vAnchor="text" w:hAnchor="margin" w:xAlign="outside" w:y="1"/>
      <w:ind w:left="640" w:leftChars="200" w:right="640" w:rightChars="200" w:firstLine="360"/>
      <w:rPr>
        <w:rStyle w:val="7"/>
        <w:rFonts w:ascii="宋体" w:hAnsi="宋体" w:eastAsia="宋体"/>
        <w:sz w:val="28"/>
        <w:szCs w:val="28"/>
      </w:rPr>
    </w:pPr>
  </w:p>
  <w:p w14:paraId="6BC820F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00567"/>
    <w:rsid w:val="00001592"/>
    <w:rsid w:val="002B65CC"/>
    <w:rsid w:val="003D1FB0"/>
    <w:rsid w:val="005243B9"/>
    <w:rsid w:val="00996554"/>
    <w:rsid w:val="00AC6A16"/>
    <w:rsid w:val="00B53F83"/>
    <w:rsid w:val="00CF1A26"/>
    <w:rsid w:val="00D8047D"/>
    <w:rsid w:val="00ED3688"/>
    <w:rsid w:val="1DD66112"/>
    <w:rsid w:val="244A1018"/>
    <w:rsid w:val="550E5FC3"/>
    <w:rsid w:val="5E0D2339"/>
    <w:rsid w:val="6B99345E"/>
    <w:rsid w:val="6EE51EB8"/>
    <w:rsid w:val="6F9B6FB7"/>
    <w:rsid w:val="71651700"/>
    <w:rsid w:val="7570632B"/>
    <w:rsid w:val="7A400567"/>
    <w:rsid w:val="7C5E2286"/>
    <w:rsid w:val="7FD014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qFormat/>
    <w:uiPriority w:val="0"/>
  </w:style>
  <w:style w:type="paragraph" w:styleId="8">
    <w:name w:val="List Paragraph"/>
    <w:basedOn w:val="1"/>
    <w:qFormat/>
    <w:uiPriority w:val="34"/>
    <w:pPr>
      <w:ind w:firstLine="420" w:firstLineChars="200"/>
    </w:pPr>
    <w:rPr>
      <w:rFonts w:ascii="仿宋" w:hAnsi="仿宋" w:eastAsia="仿宋"/>
      <w:sz w:val="28"/>
      <w:szCs w:val="22"/>
    </w:rPr>
  </w:style>
  <w:style w:type="character" w:customStyle="1" w:styleId="9">
    <w:name w:val="页眉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9554a285-d054-417d-8d1a-b04b04500854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48E47659</paraID>
      <start>31</start>
      <end>39</end>
      <status>ignored</status>
      <modifiedWord/>
      <trackRevisions>false</trackRevisions>
    </reviewItem>
    <reviewItem>
      <errorID>18558897-ea57-4919-810e-f31d98982f98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2BFB7C89</paraID>
      <start>63</start>
      <end>71</end>
      <status>unmodified</status>
      <modifiedWord/>
      <trackRevisions>false</trackRevisions>
    </reviewItem>
    <reviewItem>
      <errorID>b5d62c42-f433-4607-b0e0-72edce0b81cc</errorID>
      <errorWord>276.45万元</errorWord>
      <group>L1_Other</group>
      <groupName>其他问题</groupName>
      <ability>L2_Consistency</ability>
      <abilityName>一致性检查</abilityName>
      <candidateList>
        <item>247.35万元</item>
      </candidateList>
      <explain>数字一致性问题，2026年项目支出涉及一般公共预算当年财政拨款金额前后表述不一致，前文提到项目支出为247.35万元，此处应为247.35万元</explain>
      <paraID>2A3E93DC</paraID>
      <start>46</start>
      <end>54</end>
      <status>ignored</status>
      <modifiedWord/>
      <trackRevisions>false</trackRevisions>
    </reviewItem>
    <reviewItem>
      <errorID>deb84959-d524-4621-aa12-2d51e876aad4</errorID>
      <errorWord>截止</errorWord>
      <group>L1_Word</group>
      <groupName>字词问题</groupName>
      <ability>L2_Typo</ability>
      <abilityName>字词错误</abilityName>
      <candidateList>
        <item>截至</item>
      </candidateList>
      <explain/>
      <paraID>5460E328</paraID>
      <start>14</start>
      <end>16</end>
      <status>unmodified</status>
      <modifiedWord/>
      <trackRevisions>false</trackRevisions>
    </reviewItem>
    <reviewItem>
      <errorID>a887528b-e19d-4705-b280-9cd50b6f7407</errorID>
      <errorWord>;</errorWord>
      <group>L1_Format</group>
      <groupName>格式问题</groupName>
      <ability>L2_HalfPunc</ability>
      <abilityName>全半角检查</abilityName>
      <candidateList>
        <item>；</item>
      </candidateList>
      <explain>文本全半角错误。</explain>
      <paraID>3883E82A</paraID>
      <start>81</start>
      <end>82</end>
      <status>unmodified</status>
      <modifiedWord/>
      <trackRevisions>false</trackRevisions>
    </reviewItem>
    <reviewItem>
      <errorID>be02d95a-86cf-4772-bea7-926d57d0f376</errorID>
      <errorWord>;</errorWord>
      <group>L1_Format</group>
      <groupName>格式问题</groupName>
      <ability>L2_HalfPunc</ability>
      <abilityName>全半角检查</abilityName>
      <candidateList>
        <item>；</item>
      </candidateList>
      <explain>文本全半角错误。</explain>
      <paraID>7A4E9958</paraID>
      <start>131</start>
      <end>132</end>
      <status>unmodified</status>
      <modifiedWord/>
      <trackRevisions>false</trackRevisions>
    </reviewItem>
    <reviewItem>
      <errorID>f81c8ab8-c32d-4589-8972-a49fa677799e</errorID>
      <errorWord>用于</errorWord>
      <group>L1_Punc</group>
      <groupName>标点问题</groupName>
      <ability>L2_Punc</ability>
      <abilityName>标点符号检查</abilityName>
      <candidateList>
        <item>，用于</item>
      </candidateList>
      <explain/>
      <paraID>4D30C6AB</paraID>
      <start>36</start>
      <end>38</end>
      <status>unmodified</status>
      <modifiedWord/>
      <trackRevisions>false</trackRevisions>
    </reviewItem>
    <reviewItem>
      <errorID>46cc5fbb-808a-423b-9dca-c283ee0c1e48</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524A5DE9</paraID>
      <start>31</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2BAF7D92-EBFC-4975-88FB-E896A0ACB45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2637</Words>
  <Characters>2789</Characters>
  <Lines>20</Lines>
  <Paragraphs>5</Paragraphs>
  <TotalTime>5</TotalTime>
  <ScaleCrop>false</ScaleCrop>
  <LinksUpToDate>false</LinksUpToDate>
  <CharactersWithSpaces>2789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2026-03-26T02:56:00Z</dcterms:created>
  <dc:creator>月半</dc:creator>
  <cp:lastModifiedBy>silence</cp:lastModifiedBy>
  <cp:lastPrinted>2026-03-24T18:51:00Z</cp:lastPrinted>
  <dcterms:modified xsi:type="dcterms:W3CDTF">2026-07-06T08:49:35Z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825102405BD94C3CBBF08D065DD204FC_11</vt:lpwstr>
  </property>
  <property fmtid="{D5CDD505-2E9C-101B-9397-08002B2CF9AE}" pid="4" name="KSOTemplateDocerSaveRecord">
    <vt:lpwstr>eyJoZGlkIjoiZjRmYWUxOWJhMWE5OGFmZGQyNzA0NjBkZTNhOGRjMDEiLCJ1c2VySWQiOiIyNDg4ODMzNzUifQ==</vt:lpwstr>
  </property>
</Properties>
</file>