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86AE63B">
      <w:pPr>
        <w:spacing w:line="600" w:lineRule="exact"/>
        <w:jc w:val="center"/>
        <w:rPr>
          <w:rFonts w:ascii="Times New Roman" w:hAnsi="Times New Roman" w:eastAsia="方正小标宋_GBK"/>
          <w:sz w:val="44"/>
          <w:szCs w:val="44"/>
        </w:rPr>
      </w:pPr>
      <w:r>
        <w:rPr>
          <w:rFonts w:ascii="Times New Roman" w:hAnsi="Times New Roman" w:eastAsia="方正小标宋_GBK"/>
          <w:sz w:val="44"/>
          <w:szCs w:val="44"/>
        </w:rPr>
        <w:t>重庆科学城龙荫幼儿园</w:t>
      </w:r>
    </w:p>
    <w:p w14:paraId="52AC43B1">
      <w:pPr>
        <w:spacing w:line="600" w:lineRule="exact"/>
        <w:jc w:val="center"/>
        <w:rPr>
          <w:rFonts w:ascii="Times New Roman" w:hAnsi="Times New Roman" w:eastAsia="华文中宋"/>
          <w:sz w:val="44"/>
          <w:szCs w:val="44"/>
        </w:rPr>
      </w:pPr>
      <w:r>
        <w:rPr>
          <w:rFonts w:ascii="Times New Roman" w:hAnsi="Times New Roman" w:eastAsia="方正小标宋_GBK"/>
          <w:sz w:val="44"/>
          <w:szCs w:val="44"/>
        </w:rPr>
        <w:t>2025年单位预算情况说明</w:t>
      </w:r>
    </w:p>
    <w:p w14:paraId="331A0E75">
      <w:pPr>
        <w:spacing w:line="600" w:lineRule="exact"/>
        <w:ind w:firstLine="640" w:firstLineChars="200"/>
        <w:rPr>
          <w:rFonts w:ascii="Times New Roman" w:hAnsi="Times New Roman" w:eastAsia="方正黑体_GBK"/>
          <w:sz w:val="32"/>
          <w:szCs w:val="20"/>
        </w:rPr>
      </w:pPr>
      <w:r>
        <w:rPr>
          <w:rFonts w:ascii="Times New Roman" w:hAnsi="Times New Roman" w:eastAsia="方正黑体_GBK"/>
          <w:sz w:val="32"/>
          <w:szCs w:val="20"/>
        </w:rPr>
        <w:t>一、单位基本情况</w:t>
      </w:r>
    </w:p>
    <w:p w14:paraId="4D52F622">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（一）职能职责</w:t>
      </w:r>
    </w:p>
    <w:p w14:paraId="73262669">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为促进幼儿德智体美劳诸方面和谐发展提供服务，承担学龄前儿童保育和教育服务工</w:t>
      </w:r>
      <w:bookmarkStart w:id="0" w:name="_GoBack"/>
      <w:bookmarkEnd w:id="0"/>
      <w:r>
        <w:rPr>
          <w:rFonts w:ascii="Times New Roman" w:hAnsi="Times New Roman" w:eastAsia="方正仿宋_GBK"/>
          <w:sz w:val="32"/>
          <w:szCs w:val="20"/>
        </w:rPr>
        <w:t>作。</w:t>
      </w:r>
    </w:p>
    <w:p w14:paraId="0766F25F">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根据以上主要职责，重庆科学城龙荫幼儿园属于公益一类教育事业单位。</w:t>
      </w:r>
    </w:p>
    <w:p w14:paraId="3D2644EA">
      <w:pPr>
        <w:tabs>
          <w:tab w:val="center" w:pos="4153"/>
          <w:tab w:val="left" w:pos="7275"/>
        </w:tabs>
        <w:spacing w:line="600" w:lineRule="exact"/>
        <w:ind w:left="640"/>
        <w:rPr>
          <w:rFonts w:ascii="Times New Roman" w:hAnsi="Times New Roman" w:eastAsia="方正仿宋_GBK"/>
          <w:sz w:val="32"/>
          <w:szCs w:val="22"/>
        </w:rPr>
      </w:pPr>
      <w:r>
        <w:rPr>
          <w:rFonts w:ascii="Times New Roman" w:hAnsi="Times New Roman" w:eastAsia="方正仿宋_GBK"/>
          <w:sz w:val="32"/>
          <w:szCs w:val="22"/>
        </w:rPr>
        <w:t>（二）单位构成</w:t>
      </w:r>
    </w:p>
    <w:p w14:paraId="2BEB9103">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重庆科学城龙荫幼儿园内设总务处、保教处、办公室、后勤处、人事处、食堂分管处六个机构，配备副园长、办公室主任、总务主任、保教主任、后勤副主任、人事主任、食堂安全分管各一名。其中教研组长由其他人员兼职。</w:t>
      </w:r>
    </w:p>
    <w:p w14:paraId="71567FD8">
      <w:pPr>
        <w:spacing w:line="600" w:lineRule="exact"/>
        <w:ind w:firstLine="640" w:firstLineChars="200"/>
        <w:rPr>
          <w:rFonts w:ascii="Times New Roman" w:hAnsi="Times New Roman" w:eastAsia="方正黑体_GBK"/>
          <w:sz w:val="32"/>
          <w:szCs w:val="20"/>
        </w:rPr>
      </w:pPr>
      <w:r>
        <w:rPr>
          <w:rFonts w:ascii="Times New Roman" w:hAnsi="Times New Roman" w:eastAsia="方正黑体_GBK"/>
          <w:sz w:val="32"/>
          <w:szCs w:val="20"/>
        </w:rPr>
        <w:t>二、单位收支总体情况</w:t>
      </w:r>
    </w:p>
    <w:p w14:paraId="337932EE">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一）收入预算：2025年年初预算数658.73万元，其中：一般公共预算拨款322.13万元，政府性基金预算拨款0万元，国有资本经营预算收入0万元，事业收入336.60万元，事业单位经营收入0万元，其他收入0万元。收入较2024年减少30.27万元，主要原因：一是因为我园较去年学生人数减少，因此相应的生均公共预算拨款及事业收入减少，二是因为教师核定人数减少，非编人员工资拨款随之减少。</w:t>
      </w:r>
    </w:p>
    <w:p w14:paraId="6ABD3C88">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二）支出预算：2025年年初预算数658.73万元，其中：一般公共服务支出预算0万元，教育支出预算625.97万元，社会保障和就业支出预算18.64万元，卫生健康支出预算7.60万元，住房保障支出预算6.52万元。支出预算较2024年减少30.27万元，主要是基本支出预算增加18.03万元，项目支出预算减少48.3万元。</w:t>
      </w:r>
    </w:p>
    <w:p w14:paraId="7442B59C">
      <w:pPr>
        <w:spacing w:line="600" w:lineRule="exact"/>
        <w:ind w:firstLine="640" w:firstLineChars="200"/>
        <w:rPr>
          <w:rFonts w:ascii="Times New Roman" w:hAnsi="Times New Roman" w:eastAsia="方正仿宋_GBK"/>
          <w:sz w:val="32"/>
          <w:szCs w:val="20"/>
        </w:rPr>
      </w:pPr>
      <w:r>
        <w:rPr>
          <w:rFonts w:ascii="Times New Roman" w:hAnsi="Times New Roman" w:eastAsia="方正黑体_GBK"/>
          <w:sz w:val="32"/>
          <w:szCs w:val="20"/>
        </w:rPr>
        <w:t>三、单位预算情况说明</w:t>
      </w:r>
    </w:p>
    <w:p w14:paraId="3A1C39E9">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2025年一般公共预算财政拨款收入322.13万元，一般公共预算财政拨款支出322.13万元，比2024年减少50.43万元。其中：基本支出136.98万元，比2024年减少2.13万元，主要原因是我园学生人数减少，因此相应的日常公用经费支出减少，主要用于保障单位正常运转的各项商品服务支出；项目支出185.15万元，比2024年减少48.30万元，主要原因是总的核定非编教师人数减少，主要用于非编教师工资福利及社会保险支出等重点工作。</w:t>
      </w:r>
    </w:p>
    <w:p w14:paraId="0EEA7DE8">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重庆科学城龙荫幼儿园2025年无使用政府性基金预算拨款安排的支出。</w:t>
      </w:r>
    </w:p>
    <w:p w14:paraId="012772E7">
      <w:pPr>
        <w:spacing w:line="600" w:lineRule="exact"/>
        <w:ind w:firstLine="640" w:firstLineChars="200"/>
        <w:rPr>
          <w:rFonts w:ascii="Times New Roman" w:hAnsi="Times New Roman" w:eastAsia="方正仿宋_GBK"/>
          <w:sz w:val="32"/>
          <w:szCs w:val="20"/>
        </w:rPr>
      </w:pPr>
      <w:r>
        <w:rPr>
          <w:rFonts w:ascii="Times New Roman" w:hAnsi="Times New Roman" w:eastAsia="方正黑体_GBK"/>
          <w:sz w:val="32"/>
          <w:szCs w:val="20"/>
        </w:rPr>
        <w:t>四、“三公”经费情况说明</w:t>
      </w:r>
    </w:p>
    <w:p w14:paraId="6C5C19A3">
      <w:pPr>
        <w:spacing w:line="600" w:lineRule="exact"/>
        <w:ind w:firstLine="600"/>
        <w:rPr>
          <w:rFonts w:ascii="Times New Roman" w:hAnsi="Times New Roman" w:eastAsia="方正仿宋_GBK"/>
          <w:sz w:val="32"/>
          <w:szCs w:val="20"/>
        </w:rPr>
      </w:pPr>
      <w:r>
        <w:rPr>
          <w:rFonts w:ascii="Times New Roman" w:hAnsi="Times New Roman" w:eastAsia="方正仿宋_GBK"/>
          <w:sz w:val="32"/>
          <w:szCs w:val="20"/>
        </w:rPr>
        <w:t>2025年“三公”经费预算0万元，比2024年增加0万元。其中：因公出国（境）费用0万元，比2024年增加0万元；公务接待费万元，比2024年增加0万元；公务用车运行维护费0万元，比2024年增加0万元；公务用车购置费0万元，比2024年增加0万元。</w:t>
      </w:r>
    </w:p>
    <w:p w14:paraId="0EF224FD">
      <w:pPr>
        <w:spacing w:line="600" w:lineRule="exact"/>
        <w:ind w:firstLine="640" w:firstLineChars="200"/>
        <w:rPr>
          <w:rFonts w:ascii="Times New Roman" w:hAnsi="Times New Roman" w:eastAsia="方正黑体_GBK"/>
          <w:sz w:val="32"/>
          <w:szCs w:val="20"/>
        </w:rPr>
      </w:pPr>
      <w:r>
        <w:rPr>
          <w:rFonts w:ascii="Times New Roman" w:hAnsi="Times New Roman" w:eastAsia="方正黑体_GBK"/>
          <w:sz w:val="32"/>
          <w:szCs w:val="20"/>
        </w:rPr>
        <w:t>五、其他重要事项的情况说明</w:t>
      </w:r>
    </w:p>
    <w:p w14:paraId="15FE9365">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1、我单位不在机关运行经费统计范围之内。</w:t>
      </w:r>
    </w:p>
    <w:p w14:paraId="619401F5">
      <w:pPr>
        <w:spacing w:line="600" w:lineRule="exact"/>
        <w:ind w:firstLine="640" w:firstLineChars="200"/>
        <w:rPr>
          <w:rFonts w:ascii="Times New Roman" w:hAnsi="Times New Roman" w:eastAsia="方正仿宋_GBK"/>
          <w:sz w:val="32"/>
          <w:szCs w:val="20"/>
        </w:rPr>
      </w:pPr>
      <w:r>
        <w:rPr>
          <w:rFonts w:ascii="Times New Roman" w:hAnsi="Times New Roman" w:eastAsia="方正仿宋_GBK"/>
          <w:sz w:val="32"/>
          <w:szCs w:val="20"/>
        </w:rPr>
        <w:t>2、政府采购情况。本单位政府采购预算总额2.38万元：政府采购货物预算2.38万元、政府采购工程预算0万元、政府采购服务预算0万元；其中一般公共预算拨款政府采购1.33万元：政府采购货物预算1.33万元、政府采购工程预算0万元、政府采购服务预算0万元。</w:t>
      </w:r>
    </w:p>
    <w:p w14:paraId="797D5CF8">
      <w:pPr>
        <w:spacing w:line="600" w:lineRule="exact"/>
        <w:ind w:firstLine="640" w:firstLineChars="200"/>
        <w:rPr>
          <w:rFonts w:ascii="Times New Roman" w:hAnsi="Times New Roman" w:eastAsia="方正仿宋_GBK"/>
          <w:color w:val="000000"/>
          <w:sz w:val="32"/>
          <w:szCs w:val="20"/>
        </w:rPr>
      </w:pPr>
      <w:r>
        <w:rPr>
          <w:rFonts w:ascii="Times New Roman" w:hAnsi="Times New Roman" w:eastAsia="方正仿宋_GBK"/>
          <w:sz w:val="32"/>
          <w:szCs w:val="20"/>
        </w:rPr>
        <w:t>3、绩效目标设置情况。</w:t>
      </w:r>
      <w:r>
        <w:rPr>
          <w:rFonts w:ascii="Times New Roman" w:hAnsi="Times New Roman" w:eastAsia="方正仿宋_GBK"/>
          <w:color w:val="000000"/>
          <w:sz w:val="32"/>
          <w:szCs w:val="20"/>
        </w:rPr>
        <w:t>2025年项目支出均实行了绩效目标管理，涉及一般公共预算当年财政拨款185.15万元。</w:t>
      </w:r>
    </w:p>
    <w:p w14:paraId="5EAC8DF5">
      <w:pPr>
        <w:spacing w:line="600" w:lineRule="exact"/>
        <w:ind w:firstLine="640" w:firstLineChars="200"/>
        <w:rPr>
          <w:rFonts w:ascii="Times New Roman" w:hAnsi="Times New Roman" w:eastAsia="方正仿宋_GBK"/>
          <w:color w:val="000000"/>
          <w:sz w:val="32"/>
          <w:szCs w:val="20"/>
        </w:rPr>
      </w:pPr>
      <w:r>
        <w:rPr>
          <w:rFonts w:ascii="Times New Roman" w:hAnsi="Times New Roman" w:eastAsia="方正仿宋_GBK"/>
          <w:color w:val="000000"/>
          <w:sz w:val="32"/>
          <w:szCs w:val="20"/>
        </w:rPr>
        <w:t>4、国有资产占有使用情况。</w:t>
      </w:r>
      <w:r>
        <w:rPr>
          <w:rFonts w:hint="eastAsia" w:ascii="Times New Roman" w:hAnsi="Times New Roman" w:eastAsia="方正仿宋_GBK"/>
          <w:color w:val="000000"/>
          <w:sz w:val="32"/>
          <w:szCs w:val="20"/>
          <w:lang w:eastAsia="zh-CN"/>
        </w:rPr>
        <w:t>截至</w:t>
      </w:r>
      <w:r>
        <w:rPr>
          <w:rFonts w:ascii="Times New Roman" w:hAnsi="Times New Roman" w:eastAsia="方正仿宋_GBK"/>
          <w:color w:val="000000"/>
          <w:sz w:val="32"/>
          <w:szCs w:val="20"/>
        </w:rPr>
        <w:t>2024年12月，本单位共有车辆0辆，其中一般公务用车0辆、执勤执法用车0辆。2025年一般公共预算安排购置车辆0辆，其中一般公务用车辆、执勤执法用车0辆。</w:t>
      </w:r>
    </w:p>
    <w:p w14:paraId="252BECE4">
      <w:pPr>
        <w:spacing w:line="600" w:lineRule="exact"/>
        <w:ind w:firstLine="640" w:firstLineChars="200"/>
        <w:rPr>
          <w:rFonts w:ascii="Times New Roman" w:hAnsi="Times New Roman" w:eastAsia="方正黑体_GBK"/>
          <w:sz w:val="32"/>
          <w:szCs w:val="20"/>
        </w:rPr>
      </w:pPr>
      <w:r>
        <w:rPr>
          <w:rFonts w:ascii="Times New Roman" w:hAnsi="Times New Roman" w:eastAsia="方正黑体_GBK"/>
          <w:sz w:val="32"/>
          <w:szCs w:val="20"/>
        </w:rPr>
        <w:t>六、专业性名词解释</w:t>
      </w:r>
    </w:p>
    <w:p w14:paraId="6C9014D9">
      <w:pPr>
        <w:tabs>
          <w:tab w:val="center" w:pos="4153"/>
          <w:tab w:val="left" w:pos="7275"/>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（一）财政拨款收入：指本年度从本级财政部门取得的财政拨款，包括一般公共预算财政拨款和政府性基金预算财政拨款。</w:t>
      </w:r>
    </w:p>
    <w:p w14:paraId="602F63D1">
      <w:pPr>
        <w:tabs>
          <w:tab w:val="center" w:pos="4153"/>
          <w:tab w:val="left" w:pos="7275"/>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（二）其他收入：指单位取得的除“财政拨款收入”、“事业收入”、“经营收入”等以外的收入。</w:t>
      </w:r>
    </w:p>
    <w:p w14:paraId="62B4BAF8">
      <w:pPr>
        <w:tabs>
          <w:tab w:val="center" w:pos="4153"/>
          <w:tab w:val="left" w:pos="7275"/>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（三）基本支出：指为保障机构正常运转、完成日常工作任务而发生的人员经费和公用经费。</w:t>
      </w:r>
    </w:p>
    <w:p w14:paraId="48C01E71">
      <w:pPr>
        <w:tabs>
          <w:tab w:val="center" w:pos="4153"/>
          <w:tab w:val="left" w:pos="7275"/>
        </w:tabs>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（四）项目支出：指在基本支出之外为完成特定行政任务和事业发展目标所发生的支出。</w:t>
      </w:r>
    </w:p>
    <w:p w14:paraId="1F59350E">
      <w:pPr>
        <w:spacing w:line="600" w:lineRule="exact"/>
        <w:ind w:firstLine="640" w:firstLineChars="200"/>
        <w:rPr>
          <w:rFonts w:ascii="Times New Roman" w:hAnsi="Times New Roman" w:eastAsia="方正仿宋_GBK"/>
          <w:color w:val="000000"/>
          <w:sz w:val="32"/>
          <w:szCs w:val="20"/>
        </w:rPr>
      </w:pPr>
      <w:r>
        <w:rPr>
          <w:rFonts w:ascii="Times New Roman" w:hAnsi="Times New Roman" w:eastAsia="方正仿宋_GBK"/>
          <w:sz w:val="32"/>
          <w:szCs w:val="32"/>
        </w:rPr>
        <w:t>（五）“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C3E8DBA">
      <w:pPr>
        <w:spacing w:line="600" w:lineRule="exact"/>
        <w:ind w:firstLine="640" w:firstLineChars="200"/>
        <w:rPr>
          <w:rFonts w:ascii="Times New Roman" w:hAnsi="Times New Roman" w:eastAsia="方正仿宋_GBK"/>
          <w:sz w:val="32"/>
          <w:szCs w:val="20"/>
        </w:rPr>
      </w:pPr>
    </w:p>
    <w:p w14:paraId="448933E5">
      <w:pPr>
        <w:spacing w:line="600" w:lineRule="exact"/>
        <w:rPr>
          <w:rFonts w:ascii="Times New Roman" w:hAnsi="Times New Roman"/>
        </w:rPr>
      </w:pPr>
      <w:r>
        <w:rPr>
          <w:rFonts w:ascii="Times New Roman" w:hAnsi="Times New Roman" w:eastAsia="方正仿宋_GBK"/>
          <w:sz w:val="32"/>
          <w:szCs w:val="20"/>
        </w:rPr>
        <w:t>部门预算公开联系人：周凡  联系方式：023-65006251</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embedRegular r:id="rId1" w:fontKey="{F150C5B2-2FFB-4318-B006-C715AD4A4684}"/>
  </w:font>
  <w:font w:name="华文中宋">
    <w:altName w:val="宋体"/>
    <w:panose1 w:val="02010600040101010101"/>
    <w:charset w:val="86"/>
    <w:family w:val="auto"/>
    <w:pitch w:val="default"/>
    <w:sig w:usb0="00000000" w:usb1="00000000" w:usb2="00000010" w:usb3="00000000" w:csb0="0004009F" w:csb1="00000000"/>
    <w:embedRegular r:id="rId2" w:fontKey="{933666FD-0036-4414-ABE7-CBFA88E2344D}"/>
  </w:font>
  <w:font w:name="方正黑体_GBK">
    <w:panose1 w:val="02010600010101010101"/>
    <w:charset w:val="86"/>
    <w:family w:val="script"/>
    <w:pitch w:val="default"/>
    <w:sig w:usb0="00000001" w:usb1="080E0000" w:usb2="00000000" w:usb3="00000000" w:csb0="00040000" w:csb1="00000000"/>
    <w:embedRegular r:id="rId3" w:fontKey="{FE81970D-6EF4-41F0-B166-BAFF8BEA50DF}"/>
  </w:font>
  <w:font w:name="方正仿宋_GBK">
    <w:panose1 w:val="03000509000000000000"/>
    <w:charset w:val="86"/>
    <w:family w:val="script"/>
    <w:pitch w:val="default"/>
    <w:sig w:usb0="00000001" w:usb1="080E0000" w:usb2="00000000" w:usb3="00000000" w:csb0="00040000" w:csb1="00000000"/>
    <w:embedRegular r:id="rId4" w:fontKey="{36113744-F4D2-4CB9-8A74-0BC2C1E3B0B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394DC3"/>
    <w:rsid w:val="003E0C5B"/>
    <w:rsid w:val="007429A0"/>
    <w:rsid w:val="00A55898"/>
    <w:rsid w:val="00C71303"/>
    <w:rsid w:val="00E353B4"/>
    <w:rsid w:val="00ED6FC9"/>
    <w:rsid w:val="1F670DFF"/>
    <w:rsid w:val="2FBA4FBF"/>
    <w:rsid w:val="37686747"/>
    <w:rsid w:val="3F8865EA"/>
    <w:rsid w:val="43F96049"/>
    <w:rsid w:val="57394DC3"/>
    <w:rsid w:val="5A4C287C"/>
    <w:rsid w:val="70C61A4F"/>
    <w:rsid w:val="72C16699"/>
    <w:rsid w:val="74E65A20"/>
    <w:rsid w:val="79C95270"/>
    <w:rsid w:val="7E5E37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1552</Words>
  <Characters>1719</Characters>
  <Lines>12</Lines>
  <Paragraphs>3</Paragraphs>
  <TotalTime>185</TotalTime>
  <ScaleCrop>false</ScaleCrop>
  <LinksUpToDate>false</LinksUpToDate>
  <CharactersWithSpaces>1721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2024-04-01T08:19:00Z</dcterms:created>
  <dc:creator>admin</dc:creator>
  <cp:lastModifiedBy>silence</cp:lastModifiedBy>
  <dcterms:modified xsi:type="dcterms:W3CDTF">2025-05-07T06:14:26Z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eyJoZGlkIjoiZjRmYWUxOWJhMWE5OGFmZGQyNzA0NjBkZTNhOGRjMDEiLCJ1c2VySWQiOiIyNDg4ODMzNzUifQ==</vt:lpwstr>
  </property>
  <property fmtid="{D5CDD505-2E9C-101B-9397-08002B2CF9AE}" pid="4" name="ICV">
    <vt:lpwstr>8145E13414114347A979CA0BCE97D839_12</vt:lpwstr>
  </property>
</Properties>
</file>