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4FEFA">
      <w:pPr>
        <w:spacing w:line="600" w:lineRule="exact"/>
        <w:jc w:val="center"/>
        <w:rPr>
          <w:rFonts w:eastAsia="方正小标宋_GBK"/>
          <w:color w:val="0D0D0D"/>
          <w:sz w:val="44"/>
          <w:szCs w:val="44"/>
        </w:rPr>
      </w:pPr>
      <w:r>
        <w:rPr>
          <w:rFonts w:eastAsia="方正小标宋_GBK"/>
          <w:color w:val="0D0D0D"/>
          <w:sz w:val="44"/>
          <w:szCs w:val="44"/>
        </w:rPr>
        <w:t>重庆科学城南开景阳小学校</w:t>
      </w:r>
    </w:p>
    <w:p w14:paraId="2B78D7AA">
      <w:pPr>
        <w:spacing w:line="600" w:lineRule="exact"/>
        <w:jc w:val="center"/>
        <w:rPr>
          <w:rFonts w:eastAsia="方正小标宋_GBK"/>
          <w:color w:val="0D0D0D"/>
          <w:sz w:val="44"/>
          <w:szCs w:val="44"/>
        </w:rPr>
      </w:pPr>
      <w:r>
        <w:rPr>
          <w:rFonts w:eastAsia="方正小标宋_GBK"/>
          <w:color w:val="0D0D0D"/>
          <w:sz w:val="44"/>
          <w:szCs w:val="44"/>
        </w:rPr>
        <w:t>2025年单位预算情况说明</w:t>
      </w:r>
    </w:p>
    <w:p w14:paraId="7413EFAF">
      <w:pPr>
        <w:pStyle w:val="2"/>
      </w:pPr>
    </w:p>
    <w:p w14:paraId="47C84ED3">
      <w:pPr>
        <w:spacing w:line="600" w:lineRule="exact"/>
        <w:ind w:left="640"/>
        <w:rPr>
          <w:rFonts w:eastAsia="方正黑体_GBK"/>
          <w:color w:val="0D0D0D"/>
        </w:rPr>
      </w:pPr>
      <w:r>
        <w:rPr>
          <w:rFonts w:eastAsia="方正黑体_GBK"/>
          <w:color w:val="0D0D0D"/>
        </w:rPr>
        <w:t>一、单位基本情况</w:t>
      </w:r>
    </w:p>
    <w:p w14:paraId="1158B8F9">
      <w:pPr>
        <w:spacing w:line="600" w:lineRule="exact"/>
        <w:ind w:firstLine="640" w:firstLineChars="200"/>
        <w:rPr>
          <w:color w:val="0D0D0D"/>
        </w:rPr>
      </w:pPr>
      <w:r>
        <w:rPr>
          <w:color w:val="0D0D0D"/>
        </w:rPr>
        <w:t>（一）职能职责</w:t>
      </w:r>
    </w:p>
    <w:p w14:paraId="4A543735">
      <w:pPr>
        <w:spacing w:line="600" w:lineRule="exact"/>
        <w:ind w:firstLine="640" w:firstLineChars="200"/>
        <w:rPr>
          <w:color w:val="0D0D0D"/>
        </w:rPr>
      </w:pPr>
      <w:r>
        <w:t>实施小学学历（义务）教育，为学生提供相关社会服务。</w:t>
      </w:r>
    </w:p>
    <w:p w14:paraId="7645D3C2">
      <w:pPr>
        <w:pStyle w:val="7"/>
        <w:tabs>
          <w:tab w:val="center" w:pos="4153"/>
          <w:tab w:val="left" w:pos="7275"/>
        </w:tabs>
        <w:spacing w:line="600" w:lineRule="exact"/>
        <w:ind w:left="640" w:firstLine="0" w:firstLineChars="0"/>
        <w:rPr>
          <w:rFonts w:ascii="Times New Roman" w:hAnsi="Times New Roman" w:eastAsia="方正仿宋_GBK"/>
          <w:color w:val="0D0D0D"/>
          <w:sz w:val="32"/>
        </w:rPr>
      </w:pPr>
      <w:r>
        <w:rPr>
          <w:rFonts w:ascii="Times New Roman" w:hAnsi="Times New Roman" w:eastAsia="方正仿宋_GBK"/>
          <w:color w:val="0D0D0D"/>
          <w:sz w:val="32"/>
        </w:rPr>
        <w:t>（二）单位</w:t>
      </w:r>
      <w:bookmarkStart w:id="0" w:name="_GoBack"/>
      <w:bookmarkEnd w:id="0"/>
      <w:r>
        <w:rPr>
          <w:rFonts w:ascii="Times New Roman" w:hAnsi="Times New Roman" w:eastAsia="方正仿宋_GBK"/>
          <w:color w:val="0D0D0D"/>
          <w:sz w:val="32"/>
        </w:rPr>
        <w:t>构成</w:t>
      </w:r>
    </w:p>
    <w:p w14:paraId="171B935D">
      <w:pPr>
        <w:spacing w:line="600" w:lineRule="exact"/>
        <w:ind w:firstLine="640" w:firstLineChars="200"/>
        <w:rPr>
          <w:color w:val="0D0D0D"/>
        </w:rPr>
      </w:pPr>
      <w:r>
        <w:t>重庆科学城南开景阳小学校为全额拨款事业单位，学校为一级预算单位，下无二级预算单位。学校下设内设机构6个：分别是党政办、教导处、教科室、德育处、后勤处、工会。</w:t>
      </w:r>
    </w:p>
    <w:p w14:paraId="0747DCDB">
      <w:pPr>
        <w:spacing w:line="600" w:lineRule="exact"/>
        <w:ind w:left="640"/>
        <w:rPr>
          <w:color w:val="0D0D0D"/>
        </w:rPr>
      </w:pPr>
      <w:r>
        <w:rPr>
          <w:rFonts w:eastAsia="方正黑体_GBK"/>
          <w:color w:val="0D0D0D"/>
        </w:rPr>
        <w:t>二、部门收支总体情况</w:t>
      </w:r>
    </w:p>
    <w:p w14:paraId="37EE5949">
      <w:pPr>
        <w:spacing w:line="600" w:lineRule="exact"/>
        <w:ind w:firstLine="640" w:firstLineChars="200"/>
        <w:rPr>
          <w:color w:val="0D0D0D"/>
        </w:rPr>
      </w:pPr>
      <w:r>
        <w:rPr>
          <w:color w:val="0D0D0D"/>
        </w:rPr>
        <w:t>（一）收入预算：2025年年初预算数1660.99万元，其中：一般公共预算拨款1660.99万元，政府性基金预算拨款0.00万元，国有资本经营预算收入0.00万元，事业收入0.00万元，事业单位经营收入0.00万元，其他收入0.00万元。收入较2024年增加188.98万元，主要是</w:t>
      </w:r>
      <w:r>
        <w:t>学校师生人数增加等原因导致相关经费拨款</w:t>
      </w:r>
      <w:r>
        <w:rPr>
          <w:color w:val="0D0D0D"/>
        </w:rPr>
        <w:t>增加188.98万元。</w:t>
      </w:r>
    </w:p>
    <w:p w14:paraId="796B53C6">
      <w:pPr>
        <w:spacing w:line="600" w:lineRule="exact"/>
        <w:ind w:firstLine="640" w:firstLineChars="200"/>
        <w:rPr>
          <w:color w:val="0D0D0D"/>
        </w:rPr>
      </w:pPr>
      <w:r>
        <w:rPr>
          <w:color w:val="0D0D0D"/>
        </w:rPr>
        <w:t>（二）支出预算：2025年年初预算数1660.99万元，其中：一般公共服务支出预算0万元，教育支出预算1222.89万元，社会保障和就业支出预算253.85万元，卫生健康支出预算97.79万元，住房保障支出预算86.47万元。支出预算较2024年增加188.98万元，主要是基本支出预算增加276.83万元，项目支出预算减少87.85万元。</w:t>
      </w:r>
    </w:p>
    <w:p w14:paraId="751A3474">
      <w:pPr>
        <w:spacing w:line="600" w:lineRule="exact"/>
        <w:ind w:left="640"/>
        <w:rPr>
          <w:rFonts w:eastAsia="方正黑体_GBK"/>
          <w:color w:val="0D0D0D"/>
        </w:rPr>
      </w:pPr>
      <w:r>
        <w:rPr>
          <w:rFonts w:eastAsia="方正黑体_GBK"/>
          <w:color w:val="0D0D0D"/>
        </w:rPr>
        <w:t>三、部门预算情况说明</w:t>
      </w:r>
    </w:p>
    <w:p w14:paraId="659F97DF">
      <w:pPr>
        <w:spacing w:line="600" w:lineRule="exact"/>
        <w:ind w:firstLine="640" w:firstLineChars="200"/>
        <w:rPr>
          <w:color w:val="0D0D0D"/>
        </w:rPr>
      </w:pPr>
      <w:r>
        <w:rPr>
          <w:color w:val="0D0D0D"/>
        </w:rPr>
        <w:t>2025年一般公共预算财政拨款收入1660.99万元，一般公共预算财政拨款支出1660.99万元，比2024年增加188.98万元。其中：基本支出1460.19万元，比2024年增加276.83万元，主要原因是</w:t>
      </w:r>
      <w:r>
        <w:t>教师在编人数增加</w:t>
      </w:r>
      <w:r>
        <w:rPr>
          <w:color w:val="0D0D0D"/>
        </w:rPr>
        <w:t>，主要用于保障在职人员工资福利及社会保险缴费，保障单位正常运转的各项商品服务支出；项目支出200.80万元，比2024年减少87.85万元，主要原因是</w:t>
      </w:r>
      <w:r>
        <w:t>聘用人员减少</w:t>
      </w:r>
      <w:r>
        <w:rPr>
          <w:color w:val="0D0D0D"/>
        </w:rPr>
        <w:t>，主要用于保障</w:t>
      </w:r>
      <w:r>
        <w:t>聘用人员工资福利及社会保险缴费</w:t>
      </w:r>
      <w:r>
        <w:rPr>
          <w:color w:val="0D0D0D"/>
        </w:rPr>
        <w:t>等重点工作。</w:t>
      </w:r>
    </w:p>
    <w:p w14:paraId="1E2262E3">
      <w:pPr>
        <w:spacing w:line="600" w:lineRule="exact"/>
        <w:ind w:firstLine="640" w:firstLineChars="200"/>
        <w:rPr>
          <w:color w:val="0D0D0D"/>
        </w:rPr>
      </w:pPr>
      <w:r>
        <w:rPr>
          <w:color w:val="0D0D0D"/>
        </w:rPr>
        <w:t>重庆科学城南开景阳小学校2025年无使用政府性基金预算拨款安排的支出。</w:t>
      </w:r>
    </w:p>
    <w:p w14:paraId="2DA53DFC">
      <w:pPr>
        <w:spacing w:line="600" w:lineRule="exact"/>
        <w:ind w:left="640"/>
        <w:rPr>
          <w:color w:val="0D0D0D"/>
        </w:rPr>
      </w:pPr>
      <w:r>
        <w:rPr>
          <w:rFonts w:eastAsia="方正黑体_GBK"/>
          <w:color w:val="0D0D0D"/>
        </w:rPr>
        <w:t>四、“三公”经费情况说明</w:t>
      </w:r>
    </w:p>
    <w:p w14:paraId="69502F0F">
      <w:pPr>
        <w:spacing w:line="600" w:lineRule="exact"/>
        <w:ind w:firstLine="600"/>
        <w:rPr>
          <w:color w:val="0D0D0D"/>
        </w:rPr>
      </w:pPr>
      <w:r>
        <w:rPr>
          <w:rFonts w:hint="eastAsia" w:ascii="方正仿宋_GBK" w:hAnsi="仿宋_GB2312" w:cs="仿宋_GB2312"/>
          <w:color w:val="0D0D0D"/>
        </w:rPr>
        <w:t>2025年和2</w:t>
      </w:r>
      <w:r>
        <w:rPr>
          <w:rFonts w:ascii="方正仿宋_GBK" w:hAnsi="仿宋_GB2312" w:cs="仿宋_GB2312"/>
          <w:color w:val="0D0D0D"/>
        </w:rPr>
        <w:t>024</w:t>
      </w:r>
      <w:r>
        <w:rPr>
          <w:rFonts w:hint="eastAsia" w:ascii="方正仿宋_GBK" w:hAnsi="仿宋_GB2312" w:cs="仿宋_GB2312"/>
          <w:color w:val="0D0D0D"/>
        </w:rPr>
        <w:t>年均无“三公”经费预算支出。</w:t>
      </w:r>
    </w:p>
    <w:p w14:paraId="28049D70">
      <w:pPr>
        <w:spacing w:line="600" w:lineRule="exact"/>
        <w:ind w:left="640"/>
        <w:rPr>
          <w:rFonts w:eastAsia="方正黑体_GBK"/>
          <w:color w:val="0D0D0D"/>
        </w:rPr>
      </w:pPr>
      <w:r>
        <w:rPr>
          <w:rFonts w:eastAsia="方正黑体_GBK"/>
          <w:color w:val="0D0D0D"/>
        </w:rPr>
        <w:t>五、其他重要事项的情况说明</w:t>
      </w:r>
    </w:p>
    <w:p w14:paraId="4B952334">
      <w:pPr>
        <w:spacing w:line="600" w:lineRule="exact"/>
        <w:ind w:firstLine="640" w:firstLineChars="200"/>
        <w:rPr>
          <w:color w:val="0D0D0D"/>
        </w:rPr>
      </w:pPr>
      <w:r>
        <w:rPr>
          <w:color w:val="0D0D0D"/>
        </w:rPr>
        <w:t>1、我单位不在机关运行经费统计范围之内。</w:t>
      </w:r>
    </w:p>
    <w:p w14:paraId="5F336139">
      <w:pPr>
        <w:spacing w:line="600" w:lineRule="exact"/>
        <w:ind w:firstLine="640" w:firstLineChars="200"/>
        <w:rPr>
          <w:color w:val="0D0D0D"/>
        </w:rPr>
      </w:pPr>
      <w:r>
        <w:rPr>
          <w:color w:val="0D0D0D"/>
        </w:rPr>
        <w:t>2、政府采购情况。</w:t>
      </w:r>
      <w:r>
        <w:t>本单位政府采购预算总额0.00万元：政府采购货物预算0.00万元；其中一般公共预算拨款政府采购0.00万元：政府采购货物预算0.00万元。</w:t>
      </w:r>
    </w:p>
    <w:p w14:paraId="452F6A90">
      <w:pPr>
        <w:spacing w:line="600" w:lineRule="exact"/>
        <w:ind w:firstLine="640" w:firstLineChars="200"/>
      </w:pPr>
      <w:r>
        <w:t>3、绩效目标设置情况。2025年项目支出均实行了绩效目标管理，涉及一般公共预算当年财政拨款200.80万元。</w:t>
      </w:r>
    </w:p>
    <w:p w14:paraId="1244B7C7">
      <w:pPr>
        <w:spacing w:line="600" w:lineRule="exact"/>
        <w:ind w:firstLine="600"/>
        <w:rPr>
          <w:color w:val="0D0D0D"/>
        </w:rPr>
      </w:pPr>
      <w:r>
        <w:rPr>
          <w:rFonts w:hint="eastAsia" w:ascii="方正仿宋_GBK" w:hAnsi="仿宋_GB2312" w:cs="仿宋_GB2312"/>
          <w:color w:val="0D0D0D"/>
        </w:rPr>
        <w:t>4、国有资产占有使用情况。</w:t>
      </w:r>
      <w:r>
        <w:rPr>
          <w:rFonts w:hint="eastAsia" w:ascii="方正仿宋_GBK" w:hAnsi="仿宋_GB2312" w:cs="仿宋_GB2312"/>
          <w:color w:val="0D0D0D"/>
          <w:lang w:eastAsia="zh-CN"/>
        </w:rPr>
        <w:t>截至</w:t>
      </w:r>
      <w:r>
        <w:rPr>
          <w:rFonts w:hint="eastAsia" w:ascii="方正仿宋_GBK" w:hAnsi="仿宋_GB2312" w:cs="仿宋_GB2312"/>
          <w:color w:val="0D0D0D"/>
        </w:rPr>
        <w:t>2024年12月，所属预算单位共有车辆</w:t>
      </w:r>
      <w:r>
        <w:rPr>
          <w:rFonts w:ascii="方正仿宋_GBK" w:hAnsi="仿宋_GB2312" w:cs="仿宋_GB2312"/>
          <w:color w:val="0D0D0D"/>
        </w:rPr>
        <w:t>0</w:t>
      </w:r>
      <w:r>
        <w:rPr>
          <w:rFonts w:hint="eastAsia" w:ascii="方正仿宋_GBK" w:hAnsi="仿宋_GB2312" w:cs="仿宋_GB2312"/>
          <w:color w:val="0D0D0D"/>
        </w:rPr>
        <w:t>辆。2025年一般公共预算安排购置车辆</w:t>
      </w:r>
      <w:r>
        <w:rPr>
          <w:rFonts w:ascii="方正仿宋_GBK" w:hAnsi="仿宋_GB2312" w:cs="仿宋_GB2312"/>
          <w:color w:val="0D0D0D"/>
        </w:rPr>
        <w:t>0</w:t>
      </w:r>
      <w:r>
        <w:rPr>
          <w:rFonts w:hint="eastAsia" w:ascii="方正仿宋_GBK" w:hAnsi="仿宋_GB2312" w:cs="仿宋_GB2312"/>
          <w:color w:val="0D0D0D"/>
        </w:rPr>
        <w:t>辆。</w:t>
      </w:r>
    </w:p>
    <w:p w14:paraId="1B809F48">
      <w:pPr>
        <w:spacing w:line="600" w:lineRule="exact"/>
        <w:ind w:left="640"/>
        <w:rPr>
          <w:rFonts w:eastAsia="方正黑体_GBK"/>
          <w:color w:val="0D0D0D"/>
        </w:rPr>
      </w:pPr>
      <w:r>
        <w:rPr>
          <w:rFonts w:eastAsia="方正黑体_GBK"/>
          <w:color w:val="0D0D0D"/>
        </w:rPr>
        <w:t>六、专业性名词解释</w:t>
      </w:r>
    </w:p>
    <w:p w14:paraId="156675D6">
      <w:pPr>
        <w:pStyle w:val="7"/>
        <w:tabs>
          <w:tab w:val="center" w:pos="4153"/>
          <w:tab w:val="left" w:pos="7275"/>
        </w:tabs>
        <w:spacing w:line="600" w:lineRule="exact"/>
        <w:ind w:firstLine="640"/>
        <w:rPr>
          <w:rFonts w:ascii="Times New Roman" w:hAnsi="Times New Roman" w:eastAsia="方正仿宋_GBK"/>
          <w:color w:val="0D0D0D"/>
          <w:sz w:val="32"/>
          <w:szCs w:val="32"/>
        </w:rPr>
      </w:pPr>
      <w:r>
        <w:rPr>
          <w:rFonts w:ascii="Times New Roman" w:hAnsi="Times New Roman" w:eastAsia="方正仿宋_GBK"/>
          <w:color w:val="0D0D0D"/>
          <w:sz w:val="32"/>
          <w:szCs w:val="32"/>
        </w:rPr>
        <w:t>（一）财政拨款收入：指本年度从本级财政部门取得的财政拨款，包括一般公共预算财政拨款和政府性基金预算财政拨款。</w:t>
      </w:r>
    </w:p>
    <w:p w14:paraId="2C3A042F">
      <w:pPr>
        <w:pStyle w:val="7"/>
        <w:tabs>
          <w:tab w:val="center" w:pos="4153"/>
          <w:tab w:val="left" w:pos="7275"/>
        </w:tabs>
        <w:spacing w:line="600" w:lineRule="exact"/>
        <w:ind w:firstLine="640"/>
        <w:rPr>
          <w:rFonts w:ascii="Times New Roman" w:hAnsi="Times New Roman" w:eastAsia="方正仿宋_GBK"/>
          <w:color w:val="0D0D0D"/>
          <w:sz w:val="32"/>
          <w:szCs w:val="32"/>
        </w:rPr>
      </w:pPr>
      <w:r>
        <w:rPr>
          <w:rFonts w:ascii="Times New Roman" w:hAnsi="Times New Roman" w:eastAsia="方正仿宋_GBK"/>
          <w:color w:val="0D0D0D"/>
          <w:sz w:val="32"/>
          <w:szCs w:val="32"/>
        </w:rPr>
        <w:t>（二）其他收入：指单位取得的除“财政拨款收入”、“事业收入”、“经营收入”等以外的收入。</w:t>
      </w:r>
    </w:p>
    <w:p w14:paraId="22ABCE57">
      <w:pPr>
        <w:pStyle w:val="7"/>
        <w:tabs>
          <w:tab w:val="center" w:pos="4153"/>
          <w:tab w:val="left" w:pos="7275"/>
        </w:tabs>
        <w:spacing w:line="600" w:lineRule="exact"/>
        <w:ind w:firstLine="640"/>
        <w:rPr>
          <w:rFonts w:ascii="Times New Roman" w:hAnsi="Times New Roman" w:eastAsia="方正仿宋_GBK"/>
          <w:color w:val="0D0D0D"/>
          <w:sz w:val="32"/>
          <w:szCs w:val="32"/>
        </w:rPr>
      </w:pPr>
      <w:r>
        <w:rPr>
          <w:rFonts w:ascii="Times New Roman" w:hAnsi="Times New Roman" w:eastAsia="方正仿宋_GBK"/>
          <w:color w:val="0D0D0D"/>
          <w:sz w:val="32"/>
          <w:szCs w:val="32"/>
        </w:rPr>
        <w:t>（三）基本支出：指为保障机构正常运转、完成日常工作任务而发生的人员经费和公用经费。</w:t>
      </w:r>
    </w:p>
    <w:p w14:paraId="1A1DF20B">
      <w:pPr>
        <w:pStyle w:val="7"/>
        <w:tabs>
          <w:tab w:val="center" w:pos="4153"/>
          <w:tab w:val="left" w:pos="7275"/>
        </w:tabs>
        <w:spacing w:line="600" w:lineRule="exact"/>
        <w:ind w:firstLine="640"/>
        <w:rPr>
          <w:rFonts w:ascii="Times New Roman" w:hAnsi="Times New Roman" w:eastAsia="方正仿宋_GBK"/>
          <w:color w:val="0D0D0D"/>
          <w:sz w:val="32"/>
          <w:szCs w:val="32"/>
        </w:rPr>
      </w:pPr>
      <w:r>
        <w:rPr>
          <w:rFonts w:ascii="Times New Roman" w:hAnsi="Times New Roman" w:eastAsia="方正仿宋_GBK"/>
          <w:color w:val="0D0D0D"/>
          <w:sz w:val="32"/>
          <w:szCs w:val="32"/>
        </w:rPr>
        <w:t>（四）项目支出：指在基本支出之外为完成特定行政任务和事业发展目标所发生的支出。</w:t>
      </w:r>
    </w:p>
    <w:p w14:paraId="42E43E5F">
      <w:pPr>
        <w:spacing w:line="600" w:lineRule="exact"/>
        <w:ind w:firstLine="640" w:firstLineChars="200"/>
        <w:rPr>
          <w:color w:val="0D0D0D"/>
        </w:rPr>
      </w:pPr>
      <w:r>
        <w:rPr>
          <w:color w:val="0D0D0D"/>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0F13CE2">
      <w:pPr>
        <w:spacing w:line="600" w:lineRule="exact"/>
        <w:ind w:firstLine="640" w:firstLineChars="200"/>
        <w:rPr>
          <w:color w:val="0D0D0D"/>
        </w:rPr>
      </w:pPr>
    </w:p>
    <w:p w14:paraId="7A7C6DD7">
      <w:pPr>
        <w:spacing w:line="600" w:lineRule="exact"/>
        <w:rPr>
          <w:color w:val="0D0D0D"/>
        </w:rPr>
      </w:pPr>
      <w:r>
        <w:rPr>
          <w:color w:val="0D0D0D"/>
        </w:rPr>
        <w:t>（部门预算公开联系人：周乐江 联系方式：023-81151203）</w:t>
      </w:r>
    </w:p>
    <w:p w14:paraId="00AD7005">
      <w:pPr>
        <w:spacing w:line="600" w:lineRule="exact"/>
      </w:pP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C636411-0457-40EE-A0BF-6FCD25F120D4}"/>
  </w:font>
  <w:font w:name="方正仿宋_GBK">
    <w:panose1 w:val="03000509000000000000"/>
    <w:charset w:val="86"/>
    <w:family w:val="script"/>
    <w:pitch w:val="default"/>
    <w:sig w:usb0="00000001" w:usb1="080E0000" w:usb2="00000000" w:usb3="00000000" w:csb0="00040000" w:csb1="00000000"/>
    <w:embedRegular r:id="rId2" w:fontKey="{CB48AE54-4451-4CEF-A9BB-DA525FA14C57}"/>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36E0C17C-B7C4-400C-8A56-76C9FD3F8661}"/>
  </w:font>
  <w:font w:name="方正黑体_GBK">
    <w:panose1 w:val="02010600010101010101"/>
    <w:charset w:val="86"/>
    <w:family w:val="script"/>
    <w:pitch w:val="default"/>
    <w:sig w:usb0="00000001" w:usb1="080E0000" w:usb2="00000000" w:usb3="00000000" w:csb0="00040000" w:csb1="00000000"/>
    <w:embedRegular r:id="rId4" w:fontKey="{65E4951F-0A0D-49FD-9152-AFA9B6DDD935}"/>
  </w:font>
  <w:font w:name="仿宋_GB2312">
    <w:altName w:val="仿宋"/>
    <w:panose1 w:val="00000000000000000000"/>
    <w:charset w:val="86"/>
    <w:family w:val="modern"/>
    <w:pitch w:val="default"/>
    <w:sig w:usb0="00000000" w:usb1="00000000" w:usb2="00000000" w:usb3="00000000" w:csb0="00040000" w:csb1="00000000"/>
    <w:embedRegular r:id="rId5" w:fontKey="{F74C59EB-A677-41EA-88D9-15FF929A57F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E2598"/>
    <w:rsid w:val="003A2914"/>
    <w:rsid w:val="008E46BC"/>
    <w:rsid w:val="00B0706B"/>
    <w:rsid w:val="1D355A87"/>
    <w:rsid w:val="46ED2CE8"/>
    <w:rsid w:val="6B2E2598"/>
    <w:rsid w:val="6D941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仿宋" w:hAnsi="仿宋" w:eastAsia="仿宋"/>
      <w:sz w:val="28"/>
      <w:szCs w:val="22"/>
    </w:rPr>
  </w:style>
  <w:style w:type="character" w:customStyle="1" w:styleId="8">
    <w:name w:val="页眉 字符"/>
    <w:basedOn w:val="6"/>
    <w:link w:val="4"/>
    <w:qFormat/>
    <w:uiPriority w:val="0"/>
    <w:rPr>
      <w:rFonts w:ascii="Times New Roman" w:hAnsi="Times New Roman" w:eastAsia="方正仿宋_GBK" w:cs="Times New Roman"/>
      <w:kern w:val="2"/>
      <w:sz w:val="18"/>
      <w:szCs w:val="18"/>
    </w:rPr>
  </w:style>
  <w:style w:type="character" w:customStyle="1" w:styleId="9">
    <w:name w:val="页脚 字符"/>
    <w:basedOn w:val="6"/>
    <w:link w:val="3"/>
    <w:qFormat/>
    <w:uiPriority w:val="0"/>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1277</Words>
  <Characters>1464</Characters>
  <Lines>10</Lines>
  <Paragraphs>2</Paragraphs>
  <TotalTime>62</TotalTime>
  <ScaleCrop>false</ScaleCrop>
  <LinksUpToDate>false</LinksUpToDate>
  <CharactersWithSpaces>1465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2025-04-08T06:15:00Z</dcterms:created>
  <dc:creator>WPS_李桃</dc:creator>
  <cp:lastModifiedBy>silence</cp:lastModifiedBy>
  <dcterms:modified xsi:type="dcterms:W3CDTF">2025-05-07T05:02:28Z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B45200D2595447148346FFE8B98B2F4D_11</vt:lpwstr>
  </property>
  <property fmtid="{D5CDD505-2E9C-101B-9397-08002B2CF9AE}" pid="4" name="KSOTemplateDocerSaveRecord">
    <vt:lpwstr>eyJoZGlkIjoiZjRmYWUxOWJhMWE5OGFmZGQyNzA0NjBkZTNhOGRjMDEiLCJ1c2VySWQiOiIyNDg4ODMzNzUifQ==</vt:lpwstr>
  </property>
</Properties>
</file>