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209C1">
      <w:pPr>
        <w:spacing w:line="600" w:lineRule="exact"/>
        <w:jc w:val="center"/>
        <w:rPr>
          <w:rFonts w:eastAsia="方正小标宋_GBK"/>
          <w:color w:val="0D0D0D"/>
          <w:sz w:val="44"/>
          <w:szCs w:val="44"/>
        </w:rPr>
      </w:pPr>
      <w:r>
        <w:rPr>
          <w:rFonts w:eastAsia="方正小标宋_GBK"/>
          <w:color w:val="0D0D0D"/>
          <w:sz w:val="44"/>
          <w:szCs w:val="44"/>
        </w:rPr>
        <w:t>重庆科学城树人思贤小学校</w:t>
      </w:r>
    </w:p>
    <w:p w14:paraId="55613B03">
      <w:pPr>
        <w:spacing w:line="600" w:lineRule="exact"/>
        <w:jc w:val="center"/>
        <w:rPr>
          <w:rFonts w:eastAsia="方正小标宋_GBK"/>
          <w:color w:val="0D0D0D"/>
          <w:sz w:val="44"/>
          <w:szCs w:val="44"/>
        </w:rPr>
      </w:pPr>
      <w:r>
        <w:rPr>
          <w:rFonts w:eastAsia="方正小标宋_GBK"/>
          <w:color w:val="0D0D0D"/>
          <w:sz w:val="44"/>
          <w:szCs w:val="44"/>
        </w:rPr>
        <w:t>2025年部门预算情况说明</w:t>
      </w:r>
    </w:p>
    <w:p w14:paraId="131B9D79">
      <w:pPr>
        <w:spacing w:line="600" w:lineRule="exact"/>
        <w:ind w:left="640"/>
        <w:rPr>
          <w:rFonts w:eastAsia="方正黑体_GBK"/>
          <w:color w:val="0D0D0D"/>
        </w:rPr>
      </w:pPr>
      <w:r>
        <w:rPr>
          <w:rFonts w:eastAsia="方正黑体_GBK"/>
          <w:color w:val="0D0D0D"/>
        </w:rPr>
        <w:t>一、单位基本情况</w:t>
      </w:r>
    </w:p>
    <w:p w14:paraId="759FF50C">
      <w:pPr>
        <w:spacing w:line="600" w:lineRule="exact"/>
        <w:ind w:firstLine="640" w:firstLineChars="200"/>
        <w:rPr>
          <w:rFonts w:eastAsia="方正楷体_GBK"/>
          <w:color w:val="0D0D0D"/>
        </w:rPr>
      </w:pPr>
      <w:r>
        <w:rPr>
          <w:rFonts w:eastAsia="方正楷体_GBK"/>
          <w:color w:val="0D0D0D"/>
        </w:rPr>
        <w:t>（一）职能职责</w:t>
      </w:r>
    </w:p>
    <w:p w14:paraId="0D1C9A3A">
      <w:pPr>
        <w:spacing w:line="600" w:lineRule="exact"/>
        <w:ind w:firstLine="640" w:firstLineChars="200"/>
        <w:rPr>
          <w:color w:val="0D0D0D"/>
        </w:rPr>
      </w:pPr>
      <w:r>
        <w:rPr>
          <w:color w:val="0D0D0D"/>
        </w:rPr>
        <w:t>提高学生综合素质，促进小学教育发展。实施小学学历（义务）教育；为学生提供</w:t>
      </w:r>
      <w:bookmarkStart w:id="1" w:name="_GoBack"/>
      <w:bookmarkEnd w:id="1"/>
      <w:r>
        <w:rPr>
          <w:color w:val="0D0D0D"/>
        </w:rPr>
        <w:t>相关的社会服务。</w:t>
      </w:r>
    </w:p>
    <w:p w14:paraId="27DF820C">
      <w:pPr>
        <w:spacing w:line="600" w:lineRule="exact"/>
        <w:ind w:firstLine="640" w:firstLineChars="200"/>
        <w:rPr>
          <w:rFonts w:eastAsia="方正楷体_GBK"/>
          <w:color w:val="0D0D0D"/>
        </w:rPr>
      </w:pPr>
      <w:r>
        <w:rPr>
          <w:rFonts w:eastAsia="方正楷体_GBK"/>
          <w:color w:val="0D0D0D"/>
        </w:rPr>
        <w:t>（二）单位构成</w:t>
      </w:r>
    </w:p>
    <w:p w14:paraId="35B7A446">
      <w:pPr>
        <w:pStyle w:val="9"/>
        <w:tabs>
          <w:tab w:val="center" w:pos="4153"/>
          <w:tab w:val="left" w:pos="7275"/>
        </w:tabs>
        <w:spacing w:line="600" w:lineRule="exact"/>
        <w:ind w:firstLine="640"/>
        <w:rPr>
          <w:rFonts w:ascii="Times New Roman" w:hAnsi="Times New Roman" w:eastAsia="方正仿宋_GBK"/>
          <w:color w:val="0D0D0D"/>
          <w:sz w:val="32"/>
        </w:rPr>
      </w:pPr>
      <w:r>
        <w:rPr>
          <w:rFonts w:ascii="Times New Roman" w:hAnsi="Times New Roman" w:eastAsia="方正仿宋_GBK"/>
          <w:color w:val="0D0D0D"/>
          <w:sz w:val="32"/>
        </w:rPr>
        <w:t>学校为全额拨款事业单位，内设4个机构处室，分别是行政服务中心、教师发展中心、学生发展中心、后勤保障中心。</w:t>
      </w:r>
    </w:p>
    <w:p w14:paraId="7E210123">
      <w:pPr>
        <w:spacing w:line="600" w:lineRule="exact"/>
        <w:ind w:left="640"/>
        <w:rPr>
          <w:color w:val="0D0D0D"/>
        </w:rPr>
      </w:pPr>
      <w:r>
        <w:rPr>
          <w:rFonts w:eastAsia="方正黑体_GBK"/>
          <w:color w:val="0D0D0D"/>
        </w:rPr>
        <w:t>二、部门收支总体情况</w:t>
      </w:r>
    </w:p>
    <w:p w14:paraId="3A95F400">
      <w:pPr>
        <w:spacing w:line="600" w:lineRule="exact"/>
        <w:ind w:firstLine="640" w:firstLineChars="200"/>
        <w:rPr>
          <w:bCs/>
          <w:color w:val="0D0D0D"/>
        </w:rPr>
      </w:pPr>
      <w:r>
        <w:rPr>
          <w:rFonts w:eastAsia="方正楷体_GBK"/>
          <w:color w:val="0D0D0D"/>
        </w:rPr>
        <w:t>（一）收入预算</w:t>
      </w:r>
      <w:r>
        <w:rPr>
          <w:color w:val="0D0D0D"/>
        </w:rPr>
        <w:t>：</w:t>
      </w:r>
      <w:r>
        <w:rPr>
          <w:bCs/>
          <w:color w:val="0D0D0D"/>
        </w:rPr>
        <w:t>2025</w:t>
      </w:r>
      <w:r>
        <w:rPr>
          <w:color w:val="0D0D0D"/>
        </w:rPr>
        <w:t>年年初预算数</w:t>
      </w:r>
      <w:bookmarkStart w:id="0" w:name="OLE_LINK4"/>
      <w:r>
        <w:rPr>
          <w:bCs/>
          <w:color w:val="0D0D0D"/>
        </w:rPr>
        <w:t>2833.46</w:t>
      </w:r>
      <w:bookmarkEnd w:id="0"/>
      <w:r>
        <w:rPr>
          <w:color w:val="0D0D0D"/>
        </w:rPr>
        <w:t>万元，其中：一般公共预算拨款</w:t>
      </w:r>
      <w:r>
        <w:rPr>
          <w:bCs/>
          <w:color w:val="0D0D0D"/>
        </w:rPr>
        <w:t>2833.46万元，政府性基金预算拨款0万元，国有资本经营预算收入0万元，事业收入0万元，事业单位经营收入0万元，其他收入0万元。收入较2024年增加161.76万元，主要是2024年新增教师、教师缴费基数增加，社会保障和就业支出等经费拨款增加287.26万元；核减临聘教师人数、学生人数减少等原因使教育经费拨款减少125.5万元。</w:t>
      </w:r>
    </w:p>
    <w:p w14:paraId="6B190126">
      <w:pPr>
        <w:spacing w:line="600" w:lineRule="exact"/>
        <w:ind w:firstLine="640" w:firstLineChars="200"/>
        <w:rPr>
          <w:bCs/>
          <w:color w:val="0D0D0D"/>
        </w:rPr>
      </w:pPr>
      <w:r>
        <w:rPr>
          <w:rFonts w:eastAsia="方正楷体_GBK"/>
          <w:bCs/>
          <w:color w:val="0D0D0D"/>
        </w:rPr>
        <w:t>（二）支出预算</w:t>
      </w:r>
      <w:r>
        <w:rPr>
          <w:bCs/>
          <w:color w:val="0D0D0D"/>
        </w:rPr>
        <w:t>：2025年年初预算数2833.46万元，其中：一般公共服务支出预算0万元，教育支出预算2253.16万元，社会保障和就业支出预算336.33万元，卫生健康支出预算129.15万元，住房保障支出预算114.81万元。支出预算较2024年增加161.76万元，主要是基本支出预算增加287.26万元，项目支出预算减少125.5万元。</w:t>
      </w:r>
    </w:p>
    <w:p w14:paraId="67FFA74F">
      <w:pPr>
        <w:spacing w:line="600" w:lineRule="exact"/>
        <w:ind w:left="640"/>
        <w:rPr>
          <w:rFonts w:eastAsia="方正黑体_GBK"/>
          <w:bCs/>
          <w:color w:val="0D0D0D"/>
        </w:rPr>
      </w:pPr>
      <w:r>
        <w:rPr>
          <w:rFonts w:eastAsia="方正黑体_GBK"/>
          <w:bCs/>
          <w:color w:val="0D0D0D"/>
        </w:rPr>
        <w:t>三、部门预算情况说明</w:t>
      </w:r>
    </w:p>
    <w:p w14:paraId="57239151">
      <w:pPr>
        <w:spacing w:line="600" w:lineRule="exact"/>
        <w:ind w:firstLine="640" w:firstLineChars="200"/>
        <w:rPr>
          <w:bCs/>
          <w:color w:val="0D0D0D"/>
        </w:rPr>
      </w:pPr>
      <w:r>
        <w:rPr>
          <w:bCs/>
          <w:color w:val="0D0D0D"/>
        </w:rPr>
        <w:t>2025年一般公共预算财政拨款收入2833.46万元，一般公共预算财政拨款支出2833.46万元，比2024年增加161.76万元。其中：基本支出1977.14万元，比2024年增加287.26万元，主要原因是2024年新增教师和缴费基数增加，使得社会保障和就业支出等经费增加，主要用于保障教育公用支出、在职人员工资福利及社会保险缴费，保障部门正常运转的各项商品服务支出；项目支出856.32万元，比2024年减少125.5万元，主要原因是落实“双减”政策，核减临聘教师人数，导致临聘人员项目经费减少，主要用于临聘教师公用开支等重点工作。</w:t>
      </w:r>
    </w:p>
    <w:p w14:paraId="1ACA5321">
      <w:pPr>
        <w:spacing w:line="600" w:lineRule="exact"/>
        <w:ind w:firstLine="640" w:firstLineChars="200"/>
        <w:rPr>
          <w:bCs/>
          <w:color w:val="0D0D0D"/>
        </w:rPr>
      </w:pPr>
      <w:r>
        <w:rPr>
          <w:bCs/>
          <w:color w:val="0D0D0D"/>
        </w:rPr>
        <w:t>重庆科学城树人思贤小学校2025年无使用政府性基金预算拨款安排的支出。</w:t>
      </w:r>
    </w:p>
    <w:p w14:paraId="4E8DCF15">
      <w:pPr>
        <w:spacing w:line="600" w:lineRule="exact"/>
        <w:ind w:left="640"/>
        <w:rPr>
          <w:bCs/>
          <w:color w:val="0D0D0D"/>
        </w:rPr>
      </w:pPr>
      <w:r>
        <w:rPr>
          <w:rFonts w:eastAsia="方正黑体_GBK"/>
          <w:bCs/>
          <w:color w:val="0D0D0D"/>
        </w:rPr>
        <w:t>四、“三公”经费情况说明</w:t>
      </w:r>
    </w:p>
    <w:p w14:paraId="4719C0EA">
      <w:pPr>
        <w:spacing w:line="600" w:lineRule="exact"/>
        <w:ind w:firstLine="600"/>
        <w:rPr>
          <w:bCs/>
          <w:color w:val="0D0D0D"/>
        </w:rPr>
      </w:pPr>
      <w:r>
        <w:rPr>
          <w:bCs/>
          <w:color w:val="0D0D0D"/>
        </w:rPr>
        <w:t>2025年“三公”经费预算0万元，比上年相比金额未发生变化，与上年持平。其中：因公出国（境）费用0万元；公务接待费0万元；公务用车运行维护费0万元；公务用车购置费0万元。</w:t>
      </w:r>
    </w:p>
    <w:p w14:paraId="030BE84B">
      <w:pPr>
        <w:spacing w:line="600" w:lineRule="exact"/>
        <w:ind w:left="640"/>
        <w:rPr>
          <w:rFonts w:eastAsia="方正黑体_GBK"/>
          <w:bCs/>
          <w:color w:val="0D0D0D"/>
        </w:rPr>
      </w:pPr>
      <w:r>
        <w:rPr>
          <w:rFonts w:eastAsia="方正黑体_GBK"/>
          <w:bCs/>
          <w:color w:val="0D0D0D"/>
        </w:rPr>
        <w:t>五、其他重要事项的情况说明</w:t>
      </w:r>
    </w:p>
    <w:p w14:paraId="3FE0DAE5">
      <w:pPr>
        <w:spacing w:line="600" w:lineRule="exact"/>
        <w:ind w:firstLine="640" w:firstLineChars="200"/>
        <w:rPr>
          <w:bCs/>
          <w:color w:val="0D0D0D"/>
        </w:rPr>
      </w:pPr>
      <w:r>
        <w:rPr>
          <w:bCs/>
          <w:color w:val="0D0D0D"/>
        </w:rPr>
        <w:t>1、我单位不在机关运行经费统计范围之内。</w:t>
      </w:r>
    </w:p>
    <w:p w14:paraId="1464DDC5">
      <w:pPr>
        <w:spacing w:line="600" w:lineRule="exact"/>
        <w:ind w:firstLine="640" w:firstLineChars="200"/>
        <w:rPr>
          <w:bCs/>
          <w:color w:val="0D0D0D"/>
        </w:rPr>
      </w:pPr>
      <w:r>
        <w:rPr>
          <w:bCs/>
          <w:color w:val="0D0D0D"/>
        </w:rPr>
        <w:t>2、政府采购情况。所属各预算单位政府采购预算总额6万元：政府采购货物预算6万元、政府采购工程预算0万元、政府采购服务预算0万元；其中一般公共预算拨款政府采购6万元：政府采购货物预算6万元、政府采购工程预算0万元、政府采购服务预算0万元。</w:t>
      </w:r>
    </w:p>
    <w:p w14:paraId="3A356E19">
      <w:pPr>
        <w:spacing w:line="600" w:lineRule="exact"/>
        <w:ind w:firstLine="640" w:firstLineChars="200"/>
        <w:rPr>
          <w:bCs/>
          <w:color w:val="0D0D0D"/>
        </w:rPr>
      </w:pPr>
      <w:r>
        <w:rPr>
          <w:bCs/>
          <w:color w:val="0D0D0D"/>
        </w:rPr>
        <w:t>3、绩效目标设置情况。2025年项目支出均实行了绩效目标管理，涉及一般公共预算当年财政拨款856.32万元。</w:t>
      </w:r>
    </w:p>
    <w:p w14:paraId="0022BC58">
      <w:pPr>
        <w:spacing w:line="600" w:lineRule="exact"/>
        <w:ind w:firstLine="640" w:firstLineChars="200"/>
        <w:rPr>
          <w:bCs/>
          <w:color w:val="0D0D0D"/>
        </w:rPr>
      </w:pPr>
      <w:r>
        <w:rPr>
          <w:bCs/>
          <w:color w:val="0D0D0D"/>
        </w:rPr>
        <w:t>4、国有资产占有使用情况。</w:t>
      </w:r>
      <w:r>
        <w:rPr>
          <w:rFonts w:hint="eastAsia"/>
          <w:bCs/>
          <w:color w:val="0D0D0D"/>
          <w:lang w:eastAsia="zh-CN"/>
        </w:rPr>
        <w:t>截至</w:t>
      </w:r>
      <w:r>
        <w:rPr>
          <w:bCs/>
          <w:color w:val="0D0D0D"/>
        </w:rPr>
        <w:t>2024年12月，本单位共有车辆0辆，其中一般公务用车0辆、执勤执法用车0辆。2024年一般公共预算安排购置车辆0辆，其中一般公务用车0辆、执勤执法用车0辆。</w:t>
      </w:r>
    </w:p>
    <w:p w14:paraId="18E4EDAF">
      <w:pPr>
        <w:spacing w:line="600" w:lineRule="exact"/>
        <w:ind w:left="640"/>
        <w:rPr>
          <w:rFonts w:eastAsia="方正黑体_GBK"/>
          <w:bCs/>
          <w:color w:val="0D0D0D"/>
        </w:rPr>
      </w:pPr>
      <w:r>
        <w:rPr>
          <w:rFonts w:eastAsia="方正黑体_GBK"/>
          <w:bCs/>
          <w:color w:val="0D0D0D"/>
        </w:rPr>
        <w:t>六、专业性名词解释</w:t>
      </w:r>
    </w:p>
    <w:p w14:paraId="70FD877F">
      <w:pPr>
        <w:pStyle w:val="9"/>
        <w:tabs>
          <w:tab w:val="center" w:pos="4153"/>
          <w:tab w:val="left" w:pos="7275"/>
        </w:tabs>
        <w:spacing w:line="600" w:lineRule="exact"/>
        <w:ind w:firstLine="640"/>
        <w:rPr>
          <w:rFonts w:ascii="Times New Roman" w:hAnsi="Times New Roman" w:eastAsia="方正仿宋_GBK"/>
          <w:bCs/>
          <w:color w:val="0D0D0D"/>
          <w:sz w:val="32"/>
          <w:szCs w:val="32"/>
        </w:rPr>
      </w:pPr>
      <w:r>
        <w:rPr>
          <w:rFonts w:ascii="Times New Roman" w:hAnsi="Times New Roman" w:eastAsia="方正楷体_GBK"/>
          <w:bCs/>
          <w:color w:val="0D0D0D"/>
          <w:sz w:val="32"/>
          <w:szCs w:val="20"/>
        </w:rPr>
        <w:t>（一）财政拨款收入</w:t>
      </w:r>
      <w:r>
        <w:rPr>
          <w:rFonts w:ascii="Times New Roman" w:hAnsi="Times New Roman" w:eastAsia="方正仿宋_GBK"/>
          <w:bCs/>
          <w:color w:val="0D0D0D"/>
          <w:sz w:val="32"/>
          <w:szCs w:val="32"/>
        </w:rPr>
        <w:t>：指本年度从本级财政部门取得的财政拨款，包括一般公共预算财政拨款和政府性基金预算财政拨款。</w:t>
      </w:r>
    </w:p>
    <w:p w14:paraId="22F63BA0">
      <w:pPr>
        <w:pStyle w:val="9"/>
        <w:tabs>
          <w:tab w:val="center" w:pos="4153"/>
          <w:tab w:val="left" w:pos="7275"/>
        </w:tabs>
        <w:spacing w:line="600" w:lineRule="exact"/>
        <w:ind w:firstLine="640"/>
        <w:rPr>
          <w:rFonts w:ascii="Times New Roman" w:hAnsi="Times New Roman" w:eastAsia="方正仿宋_GBK"/>
          <w:bCs/>
          <w:color w:val="0D0D0D"/>
          <w:sz w:val="32"/>
          <w:szCs w:val="32"/>
        </w:rPr>
      </w:pPr>
      <w:r>
        <w:rPr>
          <w:rFonts w:ascii="Times New Roman" w:hAnsi="Times New Roman" w:eastAsia="方正楷体_GBK"/>
          <w:bCs/>
          <w:color w:val="0D0D0D"/>
          <w:sz w:val="32"/>
          <w:szCs w:val="20"/>
        </w:rPr>
        <w:t>（二）其他收入</w:t>
      </w:r>
      <w:r>
        <w:rPr>
          <w:rFonts w:ascii="Times New Roman" w:hAnsi="Times New Roman" w:eastAsia="方正仿宋_GBK"/>
          <w:bCs/>
          <w:color w:val="0D0D0D"/>
          <w:sz w:val="32"/>
          <w:szCs w:val="32"/>
        </w:rPr>
        <w:t>：指单位取得的除“财政拨款收入”、“事业收入”、“经营收入”等以外的收入。</w:t>
      </w:r>
    </w:p>
    <w:p w14:paraId="37DE6A98">
      <w:pPr>
        <w:pStyle w:val="9"/>
        <w:tabs>
          <w:tab w:val="center" w:pos="4153"/>
          <w:tab w:val="left" w:pos="7275"/>
        </w:tabs>
        <w:spacing w:line="600" w:lineRule="exact"/>
        <w:ind w:firstLine="640"/>
        <w:rPr>
          <w:rFonts w:ascii="Times New Roman" w:hAnsi="Times New Roman" w:eastAsia="方正仿宋_GBK"/>
          <w:bCs/>
          <w:color w:val="0D0D0D"/>
          <w:sz w:val="32"/>
          <w:szCs w:val="32"/>
        </w:rPr>
      </w:pPr>
      <w:r>
        <w:rPr>
          <w:rFonts w:ascii="Times New Roman" w:hAnsi="Times New Roman" w:eastAsia="方正楷体_GBK"/>
          <w:bCs/>
          <w:color w:val="0D0D0D"/>
          <w:sz w:val="32"/>
          <w:szCs w:val="20"/>
        </w:rPr>
        <w:t>（三）基本支出</w:t>
      </w:r>
      <w:r>
        <w:rPr>
          <w:rFonts w:ascii="Times New Roman" w:hAnsi="Times New Roman" w:eastAsia="方正仿宋_GBK"/>
          <w:bCs/>
          <w:color w:val="0D0D0D"/>
          <w:sz w:val="32"/>
          <w:szCs w:val="32"/>
        </w:rPr>
        <w:t>：指为保障机构正常运转、完成日常工作任务而发生的人员经费和公用经费。</w:t>
      </w:r>
    </w:p>
    <w:p w14:paraId="2C863070">
      <w:pPr>
        <w:pStyle w:val="9"/>
        <w:tabs>
          <w:tab w:val="center" w:pos="4153"/>
          <w:tab w:val="left" w:pos="7275"/>
        </w:tabs>
        <w:spacing w:line="600" w:lineRule="exact"/>
        <w:ind w:firstLine="640"/>
        <w:rPr>
          <w:rFonts w:ascii="Times New Roman" w:hAnsi="Times New Roman" w:eastAsia="方正仿宋_GBK"/>
          <w:bCs/>
          <w:color w:val="0D0D0D"/>
          <w:sz w:val="32"/>
          <w:szCs w:val="32"/>
        </w:rPr>
      </w:pPr>
      <w:r>
        <w:rPr>
          <w:rFonts w:ascii="Times New Roman" w:hAnsi="Times New Roman" w:eastAsia="方正楷体_GBK"/>
          <w:bCs/>
          <w:color w:val="0D0D0D"/>
          <w:sz w:val="32"/>
          <w:szCs w:val="20"/>
        </w:rPr>
        <w:t>（四）项目支出</w:t>
      </w:r>
      <w:r>
        <w:rPr>
          <w:rFonts w:ascii="Times New Roman" w:hAnsi="Times New Roman" w:eastAsia="方正仿宋_GBK"/>
          <w:bCs/>
          <w:color w:val="0D0D0D"/>
          <w:sz w:val="32"/>
          <w:szCs w:val="32"/>
        </w:rPr>
        <w:t>：指在基本支出之外为完成特定行政任务和事业发展目标所发生的支出。</w:t>
      </w:r>
    </w:p>
    <w:p w14:paraId="5A86FE03">
      <w:pPr>
        <w:spacing w:line="600" w:lineRule="exact"/>
        <w:ind w:firstLine="640" w:firstLineChars="200"/>
        <w:rPr>
          <w:bCs/>
          <w:color w:val="0D0D0D"/>
        </w:rPr>
      </w:pPr>
      <w:r>
        <w:rPr>
          <w:rFonts w:eastAsia="方正楷体_GBK"/>
          <w:bCs/>
          <w:color w:val="0D0D0D"/>
        </w:rPr>
        <w:t>（五）“三公”经费</w:t>
      </w:r>
      <w:r>
        <w:rPr>
          <w:bCs/>
          <w:color w:val="0D0D0D"/>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5D22BF2">
      <w:pPr>
        <w:spacing w:line="600" w:lineRule="exact"/>
        <w:ind w:firstLine="640" w:firstLineChars="200"/>
        <w:rPr>
          <w:bCs/>
          <w:color w:val="0D0D0D"/>
        </w:rPr>
      </w:pPr>
    </w:p>
    <w:p w14:paraId="2E31CCAF">
      <w:pPr>
        <w:spacing w:line="600" w:lineRule="exact"/>
        <w:ind w:firstLine="640" w:firstLineChars="200"/>
        <w:rPr>
          <w:bCs/>
          <w:color w:val="0D0D0D"/>
        </w:rPr>
      </w:pPr>
      <w:r>
        <w:rPr>
          <w:bCs/>
          <w:color w:val="0D0D0D"/>
        </w:rPr>
        <w:t>部门预算公开联系人：李静  联系方式：  023-65220012</w:t>
      </w:r>
    </w:p>
    <w:p w14:paraId="1987196D">
      <w:pPr>
        <w:spacing w:line="600" w:lineRule="exact"/>
      </w:pP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4781E00-DD92-499A-991A-0521927B65CA}"/>
  </w:font>
  <w:font w:name="方正仿宋_GBK">
    <w:panose1 w:val="03000509000000000000"/>
    <w:charset w:val="86"/>
    <w:family w:val="script"/>
    <w:pitch w:val="default"/>
    <w:sig w:usb0="00000001" w:usb1="080E0000" w:usb2="00000000" w:usb3="00000000" w:csb0="00040000" w:csb1="00000000"/>
    <w:embedRegular r:id="rId2" w:fontKey="{FF6A335C-B5D9-480B-B889-B701FF0B8995}"/>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70466364-F96E-42CC-BCE5-ECB79974D56A}"/>
  </w:font>
  <w:font w:name="方正黑体_GBK">
    <w:panose1 w:val="02010600010101010101"/>
    <w:charset w:val="86"/>
    <w:family w:val="script"/>
    <w:pitch w:val="default"/>
    <w:sig w:usb0="00000001" w:usb1="080E0000" w:usb2="00000000" w:usb3="00000000" w:csb0="00040000" w:csb1="00000000"/>
    <w:embedRegular r:id="rId4" w:fontKey="{F5F542E0-5248-41BD-AD4B-EA15F89B8822}"/>
  </w:font>
  <w:font w:name="方正楷体_GBK">
    <w:panose1 w:val="02000000000000000000"/>
    <w:charset w:val="86"/>
    <w:family w:val="script"/>
    <w:pitch w:val="default"/>
    <w:sig w:usb0="800002BF" w:usb1="38CF7CFA" w:usb2="00000016" w:usb3="00000000" w:csb0="00040000" w:csb1="00000000"/>
    <w:embedRegular r:id="rId5" w:fontKey="{5219CB68-72F9-40B0-AF01-1688731AB5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7769A">
    <w:pPr>
      <w:pStyle w:val="2"/>
      <w:framePr w:wrap="around" w:vAnchor="text" w:hAnchor="margin" w:xAlign="outside" w:y="1"/>
      <w:ind w:right="320" w:rightChars="100"/>
      <w:rPr>
        <w:rStyle w:val="6"/>
        <w:rFonts w:ascii="宋体" w:hAnsi="宋体" w:eastAsia="宋体"/>
        <w:sz w:val="28"/>
        <w:szCs w:val="28"/>
      </w:rPr>
    </w:pPr>
    <w:r>
      <w:rPr>
        <w:rStyle w:val="6"/>
        <w:rFonts w:hint="eastAsia" w:ascii="宋体" w:hAnsi="宋体" w:eastAsia="宋体"/>
        <w:sz w:val="28"/>
        <w:szCs w:val="28"/>
      </w:rPr>
      <w:t xml:space="preserve">— </w:t>
    </w:r>
    <w:r>
      <w:rPr>
        <w:rStyle w:val="6"/>
        <w:rFonts w:eastAsia="宋体"/>
        <w:sz w:val="28"/>
        <w:szCs w:val="28"/>
      </w:rPr>
      <w:fldChar w:fldCharType="begin"/>
    </w:r>
    <w:r>
      <w:rPr>
        <w:rStyle w:val="6"/>
        <w:rFonts w:eastAsia="宋体"/>
        <w:sz w:val="28"/>
        <w:szCs w:val="28"/>
      </w:rPr>
      <w:instrText xml:space="preserve">PAGE  </w:instrText>
    </w:r>
    <w:r>
      <w:rPr>
        <w:rStyle w:val="6"/>
        <w:rFonts w:eastAsia="宋体"/>
        <w:sz w:val="28"/>
        <w:szCs w:val="28"/>
      </w:rPr>
      <w:fldChar w:fldCharType="separate"/>
    </w:r>
    <w:r>
      <w:rPr>
        <w:rStyle w:val="6"/>
        <w:rFonts w:eastAsia="宋体"/>
        <w:sz w:val="28"/>
        <w:szCs w:val="28"/>
      </w:rPr>
      <w:t>1</w:t>
    </w:r>
    <w:r>
      <w:rPr>
        <w:rStyle w:val="6"/>
        <w:rFonts w:eastAsia="宋体"/>
        <w:sz w:val="28"/>
        <w:szCs w:val="28"/>
      </w:rPr>
      <w:fldChar w:fldCharType="end"/>
    </w:r>
    <w:r>
      <w:rPr>
        <w:rStyle w:val="6"/>
        <w:rFonts w:hint="eastAsia" w:ascii="宋体" w:hAnsi="宋体" w:eastAsia="宋体"/>
        <w:sz w:val="28"/>
        <w:szCs w:val="28"/>
      </w:rPr>
      <w:t xml:space="preserve"> —</w:t>
    </w:r>
  </w:p>
  <w:p w14:paraId="6B84D087">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64B20">
    <w:pPr>
      <w:pStyle w:val="2"/>
      <w:framePr w:wrap="around" w:vAnchor="text" w:hAnchor="margin" w:xAlign="outside" w:y="1"/>
      <w:ind w:left="320" w:leftChars="100"/>
      <w:rPr>
        <w:rStyle w:val="6"/>
        <w:rFonts w:ascii="宋体" w:hAnsi="宋体" w:eastAsia="宋体"/>
        <w:sz w:val="28"/>
        <w:szCs w:val="28"/>
      </w:rPr>
    </w:pPr>
    <w:r>
      <w:rPr>
        <w:rStyle w:val="6"/>
        <w:rFonts w:hint="eastAsia" w:ascii="宋体" w:hAnsi="宋体" w:eastAsia="宋体"/>
        <w:sz w:val="28"/>
        <w:szCs w:val="28"/>
      </w:rPr>
      <w:t xml:space="preserve">— </w:t>
    </w: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10</w:t>
    </w:r>
    <w:r>
      <w:rPr>
        <w:rStyle w:val="6"/>
        <w:rFonts w:ascii="宋体" w:hAnsi="宋体" w:eastAsia="宋体"/>
        <w:sz w:val="28"/>
        <w:szCs w:val="28"/>
      </w:rPr>
      <w:fldChar w:fldCharType="end"/>
    </w:r>
    <w:r>
      <w:rPr>
        <w:rStyle w:val="6"/>
        <w:rFonts w:hint="eastAsia" w:ascii="宋体" w:hAnsi="宋体" w:eastAsia="宋体"/>
        <w:sz w:val="28"/>
        <w:szCs w:val="28"/>
      </w:rPr>
      <w:t xml:space="preserve"> —</w:t>
    </w:r>
  </w:p>
  <w:p w14:paraId="1873473D">
    <w:pPr>
      <w:pStyle w:val="2"/>
      <w:framePr w:wrap="around" w:vAnchor="text" w:hAnchor="margin" w:xAlign="outside" w:y="1"/>
      <w:ind w:left="640" w:leftChars="200" w:right="640" w:rightChars="200" w:firstLine="360"/>
      <w:rPr>
        <w:rStyle w:val="6"/>
        <w:rFonts w:ascii="宋体" w:hAnsi="宋体" w:eastAsia="宋体"/>
        <w:sz w:val="28"/>
        <w:szCs w:val="28"/>
      </w:rPr>
    </w:pPr>
  </w:p>
  <w:p w14:paraId="0BB33D08">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D8D"/>
    <w:rsid w:val="00270489"/>
    <w:rsid w:val="00287D8D"/>
    <w:rsid w:val="003128BA"/>
    <w:rsid w:val="004B5E95"/>
    <w:rsid w:val="005E2F93"/>
    <w:rsid w:val="00663167"/>
    <w:rsid w:val="008139ED"/>
    <w:rsid w:val="009C4B92"/>
    <w:rsid w:val="009F5C69"/>
    <w:rsid w:val="00AD66E5"/>
    <w:rsid w:val="00B2395D"/>
    <w:rsid w:val="00B2682D"/>
    <w:rsid w:val="00BD4411"/>
    <w:rsid w:val="00C95015"/>
    <w:rsid w:val="00CC4BAC"/>
    <w:rsid w:val="00D577A3"/>
    <w:rsid w:val="00E13AD3"/>
    <w:rsid w:val="00EE5ABE"/>
    <w:rsid w:val="1B8E2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页脚 Char"/>
    <w:basedOn w:val="5"/>
    <w:semiHidden/>
    <w:qFormat/>
    <w:uiPriority w:val="99"/>
    <w:rPr>
      <w:rFonts w:ascii="Times New Roman" w:hAnsi="Times New Roman" w:eastAsia="方正仿宋_GBK" w:cs="Times New Roman"/>
      <w:sz w:val="18"/>
      <w:szCs w:val="18"/>
    </w:rPr>
  </w:style>
  <w:style w:type="character" w:customStyle="1" w:styleId="8">
    <w:name w:val="页脚 字符"/>
    <w:link w:val="2"/>
    <w:qFormat/>
    <w:uiPriority w:val="0"/>
    <w:rPr>
      <w:rFonts w:ascii="Times New Roman" w:hAnsi="Times New Roman" w:eastAsia="方正仿宋_GBK" w:cs="Times New Roman"/>
      <w:sz w:val="18"/>
      <w:szCs w:val="20"/>
    </w:rPr>
  </w:style>
  <w:style w:type="paragraph" w:customStyle="1" w:styleId="9">
    <w:name w:val="_Style 7"/>
    <w:basedOn w:val="1"/>
    <w:next w:val="10"/>
    <w:qFormat/>
    <w:uiPriority w:val="34"/>
    <w:pPr>
      <w:ind w:firstLine="420" w:firstLineChars="200"/>
    </w:pPr>
    <w:rPr>
      <w:rFonts w:ascii="仿宋" w:hAnsi="仿宋" w:eastAsia="仿宋"/>
      <w:sz w:val="28"/>
      <w:szCs w:val="22"/>
    </w:rPr>
  </w:style>
  <w:style w:type="paragraph" w:styleId="10">
    <w:name w:val="List Paragraph"/>
    <w:basedOn w:val="1"/>
    <w:qFormat/>
    <w:uiPriority w:val="34"/>
    <w:pPr>
      <w:ind w:firstLine="420" w:firstLineChars="200"/>
    </w:pPr>
  </w:style>
  <w:style w:type="character" w:customStyle="1" w:styleId="11">
    <w:name w:val="页眉 字符"/>
    <w:basedOn w:val="5"/>
    <w:link w:val="3"/>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1506</Words>
  <Characters>1675</Characters>
  <Lines>12</Lines>
  <Paragraphs>3</Paragraphs>
  <TotalTime>217</TotalTime>
  <ScaleCrop>false</ScaleCrop>
  <LinksUpToDate>false</LinksUpToDate>
  <CharactersWithSpaces>1679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2025-04-07T03:28:00Z</dcterms:created>
  <dc:creator>ASUS</dc:creator>
  <cp:lastModifiedBy>silence</cp:lastModifiedBy>
  <dcterms:modified xsi:type="dcterms:W3CDTF">2025-05-07T05:00:10Z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eyJoZGlkIjoiZjRmYWUxOWJhMWE5OGFmZGQyNzA0NjBkZTNhOGRjMDEiLCJ1c2VySWQiOiIyNDg4ODMzNzUifQ==</vt:lpwstr>
  </property>
  <property fmtid="{D5CDD505-2E9C-101B-9397-08002B2CF9AE}" pid="3" name="KSOProductBuildVer">
    <vt:lpwstr>2052-12.1.0.20784</vt:lpwstr>
  </property>
  <property fmtid="{D5CDD505-2E9C-101B-9397-08002B2CF9AE}" pid="4" name="ICV">
    <vt:lpwstr>0E5E6996AF234EE9A332908B77C4E15A_12</vt:lpwstr>
  </property>
</Properties>
</file>