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6282F">
      <w:pPr>
        <w:spacing w:line="600" w:lineRule="exact"/>
        <w:jc w:val="center"/>
        <w:rPr>
          <w:rFonts w:hint="eastAsia" w:ascii="Times New Roman" w:hAnsi="Times New Roman" w:eastAsia="方正小标宋_GBK" w:cs="Times New Roman"/>
          <w:sz w:val="44"/>
          <w:szCs w:val="44"/>
        </w:rPr>
      </w:pPr>
      <w:r>
        <w:rPr>
          <w:rFonts w:ascii="Times New Roman" w:hAnsi="Times New Roman" w:eastAsia="方正小标宋_GBK" w:cs="Times New Roman"/>
          <w:sz w:val="44"/>
          <w:szCs w:val="44"/>
        </w:rPr>
        <w:t>西永街道综合行政执法大队</w:t>
      </w:r>
    </w:p>
    <w:p w14:paraId="7B6F9834">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rPr>
        <w:t>6</w:t>
      </w:r>
      <w:r>
        <w:rPr>
          <w:rFonts w:ascii="Times New Roman" w:hAnsi="Times New Roman" w:eastAsia="方正小标宋_GBK" w:cs="Times New Roman"/>
          <w:sz w:val="44"/>
          <w:szCs w:val="44"/>
        </w:rPr>
        <w:t>年单位预算情况说明</w:t>
      </w:r>
    </w:p>
    <w:p w14:paraId="1A53F8E3">
      <w:pPr>
        <w:spacing w:line="600" w:lineRule="exact"/>
        <w:ind w:firstLine="880" w:firstLineChars="200"/>
        <w:jc w:val="center"/>
        <w:rPr>
          <w:rFonts w:ascii="Times New Roman" w:hAnsi="Times New Roman" w:eastAsia="华文中宋" w:cs="Times New Roman"/>
          <w:sz w:val="44"/>
          <w:szCs w:val="44"/>
        </w:rPr>
      </w:pPr>
    </w:p>
    <w:p w14:paraId="143F4CF4">
      <w:pPr>
        <w:spacing w:line="600" w:lineRule="exact"/>
        <w:ind w:firstLine="640" w:firstLineChars="200"/>
        <w:rPr>
          <w:rFonts w:ascii="Times New Roman" w:hAnsi="Times New Roman" w:eastAsia="方正黑体_GBK" w:cs="Times New Roman"/>
          <w:sz w:val="32"/>
          <w:szCs w:val="20"/>
        </w:rPr>
      </w:pPr>
      <w:r>
        <w:rPr>
          <w:rFonts w:ascii="Times New Roman" w:hAnsi="Times New Roman" w:eastAsia="方正黑体_GBK" w:cs="Times New Roman"/>
          <w:sz w:val="32"/>
          <w:szCs w:val="20"/>
        </w:rPr>
        <w:t>一、单位基本情况</w:t>
      </w:r>
    </w:p>
    <w:p w14:paraId="47D88DDA">
      <w:pPr>
        <w:spacing w:line="60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（一）职能职责</w:t>
      </w:r>
    </w:p>
    <w:p w14:paraId="17F8E700">
      <w:pPr>
        <w:spacing w:line="600" w:lineRule="exact"/>
        <w:ind w:firstLine="640" w:firstLineChars="200"/>
        <w:rPr>
          <w:rFonts w:ascii="Times New Roman" w:hAnsi="Times New Roman" w:eastAsia="方正仿宋_GBK" w:cs="Times New Roman"/>
          <w:sz w:val="32"/>
        </w:rPr>
      </w:pPr>
      <w:r>
        <w:rPr>
          <w:rFonts w:hint="eastAsia" w:ascii="Times New Roman" w:hAnsi="Times New Roman" w:eastAsia="方正仿宋_GBK" w:cs="Times New Roman"/>
          <w:sz w:val="32"/>
        </w:rPr>
        <w:t>负责</w:t>
      </w:r>
      <w:r>
        <w:rPr>
          <w:rFonts w:ascii="Times New Roman" w:hAnsi="Times New Roman" w:eastAsia="方正仿宋_GBK" w:cs="Times New Roman"/>
          <w:sz w:val="32"/>
        </w:rPr>
        <w:t>集中行使本</w:t>
      </w:r>
      <w:r>
        <w:rPr>
          <w:rFonts w:hint="eastAsia" w:ascii="Times New Roman" w:hAnsi="Times New Roman" w:eastAsia="方正仿宋_GBK" w:cs="Times New Roman"/>
          <w:sz w:val="32"/>
        </w:rPr>
        <w:t>街道</w:t>
      </w:r>
      <w:r>
        <w:rPr>
          <w:rFonts w:ascii="Times New Roman" w:hAnsi="Times New Roman" w:eastAsia="方正仿宋_GBK" w:cs="Times New Roman"/>
          <w:sz w:val="32"/>
        </w:rPr>
        <w:t>法定行政执法事项、赋权行政执法事项和委托行政执法事项的行政执法权。负责开展所涉执法领域的普法宣传</w:t>
      </w:r>
      <w:r>
        <w:rPr>
          <w:rFonts w:hint="eastAsia" w:ascii="Times New Roman" w:hAnsi="Times New Roman" w:eastAsia="方正仿宋_GBK" w:cs="Times New Roman"/>
          <w:sz w:val="32"/>
        </w:rPr>
        <w:t>、</w:t>
      </w:r>
      <w:r>
        <w:rPr>
          <w:rFonts w:ascii="Times New Roman" w:hAnsi="Times New Roman" w:eastAsia="方正仿宋_GBK" w:cs="Times New Roman"/>
          <w:sz w:val="32"/>
        </w:rPr>
        <w:t>协同联动执法</w:t>
      </w:r>
      <w:r>
        <w:rPr>
          <w:rFonts w:hint="eastAsia" w:ascii="Times New Roman" w:hAnsi="Times New Roman" w:eastAsia="方正仿宋_GBK" w:cs="Times New Roman"/>
          <w:sz w:val="32"/>
        </w:rPr>
        <w:t>等</w:t>
      </w:r>
      <w:r>
        <w:rPr>
          <w:rFonts w:ascii="Times New Roman" w:hAnsi="Times New Roman" w:eastAsia="方正仿宋_GBK" w:cs="Times New Roman"/>
          <w:sz w:val="32"/>
        </w:rPr>
        <w:t>工作。</w:t>
      </w:r>
      <w:bookmarkStart w:id="0" w:name="_GoBack"/>
      <w:bookmarkEnd w:id="0"/>
    </w:p>
    <w:p w14:paraId="5FEF723A">
      <w:pPr>
        <w:pStyle w:val="23"/>
        <w:tabs>
          <w:tab w:val="center" w:pos="4153"/>
          <w:tab w:val="left" w:pos="7275"/>
        </w:tabs>
        <w:spacing w:line="600" w:lineRule="exact"/>
        <w:ind w:left="640" w:firstLine="0" w:firstLineChars="0"/>
        <w:jc w:val="left"/>
        <w:rPr>
          <w:rFonts w:ascii="Times New Roman" w:hAnsi="Times New Roman" w:eastAsia="方正仿宋_GBK" w:cs="Times New Roman"/>
          <w:sz w:val="32"/>
        </w:rPr>
      </w:pPr>
      <w:r>
        <w:rPr>
          <w:rFonts w:ascii="Times New Roman" w:hAnsi="Times New Roman" w:eastAsia="方正仿宋_GBK" w:cs="Times New Roman"/>
          <w:sz w:val="32"/>
        </w:rPr>
        <w:t>（二）单位构成</w:t>
      </w:r>
    </w:p>
    <w:p w14:paraId="35F837EA">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西永街道综合行政执法大队系西永街道下设的事业单位。</w:t>
      </w:r>
    </w:p>
    <w:p w14:paraId="30AA8FBC">
      <w:pPr>
        <w:spacing w:line="600" w:lineRule="exact"/>
        <w:ind w:firstLine="640" w:firstLineChars="200"/>
        <w:rPr>
          <w:rFonts w:ascii="Times New Roman" w:hAnsi="Times New Roman" w:eastAsia="方正黑体_GBK" w:cs="Times New Roman"/>
          <w:sz w:val="32"/>
          <w:szCs w:val="20"/>
        </w:rPr>
      </w:pPr>
      <w:r>
        <w:rPr>
          <w:rFonts w:ascii="Times New Roman" w:hAnsi="Times New Roman" w:eastAsia="方正黑体_GBK" w:cs="Times New Roman"/>
          <w:sz w:val="32"/>
          <w:szCs w:val="20"/>
        </w:rPr>
        <w:t>二、单位收支总体情况</w:t>
      </w:r>
    </w:p>
    <w:p w14:paraId="2216C5E7">
      <w:pPr>
        <w:spacing w:line="60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（一）收入预算：202</w:t>
      </w:r>
      <w:r>
        <w:rPr>
          <w:rFonts w:hint="eastAsia" w:ascii="Times New Roman" w:hAnsi="Times New Roman" w:eastAsia="方正仿宋_GBK" w:cs="Times New Roman"/>
          <w:sz w:val="32"/>
          <w:szCs w:val="20"/>
        </w:rPr>
        <w:t>6</w:t>
      </w:r>
      <w:r>
        <w:rPr>
          <w:rFonts w:ascii="Times New Roman" w:hAnsi="Times New Roman" w:eastAsia="方正仿宋_GBK" w:cs="Times New Roman"/>
          <w:sz w:val="32"/>
          <w:szCs w:val="20"/>
        </w:rPr>
        <w:t>年年初预算数</w:t>
      </w:r>
      <w:r>
        <w:rPr>
          <w:rFonts w:hint="eastAsia" w:ascii="Times New Roman" w:hAnsi="Times New Roman" w:eastAsia="方正仿宋_GBK" w:cs="Times New Roman"/>
          <w:sz w:val="32"/>
          <w:szCs w:val="20"/>
        </w:rPr>
        <w:t>131.21</w:t>
      </w:r>
      <w:r>
        <w:rPr>
          <w:rFonts w:ascii="Times New Roman" w:hAnsi="Times New Roman" w:eastAsia="方正仿宋_GBK" w:cs="Times New Roman"/>
          <w:sz w:val="32"/>
          <w:szCs w:val="20"/>
        </w:rPr>
        <w:t>万元，其中：一般公共预算拨款</w:t>
      </w:r>
      <w:r>
        <w:rPr>
          <w:rFonts w:hint="eastAsia" w:ascii="Times New Roman" w:hAnsi="Times New Roman" w:eastAsia="方正仿宋_GBK" w:cs="Times New Roman"/>
          <w:sz w:val="32"/>
          <w:szCs w:val="20"/>
        </w:rPr>
        <w:t>131.21</w:t>
      </w:r>
      <w:r>
        <w:rPr>
          <w:rFonts w:ascii="Times New Roman" w:hAnsi="Times New Roman" w:eastAsia="方正仿宋_GBK" w:cs="Times New Roman"/>
          <w:sz w:val="32"/>
          <w:szCs w:val="20"/>
        </w:rPr>
        <w:t>万元，政府性基金预算拨款0万元，国有资本经营预算收入0万元，事业收入0万元，事业单位经营收入0万元，其他收入0万元。收入较202</w:t>
      </w:r>
      <w:r>
        <w:rPr>
          <w:rFonts w:hint="eastAsia" w:ascii="Times New Roman" w:hAnsi="Times New Roman" w:eastAsia="方正仿宋_GBK" w:cs="Times New Roman"/>
          <w:sz w:val="32"/>
          <w:szCs w:val="20"/>
        </w:rPr>
        <w:t>5</w:t>
      </w:r>
      <w:r>
        <w:rPr>
          <w:rFonts w:ascii="Times New Roman" w:hAnsi="Times New Roman" w:eastAsia="方正仿宋_GBK" w:cs="Times New Roman"/>
          <w:sz w:val="32"/>
          <w:szCs w:val="20"/>
        </w:rPr>
        <w:t>年</w:t>
      </w:r>
      <w:r>
        <w:rPr>
          <w:rFonts w:hint="eastAsia" w:ascii="Times New Roman" w:hAnsi="Times New Roman" w:eastAsia="方正仿宋_GBK" w:cs="Times New Roman"/>
          <w:sz w:val="32"/>
          <w:szCs w:val="20"/>
        </w:rPr>
        <w:t>增加1.71</w:t>
      </w:r>
      <w:r>
        <w:rPr>
          <w:rFonts w:ascii="Times New Roman" w:hAnsi="Times New Roman" w:eastAsia="方正仿宋_GBK" w:cs="Times New Roman"/>
          <w:sz w:val="32"/>
          <w:szCs w:val="20"/>
        </w:rPr>
        <w:t>万元，主要是一般公共预算经费拨款</w:t>
      </w:r>
      <w:r>
        <w:rPr>
          <w:rFonts w:hint="eastAsia" w:ascii="Times New Roman" w:hAnsi="Times New Roman" w:eastAsia="方正仿宋_GBK" w:cs="Times New Roman"/>
          <w:sz w:val="32"/>
          <w:szCs w:val="20"/>
        </w:rPr>
        <w:t>增加1.71</w:t>
      </w:r>
      <w:r>
        <w:rPr>
          <w:rFonts w:ascii="Times New Roman" w:hAnsi="Times New Roman" w:eastAsia="方正仿宋_GBK" w:cs="Times New Roman"/>
          <w:sz w:val="32"/>
          <w:szCs w:val="20"/>
        </w:rPr>
        <w:t>万元。</w:t>
      </w:r>
    </w:p>
    <w:p w14:paraId="1CCB80BD">
      <w:pPr>
        <w:spacing w:line="60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（二）支出预算：202</w:t>
      </w:r>
      <w:r>
        <w:rPr>
          <w:rFonts w:hint="eastAsia" w:ascii="Times New Roman" w:hAnsi="Times New Roman" w:eastAsia="方正仿宋_GBK" w:cs="Times New Roman"/>
          <w:sz w:val="32"/>
          <w:szCs w:val="20"/>
        </w:rPr>
        <w:t>6</w:t>
      </w:r>
      <w:r>
        <w:rPr>
          <w:rFonts w:ascii="Times New Roman" w:hAnsi="Times New Roman" w:eastAsia="方正仿宋_GBK" w:cs="Times New Roman"/>
          <w:sz w:val="32"/>
          <w:szCs w:val="20"/>
        </w:rPr>
        <w:t>年年初预算数</w:t>
      </w:r>
      <w:r>
        <w:rPr>
          <w:rFonts w:hint="eastAsia" w:ascii="Times New Roman" w:hAnsi="Times New Roman" w:eastAsia="方正仿宋_GBK" w:cs="Times New Roman"/>
          <w:sz w:val="32"/>
          <w:szCs w:val="20"/>
        </w:rPr>
        <w:t>131.21</w:t>
      </w:r>
      <w:r>
        <w:rPr>
          <w:rFonts w:ascii="Times New Roman" w:hAnsi="Times New Roman" w:eastAsia="方正仿宋_GBK" w:cs="Times New Roman"/>
          <w:sz w:val="32"/>
          <w:szCs w:val="20"/>
        </w:rPr>
        <w:t>万元，其中：一般公共服务支出预算</w:t>
      </w:r>
      <w:r>
        <w:rPr>
          <w:rFonts w:hint="eastAsia" w:ascii="Times New Roman" w:hAnsi="Times New Roman" w:eastAsia="方正仿宋_GBK" w:cs="Times New Roman"/>
          <w:sz w:val="32"/>
          <w:szCs w:val="20"/>
        </w:rPr>
        <w:t>74.41</w:t>
      </w:r>
      <w:r>
        <w:rPr>
          <w:rFonts w:ascii="Times New Roman" w:hAnsi="Times New Roman" w:eastAsia="方正仿宋_GBK" w:cs="Times New Roman"/>
          <w:sz w:val="32"/>
          <w:szCs w:val="20"/>
        </w:rPr>
        <w:t>万元，教育支出预算0万元，社会保障和就业支出预算</w:t>
      </w:r>
      <w:r>
        <w:rPr>
          <w:rFonts w:hint="eastAsia" w:ascii="Times New Roman" w:hAnsi="Times New Roman" w:eastAsia="方正仿宋_GBK" w:cs="Times New Roman"/>
          <w:sz w:val="32"/>
          <w:szCs w:val="20"/>
        </w:rPr>
        <w:t>16.94</w:t>
      </w:r>
      <w:r>
        <w:rPr>
          <w:rFonts w:ascii="Times New Roman" w:hAnsi="Times New Roman" w:eastAsia="方正仿宋_GBK" w:cs="Times New Roman"/>
          <w:sz w:val="32"/>
          <w:szCs w:val="20"/>
        </w:rPr>
        <w:t>万元，卫生健康支出预算</w:t>
      </w:r>
      <w:r>
        <w:rPr>
          <w:rFonts w:hint="eastAsia" w:ascii="Times New Roman" w:hAnsi="Times New Roman" w:eastAsia="方正仿宋_GBK" w:cs="Times New Roman"/>
          <w:sz w:val="32"/>
          <w:szCs w:val="20"/>
        </w:rPr>
        <w:t>5.16</w:t>
      </w:r>
      <w:r>
        <w:rPr>
          <w:rFonts w:ascii="Times New Roman" w:hAnsi="Times New Roman" w:eastAsia="方正仿宋_GBK" w:cs="Times New Roman"/>
          <w:sz w:val="32"/>
          <w:szCs w:val="20"/>
        </w:rPr>
        <w:t>万元，住房保障支出预算</w:t>
      </w:r>
      <w:r>
        <w:rPr>
          <w:rFonts w:hint="eastAsia" w:ascii="Times New Roman" w:hAnsi="Times New Roman" w:eastAsia="方正仿宋_GBK" w:cs="Times New Roman"/>
          <w:sz w:val="32"/>
          <w:szCs w:val="20"/>
        </w:rPr>
        <w:t>4.7</w:t>
      </w:r>
      <w:r>
        <w:rPr>
          <w:rFonts w:ascii="Times New Roman" w:hAnsi="Times New Roman" w:eastAsia="方正仿宋_GBK" w:cs="Times New Roman"/>
          <w:sz w:val="32"/>
          <w:szCs w:val="20"/>
        </w:rPr>
        <w:t>万元</w:t>
      </w:r>
      <w:r>
        <w:rPr>
          <w:rFonts w:hint="eastAsia" w:ascii="Times New Roman" w:hAnsi="Times New Roman" w:eastAsia="方正仿宋_GBK" w:cs="Times New Roman"/>
          <w:sz w:val="32"/>
          <w:szCs w:val="20"/>
        </w:rPr>
        <w:t>，城乡社区支出预算30万元</w:t>
      </w:r>
      <w:r>
        <w:rPr>
          <w:rFonts w:ascii="Times New Roman" w:hAnsi="Times New Roman" w:eastAsia="方正仿宋_GBK" w:cs="Times New Roman"/>
          <w:sz w:val="32"/>
          <w:szCs w:val="20"/>
        </w:rPr>
        <w:t>。支出预算较202</w:t>
      </w:r>
      <w:r>
        <w:rPr>
          <w:rFonts w:hint="eastAsia" w:ascii="Times New Roman" w:hAnsi="Times New Roman" w:eastAsia="方正仿宋_GBK" w:cs="Times New Roman"/>
          <w:sz w:val="32"/>
          <w:szCs w:val="20"/>
        </w:rPr>
        <w:t>5</w:t>
      </w:r>
      <w:r>
        <w:rPr>
          <w:rFonts w:ascii="Times New Roman" w:hAnsi="Times New Roman" w:eastAsia="方正仿宋_GBK" w:cs="Times New Roman"/>
          <w:sz w:val="32"/>
          <w:szCs w:val="20"/>
        </w:rPr>
        <w:t>年</w:t>
      </w:r>
      <w:r>
        <w:rPr>
          <w:rFonts w:hint="eastAsia" w:ascii="Times New Roman" w:hAnsi="Times New Roman" w:eastAsia="方正仿宋_GBK" w:cs="Times New Roman"/>
          <w:sz w:val="32"/>
          <w:szCs w:val="20"/>
        </w:rPr>
        <w:t>增加1.71</w:t>
      </w:r>
      <w:r>
        <w:rPr>
          <w:rFonts w:ascii="Times New Roman" w:hAnsi="Times New Roman" w:eastAsia="方正仿宋_GBK" w:cs="Times New Roman"/>
          <w:sz w:val="32"/>
          <w:szCs w:val="20"/>
        </w:rPr>
        <w:t>万元，主要是基本支出预算</w:t>
      </w:r>
      <w:r>
        <w:rPr>
          <w:rFonts w:hint="eastAsia" w:ascii="Times New Roman" w:hAnsi="Times New Roman" w:eastAsia="方正仿宋_GBK" w:cs="Times New Roman"/>
          <w:sz w:val="32"/>
          <w:szCs w:val="20"/>
        </w:rPr>
        <w:t>增加1.71</w:t>
      </w:r>
      <w:r>
        <w:rPr>
          <w:rFonts w:ascii="Times New Roman" w:hAnsi="Times New Roman" w:eastAsia="方正仿宋_GBK" w:cs="Times New Roman"/>
          <w:sz w:val="32"/>
          <w:szCs w:val="20"/>
        </w:rPr>
        <w:t>万元，项目支出不变。</w:t>
      </w:r>
    </w:p>
    <w:p w14:paraId="7ACE5B6F">
      <w:pPr>
        <w:spacing w:line="600" w:lineRule="exact"/>
        <w:ind w:firstLine="640" w:firstLineChars="200"/>
        <w:rPr>
          <w:rFonts w:ascii="Times New Roman" w:hAnsi="Times New Roman" w:eastAsia="方正仿宋_GBK" w:cs="Times New Roman"/>
          <w:sz w:val="32"/>
          <w:szCs w:val="20"/>
        </w:rPr>
      </w:pPr>
      <w:r>
        <w:rPr>
          <w:rFonts w:ascii="Times New Roman" w:hAnsi="Times New Roman" w:eastAsia="方正黑体_GBK" w:cs="Times New Roman"/>
          <w:sz w:val="32"/>
          <w:szCs w:val="20"/>
        </w:rPr>
        <w:t>三、单位预算情况说明</w:t>
      </w:r>
    </w:p>
    <w:p w14:paraId="1D0E8EEA">
      <w:pPr>
        <w:spacing w:line="60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202</w:t>
      </w:r>
      <w:r>
        <w:rPr>
          <w:rFonts w:hint="eastAsia" w:ascii="Times New Roman" w:hAnsi="Times New Roman" w:eastAsia="方正仿宋_GBK" w:cs="Times New Roman"/>
          <w:sz w:val="32"/>
          <w:szCs w:val="20"/>
        </w:rPr>
        <w:t>6</w:t>
      </w:r>
      <w:r>
        <w:rPr>
          <w:rFonts w:ascii="Times New Roman" w:hAnsi="Times New Roman" w:eastAsia="方正仿宋_GBK" w:cs="Times New Roman"/>
          <w:sz w:val="32"/>
          <w:szCs w:val="20"/>
        </w:rPr>
        <w:t>年一般公共预算财政拨款收入</w:t>
      </w:r>
      <w:r>
        <w:rPr>
          <w:rFonts w:hint="eastAsia" w:ascii="Times New Roman" w:hAnsi="Times New Roman" w:eastAsia="方正仿宋_GBK" w:cs="Times New Roman"/>
          <w:sz w:val="32"/>
          <w:szCs w:val="20"/>
        </w:rPr>
        <w:t>131.21</w:t>
      </w:r>
      <w:r>
        <w:rPr>
          <w:rFonts w:ascii="Times New Roman" w:hAnsi="Times New Roman" w:eastAsia="方正仿宋_GBK" w:cs="Times New Roman"/>
          <w:sz w:val="32"/>
          <w:szCs w:val="20"/>
        </w:rPr>
        <w:t>万元，一般公共预算财政拨款支出</w:t>
      </w:r>
      <w:r>
        <w:rPr>
          <w:rFonts w:hint="eastAsia" w:ascii="Times New Roman" w:hAnsi="Times New Roman" w:eastAsia="方正仿宋_GBK" w:cs="Times New Roman"/>
          <w:sz w:val="32"/>
          <w:szCs w:val="20"/>
        </w:rPr>
        <w:t>131.21</w:t>
      </w:r>
      <w:r>
        <w:rPr>
          <w:rFonts w:ascii="Times New Roman" w:hAnsi="Times New Roman" w:eastAsia="方正仿宋_GBK" w:cs="Times New Roman"/>
          <w:sz w:val="32"/>
          <w:szCs w:val="20"/>
        </w:rPr>
        <w:t>万元，比202</w:t>
      </w:r>
      <w:r>
        <w:rPr>
          <w:rFonts w:hint="eastAsia" w:ascii="Times New Roman" w:hAnsi="Times New Roman" w:eastAsia="方正仿宋_GBK" w:cs="Times New Roman"/>
          <w:sz w:val="32"/>
          <w:szCs w:val="20"/>
        </w:rPr>
        <w:t>5</w:t>
      </w:r>
      <w:r>
        <w:rPr>
          <w:rFonts w:ascii="Times New Roman" w:hAnsi="Times New Roman" w:eastAsia="方正仿宋_GBK" w:cs="Times New Roman"/>
          <w:sz w:val="32"/>
          <w:szCs w:val="20"/>
        </w:rPr>
        <w:t>年</w:t>
      </w:r>
      <w:r>
        <w:rPr>
          <w:rFonts w:hint="eastAsia" w:ascii="Times New Roman" w:hAnsi="Times New Roman" w:eastAsia="方正仿宋_GBK" w:cs="Times New Roman"/>
          <w:sz w:val="32"/>
          <w:szCs w:val="20"/>
        </w:rPr>
        <w:t>增加1.71</w:t>
      </w:r>
      <w:r>
        <w:rPr>
          <w:rFonts w:ascii="Times New Roman" w:hAnsi="Times New Roman" w:eastAsia="方正仿宋_GBK" w:cs="Times New Roman"/>
          <w:sz w:val="32"/>
          <w:szCs w:val="20"/>
        </w:rPr>
        <w:t>万元。其中：基本支出</w:t>
      </w:r>
      <w:r>
        <w:rPr>
          <w:rFonts w:hint="eastAsia" w:ascii="Times New Roman" w:hAnsi="Times New Roman" w:eastAsia="方正仿宋_GBK" w:cs="Times New Roman"/>
          <w:sz w:val="32"/>
          <w:szCs w:val="20"/>
        </w:rPr>
        <w:t>101.21</w:t>
      </w:r>
      <w:r>
        <w:rPr>
          <w:rFonts w:ascii="Times New Roman" w:hAnsi="Times New Roman" w:eastAsia="方正仿宋_GBK" w:cs="Times New Roman"/>
          <w:sz w:val="32"/>
          <w:szCs w:val="20"/>
        </w:rPr>
        <w:t>万元，比202</w:t>
      </w:r>
      <w:r>
        <w:rPr>
          <w:rFonts w:hint="eastAsia" w:ascii="Times New Roman" w:hAnsi="Times New Roman" w:eastAsia="方正仿宋_GBK" w:cs="Times New Roman"/>
          <w:sz w:val="32"/>
          <w:szCs w:val="20"/>
        </w:rPr>
        <w:t>5</w:t>
      </w:r>
      <w:r>
        <w:rPr>
          <w:rFonts w:ascii="Times New Roman" w:hAnsi="Times New Roman" w:eastAsia="方正仿宋_GBK" w:cs="Times New Roman"/>
          <w:sz w:val="32"/>
          <w:szCs w:val="20"/>
        </w:rPr>
        <w:t>年</w:t>
      </w:r>
      <w:r>
        <w:rPr>
          <w:rFonts w:hint="eastAsia" w:ascii="Times New Roman" w:hAnsi="Times New Roman" w:eastAsia="方正仿宋_GBK" w:cs="Times New Roman"/>
          <w:sz w:val="32"/>
          <w:szCs w:val="20"/>
        </w:rPr>
        <w:t>增加1.71</w:t>
      </w:r>
      <w:r>
        <w:rPr>
          <w:rFonts w:ascii="Times New Roman" w:hAnsi="Times New Roman" w:eastAsia="方正仿宋_GBK" w:cs="Times New Roman"/>
          <w:sz w:val="32"/>
          <w:szCs w:val="20"/>
        </w:rPr>
        <w:t>万元，主要原因卫生健康支出</w:t>
      </w:r>
      <w:r>
        <w:rPr>
          <w:rFonts w:hint="eastAsia" w:ascii="Times New Roman" w:hAnsi="Times New Roman" w:eastAsia="方正仿宋_GBK" w:cs="Times New Roman"/>
          <w:sz w:val="32"/>
          <w:szCs w:val="20"/>
        </w:rPr>
        <w:t>、住房保障</w:t>
      </w:r>
      <w:r>
        <w:rPr>
          <w:rFonts w:ascii="Times New Roman" w:hAnsi="Times New Roman" w:eastAsia="方正仿宋_GBK" w:cs="Times New Roman"/>
          <w:sz w:val="32"/>
          <w:szCs w:val="20"/>
        </w:rPr>
        <w:t>等基本支出预算</w:t>
      </w:r>
      <w:r>
        <w:rPr>
          <w:rFonts w:hint="eastAsia" w:ascii="Times New Roman" w:hAnsi="Times New Roman" w:eastAsia="方正仿宋_GBK" w:cs="Times New Roman"/>
          <w:sz w:val="32"/>
          <w:szCs w:val="20"/>
        </w:rPr>
        <w:t>增加</w:t>
      </w:r>
      <w:r>
        <w:rPr>
          <w:rFonts w:ascii="Times New Roman" w:hAnsi="Times New Roman" w:eastAsia="方正仿宋_GBK" w:cs="Times New Roman"/>
          <w:sz w:val="32"/>
          <w:szCs w:val="20"/>
        </w:rPr>
        <w:t>，主要用于保障</w:t>
      </w:r>
      <w:r>
        <w:rPr>
          <w:rFonts w:ascii="Times New Roman" w:hAnsi="Times New Roman" w:eastAsia="方正仿宋_GBK" w:cs="Times New Roman"/>
          <w:sz w:val="32"/>
        </w:rPr>
        <w:t>西永街道综合行政执法大队</w:t>
      </w:r>
      <w:r>
        <w:rPr>
          <w:rFonts w:ascii="Times New Roman" w:hAnsi="Times New Roman" w:eastAsia="方正仿宋_GBK" w:cs="Times New Roman"/>
          <w:sz w:val="32"/>
          <w:szCs w:val="20"/>
        </w:rPr>
        <w:t>在职人员工资福利及社会保险缴费，退休人员补助等，保障单位正常运转的各项商品服务支出；项目支出30万元，与202</w:t>
      </w:r>
      <w:r>
        <w:rPr>
          <w:rFonts w:hint="eastAsia" w:ascii="Times New Roman" w:hAnsi="Times New Roman" w:eastAsia="方正仿宋_GBK" w:cs="Times New Roman"/>
          <w:sz w:val="32"/>
          <w:szCs w:val="20"/>
        </w:rPr>
        <w:t>5</w:t>
      </w:r>
      <w:r>
        <w:rPr>
          <w:rFonts w:ascii="Times New Roman" w:hAnsi="Times New Roman" w:eastAsia="方正仿宋_GBK" w:cs="Times New Roman"/>
          <w:sz w:val="32"/>
          <w:szCs w:val="20"/>
        </w:rPr>
        <w:t>年持平，主要原因是无项目预算变化，主要用于城管执法等重点工作。</w:t>
      </w:r>
    </w:p>
    <w:p w14:paraId="73956960">
      <w:pPr>
        <w:spacing w:line="60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rPr>
        <w:t>西永街道综合行政执法大队</w:t>
      </w:r>
      <w:r>
        <w:rPr>
          <w:rFonts w:ascii="Times New Roman" w:hAnsi="Times New Roman" w:eastAsia="方正仿宋_GBK" w:cs="Times New Roman"/>
          <w:sz w:val="32"/>
          <w:szCs w:val="20"/>
        </w:rPr>
        <w:t>202</w:t>
      </w:r>
      <w:r>
        <w:rPr>
          <w:rFonts w:hint="eastAsia" w:ascii="Times New Roman" w:hAnsi="Times New Roman" w:eastAsia="方正仿宋_GBK" w:cs="Times New Roman"/>
          <w:sz w:val="32"/>
          <w:szCs w:val="20"/>
        </w:rPr>
        <w:t>6</w:t>
      </w:r>
      <w:r>
        <w:rPr>
          <w:rFonts w:ascii="Times New Roman" w:hAnsi="Times New Roman" w:eastAsia="方正仿宋_GBK" w:cs="Times New Roman"/>
          <w:sz w:val="32"/>
          <w:szCs w:val="20"/>
        </w:rPr>
        <w:t>年无使用政府性基金预算拨款安排的支出。</w:t>
      </w:r>
    </w:p>
    <w:p w14:paraId="2D268F1E">
      <w:pPr>
        <w:spacing w:line="600" w:lineRule="exact"/>
        <w:ind w:firstLine="640" w:firstLineChars="200"/>
        <w:rPr>
          <w:rFonts w:ascii="Times New Roman" w:hAnsi="Times New Roman" w:eastAsia="方正仿宋_GBK" w:cs="Times New Roman"/>
          <w:sz w:val="32"/>
          <w:szCs w:val="20"/>
        </w:rPr>
      </w:pPr>
      <w:r>
        <w:rPr>
          <w:rFonts w:ascii="Times New Roman" w:hAnsi="Times New Roman" w:eastAsia="方正黑体_GBK" w:cs="Times New Roman"/>
          <w:sz w:val="32"/>
          <w:szCs w:val="20"/>
        </w:rPr>
        <w:t>四、“三公”经费情况说明</w:t>
      </w:r>
    </w:p>
    <w:p w14:paraId="51F0BB11">
      <w:pPr>
        <w:spacing w:line="600" w:lineRule="exact"/>
        <w:ind w:firstLine="600"/>
        <w:rPr>
          <w:rFonts w:ascii="Times New Roman" w:hAnsi="Times New Roman" w:eastAsia="方正仿宋_GBK" w:cs="Times New Roman"/>
          <w:sz w:val="32"/>
          <w:szCs w:val="20"/>
        </w:rPr>
      </w:pPr>
      <w:r>
        <w:rPr>
          <w:rFonts w:ascii="Times New Roman" w:hAnsi="Times New Roman" w:eastAsia="方正仿宋_GBK" w:cs="Times New Roman"/>
          <w:sz w:val="32"/>
          <w:szCs w:val="20"/>
        </w:rPr>
        <w:t>202</w:t>
      </w:r>
      <w:r>
        <w:rPr>
          <w:rFonts w:hint="eastAsia" w:ascii="Times New Roman" w:hAnsi="Times New Roman" w:eastAsia="方正仿宋_GBK" w:cs="Times New Roman"/>
          <w:sz w:val="32"/>
          <w:szCs w:val="20"/>
        </w:rPr>
        <w:t>6</w:t>
      </w:r>
      <w:r>
        <w:rPr>
          <w:rFonts w:ascii="Times New Roman" w:hAnsi="Times New Roman" w:eastAsia="方正仿宋_GBK" w:cs="Times New Roman"/>
          <w:sz w:val="32"/>
          <w:szCs w:val="20"/>
        </w:rPr>
        <w:t>年无“三公”经费预算。</w:t>
      </w:r>
    </w:p>
    <w:p w14:paraId="74FC723C">
      <w:pPr>
        <w:spacing w:line="600" w:lineRule="exact"/>
        <w:ind w:firstLine="640" w:firstLineChars="200"/>
        <w:rPr>
          <w:rFonts w:ascii="Times New Roman" w:hAnsi="Times New Roman" w:eastAsia="方正黑体_GBK" w:cs="Times New Roman"/>
          <w:sz w:val="32"/>
          <w:szCs w:val="20"/>
        </w:rPr>
      </w:pPr>
      <w:r>
        <w:rPr>
          <w:rFonts w:ascii="Times New Roman" w:hAnsi="Times New Roman" w:eastAsia="方正黑体_GBK" w:cs="Times New Roman"/>
          <w:sz w:val="32"/>
          <w:szCs w:val="20"/>
        </w:rPr>
        <w:t>五、其他重要事项的情况说明</w:t>
      </w:r>
    </w:p>
    <w:p w14:paraId="70783D0D">
      <w:pPr>
        <w:adjustRightInd w:val="0"/>
        <w:snapToGrid w:val="0"/>
        <w:spacing w:line="600" w:lineRule="exact"/>
        <w:ind w:firstLine="640" w:firstLineChars="200"/>
        <w:rPr>
          <w:rFonts w:ascii="Times New Roman" w:hAnsi="Times New Roman" w:cs="Times New Roman"/>
          <w:color w:val="0D0D0D"/>
        </w:rPr>
      </w:pPr>
      <w:r>
        <w:rPr>
          <w:rFonts w:hint="eastAsia" w:ascii="Times New Roman" w:hAnsi="Times New Roman" w:eastAsia="方正仿宋_GBK" w:cs="Times New Roman"/>
          <w:color w:val="0D0D0D"/>
          <w:sz w:val="32"/>
          <w:szCs w:val="32"/>
        </w:rPr>
        <w:t>（一）</w:t>
      </w:r>
      <w:r>
        <w:rPr>
          <w:rFonts w:ascii="Times New Roman" w:hAnsi="Times New Roman" w:eastAsia="方正仿宋_GBK" w:cs="Times New Roman"/>
          <w:sz w:val="32"/>
          <w:szCs w:val="20"/>
        </w:rPr>
        <w:t>我单位不在机关运行经费统计范围之内</w:t>
      </w:r>
      <w:r>
        <w:rPr>
          <w:rFonts w:ascii="Times New Roman" w:hAnsi="Times New Roman" w:cs="Times New Roman"/>
          <w:color w:val="0D0D0D"/>
        </w:rPr>
        <w:t>。</w:t>
      </w:r>
    </w:p>
    <w:p w14:paraId="2990FEC4">
      <w:pPr>
        <w:spacing w:line="60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（二）政府采购情况。本单位</w:t>
      </w:r>
      <w:r>
        <w:rPr>
          <w:rFonts w:hint="eastAsia" w:ascii="Times New Roman" w:hAnsi="Times New Roman" w:eastAsia="方正仿宋_GBK" w:cs="Times New Roman"/>
          <w:sz w:val="32"/>
          <w:szCs w:val="20"/>
        </w:rPr>
        <w:t>无</w:t>
      </w:r>
      <w:r>
        <w:rPr>
          <w:rFonts w:ascii="Times New Roman" w:hAnsi="Times New Roman" w:eastAsia="方正仿宋_GBK" w:cs="Times New Roman"/>
          <w:sz w:val="32"/>
          <w:szCs w:val="20"/>
        </w:rPr>
        <w:t>政府采购预算。</w:t>
      </w:r>
    </w:p>
    <w:p w14:paraId="4F2315B7">
      <w:pPr>
        <w:spacing w:line="60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（三）绩效目标设置情况。2026年项目支出均实行了绩效目标管理，涉及一般公共预算当年财政拨款</w:t>
      </w:r>
      <w:r>
        <w:rPr>
          <w:rFonts w:hint="eastAsia" w:ascii="Times New Roman" w:hAnsi="Times New Roman" w:eastAsia="方正仿宋_GBK" w:cs="Times New Roman"/>
          <w:sz w:val="32"/>
          <w:szCs w:val="20"/>
        </w:rPr>
        <w:t>131.21</w:t>
      </w:r>
      <w:r>
        <w:rPr>
          <w:rFonts w:ascii="Times New Roman" w:hAnsi="Times New Roman" w:eastAsia="方正仿宋_GBK" w:cs="Times New Roman"/>
          <w:sz w:val="32"/>
          <w:szCs w:val="20"/>
        </w:rPr>
        <w:t>万元。</w:t>
      </w:r>
    </w:p>
    <w:p w14:paraId="2984A969">
      <w:pPr>
        <w:spacing w:line="60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（四）国有资产占有使用情况。</w:t>
      </w:r>
      <w:r>
        <w:rPr>
          <w:rFonts w:hint="eastAsia" w:ascii="Times New Roman" w:hAnsi="Times New Roman" w:eastAsia="方正仿宋_GBK" w:cs="Times New Roman"/>
          <w:sz w:val="32"/>
          <w:szCs w:val="20"/>
          <w:lang w:eastAsia="zh-CN"/>
        </w:rPr>
        <w:t>截至</w:t>
      </w:r>
      <w:r>
        <w:rPr>
          <w:rFonts w:ascii="Times New Roman" w:hAnsi="Times New Roman" w:eastAsia="方正仿宋_GBK" w:cs="Times New Roman"/>
          <w:sz w:val="32"/>
          <w:szCs w:val="20"/>
        </w:rPr>
        <w:t>2025年12月，本单位</w:t>
      </w:r>
      <w:r>
        <w:rPr>
          <w:rFonts w:hint="eastAsia" w:ascii="Times New Roman" w:hAnsi="Times New Roman" w:eastAsia="方正仿宋_GBK" w:cs="Times New Roman"/>
          <w:sz w:val="32"/>
          <w:szCs w:val="20"/>
        </w:rPr>
        <w:t>无单独的公务车</w:t>
      </w:r>
      <w:r>
        <w:rPr>
          <w:rFonts w:ascii="Times New Roman" w:hAnsi="Times New Roman" w:eastAsia="方正仿宋_GBK" w:cs="Times New Roman"/>
          <w:sz w:val="32"/>
          <w:szCs w:val="20"/>
        </w:rPr>
        <w:t>。2026年一般公共预算</w:t>
      </w:r>
      <w:r>
        <w:rPr>
          <w:rFonts w:hint="eastAsia" w:ascii="Times New Roman" w:hAnsi="Times New Roman" w:eastAsia="方正仿宋_GBK" w:cs="Times New Roman"/>
          <w:sz w:val="32"/>
          <w:szCs w:val="20"/>
        </w:rPr>
        <w:t>未</w:t>
      </w:r>
      <w:r>
        <w:rPr>
          <w:rFonts w:ascii="Times New Roman" w:hAnsi="Times New Roman" w:eastAsia="方正仿宋_GBK" w:cs="Times New Roman"/>
          <w:sz w:val="32"/>
          <w:szCs w:val="20"/>
        </w:rPr>
        <w:t>安排购置车辆。</w:t>
      </w:r>
    </w:p>
    <w:p w14:paraId="25EDA170">
      <w:pPr>
        <w:spacing w:line="600" w:lineRule="exact"/>
        <w:ind w:firstLine="640" w:firstLineChars="200"/>
        <w:rPr>
          <w:rFonts w:ascii="Times New Roman" w:hAnsi="Times New Roman" w:eastAsia="方正仿宋_GBK" w:cs="Times New Roman"/>
          <w:sz w:val="32"/>
          <w:szCs w:val="20"/>
        </w:rPr>
      </w:pPr>
      <w:r>
        <w:rPr>
          <w:rFonts w:ascii="Times New Roman" w:hAnsi="Times New Roman" w:eastAsia="方正仿宋_GBK" w:cs="Times New Roman"/>
          <w:sz w:val="32"/>
          <w:szCs w:val="20"/>
        </w:rPr>
        <w:t>（五）委托业务费情况。2026年委托业务费涉及财拨资金</w:t>
      </w:r>
      <w:r>
        <w:rPr>
          <w:rFonts w:hint="eastAsia" w:ascii="Times New Roman" w:hAnsi="Times New Roman" w:eastAsia="方正仿宋_GBK" w:cs="Times New Roman"/>
          <w:sz w:val="32"/>
          <w:szCs w:val="20"/>
        </w:rPr>
        <w:t>0</w:t>
      </w:r>
      <w:r>
        <w:rPr>
          <w:rFonts w:ascii="Times New Roman" w:hAnsi="Times New Roman" w:eastAsia="方正仿宋_GBK" w:cs="Times New Roman"/>
          <w:sz w:val="32"/>
          <w:szCs w:val="20"/>
        </w:rPr>
        <w:t>万元</w:t>
      </w:r>
      <w:r>
        <w:rPr>
          <w:rFonts w:hint="eastAsia" w:ascii="Times New Roman" w:hAnsi="Times New Roman" w:eastAsia="方正仿宋_GBK" w:cs="Times New Roman"/>
          <w:sz w:val="32"/>
          <w:szCs w:val="20"/>
        </w:rPr>
        <w:t>。</w:t>
      </w:r>
    </w:p>
    <w:p w14:paraId="237453A0">
      <w:pPr>
        <w:spacing w:line="600" w:lineRule="exact"/>
        <w:ind w:firstLine="640" w:firstLineChars="20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六、专业性名词解释</w:t>
      </w:r>
    </w:p>
    <w:p w14:paraId="76A19689">
      <w:pPr>
        <w:spacing w:line="600" w:lineRule="exact"/>
        <w:ind w:firstLine="640" w:firstLineChars="20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（一）财政拨款收入：指本年度从本级财政部门取得的财政拨款，包括一般公共预算财政拨款和政府性基金预算财政拨款。</w:t>
      </w:r>
    </w:p>
    <w:p w14:paraId="6EDC68B8">
      <w:pPr>
        <w:spacing w:line="600" w:lineRule="exact"/>
        <w:ind w:firstLine="640" w:firstLineChars="20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（二）财政专户管理资金收入：指缴入财政专户、实行专项管理的高中以上学费、住宿费、高校委托培养费、函大、电大、夜大及短训班培训费等教育收费。单位根据教育收费标准、学生人数等合理预计。</w:t>
      </w:r>
    </w:p>
    <w:p w14:paraId="20ED3A94">
      <w:pPr>
        <w:spacing w:line="600" w:lineRule="exact"/>
        <w:ind w:firstLine="640" w:firstLineChars="20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（三）事业收入（不含教育收费）：指事业单位开展专业业务活动及其辅助活动取得的收入，不包括教育收费。单位根据本年度事业单位开展专业业务活动及其辅助活动计划，结合上年度收入等情况进行预计。</w:t>
      </w:r>
    </w:p>
    <w:p w14:paraId="2A69D75F">
      <w:pPr>
        <w:spacing w:line="600" w:lineRule="exact"/>
        <w:ind w:firstLine="640" w:firstLineChars="20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（四）上级补助收入：指从主管部门或上级单位取得的财政拨款以外的其他补助收入。单位结合上年度上级补助收入等情况进行预计。</w:t>
      </w:r>
    </w:p>
    <w:p w14:paraId="61BAF757">
      <w:pPr>
        <w:spacing w:line="600" w:lineRule="exact"/>
        <w:ind w:firstLine="640" w:firstLineChars="20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53326BBB">
      <w:pPr>
        <w:spacing w:line="600" w:lineRule="exact"/>
        <w:ind w:firstLine="640" w:firstLineChars="20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0F9DECB4">
      <w:pPr>
        <w:spacing w:line="600" w:lineRule="exact"/>
        <w:ind w:firstLine="640" w:firstLineChars="20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（七）其他收入：指债务收入、投资收益等收入，单位根据情况合理预计，全部编入预算。</w:t>
      </w:r>
    </w:p>
    <w:p w14:paraId="56FA9894">
      <w:pPr>
        <w:spacing w:line="600" w:lineRule="exact"/>
        <w:ind w:firstLine="640" w:firstLineChars="20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40A31E08">
      <w:pPr>
        <w:spacing w:line="600" w:lineRule="exact"/>
        <w:ind w:firstLine="640" w:firstLineChars="20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F2B19C7">
      <w:pPr>
        <w:spacing w:line="600" w:lineRule="exact"/>
        <w:ind w:firstLine="640" w:firstLineChars="20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（十）项目支出：指在基本支出之外为完成特定行政任务和事业发展目标所发生的支出。</w:t>
      </w:r>
    </w:p>
    <w:p w14:paraId="46513D04">
      <w:pPr>
        <w:spacing w:line="600" w:lineRule="exact"/>
        <w:ind w:firstLine="640" w:firstLineChars="20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十一）“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10752A5">
      <w:pPr>
        <w:spacing w:line="600" w:lineRule="exact"/>
        <w:ind w:firstLine="640" w:firstLineChars="20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64308710">
      <w:pPr>
        <w:spacing w:line="600" w:lineRule="exact"/>
        <w:ind w:firstLine="640" w:firstLineChars="20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（十三）工资福利支出（支出经济分类科目类级）：反映单位开支的在职职工和编制外长期聘用人员的各类劳动报酬，以及为上述人员缴纳的各项社会保险费等。</w:t>
      </w:r>
    </w:p>
    <w:p w14:paraId="0AD4A3BA">
      <w:pPr>
        <w:spacing w:line="600" w:lineRule="exact"/>
        <w:ind w:firstLine="640" w:firstLineChars="20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（十四）商品和服务支出（支出经济分类科目类级）：反映单位购买商品和服务的支出（不包括用于购置固定资产的支出、战略性和应急储备支出）。</w:t>
      </w:r>
    </w:p>
    <w:p w14:paraId="4CDDCC48">
      <w:pPr>
        <w:spacing w:line="600" w:lineRule="exact"/>
        <w:ind w:firstLine="640" w:firstLineChars="20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（十五）对个人和家庭的补助（支出经济分类科目类级）：反映用于对个人和家庭的补助支出。</w:t>
      </w:r>
    </w:p>
    <w:p w14:paraId="3B1B899F">
      <w:pPr>
        <w:ind w:firstLine="640" w:firstLineChars="200"/>
        <w:rPr>
          <w:rFonts w:ascii="Times New Roman" w:hAnsi="Times New Roman" w:eastAsia="方正仿宋_GBK" w:cs="Times New Roman"/>
          <w:color w:val="000000"/>
          <w:sz w:val="32"/>
          <w:szCs w:val="20"/>
        </w:rPr>
      </w:pPr>
      <w:r>
        <w:rPr>
          <w:rFonts w:hint="eastAsia" w:ascii="Times New Roman" w:hAnsi="Times New Roman" w:eastAsia="方正仿宋_GBK" w:cs="Times New Roman"/>
          <w:sz w:val="32"/>
          <w:szCs w:val="20"/>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11CD62E0">
      <w:pPr>
        <w:ind w:firstLine="640" w:firstLineChars="200"/>
        <w:rPr>
          <w:rFonts w:ascii="Times New Roman" w:hAnsi="Times New Roman" w:eastAsia="方正仿宋_GBK" w:cs="Times New Roman"/>
          <w:sz w:val="32"/>
          <w:szCs w:val="20"/>
        </w:rPr>
      </w:pPr>
    </w:p>
    <w:p w14:paraId="51549217">
      <w:pPr>
        <w:spacing w:line="60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20"/>
        </w:rPr>
        <w:t>（</w:t>
      </w:r>
      <w:r>
        <w:rPr>
          <w:rFonts w:ascii="Times New Roman" w:hAnsi="Times New Roman" w:eastAsia="方正仿宋_GBK" w:cs="Times New Roman"/>
          <w:sz w:val="32"/>
          <w:szCs w:val="20"/>
        </w:rPr>
        <w:t>部门预算公开联系人：龚财政</w:t>
      </w:r>
      <w:r>
        <w:rPr>
          <w:rFonts w:hint="eastAsia" w:ascii="Times New Roman" w:hAnsi="Times New Roman" w:eastAsia="方正仿宋_GBK" w:cs="Times New Roman"/>
          <w:sz w:val="32"/>
          <w:szCs w:val="20"/>
        </w:rPr>
        <w:t>，</w:t>
      </w:r>
      <w:r>
        <w:rPr>
          <w:rFonts w:ascii="Times New Roman" w:hAnsi="Times New Roman" w:eastAsia="方正仿宋_GBK" w:cs="Times New Roman"/>
          <w:sz w:val="32"/>
          <w:szCs w:val="20"/>
        </w:rPr>
        <w:t>联系方式：023-65660899</w:t>
      </w:r>
      <w:r>
        <w:rPr>
          <w:rFonts w:hint="eastAsia" w:ascii="Times New Roman" w:hAnsi="Times New Roman" w:eastAsia="方正仿宋_GBK" w:cs="Times New Roman"/>
          <w:sz w:val="32"/>
          <w:szCs w:val="20"/>
        </w:rPr>
        <w:t>）</w:t>
      </w:r>
    </w:p>
    <w:sectPr>
      <w:footerReference r:id="rId3" w:type="default"/>
      <w:footerReference r:id="rId4" w:type="even"/>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1" w:fontKey="{1695988A-5E59-4529-9A60-7FB892DB23E6}"/>
  </w:font>
  <w:font w:name="华文中宋">
    <w:altName w:val="宋体"/>
    <w:panose1 w:val="02010600040101010101"/>
    <w:charset w:val="86"/>
    <w:family w:val="auto"/>
    <w:pitch w:val="default"/>
    <w:sig w:usb0="00000000" w:usb1="00000000" w:usb2="00000010" w:usb3="00000000" w:csb0="0004009F" w:csb1="00000000"/>
    <w:embedRegular r:id="rId2" w:fontKey="{E1CB6682-B3BC-4549-9F0D-E61F6488D346}"/>
  </w:font>
  <w:font w:name="汉仪中宋简">
    <w:altName w:val="宋体"/>
    <w:panose1 w:val="00000000000000000000"/>
    <w:charset w:val="00"/>
    <w:family w:val="auto"/>
    <w:pitch w:val="default"/>
    <w:sig w:usb0="00000000" w:usb1="00000000" w:usb2="00000000" w:usb3="00000000" w:csb0="00000000" w:csb1="00000000"/>
  </w:font>
  <w:font w:name="方正黑体_GBK">
    <w:panose1 w:val="02010600010101010101"/>
    <w:charset w:val="86"/>
    <w:family w:val="script"/>
    <w:pitch w:val="default"/>
    <w:sig w:usb0="00000001" w:usb1="080E0000" w:usb2="00000000" w:usb3="00000000" w:csb0="00040000" w:csb1="00000000"/>
    <w:embedRegular r:id="rId3" w:fontKey="{AD2936B1-614F-4C16-A499-F1E6DBBEEB61}"/>
  </w:font>
  <w:font w:name="方正仿宋_GBK">
    <w:panose1 w:val="03000509000000000000"/>
    <w:charset w:val="86"/>
    <w:family w:val="script"/>
    <w:pitch w:val="default"/>
    <w:sig w:usb0="00000001" w:usb1="080E0000" w:usb2="00000000" w:usb3="00000000" w:csb0="00040000" w:csb1="00000000"/>
    <w:embedRegular r:id="rId4" w:fontKey="{51DFB52B-4919-4C5B-A246-5D8A3A6CAB5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00866"/>
    </w:sdtPr>
    <w:sdtContent>
      <w:p w14:paraId="5377B05D">
        <w:pPr>
          <w:pStyle w:val="6"/>
          <w:jc w:val="right"/>
        </w:pPr>
        <w:r>
          <w:rPr>
            <w:rFonts w:hint="eastAsia" w:ascii="方正仿宋_GBK" w:eastAsia="方正仿宋_GBK"/>
            <w:sz w:val="28"/>
            <w:szCs w:val="28"/>
          </w:rPr>
          <w:t>—</w:t>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   \* MERGEFORMAT </w:instrText>
        </w:r>
        <w:r>
          <w:rPr>
            <w:rFonts w:hint="eastAsia" w:ascii="方正仿宋_GBK" w:eastAsia="方正仿宋_GBK"/>
            <w:sz w:val="28"/>
            <w:szCs w:val="28"/>
          </w:rPr>
          <w:fldChar w:fldCharType="separate"/>
        </w:r>
        <w:r>
          <w:rPr>
            <w:rFonts w:ascii="方正仿宋_GBK" w:eastAsia="方正仿宋_GBK"/>
            <w:sz w:val="28"/>
            <w:szCs w:val="28"/>
            <w:lang w:val="zh-CN"/>
          </w:rPr>
          <w:t>5</w:t>
        </w:r>
        <w:r>
          <w:rPr>
            <w:rFonts w:hint="eastAsia" w:ascii="方正仿宋_GBK" w:eastAsia="方正仿宋_GBK"/>
            <w:sz w:val="28"/>
            <w:szCs w:val="28"/>
          </w:rPr>
          <w:fldChar w:fldCharType="end"/>
        </w:r>
        <w:r>
          <w:rPr>
            <w:rFonts w:hint="eastAsia" w:ascii="方正仿宋_GBK" w:eastAsia="方正仿宋_GBK"/>
            <w:sz w:val="28"/>
            <w:szCs w:val="28"/>
          </w:rPr>
          <w:t>—</w:t>
        </w:r>
      </w:p>
    </w:sdtContent>
  </w:sdt>
  <w:p w14:paraId="004E1CC9">
    <w:pPr>
      <w:pStyle w:val="6"/>
    </w:pPr>
  </w:p>
  <w:p w14:paraId="29E7888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00873"/>
    </w:sdtPr>
    <w:sdtContent>
      <w:p w14:paraId="14EEEEFA">
        <w:pPr>
          <w:pStyle w:val="6"/>
          <w:rPr>
            <w:sz w:val="21"/>
            <w:szCs w:val="24"/>
          </w:rPr>
        </w:pPr>
        <w:r>
          <w:rPr>
            <w:rFonts w:hint="eastAsia" w:ascii="方正仿宋_GBK" w:eastAsia="方正仿宋_GBK"/>
            <w:sz w:val="28"/>
            <w:szCs w:val="28"/>
          </w:rPr>
          <w:t>—</w:t>
        </w:r>
        <w:r>
          <w:rPr>
            <w:rFonts w:hint="eastAsia" w:ascii="方正仿宋_GBK" w:eastAsia="方正仿宋_GBK"/>
            <w:sz w:val="28"/>
            <w:szCs w:val="28"/>
          </w:rPr>
          <w:fldChar w:fldCharType="begin"/>
        </w:r>
        <w:r>
          <w:rPr>
            <w:rFonts w:hint="eastAsia" w:ascii="方正仿宋_GBK" w:eastAsia="方正仿宋_GBK"/>
            <w:sz w:val="28"/>
            <w:szCs w:val="28"/>
          </w:rPr>
          <w:instrText xml:space="preserve"> PAGE   \* MERGEFORMAT </w:instrText>
        </w:r>
        <w:r>
          <w:rPr>
            <w:rFonts w:hint="eastAsia" w:ascii="方正仿宋_GBK" w:eastAsia="方正仿宋_GBK"/>
            <w:sz w:val="28"/>
            <w:szCs w:val="28"/>
          </w:rPr>
          <w:fldChar w:fldCharType="separate"/>
        </w:r>
        <w:r>
          <w:rPr>
            <w:rFonts w:ascii="方正仿宋_GBK" w:eastAsia="方正仿宋_GBK"/>
            <w:sz w:val="28"/>
            <w:szCs w:val="28"/>
            <w:lang w:val="zh-CN"/>
          </w:rPr>
          <w:t>6</w:t>
        </w:r>
        <w:r>
          <w:rPr>
            <w:rFonts w:hint="eastAsia" w:ascii="方正仿宋_GBK" w:eastAsia="方正仿宋_GBK"/>
            <w:sz w:val="28"/>
            <w:szCs w:val="28"/>
          </w:rPr>
          <w:fldChar w:fldCharType="end"/>
        </w:r>
        <w:r>
          <w:rPr>
            <w:rFonts w:hint="eastAsia" w:ascii="方正仿宋_GBK" w:eastAsia="方正仿宋_GBK"/>
            <w:sz w:val="28"/>
            <w:szCs w:val="28"/>
          </w:rPr>
          <w:t>—</w:t>
        </w:r>
      </w:p>
    </w:sdtContent>
  </w:sdt>
  <w:p w14:paraId="7A23AF1C">
    <w:pPr>
      <w:pStyle w:val="6"/>
    </w:pPr>
  </w:p>
  <w:p w14:paraId="21A7BF99"/>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yZjAyNjRmZjFmYTQ0NTRmNjMxNDFiZDAxZDVmYzgifQ=="/>
  </w:docVars>
  <w:rsids>
    <w:rsidRoot w:val="DDEFA33C"/>
    <w:rsid w:val="00000550"/>
    <w:rsid w:val="00002D64"/>
    <w:rsid w:val="00020764"/>
    <w:rsid w:val="0002749C"/>
    <w:rsid w:val="00047981"/>
    <w:rsid w:val="00050437"/>
    <w:rsid w:val="00062654"/>
    <w:rsid w:val="000B03CB"/>
    <w:rsid w:val="00105658"/>
    <w:rsid w:val="00105DB3"/>
    <w:rsid w:val="00126DE5"/>
    <w:rsid w:val="001424BB"/>
    <w:rsid w:val="00147E03"/>
    <w:rsid w:val="00187BA3"/>
    <w:rsid w:val="001900F7"/>
    <w:rsid w:val="001A3B38"/>
    <w:rsid w:val="001C562C"/>
    <w:rsid w:val="001D3D78"/>
    <w:rsid w:val="001D5EF5"/>
    <w:rsid w:val="001F1C80"/>
    <w:rsid w:val="00207050"/>
    <w:rsid w:val="00221C30"/>
    <w:rsid w:val="00257FEE"/>
    <w:rsid w:val="002A393E"/>
    <w:rsid w:val="002A47A1"/>
    <w:rsid w:val="002B2A63"/>
    <w:rsid w:val="002C03A7"/>
    <w:rsid w:val="00325FD3"/>
    <w:rsid w:val="00331522"/>
    <w:rsid w:val="00357DD5"/>
    <w:rsid w:val="003625C5"/>
    <w:rsid w:val="0039593E"/>
    <w:rsid w:val="00395FFC"/>
    <w:rsid w:val="00397AEA"/>
    <w:rsid w:val="003A69E3"/>
    <w:rsid w:val="003B2F4B"/>
    <w:rsid w:val="003B680C"/>
    <w:rsid w:val="003D0A25"/>
    <w:rsid w:val="003D7D22"/>
    <w:rsid w:val="003E043C"/>
    <w:rsid w:val="003E0547"/>
    <w:rsid w:val="003F0F36"/>
    <w:rsid w:val="00406394"/>
    <w:rsid w:val="004411ED"/>
    <w:rsid w:val="0044491E"/>
    <w:rsid w:val="004551A7"/>
    <w:rsid w:val="004573AF"/>
    <w:rsid w:val="00462582"/>
    <w:rsid w:val="00463DA7"/>
    <w:rsid w:val="00467BE5"/>
    <w:rsid w:val="004829F8"/>
    <w:rsid w:val="00494C3B"/>
    <w:rsid w:val="0049564A"/>
    <w:rsid w:val="004A5113"/>
    <w:rsid w:val="004C3049"/>
    <w:rsid w:val="004D335C"/>
    <w:rsid w:val="004D34F4"/>
    <w:rsid w:val="004E72A4"/>
    <w:rsid w:val="00506D68"/>
    <w:rsid w:val="00523889"/>
    <w:rsid w:val="0053400B"/>
    <w:rsid w:val="00536729"/>
    <w:rsid w:val="005369E2"/>
    <w:rsid w:val="0055700B"/>
    <w:rsid w:val="0056748E"/>
    <w:rsid w:val="00573089"/>
    <w:rsid w:val="0058358D"/>
    <w:rsid w:val="005949AB"/>
    <w:rsid w:val="00596D47"/>
    <w:rsid w:val="005C0BC9"/>
    <w:rsid w:val="005D460C"/>
    <w:rsid w:val="005D6317"/>
    <w:rsid w:val="005E7261"/>
    <w:rsid w:val="005E7595"/>
    <w:rsid w:val="005F549F"/>
    <w:rsid w:val="006143BC"/>
    <w:rsid w:val="0063260E"/>
    <w:rsid w:val="00646723"/>
    <w:rsid w:val="0066455A"/>
    <w:rsid w:val="0069086E"/>
    <w:rsid w:val="00696E62"/>
    <w:rsid w:val="006A5DA1"/>
    <w:rsid w:val="006B2EE4"/>
    <w:rsid w:val="006B7AC3"/>
    <w:rsid w:val="006C6826"/>
    <w:rsid w:val="006D2B23"/>
    <w:rsid w:val="006E2D81"/>
    <w:rsid w:val="00702401"/>
    <w:rsid w:val="00723989"/>
    <w:rsid w:val="007422B8"/>
    <w:rsid w:val="00746A00"/>
    <w:rsid w:val="00761782"/>
    <w:rsid w:val="00763107"/>
    <w:rsid w:val="00780A53"/>
    <w:rsid w:val="0078414E"/>
    <w:rsid w:val="007929CF"/>
    <w:rsid w:val="007A6E54"/>
    <w:rsid w:val="007B0EC2"/>
    <w:rsid w:val="007B2D3D"/>
    <w:rsid w:val="007C286D"/>
    <w:rsid w:val="007D1D85"/>
    <w:rsid w:val="007E5DFD"/>
    <w:rsid w:val="00830C81"/>
    <w:rsid w:val="008368E0"/>
    <w:rsid w:val="00850664"/>
    <w:rsid w:val="00866863"/>
    <w:rsid w:val="008721DA"/>
    <w:rsid w:val="00880D9C"/>
    <w:rsid w:val="00892833"/>
    <w:rsid w:val="008958F5"/>
    <w:rsid w:val="008C6EE3"/>
    <w:rsid w:val="008C748B"/>
    <w:rsid w:val="008D09B9"/>
    <w:rsid w:val="008E1FC6"/>
    <w:rsid w:val="008E3F98"/>
    <w:rsid w:val="008E75B3"/>
    <w:rsid w:val="008F11A0"/>
    <w:rsid w:val="008F2670"/>
    <w:rsid w:val="008F6BC0"/>
    <w:rsid w:val="00904291"/>
    <w:rsid w:val="0092429C"/>
    <w:rsid w:val="00962B3C"/>
    <w:rsid w:val="00986CE2"/>
    <w:rsid w:val="0099613A"/>
    <w:rsid w:val="009A0B9A"/>
    <w:rsid w:val="009B7187"/>
    <w:rsid w:val="009D23CE"/>
    <w:rsid w:val="009D2F7D"/>
    <w:rsid w:val="009E7B9D"/>
    <w:rsid w:val="00A07574"/>
    <w:rsid w:val="00A12BD5"/>
    <w:rsid w:val="00A641E4"/>
    <w:rsid w:val="00A74D89"/>
    <w:rsid w:val="00A90C82"/>
    <w:rsid w:val="00AB3A79"/>
    <w:rsid w:val="00AC42FA"/>
    <w:rsid w:val="00AF684F"/>
    <w:rsid w:val="00B07D1B"/>
    <w:rsid w:val="00B13BEE"/>
    <w:rsid w:val="00B23322"/>
    <w:rsid w:val="00B264B7"/>
    <w:rsid w:val="00B524D7"/>
    <w:rsid w:val="00B64346"/>
    <w:rsid w:val="00B80381"/>
    <w:rsid w:val="00BB17CC"/>
    <w:rsid w:val="00BC1F51"/>
    <w:rsid w:val="00BF3090"/>
    <w:rsid w:val="00C05D20"/>
    <w:rsid w:val="00C15F8C"/>
    <w:rsid w:val="00C42C32"/>
    <w:rsid w:val="00C43658"/>
    <w:rsid w:val="00C51C46"/>
    <w:rsid w:val="00C57659"/>
    <w:rsid w:val="00C72FDA"/>
    <w:rsid w:val="00C768CD"/>
    <w:rsid w:val="00C839E8"/>
    <w:rsid w:val="00C92B04"/>
    <w:rsid w:val="00CB209C"/>
    <w:rsid w:val="00CB626C"/>
    <w:rsid w:val="00CC1333"/>
    <w:rsid w:val="00D049C5"/>
    <w:rsid w:val="00D1414B"/>
    <w:rsid w:val="00D230DC"/>
    <w:rsid w:val="00D4510D"/>
    <w:rsid w:val="00DA4FB8"/>
    <w:rsid w:val="00DC6DEE"/>
    <w:rsid w:val="00DD1FA2"/>
    <w:rsid w:val="00DE5C3D"/>
    <w:rsid w:val="00E15E97"/>
    <w:rsid w:val="00E35738"/>
    <w:rsid w:val="00E46E77"/>
    <w:rsid w:val="00E47D68"/>
    <w:rsid w:val="00E51C72"/>
    <w:rsid w:val="00E65A21"/>
    <w:rsid w:val="00E72DE2"/>
    <w:rsid w:val="00E801CC"/>
    <w:rsid w:val="00EB45D8"/>
    <w:rsid w:val="00EE5CD6"/>
    <w:rsid w:val="00EE740D"/>
    <w:rsid w:val="00F16F32"/>
    <w:rsid w:val="00F27CBF"/>
    <w:rsid w:val="00F63F57"/>
    <w:rsid w:val="00F66F1B"/>
    <w:rsid w:val="00F73BBA"/>
    <w:rsid w:val="00F84048"/>
    <w:rsid w:val="00F92C0C"/>
    <w:rsid w:val="00FA0793"/>
    <w:rsid w:val="00FA7B60"/>
    <w:rsid w:val="00FB29EC"/>
    <w:rsid w:val="00FB6B1D"/>
    <w:rsid w:val="00FC2FCB"/>
    <w:rsid w:val="00FE32F5"/>
    <w:rsid w:val="00FE4E05"/>
    <w:rsid w:val="00FF4593"/>
    <w:rsid w:val="110F1870"/>
    <w:rsid w:val="1687707D"/>
    <w:rsid w:val="392D42CC"/>
    <w:rsid w:val="3F5763D5"/>
    <w:rsid w:val="52D16BAF"/>
    <w:rsid w:val="58E8682F"/>
    <w:rsid w:val="5CB63855"/>
    <w:rsid w:val="715F6003"/>
    <w:rsid w:val="722F4F32"/>
    <w:rsid w:val="7AFF59B3"/>
    <w:rsid w:val="7EDB0FD7"/>
    <w:rsid w:val="7F3A5A52"/>
    <w:rsid w:val="7FBF5282"/>
    <w:rsid w:val="DDEFA33C"/>
    <w:rsid w:val="ECD3B3C2"/>
    <w:rsid w:val="FB6F9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suppressAutoHyphens/>
      <w:spacing w:beforeAutospacing="1" w:afterAutospacing="1"/>
      <w:jc w:val="left"/>
      <w:outlineLvl w:val="0"/>
    </w:pPr>
    <w:rPr>
      <w:rFonts w:hint="eastAsia" w:ascii="宋体" w:hAnsi="宋体" w:eastAsia="宋体"/>
      <w:b/>
      <w:kern w:val="44"/>
      <w:sz w:val="48"/>
      <w:szCs w:val="48"/>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jc w:val="left"/>
    </w:pPr>
    <w:rPr>
      <w:rFonts w:ascii="Calibri" w:hAnsi="Calibri" w:eastAsia="宋体" w:cs="宋体"/>
      <w:szCs w:val="22"/>
    </w:rPr>
  </w:style>
  <w:style w:type="paragraph" w:styleId="4">
    <w:name w:val="Date"/>
    <w:basedOn w:val="1"/>
    <w:next w:val="1"/>
    <w:link w:val="21"/>
    <w:qFormat/>
    <w:uiPriority w:val="0"/>
    <w:pPr>
      <w:ind w:left="100" w:leftChars="2500"/>
    </w:pPr>
  </w:style>
  <w:style w:type="paragraph" w:styleId="5">
    <w:name w:val="Balloon Text"/>
    <w:basedOn w:val="1"/>
    <w:link w:val="19"/>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qFormat/>
    <w:uiPriority w:val="99"/>
    <w:rPr>
      <w:sz w:val="21"/>
      <w:szCs w:val="21"/>
    </w:rPr>
  </w:style>
  <w:style w:type="paragraph" w:customStyle="1" w:styleId="13">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4">
    <w:name w:val="页眉 Char"/>
    <w:basedOn w:val="11"/>
    <w:link w:val="7"/>
    <w:qFormat/>
    <w:uiPriority w:val="0"/>
    <w:rPr>
      <w:kern w:val="2"/>
      <w:sz w:val="18"/>
      <w:szCs w:val="18"/>
    </w:rPr>
  </w:style>
  <w:style w:type="character" w:customStyle="1" w:styleId="15">
    <w:name w:val="页脚 Char"/>
    <w:basedOn w:val="11"/>
    <w:link w:val="6"/>
    <w:qFormat/>
    <w:uiPriority w:val="0"/>
    <w:rPr>
      <w:kern w:val="2"/>
      <w:sz w:val="18"/>
      <w:szCs w:val="18"/>
    </w:rPr>
  </w:style>
  <w:style w:type="paragraph" w:customStyle="1" w:styleId="16">
    <w:name w:val="UserStyle_0"/>
    <w:basedOn w:val="1"/>
    <w:qFormat/>
    <w:uiPriority w:val="0"/>
    <w:pPr>
      <w:autoSpaceDE w:val="0"/>
      <w:autoSpaceDN w:val="0"/>
      <w:spacing w:after="160" w:line="278" w:lineRule="auto"/>
      <w:ind w:firstLine="200" w:firstLineChars="200"/>
      <w:jc w:val="left"/>
    </w:pPr>
    <w:rPr>
      <w:rFonts w:ascii="Calibri" w:hAnsi="Calibri" w:eastAsia="宋体" w:cs="Times New Roman"/>
      <w:color w:val="000000"/>
      <w:kern w:val="0"/>
      <w:sz w:val="22"/>
      <w:szCs w:val="21"/>
      <w:lang w:val="zh-CN" w:bidi="zh-CN"/>
    </w:rPr>
  </w:style>
  <w:style w:type="character" w:customStyle="1" w:styleId="17">
    <w:name w:val="Body text|1_"/>
    <w:link w:val="18"/>
    <w:qFormat/>
    <w:uiPriority w:val="0"/>
    <w:rPr>
      <w:rFonts w:ascii="宋体" w:hAnsi="宋体" w:cs="宋体"/>
      <w:sz w:val="30"/>
      <w:szCs w:val="30"/>
      <w:lang w:val="zh-TW" w:eastAsia="zh-TW" w:bidi="zh-TW"/>
    </w:rPr>
  </w:style>
  <w:style w:type="paragraph" w:customStyle="1" w:styleId="18">
    <w:name w:val="Body text|1"/>
    <w:basedOn w:val="1"/>
    <w:link w:val="17"/>
    <w:qFormat/>
    <w:uiPriority w:val="0"/>
    <w:pPr>
      <w:spacing w:line="408" w:lineRule="auto"/>
      <w:ind w:firstLine="400"/>
      <w:jc w:val="left"/>
    </w:pPr>
    <w:rPr>
      <w:rFonts w:ascii="宋体" w:hAnsi="宋体" w:cs="宋体"/>
      <w:kern w:val="0"/>
      <w:sz w:val="30"/>
      <w:szCs w:val="30"/>
      <w:lang w:val="zh-TW" w:eastAsia="zh-TW" w:bidi="zh-TW"/>
    </w:rPr>
  </w:style>
  <w:style w:type="character" w:customStyle="1" w:styleId="19">
    <w:name w:val="批注框文本 Char"/>
    <w:basedOn w:val="11"/>
    <w:link w:val="5"/>
    <w:qFormat/>
    <w:uiPriority w:val="0"/>
    <w:rPr>
      <w:kern w:val="2"/>
      <w:sz w:val="18"/>
      <w:szCs w:val="18"/>
    </w:rPr>
  </w:style>
  <w:style w:type="character" w:customStyle="1" w:styleId="20">
    <w:name w:val="批注文字 Char"/>
    <w:basedOn w:val="11"/>
    <w:link w:val="3"/>
    <w:qFormat/>
    <w:uiPriority w:val="99"/>
    <w:rPr>
      <w:rFonts w:ascii="Calibri" w:hAnsi="Calibri" w:eastAsia="宋体" w:cs="宋体"/>
      <w:kern w:val="2"/>
      <w:sz w:val="21"/>
      <w:szCs w:val="22"/>
    </w:rPr>
  </w:style>
  <w:style w:type="character" w:customStyle="1" w:styleId="21">
    <w:name w:val="日期 Char"/>
    <w:basedOn w:val="11"/>
    <w:link w:val="4"/>
    <w:qFormat/>
    <w:uiPriority w:val="0"/>
    <w:rPr>
      <w:kern w:val="2"/>
      <w:sz w:val="21"/>
      <w:szCs w:val="24"/>
    </w:rPr>
  </w:style>
  <w:style w:type="character" w:customStyle="1" w:styleId="22">
    <w:name w:val="标题 1 Char"/>
    <w:basedOn w:val="11"/>
    <w:link w:val="2"/>
    <w:qFormat/>
    <w:uiPriority w:val="0"/>
    <w:rPr>
      <w:rFonts w:ascii="宋体" w:hAnsi="宋体" w:eastAsia="宋体"/>
      <w:b/>
      <w:kern w:val="44"/>
      <w:sz w:val="48"/>
      <w:szCs w:val="48"/>
    </w:rPr>
  </w:style>
  <w:style w:type="paragraph" w:styleId="2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2387</Words>
  <Characters>2512</Characters>
  <Lines>18</Lines>
  <Paragraphs>5</Paragraphs>
  <TotalTime>1</TotalTime>
  <ScaleCrop>false</ScaleCrop>
  <LinksUpToDate>false</LinksUpToDate>
  <CharactersWithSpaces>2512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2024-02-03T00:58:00Z</dcterms:created>
  <dc:creator>风筝断了线</dc:creator>
  <cp:lastModifiedBy>silence</cp:lastModifiedBy>
  <cp:lastPrinted>2024-02-26T22:23:00Z</cp:lastPrinted>
  <dcterms:modified xsi:type="dcterms:W3CDTF">2026-07-08T02:47:41Z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44C7365DE00C5BFF7832CB698E022158_43</vt:lpwstr>
  </property>
  <property fmtid="{D5CDD505-2E9C-101B-9397-08002B2CF9AE}" pid="4" name="KSOTemplateDocerSaveRecord">
    <vt:lpwstr>eyJoZGlkIjoiZjRmYWUxOWJhMWE5OGFmZGQyNzA0NjBkZTNhOGRjMDEiLCJ1c2VySWQiOiIyNDg4ODMzNzUifQ==</vt:lpwstr>
  </property>
</Properties>
</file>