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81AB9">
      <w:pPr>
        <w:spacing w:line="600" w:lineRule="exact"/>
        <w:jc w:val="center"/>
        <w:rPr>
          <w:rFonts w:hint="eastAsia" w:ascii="方正小标宋_GBK" w:hAnsi="华文中宋" w:eastAsia="方正小标宋_GBK" w:cs="华文中宋"/>
          <w:sz w:val="44"/>
          <w:szCs w:val="44"/>
        </w:rPr>
      </w:pPr>
      <w:r>
        <w:rPr>
          <w:rFonts w:hint="eastAsia" w:ascii="方正小标宋_GBK" w:hAnsi="华文中宋" w:eastAsia="方正小标宋_GBK" w:cs="华文中宋"/>
          <w:sz w:val="44"/>
          <w:szCs w:val="44"/>
        </w:rPr>
        <w:t>重庆高新区政务服务和社会事务中心</w:t>
      </w:r>
    </w:p>
    <w:p w14:paraId="2C4F735C">
      <w:pPr>
        <w:spacing w:line="600" w:lineRule="exact"/>
        <w:jc w:val="center"/>
        <w:rPr>
          <w:rFonts w:ascii="方正小标宋_GBK" w:hAnsi="华文中宋" w:eastAsia="方正小标宋_GBK" w:cs="华文中宋"/>
          <w:sz w:val="44"/>
          <w:szCs w:val="44"/>
        </w:rPr>
      </w:pPr>
      <w:r>
        <w:rPr>
          <w:rFonts w:hint="eastAsia" w:ascii="方正小标宋_GBK" w:hAnsi="华文中宋" w:eastAsia="方正小标宋_GBK" w:cs="华文中宋"/>
          <w:sz w:val="44"/>
          <w:szCs w:val="44"/>
        </w:rPr>
        <w:t>2026年单位预算情况说明</w:t>
      </w:r>
    </w:p>
    <w:p w14:paraId="43791D00">
      <w:pPr>
        <w:spacing w:line="600" w:lineRule="exact"/>
        <w:ind w:firstLine="880" w:firstLineChars="200"/>
        <w:jc w:val="center"/>
        <w:rPr>
          <w:rFonts w:ascii="华文中宋" w:hAnsi="华文中宋" w:eastAsia="华文中宋" w:cs="华文中宋"/>
          <w:sz w:val="44"/>
          <w:szCs w:val="44"/>
        </w:rPr>
      </w:pPr>
    </w:p>
    <w:p w14:paraId="0EACF4E2">
      <w:pPr>
        <w:spacing w:line="60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一、单位基本情况</w:t>
      </w:r>
    </w:p>
    <w:p w14:paraId="43BA84E6">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（一）职能职责</w:t>
      </w:r>
    </w:p>
    <w:p w14:paraId="755C85EC">
      <w:pPr>
        <w:tabs>
          <w:tab w:val="center" w:pos="4153"/>
          <w:tab w:val="left" w:pos="7275"/>
        </w:tabs>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承担高新区行政审批事项和服务事项集中办理服务；承担高新区体育、劳动就业、社会保障</w:t>
      </w:r>
      <w:bookmarkStart w:id="0" w:name="_GoBack"/>
      <w:bookmarkEnd w:id="0"/>
      <w:r>
        <w:rPr>
          <w:rFonts w:hint="eastAsia" w:ascii="方正仿宋_GBK" w:hAnsi="仿宋_GB2312" w:eastAsia="方正仿宋_GBK" w:cs="仿宋_GB2312"/>
          <w:sz w:val="32"/>
          <w:szCs w:val="20"/>
        </w:rPr>
        <w:t>、医疗保障、残联等方面的具体事务性工作。负责人力社保工作中除专业技术人员管理、事业单位人事管理、工资福利和表彰奖励工作以外的事务性工作。</w:t>
      </w:r>
    </w:p>
    <w:p w14:paraId="0B20CFC4">
      <w:pPr>
        <w:tabs>
          <w:tab w:val="center" w:pos="4153"/>
          <w:tab w:val="left" w:pos="7275"/>
        </w:tabs>
        <w:spacing w:line="600" w:lineRule="exact"/>
        <w:ind w:left="640"/>
        <w:rPr>
          <w:rFonts w:ascii="方正仿宋_GBK" w:hAnsi="仿宋_GB2312" w:eastAsia="方正仿宋_GBK" w:cs="仿宋_GB2312"/>
          <w:sz w:val="32"/>
          <w:szCs w:val="22"/>
        </w:rPr>
      </w:pPr>
      <w:r>
        <w:rPr>
          <w:rFonts w:hint="eastAsia" w:ascii="方正仿宋_GBK" w:hAnsi="仿宋_GB2312" w:eastAsia="方正仿宋_GBK" w:cs="仿宋_GB2312"/>
          <w:sz w:val="32"/>
          <w:szCs w:val="22"/>
        </w:rPr>
        <w:t>（二）单位构成</w:t>
      </w:r>
    </w:p>
    <w:p w14:paraId="6B4FCE9B">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内设综合部、社会保障事务部、医疗保障事务部、劳动就业事务部、体育帮扶事务部、政务服务管理部、劳动人事争议仲裁院。</w:t>
      </w:r>
    </w:p>
    <w:p w14:paraId="7F3CAD07">
      <w:pPr>
        <w:spacing w:line="60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二、单位收支总体情况</w:t>
      </w:r>
    </w:p>
    <w:p w14:paraId="54ADC279">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一）收入预算：2026年年初预算数20778.49万元，其中：一般公共预算拨款19303.39万元，政府性基金预算拨款1471.1万元，国有资本经营预算收入4万元，无事业收入、事业单位经营收入及其他收入。收入较2025年增加1840.26万元，主要是一般公共预算拨款增加1653.36万元，政府性基金预算拨款增加186.9万元。</w:t>
      </w:r>
    </w:p>
    <w:p w14:paraId="03356749">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二）支出预算：2026年年初预算数20778.49万元，其中：社会保障和就业支出预算14252.15万元，卫生健康支出预算4463.51万元，农林水支出542万元，住房保障支出预算45.73万元，国有资本经营预算支出4万元，其他支出1471.1万元。支出预算较2025年增加1840.26万元，主要是基本支出预算增加100.21万元，项目支出预算增加1553.15万元，政府性基金预算财政拨款支出增加186.9万元。</w:t>
      </w:r>
    </w:p>
    <w:p w14:paraId="18BE36AD">
      <w:pPr>
        <w:spacing w:line="600" w:lineRule="exact"/>
        <w:ind w:firstLine="640" w:firstLineChars="200"/>
        <w:rPr>
          <w:rFonts w:ascii="方正仿宋_GBK" w:hAnsi="黑体" w:eastAsia="方正仿宋_GBK" w:cs="仿宋_GB2312"/>
          <w:sz w:val="32"/>
          <w:szCs w:val="20"/>
        </w:rPr>
      </w:pPr>
      <w:r>
        <w:rPr>
          <w:rFonts w:hint="eastAsia" w:ascii="方正黑体_GBK" w:hAnsi="黑体" w:eastAsia="方正黑体_GBK" w:cs="仿宋_GB2312"/>
          <w:sz w:val="32"/>
          <w:szCs w:val="20"/>
        </w:rPr>
        <w:t>三</w:t>
      </w:r>
      <w:r>
        <w:rPr>
          <w:rFonts w:ascii="方正黑体_GBK" w:hAnsi="黑体" w:eastAsia="方正黑体_GBK" w:cs="仿宋_GB2312"/>
          <w:sz w:val="32"/>
          <w:szCs w:val="20"/>
        </w:rPr>
        <w:t>、</w:t>
      </w:r>
      <w:r>
        <w:rPr>
          <w:rFonts w:hint="eastAsia" w:ascii="方正黑体_GBK" w:hAnsi="黑体" w:eastAsia="方正黑体_GBK" w:cs="仿宋_GB2312"/>
          <w:sz w:val="32"/>
          <w:szCs w:val="20"/>
        </w:rPr>
        <w:t>单位预算情况说明</w:t>
      </w:r>
    </w:p>
    <w:p w14:paraId="579EAE9C">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2026年一般公共预算财政拨款收入19303.39万元，一般公共预算财政拨款支出19303.39万元，比2025年增加1653.36万元。其中：基本支出1682.68万元，比2025年增加100.21万元，主要原因是在职人员数量增加，用于保障在职人员工资福利及社会保险缴费等；项目支出17620.71万元，比2025年增加1553.15万元，主要原因是社会保障和就业支出增加等，为青年人才提供就业创业、保障重点群体就业、加大社保补贴，支持企业稳岗扩岗。</w:t>
      </w:r>
    </w:p>
    <w:p w14:paraId="71F26C7B">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2026年政府性基金预算收入1471.1万元，政府性基金预算支出1471.1万元，比2025年增加186.9万元，主要原因是2026年体彩公益金区级分成增加，主要用于发展群众体育和竞技体育事业，开展体育设施建设等工作。</w:t>
      </w:r>
    </w:p>
    <w:p w14:paraId="273C42DA">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2026年国有资本经营预算收入4万元，国有资本经营预算支出4万元，与2025年持平，主要用于国有企业退休人员社会化管理服务，让企业退休人员老有所养、老有所医</w:t>
      </w:r>
      <w:r>
        <w:rPr>
          <w:rFonts w:ascii="方正仿宋_GBK" w:hAnsi="仿宋_GB2312" w:eastAsia="方正仿宋_GBK" w:cs="仿宋_GB2312"/>
          <w:sz w:val="32"/>
          <w:szCs w:val="20"/>
        </w:rPr>
        <w:t>、</w:t>
      </w:r>
      <w:r>
        <w:rPr>
          <w:rFonts w:hint="eastAsia" w:ascii="方正仿宋_GBK" w:hAnsi="仿宋_GB2312" w:eastAsia="方正仿宋_GBK" w:cs="仿宋_GB2312"/>
          <w:sz w:val="32"/>
          <w:szCs w:val="20"/>
        </w:rPr>
        <w:t>老有所教</w:t>
      </w:r>
      <w:r>
        <w:rPr>
          <w:rFonts w:ascii="方正仿宋_GBK" w:hAnsi="仿宋_GB2312" w:eastAsia="方正仿宋_GBK" w:cs="仿宋_GB2312"/>
          <w:sz w:val="32"/>
          <w:szCs w:val="20"/>
        </w:rPr>
        <w:t xml:space="preserve">、 </w:t>
      </w:r>
    </w:p>
    <w:p w14:paraId="7C1C1833">
      <w:pPr>
        <w:spacing w:line="600" w:lineRule="exact"/>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老有所学</w:t>
      </w:r>
      <w:r>
        <w:rPr>
          <w:rFonts w:ascii="方正仿宋_GBK" w:hAnsi="仿宋_GB2312" w:eastAsia="方正仿宋_GBK" w:cs="仿宋_GB2312"/>
          <w:sz w:val="32"/>
          <w:szCs w:val="20"/>
        </w:rPr>
        <w:t>、</w:t>
      </w:r>
      <w:r>
        <w:rPr>
          <w:rFonts w:hint="eastAsia" w:ascii="方正仿宋_GBK" w:hAnsi="仿宋_GB2312" w:eastAsia="方正仿宋_GBK" w:cs="仿宋_GB2312"/>
          <w:sz w:val="32"/>
          <w:szCs w:val="20"/>
        </w:rPr>
        <w:t>老有所为</w:t>
      </w:r>
      <w:r>
        <w:rPr>
          <w:rFonts w:ascii="方正仿宋_GBK" w:hAnsi="仿宋_GB2312" w:eastAsia="方正仿宋_GBK" w:cs="仿宋_GB2312"/>
          <w:sz w:val="32"/>
          <w:szCs w:val="20"/>
        </w:rPr>
        <w:t>、</w:t>
      </w:r>
      <w:r>
        <w:rPr>
          <w:rFonts w:hint="eastAsia" w:ascii="方正仿宋_GBK" w:hAnsi="仿宋_GB2312" w:eastAsia="方正仿宋_GBK" w:cs="仿宋_GB2312"/>
          <w:sz w:val="32"/>
          <w:szCs w:val="20"/>
        </w:rPr>
        <w:t>老有所乐。</w:t>
      </w:r>
    </w:p>
    <w:p w14:paraId="2EB22E70">
      <w:pPr>
        <w:spacing w:line="600" w:lineRule="exact"/>
        <w:ind w:firstLine="640" w:firstLineChars="200"/>
        <w:rPr>
          <w:rFonts w:ascii="方正仿宋_GBK" w:hAnsi="黑体" w:eastAsia="方正仿宋_GBK" w:cs="仿宋_GB2312"/>
          <w:sz w:val="32"/>
          <w:szCs w:val="20"/>
        </w:rPr>
      </w:pPr>
      <w:r>
        <w:rPr>
          <w:rFonts w:hint="eastAsia" w:ascii="方正黑体_GBK" w:hAnsi="黑体" w:eastAsia="方正黑体_GBK" w:cs="仿宋_GB2312"/>
          <w:sz w:val="32"/>
          <w:szCs w:val="20"/>
        </w:rPr>
        <w:t>四</w:t>
      </w:r>
      <w:r>
        <w:rPr>
          <w:rFonts w:ascii="方正黑体_GBK" w:hAnsi="黑体" w:eastAsia="方正黑体_GBK" w:cs="仿宋_GB2312"/>
          <w:sz w:val="32"/>
          <w:szCs w:val="20"/>
        </w:rPr>
        <w:t>、</w:t>
      </w:r>
      <w:r>
        <w:rPr>
          <w:rFonts w:hint="eastAsia" w:ascii="方正黑体_GBK" w:hAnsi="黑体" w:eastAsia="方正黑体_GBK" w:cs="仿宋_GB2312"/>
          <w:sz w:val="32"/>
          <w:szCs w:val="20"/>
        </w:rPr>
        <w:t>“三公”经费情况说明</w:t>
      </w:r>
    </w:p>
    <w:p w14:paraId="5E375CB7">
      <w:pPr>
        <w:spacing w:line="600" w:lineRule="exact"/>
        <w:ind w:firstLine="6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2026年“三公”经费预算20万元，比2025年增加2万元。其中：因公出国（境）费用0万元，与2025年持平；公务接待费2万元，较2025年增加2万元，主要原因是本年度因工作需要，按规定开展上级督导检查、业务交流调研等公务接待活动，相应增加公务接待经费；公务用车运行维护费18万元，与2025年持平。</w:t>
      </w:r>
    </w:p>
    <w:p w14:paraId="51FC143E">
      <w:pPr>
        <w:spacing w:line="60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五、其他重要事项的情况说明</w:t>
      </w:r>
    </w:p>
    <w:p w14:paraId="66A3234E">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color w:val="000000"/>
          <w:sz w:val="32"/>
          <w:szCs w:val="20"/>
        </w:rPr>
        <w:t>（一）</w:t>
      </w:r>
      <w:r>
        <w:rPr>
          <w:rFonts w:hint="eastAsia" w:ascii="方正仿宋_GBK" w:hAnsi="仿宋_GB2312" w:eastAsia="方正仿宋_GBK" w:cs="仿宋_GB2312"/>
          <w:sz w:val="32"/>
          <w:szCs w:val="20"/>
        </w:rPr>
        <w:t>我单位不在机关运行经费统计范围之内。</w:t>
      </w:r>
    </w:p>
    <w:p w14:paraId="268BCFC5">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color w:val="000000"/>
          <w:sz w:val="32"/>
          <w:szCs w:val="20"/>
        </w:rPr>
        <w:t>（二）</w:t>
      </w:r>
      <w:r>
        <w:rPr>
          <w:rFonts w:hint="eastAsia" w:ascii="方正仿宋_GBK" w:hAnsi="仿宋_GB2312" w:eastAsia="方正仿宋_GBK" w:cs="仿宋_GB2312"/>
          <w:sz w:val="32"/>
          <w:szCs w:val="20"/>
        </w:rPr>
        <w:t>政府采购情况。本单位政府采购预算总额250万元：政府采购服务预算250万元。</w:t>
      </w:r>
    </w:p>
    <w:p w14:paraId="0832D43A">
      <w:pPr>
        <w:spacing w:line="600" w:lineRule="exact"/>
        <w:ind w:firstLine="640" w:firstLineChars="200"/>
        <w:rPr>
          <w:rFonts w:ascii="方正仿宋_GBK" w:hAnsi="仿宋_GB2312" w:eastAsia="方正仿宋_GBK" w:cs="仿宋_GB2312"/>
          <w:color w:val="000000"/>
          <w:sz w:val="32"/>
          <w:szCs w:val="20"/>
        </w:rPr>
      </w:pPr>
      <w:r>
        <w:rPr>
          <w:rFonts w:hint="eastAsia" w:ascii="方正仿宋_GBK" w:hAnsi="仿宋_GB2312" w:eastAsia="方正仿宋_GBK" w:cs="仿宋_GB2312"/>
          <w:color w:val="000000"/>
          <w:sz w:val="32"/>
          <w:szCs w:val="20"/>
        </w:rPr>
        <w:t>（三）</w:t>
      </w:r>
      <w:r>
        <w:rPr>
          <w:rFonts w:hint="eastAsia" w:ascii="方正仿宋_GBK" w:hAnsi="仿宋_GB2312" w:eastAsia="方正仿宋_GBK" w:cs="仿宋_GB2312"/>
          <w:sz w:val="32"/>
          <w:szCs w:val="20"/>
        </w:rPr>
        <w:t>绩效目标设置情况。</w:t>
      </w:r>
      <w:r>
        <w:rPr>
          <w:rFonts w:hint="eastAsia" w:ascii="方正仿宋_GBK" w:hAnsi="仿宋_GB2312" w:eastAsia="方正仿宋_GBK" w:cs="仿宋_GB2312"/>
          <w:color w:val="000000"/>
          <w:sz w:val="32"/>
          <w:szCs w:val="20"/>
        </w:rPr>
        <w:t>2026年项目支出均实行了绩效目标管理，涉及一般公共预算当年财政拨款</w:t>
      </w:r>
      <w:r>
        <w:rPr>
          <w:rFonts w:hint="eastAsia" w:ascii="方正仿宋_GBK" w:hAnsi="仿宋_GB2312" w:eastAsia="方正仿宋_GBK" w:cs="仿宋_GB2312"/>
          <w:sz w:val="32"/>
          <w:szCs w:val="20"/>
        </w:rPr>
        <w:t>19303.39</w:t>
      </w:r>
      <w:r>
        <w:rPr>
          <w:rFonts w:hint="eastAsia" w:ascii="方正仿宋_GBK" w:hAnsi="仿宋_GB2312" w:eastAsia="方正仿宋_GBK" w:cs="仿宋_GB2312"/>
          <w:color w:val="000000"/>
          <w:sz w:val="32"/>
          <w:szCs w:val="20"/>
        </w:rPr>
        <w:t>万元。</w:t>
      </w:r>
    </w:p>
    <w:p w14:paraId="264F1D26">
      <w:pPr>
        <w:spacing w:line="600" w:lineRule="exact"/>
        <w:ind w:firstLine="640" w:firstLineChars="200"/>
        <w:rPr>
          <w:rFonts w:ascii="方正仿宋_GBK" w:hAnsi="仿宋_GB2312" w:eastAsia="方正仿宋_GBK" w:cs="仿宋_GB2312"/>
          <w:color w:val="000000"/>
          <w:sz w:val="32"/>
          <w:szCs w:val="20"/>
        </w:rPr>
      </w:pPr>
      <w:r>
        <w:rPr>
          <w:rFonts w:hint="eastAsia" w:ascii="方正仿宋_GBK" w:hAnsi="仿宋_GB2312" w:eastAsia="方正仿宋_GBK" w:cs="仿宋_GB2312"/>
          <w:color w:val="000000"/>
          <w:sz w:val="32"/>
          <w:szCs w:val="20"/>
        </w:rPr>
        <w:t>（四）国有资产占有使用情况。</w:t>
      </w:r>
      <w:r>
        <w:rPr>
          <w:rFonts w:hint="eastAsia" w:ascii="方正仿宋_GBK" w:hAnsi="仿宋_GB2312" w:eastAsia="方正仿宋_GBK" w:cs="仿宋_GB2312"/>
          <w:color w:val="000000"/>
          <w:sz w:val="32"/>
          <w:szCs w:val="20"/>
          <w:lang w:eastAsia="zh-CN"/>
        </w:rPr>
        <w:t>截至</w:t>
      </w:r>
      <w:r>
        <w:rPr>
          <w:rFonts w:hint="eastAsia" w:ascii="方正仿宋_GBK" w:hAnsi="仿宋_GB2312" w:eastAsia="方正仿宋_GBK" w:cs="仿宋_GB2312"/>
          <w:color w:val="000000"/>
          <w:sz w:val="32"/>
          <w:szCs w:val="20"/>
        </w:rPr>
        <w:t>2025年12月，本单位共有车辆4辆，其中一般公务用车4辆、执勤执法用车0辆。2026年无一般公共预算车辆购置安排。</w:t>
      </w:r>
    </w:p>
    <w:p w14:paraId="1D879EB8">
      <w:pPr>
        <w:adjustRightInd w:val="0"/>
        <w:snapToGrid w:val="0"/>
        <w:spacing w:line="600" w:lineRule="exact"/>
        <w:ind w:firstLine="640" w:firstLineChars="200"/>
        <w:rPr>
          <w:rFonts w:ascii="方正仿宋_GBK" w:hAnsi="仿宋_GB2312" w:eastAsia="方正仿宋_GBK" w:cs="仿宋_GB2312"/>
          <w:color w:val="000000"/>
          <w:sz w:val="32"/>
          <w:szCs w:val="20"/>
        </w:rPr>
      </w:pPr>
      <w:r>
        <w:rPr>
          <w:rFonts w:hint="eastAsia" w:ascii="方正仿宋_GBK" w:hAnsi="仿宋_GB2312" w:eastAsia="方正仿宋_GBK" w:cs="仿宋_GB2312"/>
          <w:color w:val="000000"/>
          <w:sz w:val="32"/>
          <w:szCs w:val="20"/>
        </w:rPr>
        <w:t>（五）委托业务费情况。2026年委托业务费涉及财拨资金10万元，主要用于财务审计、法律咨询等支出。</w:t>
      </w:r>
    </w:p>
    <w:p w14:paraId="6D9C0BCE">
      <w:pPr>
        <w:spacing w:line="60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六</w:t>
      </w:r>
      <w:r>
        <w:rPr>
          <w:rFonts w:ascii="方正黑体_GBK" w:hAnsi="黑体" w:eastAsia="方正黑体_GBK" w:cs="仿宋_GB2312"/>
          <w:sz w:val="32"/>
          <w:szCs w:val="20"/>
        </w:rPr>
        <w:t>、</w:t>
      </w:r>
      <w:r>
        <w:rPr>
          <w:rFonts w:hint="eastAsia" w:ascii="方正黑体_GBK" w:hAnsi="黑体" w:eastAsia="方正黑体_GBK" w:cs="仿宋_GB2312"/>
          <w:sz w:val="32"/>
          <w:szCs w:val="20"/>
        </w:rPr>
        <w:t>专业性名词解释</w:t>
      </w:r>
    </w:p>
    <w:p w14:paraId="7CD18F85">
      <w:pPr>
        <w:spacing w:line="600" w:lineRule="exact"/>
        <w:ind w:firstLine="640" w:firstLineChars="200"/>
        <w:rPr>
          <w:rFonts w:ascii="方正仿宋_GBK" w:hAnsi="仿宋_GB2312" w:eastAsia="方正仿宋_GBK" w:cs="仿宋_GB2312"/>
          <w:color w:val="000000"/>
          <w:sz w:val="32"/>
          <w:szCs w:val="20"/>
        </w:rPr>
      </w:pPr>
      <w:r>
        <w:rPr>
          <w:rFonts w:hint="eastAsia" w:ascii="方正仿宋_GBK" w:hAnsi="仿宋_GB2312" w:eastAsia="方正仿宋_GBK" w:cs="仿宋_GB2312"/>
          <w:color w:val="000000"/>
          <w:sz w:val="32"/>
          <w:szCs w:val="20"/>
        </w:rPr>
        <w:t>（一）财政拨款收入：指本年度从本级财政部门取得的财政拨款，包括一般公共预算财政拨款和政府性基金预算财政拨款。</w:t>
      </w:r>
    </w:p>
    <w:p w14:paraId="711B8B39">
      <w:pPr>
        <w:spacing w:line="600" w:lineRule="exact"/>
        <w:ind w:firstLine="640" w:firstLineChars="200"/>
        <w:rPr>
          <w:rFonts w:ascii="方正仿宋_GBK" w:hAnsi="仿宋_GB2312" w:eastAsia="方正仿宋_GBK" w:cs="仿宋_GB2312"/>
          <w:color w:val="000000"/>
          <w:sz w:val="32"/>
          <w:szCs w:val="20"/>
        </w:rPr>
      </w:pPr>
      <w:r>
        <w:rPr>
          <w:rFonts w:hint="eastAsia" w:ascii="方正仿宋_GBK" w:hAnsi="仿宋_GB2312" w:eastAsia="方正仿宋_GBK" w:cs="仿宋_GB2312"/>
          <w:color w:val="000000"/>
          <w:sz w:val="32"/>
          <w:szCs w:val="20"/>
        </w:rPr>
        <w:t>（二）其他收入：指债务收入、投资收益等收入，单位根据情况合理预计，全部编入预算。</w:t>
      </w:r>
    </w:p>
    <w:p w14:paraId="1F57C740">
      <w:pPr>
        <w:spacing w:line="600" w:lineRule="exact"/>
        <w:ind w:firstLine="640" w:firstLineChars="200"/>
        <w:rPr>
          <w:rFonts w:ascii="方正仿宋_GBK" w:hAnsi="仿宋_GB2312" w:eastAsia="方正仿宋_GBK" w:cs="仿宋_GB2312"/>
          <w:color w:val="000000"/>
          <w:sz w:val="32"/>
          <w:szCs w:val="20"/>
        </w:rPr>
      </w:pPr>
      <w:r>
        <w:rPr>
          <w:rFonts w:hint="eastAsia" w:ascii="方正仿宋_GBK" w:hAnsi="仿宋_GB2312" w:eastAsia="方正仿宋_GBK" w:cs="仿宋_GB2312"/>
          <w:color w:val="000000"/>
          <w:sz w:val="32"/>
          <w:szCs w:val="20"/>
        </w:rPr>
        <w:t>（三）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EE98518">
      <w:pPr>
        <w:spacing w:line="600" w:lineRule="exact"/>
        <w:ind w:firstLine="640" w:firstLineChars="200"/>
        <w:rPr>
          <w:rFonts w:ascii="方正仿宋_GBK" w:hAnsi="仿宋_GB2312" w:eastAsia="方正仿宋_GBK" w:cs="仿宋_GB2312"/>
          <w:color w:val="000000"/>
          <w:sz w:val="32"/>
          <w:szCs w:val="20"/>
        </w:rPr>
      </w:pPr>
      <w:r>
        <w:rPr>
          <w:rFonts w:hint="eastAsia" w:ascii="方正仿宋_GBK" w:hAnsi="仿宋_GB2312" w:eastAsia="方正仿宋_GBK" w:cs="仿宋_GB2312"/>
          <w:color w:val="000000"/>
          <w:sz w:val="32"/>
          <w:szCs w:val="20"/>
        </w:rPr>
        <w:t>（四）项目支出：指在基本支出之外为完成特定行政任务和事业发展目标所发生的支出。</w:t>
      </w:r>
    </w:p>
    <w:p w14:paraId="2DA5F6CB">
      <w:pPr>
        <w:spacing w:line="600" w:lineRule="exact"/>
        <w:ind w:firstLine="640" w:firstLineChars="200"/>
        <w:rPr>
          <w:rFonts w:ascii="方正仿宋_GBK" w:hAnsi="仿宋_GB2312" w:eastAsia="方正仿宋_GBK" w:cs="仿宋_GB2312"/>
          <w:color w:val="000000"/>
          <w:sz w:val="32"/>
          <w:szCs w:val="20"/>
        </w:rPr>
      </w:pPr>
      <w:r>
        <w:rPr>
          <w:rFonts w:hint="eastAsia" w:ascii="方正仿宋_GBK" w:hAnsi="仿宋_GB2312" w:eastAsia="方正仿宋_GBK" w:cs="仿宋_GB2312"/>
          <w:color w:val="000000"/>
          <w:sz w:val="32"/>
          <w:szCs w:val="20"/>
        </w:rPr>
        <w:t>（五）“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36D81E6">
      <w:pPr>
        <w:spacing w:line="600" w:lineRule="exact"/>
        <w:ind w:firstLine="640" w:firstLineChars="200"/>
        <w:rPr>
          <w:rFonts w:ascii="方正仿宋_GBK" w:hAnsi="仿宋_GB2312" w:eastAsia="方正仿宋_GBK" w:cs="仿宋_GB2312"/>
          <w:color w:val="000000"/>
          <w:sz w:val="32"/>
          <w:szCs w:val="20"/>
        </w:rPr>
      </w:pPr>
    </w:p>
    <w:p w14:paraId="37728524">
      <w:pPr>
        <w:spacing w:line="600" w:lineRule="exact"/>
        <w:ind w:firstLine="640" w:firstLineChars="200"/>
        <w:rPr>
          <w:rFonts w:ascii="方正仿宋_GBK" w:eastAsia="方正仿宋_GBK"/>
          <w:sz w:val="32"/>
          <w:szCs w:val="32"/>
        </w:rPr>
      </w:pPr>
      <w:r>
        <w:rPr>
          <w:rFonts w:hint="eastAsia" w:ascii="方正仿宋_GBK" w:hAnsi="Times New Roman" w:eastAsia="方正仿宋_GBK" w:cs="Times New Roman"/>
          <w:sz w:val="32"/>
          <w:szCs w:val="20"/>
        </w:rPr>
        <w:t>（</w:t>
      </w:r>
      <w:r>
        <w:rPr>
          <w:rFonts w:hint="eastAsia" w:ascii="方正仿宋_GBK" w:hAnsi="仿宋_GB2312" w:eastAsia="方正仿宋_GBK" w:cs="仿宋_GB2312"/>
          <w:sz w:val="32"/>
          <w:szCs w:val="20"/>
        </w:rPr>
        <w:t>部门预算公开联系人：钟绍铃</w:t>
      </w:r>
      <w:r>
        <w:rPr>
          <w:rFonts w:hint="eastAsia" w:ascii="方正仿宋_GBK" w:hAnsi="Times New Roman" w:eastAsia="方正仿宋_GBK" w:cs="Times New Roman"/>
          <w:sz w:val="32"/>
          <w:szCs w:val="20"/>
        </w:rPr>
        <w:t>，联系方式：023-68680179）</w:t>
      </w:r>
    </w:p>
    <w:sectPr>
      <w:footerReference r:id="rId3" w:type="default"/>
      <w:footerReference r:id="rId4" w:type="even"/>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0A79FA-87EE-4C36-9904-643EC2D119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2" w:fontKey="{6B7986E8-8B27-4CC4-8839-D3D67C013B3F}"/>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D9DD6795-E6CA-40CC-AD28-91B849148797}"/>
  </w:font>
  <w:font w:name="华文中宋">
    <w:altName w:val="宋体"/>
    <w:panose1 w:val="02010600040101010101"/>
    <w:charset w:val="86"/>
    <w:family w:val="auto"/>
    <w:pitch w:val="default"/>
    <w:sig w:usb0="00000000" w:usb1="00000000" w:usb2="00000010" w:usb3="00000000" w:csb0="0004009F" w:csb1="00000000"/>
    <w:embedRegular r:id="rId4" w:fontKey="{7A92CC5D-BB19-4E90-BBB2-D0FD635DC08A}"/>
  </w:font>
  <w:font w:name="方正黑体_GBK">
    <w:panose1 w:val="02010600010101010101"/>
    <w:charset w:val="86"/>
    <w:family w:val="script"/>
    <w:pitch w:val="default"/>
    <w:sig w:usb0="00000001" w:usb1="080E0000" w:usb2="00000000" w:usb3="00000000" w:csb0="00040000" w:csb1="00000000"/>
    <w:embedRegular r:id="rId5" w:fontKey="{9DE86C02-5B60-4D95-9CA1-3927F9371895}"/>
  </w:font>
  <w:font w:name="方正仿宋_GBK">
    <w:panose1 w:val="03000509000000000000"/>
    <w:charset w:val="86"/>
    <w:family w:val="script"/>
    <w:pitch w:val="default"/>
    <w:sig w:usb0="00000001" w:usb1="080E0000" w:usb2="00000000" w:usb3="00000000" w:csb0="00040000" w:csb1="00000000"/>
    <w:embedRegular r:id="rId6" w:fontKey="{0084ABFA-1996-42C3-989B-5DBCDF012E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00866"/>
    </w:sdtPr>
    <w:sdtEndPr>
      <w:rPr>
        <w:rFonts w:hint="eastAsia" w:asciiTheme="majorEastAsia" w:hAnsiTheme="majorEastAsia" w:eastAsiaTheme="majorEastAsia" w:cstheme="majorEastAsia"/>
        <w:sz w:val="28"/>
        <w:szCs w:val="28"/>
      </w:rPr>
    </w:sdtEndPr>
    <w:sdtContent>
      <w:p w14:paraId="336E1E11">
        <w:pPr>
          <w:pStyle w:val="6"/>
          <w:jc w:val="righ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lang w:val="zh-CN"/>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w:t>
        </w:r>
      </w:p>
    </w:sdtContent>
  </w:sdt>
  <w:p w14:paraId="2EB618D1">
    <w:pPr>
      <w:pStyle w:val="6"/>
    </w:pPr>
  </w:p>
  <w:p w14:paraId="2E6E49B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00873"/>
    </w:sdtPr>
    <w:sdtContent>
      <w:p w14:paraId="6136C013">
        <w:pPr>
          <w:pStyle w:val="6"/>
          <w:rPr>
            <w:sz w:val="21"/>
            <w:szCs w:val="24"/>
          </w:rPr>
        </w:pPr>
        <w:r>
          <w:rPr>
            <w:rFonts w:hint="eastAsia" w:ascii="方正仿宋_GBK" w:eastAsia="方正仿宋_GBK"/>
            <w:sz w:val="28"/>
            <w:szCs w:val="28"/>
          </w:rPr>
          <w:t>—</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2</w:t>
        </w:r>
        <w:r>
          <w:rPr>
            <w:rFonts w:hint="eastAsia" w:ascii="方正仿宋_GBK" w:eastAsia="方正仿宋_GBK"/>
            <w:sz w:val="28"/>
            <w:szCs w:val="28"/>
          </w:rPr>
          <w:fldChar w:fldCharType="end"/>
        </w:r>
        <w:r>
          <w:rPr>
            <w:rFonts w:hint="eastAsia" w:ascii="方正仿宋_GBK" w:eastAsia="方正仿宋_GBK"/>
            <w:sz w:val="28"/>
            <w:szCs w:val="28"/>
          </w:rPr>
          <w:t>—</w:t>
        </w:r>
      </w:p>
    </w:sdtContent>
  </w:sdt>
  <w:p w14:paraId="4E940E03">
    <w:pPr>
      <w:pStyle w:val="6"/>
    </w:pPr>
  </w:p>
  <w:p w14:paraId="32D99694"/>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iMTkyMTQyNzFjN2E5ZmFhNmY4ZGRiOTA0YmQ4N2MifQ=="/>
  </w:docVars>
  <w:rsids>
    <w:rsidRoot w:val="DDEFA33C"/>
    <w:rsid w:val="00000550"/>
    <w:rsid w:val="00002D64"/>
    <w:rsid w:val="00020764"/>
    <w:rsid w:val="0002749C"/>
    <w:rsid w:val="00047981"/>
    <w:rsid w:val="00050437"/>
    <w:rsid w:val="00062654"/>
    <w:rsid w:val="000B03CB"/>
    <w:rsid w:val="00105658"/>
    <w:rsid w:val="00105DB3"/>
    <w:rsid w:val="00126DE5"/>
    <w:rsid w:val="001424BB"/>
    <w:rsid w:val="00147E03"/>
    <w:rsid w:val="00187BA3"/>
    <w:rsid w:val="001900F7"/>
    <w:rsid w:val="001A3B38"/>
    <w:rsid w:val="001C562C"/>
    <w:rsid w:val="001D3D78"/>
    <w:rsid w:val="001D5EF5"/>
    <w:rsid w:val="001F1C80"/>
    <w:rsid w:val="00207050"/>
    <w:rsid w:val="00221C30"/>
    <w:rsid w:val="00257FEE"/>
    <w:rsid w:val="002A393E"/>
    <w:rsid w:val="002A47A1"/>
    <w:rsid w:val="002B2A63"/>
    <w:rsid w:val="002C03A7"/>
    <w:rsid w:val="00325FD3"/>
    <w:rsid w:val="00331522"/>
    <w:rsid w:val="00357DD5"/>
    <w:rsid w:val="003625C5"/>
    <w:rsid w:val="0039593E"/>
    <w:rsid w:val="00395FFC"/>
    <w:rsid w:val="00397AEA"/>
    <w:rsid w:val="003A69E3"/>
    <w:rsid w:val="003B2F4B"/>
    <w:rsid w:val="003B680C"/>
    <w:rsid w:val="003D0A25"/>
    <w:rsid w:val="003D7D22"/>
    <w:rsid w:val="003E043C"/>
    <w:rsid w:val="003E0547"/>
    <w:rsid w:val="003F0F36"/>
    <w:rsid w:val="00406394"/>
    <w:rsid w:val="004411ED"/>
    <w:rsid w:val="0044491E"/>
    <w:rsid w:val="004551A7"/>
    <w:rsid w:val="004573AF"/>
    <w:rsid w:val="00462582"/>
    <w:rsid w:val="00463DA7"/>
    <w:rsid w:val="00467BE5"/>
    <w:rsid w:val="004829F8"/>
    <w:rsid w:val="00494C3B"/>
    <w:rsid w:val="0049564A"/>
    <w:rsid w:val="004A5113"/>
    <w:rsid w:val="004C3049"/>
    <w:rsid w:val="004D335C"/>
    <w:rsid w:val="004D34F4"/>
    <w:rsid w:val="004E72A4"/>
    <w:rsid w:val="00506D68"/>
    <w:rsid w:val="00523889"/>
    <w:rsid w:val="0053400B"/>
    <w:rsid w:val="00536729"/>
    <w:rsid w:val="005369E2"/>
    <w:rsid w:val="0055700B"/>
    <w:rsid w:val="0056748E"/>
    <w:rsid w:val="00573089"/>
    <w:rsid w:val="0058358D"/>
    <w:rsid w:val="005949AB"/>
    <w:rsid w:val="00596D47"/>
    <w:rsid w:val="005C0BC9"/>
    <w:rsid w:val="005D460C"/>
    <w:rsid w:val="005D6317"/>
    <w:rsid w:val="005E7261"/>
    <w:rsid w:val="005E7595"/>
    <w:rsid w:val="005F549F"/>
    <w:rsid w:val="006143BC"/>
    <w:rsid w:val="0063260E"/>
    <w:rsid w:val="00646723"/>
    <w:rsid w:val="0066455A"/>
    <w:rsid w:val="00674C7C"/>
    <w:rsid w:val="0069086E"/>
    <w:rsid w:val="00696E62"/>
    <w:rsid w:val="006A5DA1"/>
    <w:rsid w:val="006B7AC3"/>
    <w:rsid w:val="006C6826"/>
    <w:rsid w:val="006D2B23"/>
    <w:rsid w:val="006E2D81"/>
    <w:rsid w:val="00702401"/>
    <w:rsid w:val="00723989"/>
    <w:rsid w:val="007422B8"/>
    <w:rsid w:val="00746A00"/>
    <w:rsid w:val="00761782"/>
    <w:rsid w:val="00763107"/>
    <w:rsid w:val="00780A53"/>
    <w:rsid w:val="0078414E"/>
    <w:rsid w:val="007929CF"/>
    <w:rsid w:val="007A6E54"/>
    <w:rsid w:val="007B0EC2"/>
    <w:rsid w:val="007B2D3D"/>
    <w:rsid w:val="007C286D"/>
    <w:rsid w:val="007D1D85"/>
    <w:rsid w:val="007E5DFD"/>
    <w:rsid w:val="00830C81"/>
    <w:rsid w:val="008368E0"/>
    <w:rsid w:val="00850664"/>
    <w:rsid w:val="00866863"/>
    <w:rsid w:val="008721DA"/>
    <w:rsid w:val="00880D9C"/>
    <w:rsid w:val="00892833"/>
    <w:rsid w:val="008958F5"/>
    <w:rsid w:val="008C6EE3"/>
    <w:rsid w:val="008C748B"/>
    <w:rsid w:val="008D09B9"/>
    <w:rsid w:val="008E1FC6"/>
    <w:rsid w:val="008E3F98"/>
    <w:rsid w:val="008E75B3"/>
    <w:rsid w:val="008F11A0"/>
    <w:rsid w:val="008F2670"/>
    <w:rsid w:val="008F6BC0"/>
    <w:rsid w:val="00904291"/>
    <w:rsid w:val="0092429C"/>
    <w:rsid w:val="00962B3C"/>
    <w:rsid w:val="00986CE2"/>
    <w:rsid w:val="0099613A"/>
    <w:rsid w:val="009A0B9A"/>
    <w:rsid w:val="009B7187"/>
    <w:rsid w:val="009D23CE"/>
    <w:rsid w:val="009D2F7D"/>
    <w:rsid w:val="009E7B9D"/>
    <w:rsid w:val="00A07574"/>
    <w:rsid w:val="00A12BD5"/>
    <w:rsid w:val="00A641E4"/>
    <w:rsid w:val="00A74D89"/>
    <w:rsid w:val="00A90C82"/>
    <w:rsid w:val="00AB3A79"/>
    <w:rsid w:val="00AC42FA"/>
    <w:rsid w:val="00AF684F"/>
    <w:rsid w:val="00B07D1B"/>
    <w:rsid w:val="00B13BEE"/>
    <w:rsid w:val="00B23322"/>
    <w:rsid w:val="00B264B7"/>
    <w:rsid w:val="00B524D7"/>
    <w:rsid w:val="00B64346"/>
    <w:rsid w:val="00B80381"/>
    <w:rsid w:val="00BB17CC"/>
    <w:rsid w:val="00BC1F51"/>
    <w:rsid w:val="00BF3090"/>
    <w:rsid w:val="00C05D20"/>
    <w:rsid w:val="00C15F8C"/>
    <w:rsid w:val="00C42C32"/>
    <w:rsid w:val="00C43658"/>
    <w:rsid w:val="00C51C46"/>
    <w:rsid w:val="00C57659"/>
    <w:rsid w:val="00C615CE"/>
    <w:rsid w:val="00C72FDA"/>
    <w:rsid w:val="00C768CD"/>
    <w:rsid w:val="00C839E8"/>
    <w:rsid w:val="00C92B04"/>
    <w:rsid w:val="00CB209C"/>
    <w:rsid w:val="00CB626C"/>
    <w:rsid w:val="00CC1333"/>
    <w:rsid w:val="00D049C5"/>
    <w:rsid w:val="00D1414B"/>
    <w:rsid w:val="00D230DC"/>
    <w:rsid w:val="00D4510D"/>
    <w:rsid w:val="00DA4FB8"/>
    <w:rsid w:val="00DC6DEE"/>
    <w:rsid w:val="00DD1FA2"/>
    <w:rsid w:val="00DE5C3D"/>
    <w:rsid w:val="00E15E97"/>
    <w:rsid w:val="00E35738"/>
    <w:rsid w:val="00E46E77"/>
    <w:rsid w:val="00E47D68"/>
    <w:rsid w:val="00E51C72"/>
    <w:rsid w:val="00E65A21"/>
    <w:rsid w:val="00E801CC"/>
    <w:rsid w:val="00EB45D8"/>
    <w:rsid w:val="00EE5CD6"/>
    <w:rsid w:val="00EE740D"/>
    <w:rsid w:val="00F16F32"/>
    <w:rsid w:val="00F27CBF"/>
    <w:rsid w:val="00F63F57"/>
    <w:rsid w:val="00F66F1B"/>
    <w:rsid w:val="00F73BBA"/>
    <w:rsid w:val="00F84048"/>
    <w:rsid w:val="00F92C0C"/>
    <w:rsid w:val="00F958A0"/>
    <w:rsid w:val="00FA0793"/>
    <w:rsid w:val="00FA7B60"/>
    <w:rsid w:val="00FB29EC"/>
    <w:rsid w:val="00FB6B1D"/>
    <w:rsid w:val="00FC2FCB"/>
    <w:rsid w:val="00FD15EB"/>
    <w:rsid w:val="00FE32F5"/>
    <w:rsid w:val="00FF4593"/>
    <w:rsid w:val="01421AD5"/>
    <w:rsid w:val="0236335D"/>
    <w:rsid w:val="02ED581F"/>
    <w:rsid w:val="04804E4F"/>
    <w:rsid w:val="04897593"/>
    <w:rsid w:val="098E4D01"/>
    <w:rsid w:val="0A7C3EE6"/>
    <w:rsid w:val="0AB37C41"/>
    <w:rsid w:val="0BCB6AF9"/>
    <w:rsid w:val="0C474AE5"/>
    <w:rsid w:val="0D3102E8"/>
    <w:rsid w:val="0D7D5BAD"/>
    <w:rsid w:val="0D870F11"/>
    <w:rsid w:val="0DDE4FD5"/>
    <w:rsid w:val="0E4A08BC"/>
    <w:rsid w:val="0EE06B2A"/>
    <w:rsid w:val="0F1F1798"/>
    <w:rsid w:val="0F796797"/>
    <w:rsid w:val="0F9C5147"/>
    <w:rsid w:val="10581601"/>
    <w:rsid w:val="13BA5B9C"/>
    <w:rsid w:val="13BF0CFE"/>
    <w:rsid w:val="15162920"/>
    <w:rsid w:val="155838BF"/>
    <w:rsid w:val="16135A37"/>
    <w:rsid w:val="17C03648"/>
    <w:rsid w:val="187D53EA"/>
    <w:rsid w:val="18BB2FCA"/>
    <w:rsid w:val="194A1770"/>
    <w:rsid w:val="19960E59"/>
    <w:rsid w:val="19BB441C"/>
    <w:rsid w:val="1BB6221F"/>
    <w:rsid w:val="1CCB2BC8"/>
    <w:rsid w:val="1D7D050B"/>
    <w:rsid w:val="218E0668"/>
    <w:rsid w:val="23586D5A"/>
    <w:rsid w:val="25323A5B"/>
    <w:rsid w:val="25C66622"/>
    <w:rsid w:val="26EE2D54"/>
    <w:rsid w:val="278C526B"/>
    <w:rsid w:val="28BE7A85"/>
    <w:rsid w:val="2A30169E"/>
    <w:rsid w:val="2A443FBA"/>
    <w:rsid w:val="2B3E6C5B"/>
    <w:rsid w:val="2C030012"/>
    <w:rsid w:val="2D917516"/>
    <w:rsid w:val="2E734E6D"/>
    <w:rsid w:val="30812CEE"/>
    <w:rsid w:val="315A2315"/>
    <w:rsid w:val="318B25BA"/>
    <w:rsid w:val="32195D2C"/>
    <w:rsid w:val="3239017C"/>
    <w:rsid w:val="32A139E6"/>
    <w:rsid w:val="32D526EA"/>
    <w:rsid w:val="331223BC"/>
    <w:rsid w:val="331F3816"/>
    <w:rsid w:val="35C45B4B"/>
    <w:rsid w:val="35DE2575"/>
    <w:rsid w:val="36A06A70"/>
    <w:rsid w:val="374B6987"/>
    <w:rsid w:val="37C93D50"/>
    <w:rsid w:val="37F3616B"/>
    <w:rsid w:val="39003892"/>
    <w:rsid w:val="39162FC5"/>
    <w:rsid w:val="396430B4"/>
    <w:rsid w:val="3D0A4BEF"/>
    <w:rsid w:val="3DED72A5"/>
    <w:rsid w:val="3F8E5FAB"/>
    <w:rsid w:val="3FAF1A7E"/>
    <w:rsid w:val="40C06C58"/>
    <w:rsid w:val="45162DE9"/>
    <w:rsid w:val="462D41F2"/>
    <w:rsid w:val="468B4FF2"/>
    <w:rsid w:val="49BE123B"/>
    <w:rsid w:val="49EA244B"/>
    <w:rsid w:val="4AF423F5"/>
    <w:rsid w:val="4B903FA6"/>
    <w:rsid w:val="4E4F4B57"/>
    <w:rsid w:val="4E636855"/>
    <w:rsid w:val="4E7E543D"/>
    <w:rsid w:val="4EFC16B4"/>
    <w:rsid w:val="4FFC486B"/>
    <w:rsid w:val="515E23D7"/>
    <w:rsid w:val="5176064D"/>
    <w:rsid w:val="53752EAF"/>
    <w:rsid w:val="53E43018"/>
    <w:rsid w:val="546D3F89"/>
    <w:rsid w:val="547E00EE"/>
    <w:rsid w:val="580F7106"/>
    <w:rsid w:val="58586CFE"/>
    <w:rsid w:val="585A65D3"/>
    <w:rsid w:val="58EB36CF"/>
    <w:rsid w:val="5A3535DC"/>
    <w:rsid w:val="5AE27183"/>
    <w:rsid w:val="5B9C5154"/>
    <w:rsid w:val="5C377348"/>
    <w:rsid w:val="5C6A37C7"/>
    <w:rsid w:val="5CC76201"/>
    <w:rsid w:val="5F9A04E3"/>
    <w:rsid w:val="60430294"/>
    <w:rsid w:val="60733116"/>
    <w:rsid w:val="61630BEE"/>
    <w:rsid w:val="62121E35"/>
    <w:rsid w:val="625A284E"/>
    <w:rsid w:val="62734ADF"/>
    <w:rsid w:val="63043D0B"/>
    <w:rsid w:val="653348AC"/>
    <w:rsid w:val="65DC2D1D"/>
    <w:rsid w:val="676F7BC1"/>
    <w:rsid w:val="68710172"/>
    <w:rsid w:val="6B1B7E43"/>
    <w:rsid w:val="6C8B750A"/>
    <w:rsid w:val="6D2D20B0"/>
    <w:rsid w:val="6EBC36EB"/>
    <w:rsid w:val="704B0888"/>
    <w:rsid w:val="708C7DEB"/>
    <w:rsid w:val="70BC0E22"/>
    <w:rsid w:val="73247AB1"/>
    <w:rsid w:val="7325127D"/>
    <w:rsid w:val="73FC0A2E"/>
    <w:rsid w:val="744C72C0"/>
    <w:rsid w:val="74E97204"/>
    <w:rsid w:val="75581C94"/>
    <w:rsid w:val="765B69DE"/>
    <w:rsid w:val="775B5A6C"/>
    <w:rsid w:val="778B603F"/>
    <w:rsid w:val="78FC193B"/>
    <w:rsid w:val="7A862E00"/>
    <w:rsid w:val="7DF52770"/>
    <w:rsid w:val="7EB4618D"/>
    <w:rsid w:val="7EB470FA"/>
    <w:rsid w:val="DDEFA33C"/>
    <w:rsid w:val="ECD3B3C2"/>
    <w:rsid w:val="FB6F9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suppressAutoHyphens/>
      <w:spacing w:beforeAutospacing="1" w:afterAutospacing="1"/>
      <w:jc w:val="left"/>
      <w:outlineLvl w:val="0"/>
    </w:pPr>
    <w:rPr>
      <w:rFonts w:hint="eastAsia" w:ascii="宋体" w:hAnsi="宋体" w:eastAsia="宋体"/>
      <w:b/>
      <w:kern w:val="44"/>
      <w:sz w:val="48"/>
      <w:szCs w:val="4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jc w:val="left"/>
    </w:pPr>
    <w:rPr>
      <w:rFonts w:ascii="Calibri" w:hAnsi="Calibri" w:eastAsia="宋体" w:cs="宋体"/>
      <w:szCs w:val="22"/>
    </w:rPr>
  </w:style>
  <w:style w:type="paragraph" w:styleId="4">
    <w:name w:val="Date"/>
    <w:basedOn w:val="1"/>
    <w:next w:val="1"/>
    <w:link w:val="21"/>
    <w:qFormat/>
    <w:uiPriority w:val="0"/>
    <w:pPr>
      <w:ind w:left="100" w:leftChars="2500"/>
    </w:pPr>
  </w:style>
  <w:style w:type="paragraph" w:styleId="5">
    <w:name w:val="Balloon Text"/>
    <w:basedOn w:val="1"/>
    <w:link w:val="19"/>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qFormat/>
    <w:uiPriority w:val="99"/>
    <w:rPr>
      <w:sz w:val="21"/>
      <w:szCs w:val="21"/>
    </w:rPr>
  </w:style>
  <w:style w:type="paragraph" w:customStyle="1" w:styleId="13">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4">
    <w:name w:val="页眉 Char"/>
    <w:basedOn w:val="11"/>
    <w:link w:val="7"/>
    <w:qFormat/>
    <w:uiPriority w:val="0"/>
    <w:rPr>
      <w:kern w:val="2"/>
      <w:sz w:val="18"/>
      <w:szCs w:val="18"/>
    </w:rPr>
  </w:style>
  <w:style w:type="character" w:customStyle="1" w:styleId="15">
    <w:name w:val="页脚 Char"/>
    <w:basedOn w:val="11"/>
    <w:link w:val="6"/>
    <w:qFormat/>
    <w:uiPriority w:val="0"/>
    <w:rPr>
      <w:kern w:val="2"/>
      <w:sz w:val="18"/>
      <w:szCs w:val="18"/>
    </w:rPr>
  </w:style>
  <w:style w:type="paragraph" w:customStyle="1" w:styleId="16">
    <w:name w:val="UserStyle_0"/>
    <w:basedOn w:val="1"/>
    <w:qFormat/>
    <w:uiPriority w:val="0"/>
    <w:pPr>
      <w:autoSpaceDE w:val="0"/>
      <w:autoSpaceDN w:val="0"/>
      <w:spacing w:after="160" w:line="278" w:lineRule="auto"/>
      <w:ind w:firstLine="200" w:firstLineChars="200"/>
      <w:jc w:val="left"/>
    </w:pPr>
    <w:rPr>
      <w:rFonts w:ascii="Calibri" w:hAnsi="Calibri" w:eastAsia="宋体" w:cs="Times New Roman"/>
      <w:color w:val="000000"/>
      <w:kern w:val="0"/>
      <w:sz w:val="22"/>
      <w:szCs w:val="21"/>
      <w:lang w:val="zh-CN" w:bidi="zh-CN"/>
    </w:rPr>
  </w:style>
  <w:style w:type="character" w:customStyle="1" w:styleId="17">
    <w:name w:val="Body text|1_"/>
    <w:link w:val="18"/>
    <w:qFormat/>
    <w:uiPriority w:val="0"/>
    <w:rPr>
      <w:rFonts w:ascii="宋体" w:hAnsi="宋体" w:cs="宋体"/>
      <w:sz w:val="30"/>
      <w:szCs w:val="30"/>
      <w:lang w:val="zh-TW" w:eastAsia="zh-TW" w:bidi="zh-TW"/>
    </w:rPr>
  </w:style>
  <w:style w:type="paragraph" w:customStyle="1" w:styleId="18">
    <w:name w:val="Body text|1"/>
    <w:basedOn w:val="1"/>
    <w:link w:val="17"/>
    <w:qFormat/>
    <w:uiPriority w:val="0"/>
    <w:pPr>
      <w:spacing w:line="408" w:lineRule="auto"/>
      <w:ind w:firstLine="400"/>
      <w:jc w:val="left"/>
    </w:pPr>
    <w:rPr>
      <w:rFonts w:ascii="宋体" w:hAnsi="宋体" w:cs="宋体"/>
      <w:kern w:val="0"/>
      <w:sz w:val="30"/>
      <w:szCs w:val="30"/>
      <w:lang w:val="zh-TW" w:eastAsia="zh-TW" w:bidi="zh-TW"/>
    </w:rPr>
  </w:style>
  <w:style w:type="character" w:customStyle="1" w:styleId="19">
    <w:name w:val="批注框文本 Char"/>
    <w:basedOn w:val="11"/>
    <w:link w:val="5"/>
    <w:qFormat/>
    <w:uiPriority w:val="0"/>
    <w:rPr>
      <w:kern w:val="2"/>
      <w:sz w:val="18"/>
      <w:szCs w:val="18"/>
    </w:rPr>
  </w:style>
  <w:style w:type="character" w:customStyle="1" w:styleId="20">
    <w:name w:val="批注文字 Char"/>
    <w:basedOn w:val="11"/>
    <w:link w:val="3"/>
    <w:qFormat/>
    <w:uiPriority w:val="99"/>
    <w:rPr>
      <w:rFonts w:ascii="Calibri" w:hAnsi="Calibri" w:eastAsia="宋体" w:cs="宋体"/>
      <w:kern w:val="2"/>
      <w:sz w:val="21"/>
      <w:szCs w:val="22"/>
    </w:rPr>
  </w:style>
  <w:style w:type="character" w:customStyle="1" w:styleId="21">
    <w:name w:val="日期 Char"/>
    <w:basedOn w:val="11"/>
    <w:link w:val="4"/>
    <w:qFormat/>
    <w:uiPriority w:val="0"/>
    <w:rPr>
      <w:kern w:val="2"/>
      <w:sz w:val="21"/>
      <w:szCs w:val="24"/>
    </w:rPr>
  </w:style>
  <w:style w:type="character" w:customStyle="1" w:styleId="22">
    <w:name w:val="标题 1 Char"/>
    <w:basedOn w:val="11"/>
    <w:link w:val="2"/>
    <w:qFormat/>
    <w:uiPriority w:val="0"/>
    <w:rPr>
      <w:rFonts w:ascii="宋体" w:hAnsi="宋体" w:eastAsia="宋体"/>
      <w:b/>
      <w:kern w:val="44"/>
      <w:sz w:val="48"/>
      <w:szCs w:val="48"/>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1734</Words>
  <Characters>1974</Characters>
  <Lines>14</Lines>
  <Paragraphs>4</Paragraphs>
  <TotalTime>142</TotalTime>
  <ScaleCrop>false</ScaleCrop>
  <LinksUpToDate>false</LinksUpToDate>
  <CharactersWithSpaces>1975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2024-02-02T16:58:00Z</dcterms:created>
  <dc:creator>风筝断了线</dc:creator>
  <cp:lastModifiedBy>silence</cp:lastModifiedBy>
  <cp:lastPrinted>2024-02-26T14:23:00Z</cp:lastPrinted>
  <dcterms:modified xsi:type="dcterms:W3CDTF">2026-07-07T02:34:11Z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224826A4BF91458CAD17A5ADD808FBDE_13</vt:lpwstr>
  </property>
  <property fmtid="{D5CDD505-2E9C-101B-9397-08002B2CF9AE}" pid="4" name="KSOTemplateDocerSaveRecord">
    <vt:lpwstr>eyJoZGlkIjoiZjRmYWUxOWJhMWE5OGFmZGQyNzA0NjBkZTNhOGRjMDEiLCJ1c2VySWQiOiIyNDg4ODMzNzUifQ==</vt:lpwstr>
  </property>
</Properties>
</file>