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1DB" w:rsidRPr="00BF31DB" w:rsidRDefault="00BF31DB">
      <w:pPr>
        <w:spacing w:line="600" w:lineRule="exact"/>
        <w:jc w:val="center"/>
        <w:rPr>
          <w:rFonts w:ascii="方正小标宋_GBK" w:eastAsia="方正小标宋_GBK" w:hAnsi="华文中宋" w:cs="华文中宋"/>
          <w:sz w:val="44"/>
          <w:szCs w:val="44"/>
        </w:rPr>
      </w:pPr>
      <w:r w:rsidRPr="00BF31DB">
        <w:rPr>
          <w:rFonts w:ascii="方正小标宋_GBK" w:eastAsia="方正小标宋_GBK" w:hAnsi="华文中宋" w:cs="华文中宋" w:hint="eastAsia"/>
          <w:sz w:val="44"/>
          <w:szCs w:val="44"/>
        </w:rPr>
        <w:t>重庆高新区政务服务和社会事务中心</w:t>
      </w:r>
    </w:p>
    <w:p w:rsidR="00BB4698" w:rsidRDefault="0005362E">
      <w:pPr>
        <w:spacing w:line="600" w:lineRule="exact"/>
        <w:jc w:val="center"/>
        <w:rPr>
          <w:rFonts w:ascii="方正小标宋_GBK" w:eastAsia="方正小标宋_GBK" w:hAnsi="华文中宋" w:cs="华文中宋"/>
          <w:sz w:val="44"/>
          <w:szCs w:val="44"/>
        </w:rPr>
      </w:pPr>
      <w:r>
        <w:rPr>
          <w:rFonts w:ascii="方正小标宋_GBK" w:eastAsia="方正小标宋_GBK" w:hAnsi="华文中宋" w:cs="华文中宋" w:hint="eastAsia"/>
          <w:sz w:val="44"/>
          <w:szCs w:val="44"/>
        </w:rPr>
        <w:t>2026年</w:t>
      </w:r>
      <w:r w:rsidR="001C3016">
        <w:rPr>
          <w:rFonts w:ascii="方正小标宋_GBK" w:eastAsia="方正小标宋_GBK" w:hAnsi="华文中宋" w:cs="华文中宋" w:hint="eastAsia"/>
          <w:sz w:val="44"/>
          <w:szCs w:val="44"/>
        </w:rPr>
        <w:t>部门</w:t>
      </w:r>
      <w:r>
        <w:rPr>
          <w:rFonts w:ascii="方正小标宋_GBK" w:eastAsia="方正小标宋_GBK" w:hAnsi="华文中宋" w:cs="华文中宋" w:hint="eastAsia"/>
          <w:sz w:val="44"/>
          <w:szCs w:val="44"/>
        </w:rPr>
        <w:t>预算</w:t>
      </w:r>
      <w:bookmarkStart w:id="0" w:name="_GoBack"/>
      <w:bookmarkEnd w:id="0"/>
      <w:r>
        <w:rPr>
          <w:rFonts w:ascii="方正小标宋_GBK" w:eastAsia="方正小标宋_GBK" w:hAnsi="华文中宋" w:cs="华文中宋" w:hint="eastAsia"/>
          <w:sz w:val="44"/>
          <w:szCs w:val="44"/>
        </w:rPr>
        <w:t>情况说明</w:t>
      </w:r>
    </w:p>
    <w:p w:rsidR="00BB4698" w:rsidRDefault="00BB4698">
      <w:pPr>
        <w:spacing w:line="600" w:lineRule="exact"/>
        <w:ind w:firstLineChars="200" w:firstLine="880"/>
        <w:jc w:val="center"/>
        <w:rPr>
          <w:rFonts w:ascii="华文中宋" w:eastAsia="华文中宋" w:hAnsi="华文中宋" w:cs="华文中宋"/>
          <w:sz w:val="44"/>
          <w:szCs w:val="44"/>
        </w:rPr>
      </w:pPr>
    </w:p>
    <w:p w:rsidR="00BB4698" w:rsidRDefault="0005362E">
      <w:pPr>
        <w:spacing w:line="60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一、部门基本情况</w:t>
      </w:r>
    </w:p>
    <w:p w:rsidR="00BB4698" w:rsidRDefault="0005362E">
      <w:pPr>
        <w:spacing w:line="60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（一）职能职责</w:t>
      </w:r>
    </w:p>
    <w:p w:rsidR="00BB4698" w:rsidRDefault="0005362E">
      <w:pPr>
        <w:tabs>
          <w:tab w:val="center" w:pos="4153"/>
          <w:tab w:val="left" w:pos="7275"/>
        </w:tabs>
        <w:spacing w:line="60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承担高新区行政审批事项和服务事项集中办理服务；承担高新区体育、劳动就业、社会保障、医疗保障、残联等方面的具体事务性工作。负责人力社保工作中除专业技术人员管理、事业单位人事管理、工资福利和表彰奖励工作以外的事务性工作。</w:t>
      </w:r>
    </w:p>
    <w:p w:rsidR="00BB4698" w:rsidRDefault="0005362E">
      <w:pPr>
        <w:tabs>
          <w:tab w:val="center" w:pos="4153"/>
          <w:tab w:val="left" w:pos="7275"/>
        </w:tabs>
        <w:spacing w:line="600" w:lineRule="exact"/>
        <w:ind w:left="640"/>
        <w:rPr>
          <w:rFonts w:ascii="方正仿宋_GBK" w:eastAsia="方正仿宋_GBK" w:hAnsi="仿宋_GB2312" w:cs="仿宋_GB2312"/>
          <w:sz w:val="32"/>
          <w:szCs w:val="22"/>
        </w:rPr>
      </w:pPr>
      <w:r>
        <w:rPr>
          <w:rFonts w:ascii="方正仿宋_GBK" w:eastAsia="方正仿宋_GBK" w:hAnsi="仿宋_GB2312" w:cs="仿宋_GB2312" w:hint="eastAsia"/>
          <w:sz w:val="32"/>
          <w:szCs w:val="22"/>
        </w:rPr>
        <w:t>（二）部门构成</w:t>
      </w:r>
    </w:p>
    <w:p w:rsidR="00BB4698" w:rsidRDefault="0005362E">
      <w:pPr>
        <w:spacing w:line="60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内设综合部、社会保障事务部、医疗保障事务部、劳动就业事务部、体育帮扶事务部、政务服务管理部、劳动人事争议仲裁院。无下属二级预算单位。</w:t>
      </w:r>
    </w:p>
    <w:p w:rsidR="00BB4698" w:rsidRDefault="0005362E">
      <w:pPr>
        <w:spacing w:line="60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二、部门收支总体情况</w:t>
      </w:r>
    </w:p>
    <w:p w:rsidR="00BB4698" w:rsidRDefault="0005362E">
      <w:pPr>
        <w:spacing w:line="60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一）收入预算：2026年年初预算数20778.49万元，其中：一般公共预算拨款19303.39万元，政府性基金预算拨款1471.1万元，国有资本经营预算收入4万元，无事业收入、事业单位经营收入及其他收入。收入较2025年增加1840.26万元，主要是一般公共预算拨款增加1653.36万元，政府性基金预算拨款增加186.9万元。</w:t>
      </w:r>
    </w:p>
    <w:p w:rsidR="00BB4698" w:rsidRDefault="0005362E">
      <w:pPr>
        <w:spacing w:line="60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（二）支出预算：2026年年初预算数20778.49万元，其中：</w:t>
      </w:r>
      <w:r>
        <w:rPr>
          <w:rFonts w:ascii="方正仿宋_GBK" w:eastAsia="方正仿宋_GBK" w:hAnsi="仿宋_GB2312" w:cs="仿宋_GB2312" w:hint="eastAsia"/>
          <w:sz w:val="32"/>
          <w:szCs w:val="20"/>
        </w:rPr>
        <w:lastRenderedPageBreak/>
        <w:t>社会保障和就业支出预算14252.15万元，卫生健康支出预算4463.51万元，农林水支出542万元，住房保障支出预算45.73万元，国有资本经营预算支出4万元，其他支出1471.1万元。支出预算较2025年增加1840.26万元，主要是基本支出预算增加100.21万元，项目支出预算增加1553.15万元，政府性基金预算财政拨款支出增加186.9万元。</w:t>
      </w:r>
    </w:p>
    <w:p w:rsidR="00BB4698" w:rsidRDefault="0005362E">
      <w:pPr>
        <w:spacing w:line="600" w:lineRule="exact"/>
        <w:ind w:firstLineChars="200" w:firstLine="640"/>
        <w:rPr>
          <w:rFonts w:ascii="方正仿宋_GBK" w:eastAsia="方正仿宋_GBK" w:hAnsi="黑体" w:cs="仿宋_GB2312"/>
          <w:sz w:val="32"/>
          <w:szCs w:val="20"/>
        </w:rPr>
      </w:pPr>
      <w:r>
        <w:rPr>
          <w:rFonts w:ascii="方正黑体_GBK" w:eastAsia="方正黑体_GBK" w:hAnsi="黑体" w:cs="仿宋_GB2312" w:hint="eastAsia"/>
          <w:sz w:val="32"/>
          <w:szCs w:val="20"/>
        </w:rPr>
        <w:t>三</w:t>
      </w:r>
      <w:r>
        <w:rPr>
          <w:rFonts w:ascii="方正黑体_GBK" w:eastAsia="方正黑体_GBK" w:hAnsi="黑体" w:cs="仿宋_GB2312"/>
          <w:sz w:val="32"/>
          <w:szCs w:val="20"/>
        </w:rPr>
        <w:t>、</w:t>
      </w:r>
      <w:r>
        <w:rPr>
          <w:rFonts w:ascii="方正黑体_GBK" w:eastAsia="方正黑体_GBK" w:hAnsi="黑体" w:cs="仿宋_GB2312" w:hint="eastAsia"/>
          <w:sz w:val="32"/>
          <w:szCs w:val="20"/>
        </w:rPr>
        <w:t>部门预算情况说明</w:t>
      </w:r>
    </w:p>
    <w:p w:rsidR="00BB4698" w:rsidRDefault="0005362E">
      <w:pPr>
        <w:spacing w:line="60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2026年一般公共预算财政拨款收入19303.39万元，一般公共预算财政拨款支出19303.39万元，比2025年增加1653.36万元。其中：基本支出1682.68万元，比2025年增加100.21万元，主要原因是在职人员数量增加，用于保障在职人员工资福利及社会保险缴费等；项目支出17620.71万元，比2025年增加1553.15万元，主要原因是社会保障和就业支出增加等，为青年人才提供就业创业、保障重点群体就业、加大社保补贴，支持企业</w:t>
      </w:r>
      <w:proofErr w:type="gramStart"/>
      <w:r>
        <w:rPr>
          <w:rFonts w:ascii="方正仿宋_GBK" w:eastAsia="方正仿宋_GBK" w:hAnsi="仿宋_GB2312" w:cs="仿宋_GB2312" w:hint="eastAsia"/>
          <w:sz w:val="32"/>
          <w:szCs w:val="20"/>
        </w:rPr>
        <w:t>稳岗扩岗</w:t>
      </w:r>
      <w:proofErr w:type="gramEnd"/>
      <w:r>
        <w:rPr>
          <w:rFonts w:ascii="方正仿宋_GBK" w:eastAsia="方正仿宋_GBK" w:hAnsi="仿宋_GB2312" w:cs="仿宋_GB2312" w:hint="eastAsia"/>
          <w:sz w:val="32"/>
          <w:szCs w:val="20"/>
        </w:rPr>
        <w:t>。</w:t>
      </w:r>
    </w:p>
    <w:p w:rsidR="00BB4698" w:rsidRDefault="0005362E">
      <w:pPr>
        <w:spacing w:line="60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2026年政府性基金预算收入1471.1万元，政府性基金预算支出1471.1万元，比2025年增加186.9万元，主要原因是2026年体彩公益金区级分成增加，主要用于发展群众体育和竞技体育事业，开展体育设施建设等工作。</w:t>
      </w:r>
    </w:p>
    <w:p w:rsidR="00BB4698" w:rsidRDefault="0005362E">
      <w:pPr>
        <w:spacing w:line="60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2026年国有资本经营预算收入4万元，国有资本经营预算支出4万元，与2025年持平，主要用于国有企业退休人员社会</w:t>
      </w:r>
      <w:r>
        <w:rPr>
          <w:rFonts w:ascii="方正仿宋_GBK" w:eastAsia="方正仿宋_GBK" w:hAnsi="仿宋_GB2312" w:cs="仿宋_GB2312" w:hint="eastAsia"/>
          <w:sz w:val="32"/>
          <w:szCs w:val="20"/>
        </w:rPr>
        <w:lastRenderedPageBreak/>
        <w:t>化管理服务，让企业退休人员老有所养、老有所</w:t>
      </w:r>
      <w:proofErr w:type="gramStart"/>
      <w:r>
        <w:rPr>
          <w:rFonts w:ascii="方正仿宋_GBK" w:eastAsia="方正仿宋_GBK" w:hAnsi="仿宋_GB2312" w:cs="仿宋_GB2312" w:hint="eastAsia"/>
          <w:sz w:val="32"/>
          <w:szCs w:val="20"/>
        </w:rPr>
        <w:t>医</w:t>
      </w:r>
      <w:proofErr w:type="gramEnd"/>
      <w:r>
        <w:rPr>
          <w:rFonts w:ascii="方正仿宋_GBK" w:eastAsia="方正仿宋_GBK" w:hAnsi="仿宋_GB2312" w:cs="仿宋_GB2312"/>
          <w:sz w:val="32"/>
          <w:szCs w:val="20"/>
        </w:rPr>
        <w:t>、</w:t>
      </w:r>
      <w:r>
        <w:rPr>
          <w:rFonts w:ascii="方正仿宋_GBK" w:eastAsia="方正仿宋_GBK" w:hAnsi="仿宋_GB2312" w:cs="仿宋_GB2312" w:hint="eastAsia"/>
          <w:sz w:val="32"/>
          <w:szCs w:val="20"/>
        </w:rPr>
        <w:t>老有所教</w:t>
      </w:r>
      <w:r>
        <w:rPr>
          <w:rFonts w:ascii="方正仿宋_GBK" w:eastAsia="方正仿宋_GBK" w:hAnsi="仿宋_GB2312" w:cs="仿宋_GB2312"/>
          <w:sz w:val="32"/>
          <w:szCs w:val="20"/>
        </w:rPr>
        <w:t xml:space="preserve">、 </w:t>
      </w:r>
    </w:p>
    <w:p w:rsidR="00BB4698" w:rsidRDefault="0005362E">
      <w:pPr>
        <w:spacing w:line="600" w:lineRule="exact"/>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老有所学</w:t>
      </w:r>
      <w:r>
        <w:rPr>
          <w:rFonts w:ascii="方正仿宋_GBK" w:eastAsia="方正仿宋_GBK" w:hAnsi="仿宋_GB2312" w:cs="仿宋_GB2312"/>
          <w:sz w:val="32"/>
          <w:szCs w:val="20"/>
        </w:rPr>
        <w:t>、</w:t>
      </w:r>
      <w:r>
        <w:rPr>
          <w:rFonts w:ascii="方正仿宋_GBK" w:eastAsia="方正仿宋_GBK" w:hAnsi="仿宋_GB2312" w:cs="仿宋_GB2312" w:hint="eastAsia"/>
          <w:sz w:val="32"/>
          <w:szCs w:val="20"/>
        </w:rPr>
        <w:t>老有所为</w:t>
      </w:r>
      <w:r>
        <w:rPr>
          <w:rFonts w:ascii="方正仿宋_GBK" w:eastAsia="方正仿宋_GBK" w:hAnsi="仿宋_GB2312" w:cs="仿宋_GB2312"/>
          <w:sz w:val="32"/>
          <w:szCs w:val="20"/>
        </w:rPr>
        <w:t>、</w:t>
      </w:r>
      <w:r>
        <w:rPr>
          <w:rFonts w:ascii="方正仿宋_GBK" w:eastAsia="方正仿宋_GBK" w:hAnsi="仿宋_GB2312" w:cs="仿宋_GB2312" w:hint="eastAsia"/>
          <w:sz w:val="32"/>
          <w:szCs w:val="20"/>
        </w:rPr>
        <w:t>老有所乐。</w:t>
      </w:r>
    </w:p>
    <w:p w:rsidR="00BB4698" w:rsidRDefault="0005362E">
      <w:pPr>
        <w:spacing w:line="600" w:lineRule="exact"/>
        <w:ind w:firstLineChars="200" w:firstLine="640"/>
        <w:rPr>
          <w:rFonts w:ascii="方正仿宋_GBK" w:eastAsia="方正仿宋_GBK" w:hAnsi="黑体" w:cs="仿宋_GB2312"/>
          <w:sz w:val="32"/>
          <w:szCs w:val="20"/>
        </w:rPr>
      </w:pPr>
      <w:r>
        <w:rPr>
          <w:rFonts w:ascii="方正黑体_GBK" w:eastAsia="方正黑体_GBK" w:hAnsi="黑体" w:cs="仿宋_GB2312" w:hint="eastAsia"/>
          <w:sz w:val="32"/>
          <w:szCs w:val="20"/>
        </w:rPr>
        <w:t>四</w:t>
      </w:r>
      <w:r>
        <w:rPr>
          <w:rFonts w:ascii="方正黑体_GBK" w:eastAsia="方正黑体_GBK" w:hAnsi="黑体" w:cs="仿宋_GB2312"/>
          <w:sz w:val="32"/>
          <w:szCs w:val="20"/>
        </w:rPr>
        <w:t>、</w:t>
      </w:r>
      <w:r>
        <w:rPr>
          <w:rFonts w:ascii="方正黑体_GBK" w:eastAsia="方正黑体_GBK" w:hAnsi="黑体" w:cs="仿宋_GB2312" w:hint="eastAsia"/>
          <w:sz w:val="32"/>
          <w:szCs w:val="20"/>
        </w:rPr>
        <w:t>“三公”经费情况说明</w:t>
      </w:r>
    </w:p>
    <w:p w:rsidR="00BB4698" w:rsidRDefault="0005362E">
      <w:pPr>
        <w:spacing w:line="600" w:lineRule="exact"/>
        <w:ind w:firstLine="60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2026年“三公”经费预算20万元，比2025年增加2万元。其中：因公出国（境）费用0万元，与2025年持平；公务接待费2万元，较2025年增加2万元，主要原因是本年度因工作需要，按规定开展上级督导检查、业务交流调研等公务接待活动，相应增加公务接待经费；公务用车运行维护费18万元，与2025年持平。</w:t>
      </w:r>
    </w:p>
    <w:p w:rsidR="00BB4698" w:rsidRDefault="0005362E">
      <w:pPr>
        <w:spacing w:line="60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五、其他重要事项的情况说明</w:t>
      </w:r>
    </w:p>
    <w:p w:rsidR="00BB4698" w:rsidRDefault="0005362E">
      <w:pPr>
        <w:spacing w:line="60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color w:val="000000"/>
          <w:sz w:val="32"/>
          <w:szCs w:val="20"/>
        </w:rPr>
        <w:t>（一）</w:t>
      </w:r>
      <w:r>
        <w:rPr>
          <w:rFonts w:ascii="方正仿宋_GBK" w:eastAsia="方正仿宋_GBK" w:hAnsi="仿宋_GB2312" w:cs="仿宋_GB2312" w:hint="eastAsia"/>
          <w:sz w:val="32"/>
          <w:szCs w:val="20"/>
        </w:rPr>
        <w:t>我单位不在机关运行经费统计范围之内。</w:t>
      </w:r>
    </w:p>
    <w:p w:rsidR="00BB4698" w:rsidRDefault="0005362E">
      <w:pPr>
        <w:spacing w:line="60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color w:val="000000"/>
          <w:sz w:val="32"/>
          <w:szCs w:val="20"/>
        </w:rPr>
        <w:t>（二）</w:t>
      </w:r>
      <w:r>
        <w:rPr>
          <w:rFonts w:ascii="方正仿宋_GBK" w:eastAsia="方正仿宋_GBK" w:hAnsi="仿宋_GB2312" w:cs="仿宋_GB2312" w:hint="eastAsia"/>
          <w:sz w:val="32"/>
          <w:szCs w:val="20"/>
        </w:rPr>
        <w:t>政府采购情况。本单位政府采购预算总额250万元：政府采购服务预算250万元。</w:t>
      </w:r>
    </w:p>
    <w:p w:rsidR="00BB4698" w:rsidRDefault="0005362E">
      <w:pPr>
        <w:spacing w:line="600" w:lineRule="exact"/>
        <w:ind w:firstLineChars="200" w:firstLine="640"/>
        <w:rPr>
          <w:rFonts w:ascii="方正仿宋_GBK" w:eastAsia="方正仿宋_GBK" w:hAnsi="仿宋_GB2312" w:cs="仿宋_GB2312"/>
          <w:color w:val="000000"/>
          <w:sz w:val="32"/>
          <w:szCs w:val="20"/>
        </w:rPr>
      </w:pPr>
      <w:r>
        <w:rPr>
          <w:rFonts w:ascii="方正仿宋_GBK" w:eastAsia="方正仿宋_GBK" w:hAnsi="仿宋_GB2312" w:cs="仿宋_GB2312" w:hint="eastAsia"/>
          <w:color w:val="000000"/>
          <w:sz w:val="32"/>
          <w:szCs w:val="20"/>
        </w:rPr>
        <w:t>（三）</w:t>
      </w:r>
      <w:r>
        <w:rPr>
          <w:rFonts w:ascii="方正仿宋_GBK" w:eastAsia="方正仿宋_GBK" w:hAnsi="仿宋_GB2312" w:cs="仿宋_GB2312" w:hint="eastAsia"/>
          <w:sz w:val="32"/>
          <w:szCs w:val="20"/>
        </w:rPr>
        <w:t>绩效目标设置情况。</w:t>
      </w:r>
      <w:r>
        <w:rPr>
          <w:rFonts w:ascii="方正仿宋_GBK" w:eastAsia="方正仿宋_GBK" w:hAnsi="仿宋_GB2312" w:cs="仿宋_GB2312" w:hint="eastAsia"/>
          <w:color w:val="000000"/>
          <w:sz w:val="32"/>
          <w:szCs w:val="20"/>
        </w:rPr>
        <w:t>2026年项目支出均实行了绩效目标管理，涉及一般公共预算当年财政拨款</w:t>
      </w:r>
      <w:r>
        <w:rPr>
          <w:rFonts w:ascii="方正仿宋_GBK" w:eastAsia="方正仿宋_GBK" w:hAnsi="仿宋_GB2312" w:cs="仿宋_GB2312" w:hint="eastAsia"/>
          <w:sz w:val="32"/>
          <w:szCs w:val="20"/>
        </w:rPr>
        <w:t>19303.39</w:t>
      </w:r>
      <w:r>
        <w:rPr>
          <w:rFonts w:ascii="方正仿宋_GBK" w:eastAsia="方正仿宋_GBK" w:hAnsi="仿宋_GB2312" w:cs="仿宋_GB2312" w:hint="eastAsia"/>
          <w:color w:val="000000"/>
          <w:sz w:val="32"/>
          <w:szCs w:val="20"/>
        </w:rPr>
        <w:t>万元。</w:t>
      </w:r>
    </w:p>
    <w:p w:rsidR="00BB4698" w:rsidRDefault="0005362E">
      <w:pPr>
        <w:spacing w:line="600" w:lineRule="exact"/>
        <w:ind w:firstLineChars="200" w:firstLine="640"/>
        <w:rPr>
          <w:rFonts w:ascii="方正仿宋_GBK" w:eastAsia="方正仿宋_GBK" w:hAnsi="仿宋_GB2312" w:cs="仿宋_GB2312"/>
          <w:color w:val="000000"/>
          <w:sz w:val="32"/>
          <w:szCs w:val="20"/>
        </w:rPr>
      </w:pPr>
      <w:r>
        <w:rPr>
          <w:rFonts w:ascii="方正仿宋_GBK" w:eastAsia="方正仿宋_GBK" w:hAnsi="仿宋_GB2312" w:cs="仿宋_GB2312" w:hint="eastAsia"/>
          <w:color w:val="000000"/>
          <w:sz w:val="32"/>
          <w:szCs w:val="20"/>
        </w:rPr>
        <w:t>（四）国有资产占有使用情况。截止2025年12月，本单位共有车辆4辆，其中一般公务用车4辆、执勤执法用车0辆。2026年无一般公共预算车辆购置安排。</w:t>
      </w:r>
    </w:p>
    <w:p w:rsidR="00BB4698" w:rsidRDefault="0005362E">
      <w:pPr>
        <w:adjustRightInd w:val="0"/>
        <w:snapToGrid w:val="0"/>
        <w:spacing w:line="600" w:lineRule="exact"/>
        <w:ind w:firstLineChars="200" w:firstLine="640"/>
        <w:rPr>
          <w:rFonts w:ascii="方正仿宋_GBK" w:eastAsia="方正仿宋_GBK" w:hAnsi="仿宋_GB2312" w:cs="仿宋_GB2312"/>
          <w:color w:val="000000"/>
          <w:sz w:val="32"/>
          <w:szCs w:val="20"/>
        </w:rPr>
      </w:pPr>
      <w:r>
        <w:rPr>
          <w:rFonts w:ascii="方正仿宋_GBK" w:eastAsia="方正仿宋_GBK" w:hAnsi="仿宋_GB2312" w:cs="仿宋_GB2312" w:hint="eastAsia"/>
          <w:color w:val="000000"/>
          <w:sz w:val="32"/>
          <w:szCs w:val="20"/>
        </w:rPr>
        <w:t>（五）委托业务费情况。2026年委托业务费</w:t>
      </w:r>
      <w:proofErr w:type="gramStart"/>
      <w:r>
        <w:rPr>
          <w:rFonts w:ascii="方正仿宋_GBK" w:eastAsia="方正仿宋_GBK" w:hAnsi="仿宋_GB2312" w:cs="仿宋_GB2312" w:hint="eastAsia"/>
          <w:color w:val="000000"/>
          <w:sz w:val="32"/>
          <w:szCs w:val="20"/>
        </w:rPr>
        <w:t>涉及财拨资金</w:t>
      </w:r>
      <w:proofErr w:type="gramEnd"/>
      <w:r>
        <w:rPr>
          <w:rFonts w:ascii="方正仿宋_GBK" w:eastAsia="方正仿宋_GBK" w:hAnsi="仿宋_GB2312" w:cs="仿宋_GB2312" w:hint="eastAsia"/>
          <w:color w:val="000000"/>
          <w:sz w:val="32"/>
          <w:szCs w:val="20"/>
        </w:rPr>
        <w:t>10万元，主要用于财务审计、法律咨询等支出。</w:t>
      </w:r>
    </w:p>
    <w:p w:rsidR="00BB4698" w:rsidRDefault="0005362E">
      <w:pPr>
        <w:spacing w:line="60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六</w:t>
      </w:r>
      <w:r>
        <w:rPr>
          <w:rFonts w:ascii="方正黑体_GBK" w:eastAsia="方正黑体_GBK" w:hAnsi="黑体" w:cs="仿宋_GB2312"/>
          <w:sz w:val="32"/>
          <w:szCs w:val="20"/>
        </w:rPr>
        <w:t>、</w:t>
      </w:r>
      <w:r>
        <w:rPr>
          <w:rFonts w:ascii="方正黑体_GBK" w:eastAsia="方正黑体_GBK" w:hAnsi="黑体" w:cs="仿宋_GB2312" w:hint="eastAsia"/>
          <w:sz w:val="32"/>
          <w:szCs w:val="20"/>
        </w:rPr>
        <w:t>专业</w:t>
      </w:r>
      <w:proofErr w:type="gramStart"/>
      <w:r>
        <w:rPr>
          <w:rFonts w:ascii="方正黑体_GBK" w:eastAsia="方正黑体_GBK" w:hAnsi="黑体" w:cs="仿宋_GB2312" w:hint="eastAsia"/>
          <w:sz w:val="32"/>
          <w:szCs w:val="20"/>
        </w:rPr>
        <w:t>性名</w:t>
      </w:r>
      <w:proofErr w:type="gramEnd"/>
      <w:r>
        <w:rPr>
          <w:rFonts w:ascii="方正黑体_GBK" w:eastAsia="方正黑体_GBK" w:hAnsi="黑体" w:cs="仿宋_GB2312" w:hint="eastAsia"/>
          <w:sz w:val="32"/>
          <w:szCs w:val="20"/>
        </w:rPr>
        <w:t>词解释</w:t>
      </w:r>
    </w:p>
    <w:p w:rsidR="00BB4698" w:rsidRDefault="0005362E">
      <w:pPr>
        <w:spacing w:line="600" w:lineRule="exact"/>
        <w:ind w:firstLineChars="200" w:firstLine="640"/>
        <w:rPr>
          <w:rFonts w:ascii="方正仿宋_GBK" w:eastAsia="方正仿宋_GBK" w:hAnsi="仿宋_GB2312" w:cs="仿宋_GB2312"/>
          <w:color w:val="000000"/>
          <w:sz w:val="32"/>
          <w:szCs w:val="20"/>
        </w:rPr>
      </w:pPr>
      <w:r>
        <w:rPr>
          <w:rFonts w:ascii="方正仿宋_GBK" w:eastAsia="方正仿宋_GBK" w:hAnsi="仿宋_GB2312" w:cs="仿宋_GB2312" w:hint="eastAsia"/>
          <w:color w:val="000000"/>
          <w:sz w:val="32"/>
          <w:szCs w:val="20"/>
        </w:rPr>
        <w:lastRenderedPageBreak/>
        <w:t>（一）财政拨款收入：指本年度从本级财政部门取得的财政拨款，包括一般公共预算财政拨款和政府性基金预算财政拨款。</w:t>
      </w:r>
    </w:p>
    <w:p w:rsidR="00BB4698" w:rsidRDefault="0005362E">
      <w:pPr>
        <w:spacing w:line="600" w:lineRule="exact"/>
        <w:ind w:firstLineChars="200" w:firstLine="640"/>
        <w:rPr>
          <w:rFonts w:ascii="方正仿宋_GBK" w:eastAsia="方正仿宋_GBK" w:hAnsi="仿宋_GB2312" w:cs="仿宋_GB2312"/>
          <w:color w:val="000000"/>
          <w:sz w:val="32"/>
          <w:szCs w:val="20"/>
        </w:rPr>
      </w:pPr>
      <w:r>
        <w:rPr>
          <w:rFonts w:ascii="方正仿宋_GBK" w:eastAsia="方正仿宋_GBK" w:hAnsi="仿宋_GB2312" w:cs="仿宋_GB2312" w:hint="eastAsia"/>
          <w:color w:val="000000"/>
          <w:sz w:val="32"/>
          <w:szCs w:val="20"/>
        </w:rPr>
        <w:t>（二）其他收入：指债务收入、投资收益等收入，单位根据情况合理预计，全部编入预算。</w:t>
      </w:r>
    </w:p>
    <w:p w:rsidR="00BB4698" w:rsidRDefault="0005362E">
      <w:pPr>
        <w:spacing w:line="600" w:lineRule="exact"/>
        <w:ind w:firstLineChars="200" w:firstLine="640"/>
        <w:rPr>
          <w:rFonts w:ascii="方正仿宋_GBK" w:eastAsia="方正仿宋_GBK" w:hAnsi="仿宋_GB2312" w:cs="仿宋_GB2312"/>
          <w:color w:val="000000"/>
          <w:sz w:val="32"/>
          <w:szCs w:val="20"/>
        </w:rPr>
      </w:pPr>
      <w:r>
        <w:rPr>
          <w:rFonts w:ascii="方正仿宋_GBK" w:eastAsia="方正仿宋_GBK" w:hAnsi="仿宋_GB2312" w:cs="仿宋_GB2312" w:hint="eastAsia"/>
          <w:color w:val="000000"/>
          <w:sz w:val="32"/>
          <w:szCs w:val="20"/>
        </w:rPr>
        <w:t>（三）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BB4698" w:rsidRDefault="0005362E">
      <w:pPr>
        <w:spacing w:line="600" w:lineRule="exact"/>
        <w:ind w:firstLineChars="200" w:firstLine="640"/>
        <w:rPr>
          <w:rFonts w:ascii="方正仿宋_GBK" w:eastAsia="方正仿宋_GBK" w:hAnsi="仿宋_GB2312" w:cs="仿宋_GB2312"/>
          <w:color w:val="000000"/>
          <w:sz w:val="32"/>
          <w:szCs w:val="20"/>
        </w:rPr>
      </w:pPr>
      <w:r>
        <w:rPr>
          <w:rFonts w:ascii="方正仿宋_GBK" w:eastAsia="方正仿宋_GBK" w:hAnsi="仿宋_GB2312" w:cs="仿宋_GB2312" w:hint="eastAsia"/>
          <w:color w:val="000000"/>
          <w:sz w:val="32"/>
          <w:szCs w:val="20"/>
        </w:rPr>
        <w:t>（四）项目支出：指在基本支出之外为完成特定行政任务和事业发展目标所发生的支出。</w:t>
      </w:r>
    </w:p>
    <w:p w:rsidR="00BB4698" w:rsidRDefault="0005362E">
      <w:pPr>
        <w:spacing w:line="600" w:lineRule="exact"/>
        <w:ind w:firstLineChars="200" w:firstLine="640"/>
        <w:rPr>
          <w:rFonts w:ascii="方正仿宋_GBK" w:eastAsia="方正仿宋_GBK" w:hAnsi="仿宋_GB2312" w:cs="仿宋_GB2312"/>
          <w:color w:val="000000"/>
          <w:sz w:val="32"/>
          <w:szCs w:val="20"/>
        </w:rPr>
      </w:pPr>
      <w:r>
        <w:rPr>
          <w:rFonts w:ascii="方正仿宋_GBK" w:eastAsia="方正仿宋_GBK" w:hAnsi="仿宋_GB2312" w:cs="仿宋_GB2312" w:hint="eastAsia"/>
          <w:color w:val="000000"/>
          <w:sz w:val="32"/>
          <w:szCs w:val="20"/>
        </w:rPr>
        <w:t>（五）“三公”经费：指用财政拨款安排的因公出国（境）费、公务用车购置及运行维护费、公务接待费。其中，因公出国（境）</w:t>
      </w:r>
      <w:proofErr w:type="gramStart"/>
      <w:r>
        <w:rPr>
          <w:rFonts w:ascii="方正仿宋_GBK" w:eastAsia="方正仿宋_GBK" w:hAnsi="仿宋_GB2312" w:cs="仿宋_GB2312" w:hint="eastAsia"/>
          <w:color w:val="000000"/>
          <w:sz w:val="32"/>
          <w:szCs w:val="20"/>
        </w:rPr>
        <w:t>费反映</w:t>
      </w:r>
      <w:proofErr w:type="gramEnd"/>
      <w:r>
        <w:rPr>
          <w:rFonts w:ascii="方正仿宋_GBK" w:eastAsia="方正仿宋_GBK" w:hAnsi="仿宋_GB2312" w:cs="仿宋_GB2312" w:hint="eastAsia"/>
          <w:color w:val="000000"/>
          <w:sz w:val="32"/>
          <w:szCs w:val="20"/>
        </w:rPr>
        <w:t>单位公务出国（境）的国际旅费、国外城市间交通费、住宿费、伙食费、培训费、公杂费等支出；公务用车购置</w:t>
      </w:r>
      <w:proofErr w:type="gramStart"/>
      <w:r>
        <w:rPr>
          <w:rFonts w:ascii="方正仿宋_GBK" w:eastAsia="方正仿宋_GBK" w:hAnsi="仿宋_GB2312" w:cs="仿宋_GB2312" w:hint="eastAsia"/>
          <w:color w:val="000000"/>
          <w:sz w:val="32"/>
          <w:szCs w:val="20"/>
        </w:rPr>
        <w:t>费反映</w:t>
      </w:r>
      <w:proofErr w:type="gramEnd"/>
      <w:r>
        <w:rPr>
          <w:rFonts w:ascii="方正仿宋_GBK" w:eastAsia="方正仿宋_GBK" w:hAnsi="仿宋_GB2312" w:cs="仿宋_GB2312" w:hint="eastAsia"/>
          <w:color w:val="000000"/>
          <w:sz w:val="32"/>
          <w:szCs w:val="20"/>
        </w:rPr>
        <w:t>单位公务用车购置支出（</w:t>
      </w:r>
      <w:proofErr w:type="gramStart"/>
      <w:r>
        <w:rPr>
          <w:rFonts w:ascii="方正仿宋_GBK" w:eastAsia="方正仿宋_GBK" w:hAnsi="仿宋_GB2312" w:cs="仿宋_GB2312" w:hint="eastAsia"/>
          <w:color w:val="000000"/>
          <w:sz w:val="32"/>
          <w:szCs w:val="20"/>
        </w:rPr>
        <w:t>含车辆</w:t>
      </w:r>
      <w:proofErr w:type="gramEnd"/>
      <w:r>
        <w:rPr>
          <w:rFonts w:ascii="方正仿宋_GBK" w:eastAsia="方正仿宋_GBK" w:hAnsi="仿宋_GB2312" w:cs="仿宋_GB2312" w:hint="eastAsia"/>
          <w:color w:val="000000"/>
          <w:sz w:val="32"/>
          <w:szCs w:val="20"/>
        </w:rPr>
        <w:t>购置税）;公务用车运行维护费反映单位按规定保留的公务用车燃料费、维修费、过路过桥费、保险费、安全奖励费用等支出；公务接待</w:t>
      </w:r>
      <w:proofErr w:type="gramStart"/>
      <w:r>
        <w:rPr>
          <w:rFonts w:ascii="方正仿宋_GBK" w:eastAsia="方正仿宋_GBK" w:hAnsi="仿宋_GB2312" w:cs="仿宋_GB2312" w:hint="eastAsia"/>
          <w:color w:val="000000"/>
          <w:sz w:val="32"/>
          <w:szCs w:val="20"/>
        </w:rPr>
        <w:t>费反映</w:t>
      </w:r>
      <w:proofErr w:type="gramEnd"/>
      <w:r>
        <w:rPr>
          <w:rFonts w:ascii="方正仿宋_GBK" w:eastAsia="方正仿宋_GBK" w:hAnsi="仿宋_GB2312" w:cs="仿宋_GB2312" w:hint="eastAsia"/>
          <w:color w:val="000000"/>
          <w:sz w:val="32"/>
          <w:szCs w:val="20"/>
        </w:rPr>
        <w:t>单位按规定开支的各类公务接待（含外宾接待）支出。</w:t>
      </w:r>
    </w:p>
    <w:p w:rsidR="00BB4698" w:rsidRDefault="00BB4698">
      <w:pPr>
        <w:spacing w:line="600" w:lineRule="exact"/>
        <w:ind w:firstLineChars="200" w:firstLine="640"/>
        <w:rPr>
          <w:rFonts w:ascii="方正仿宋_GBK" w:eastAsia="方正仿宋_GBK" w:hAnsi="仿宋_GB2312" w:cs="仿宋_GB2312"/>
          <w:color w:val="000000"/>
          <w:sz w:val="32"/>
          <w:szCs w:val="20"/>
        </w:rPr>
      </w:pPr>
    </w:p>
    <w:p w:rsidR="00BB4698" w:rsidRDefault="0005362E">
      <w:pPr>
        <w:spacing w:line="600" w:lineRule="exact"/>
        <w:ind w:firstLineChars="200" w:firstLine="640"/>
        <w:rPr>
          <w:rFonts w:ascii="方正仿宋_GBK" w:eastAsia="方正仿宋_GBK"/>
          <w:sz w:val="32"/>
          <w:szCs w:val="32"/>
        </w:rPr>
      </w:pPr>
      <w:r>
        <w:rPr>
          <w:rFonts w:ascii="方正仿宋_GBK" w:eastAsia="方正仿宋_GBK" w:hAnsi="Times New Roman" w:cs="Times New Roman" w:hint="eastAsia"/>
          <w:sz w:val="32"/>
          <w:szCs w:val="20"/>
        </w:rPr>
        <w:t>（</w:t>
      </w:r>
      <w:r>
        <w:rPr>
          <w:rFonts w:ascii="方正仿宋_GBK" w:eastAsia="方正仿宋_GBK" w:hAnsi="仿宋_GB2312" w:cs="仿宋_GB2312" w:hint="eastAsia"/>
          <w:sz w:val="32"/>
          <w:szCs w:val="20"/>
        </w:rPr>
        <w:t>部门预算公开联系人：钟绍铃</w:t>
      </w:r>
      <w:r>
        <w:rPr>
          <w:rFonts w:ascii="方正仿宋_GBK" w:eastAsia="方正仿宋_GBK" w:hAnsi="Times New Roman" w:cs="Times New Roman" w:hint="eastAsia"/>
          <w:sz w:val="32"/>
          <w:szCs w:val="20"/>
        </w:rPr>
        <w:t>，联系方式：023-68680179）</w:t>
      </w:r>
    </w:p>
    <w:sectPr w:rsidR="00BB4698">
      <w:footerReference w:type="even" r:id="rId8"/>
      <w:footerReference w:type="default" r:id="rId9"/>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336" w:rsidRDefault="00CB1336">
      <w:r>
        <w:separator/>
      </w:r>
    </w:p>
  </w:endnote>
  <w:endnote w:type="continuationSeparator" w:id="0">
    <w:p w:rsidR="00CB1336" w:rsidRDefault="00CB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0873"/>
    </w:sdtPr>
    <w:sdtEndPr/>
    <w:sdtContent>
      <w:p w:rsidR="00BB4698" w:rsidRDefault="0005362E">
        <w:pPr>
          <w:pStyle w:val="a6"/>
          <w:rPr>
            <w:sz w:val="21"/>
            <w:szCs w:val="24"/>
          </w:rPr>
        </w:pPr>
        <w:r>
          <w:rPr>
            <w:rFonts w:ascii="方正仿宋_GBK" w:eastAsia="方正仿宋_GBK" w:hint="eastAsia"/>
            <w:sz w:val="28"/>
            <w:szCs w:val="28"/>
          </w:rPr>
          <w:t>—</w:t>
        </w:r>
        <w:r>
          <w:rPr>
            <w:rFonts w:ascii="方正仿宋_GBK" w:eastAsia="方正仿宋_GBK" w:hint="eastAsia"/>
            <w:sz w:val="28"/>
            <w:szCs w:val="28"/>
          </w:rPr>
          <w:fldChar w:fldCharType="begin"/>
        </w:r>
        <w:r>
          <w:rPr>
            <w:rFonts w:ascii="方正仿宋_GBK" w:eastAsia="方正仿宋_GBK" w:hint="eastAsia"/>
            <w:sz w:val="28"/>
            <w:szCs w:val="28"/>
          </w:rPr>
          <w:instrText xml:space="preserve"> PAGE   \* MERGEFORMAT </w:instrText>
        </w:r>
        <w:r>
          <w:rPr>
            <w:rFonts w:ascii="方正仿宋_GBK" w:eastAsia="方正仿宋_GBK" w:hint="eastAsia"/>
            <w:sz w:val="28"/>
            <w:szCs w:val="28"/>
          </w:rPr>
          <w:fldChar w:fldCharType="separate"/>
        </w:r>
        <w:r w:rsidR="001C3016" w:rsidRPr="001C3016">
          <w:rPr>
            <w:rFonts w:ascii="方正仿宋_GBK" w:eastAsia="方正仿宋_GBK"/>
            <w:noProof/>
            <w:sz w:val="28"/>
            <w:szCs w:val="28"/>
            <w:lang w:val="zh-CN"/>
          </w:rPr>
          <w:t>4</w:t>
        </w:r>
        <w:r>
          <w:rPr>
            <w:rFonts w:ascii="方正仿宋_GBK" w:eastAsia="方正仿宋_GBK" w:hint="eastAsia"/>
            <w:sz w:val="28"/>
            <w:szCs w:val="28"/>
          </w:rPr>
          <w:fldChar w:fldCharType="end"/>
        </w:r>
        <w:r>
          <w:rPr>
            <w:rFonts w:ascii="方正仿宋_GBK" w:eastAsia="方正仿宋_GBK" w:hint="eastAsia"/>
            <w:sz w:val="28"/>
            <w:szCs w:val="28"/>
          </w:rPr>
          <w:t>—</w:t>
        </w:r>
      </w:p>
    </w:sdtContent>
  </w:sdt>
  <w:p w:rsidR="00BB4698" w:rsidRDefault="00BB4698">
    <w:pPr>
      <w:pStyle w:val="a6"/>
    </w:pPr>
  </w:p>
  <w:p w:rsidR="00BB4698" w:rsidRDefault="00BB469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0866"/>
    </w:sdtPr>
    <w:sdtEndPr>
      <w:rPr>
        <w:rFonts w:asciiTheme="majorEastAsia" w:eastAsiaTheme="majorEastAsia" w:hAnsiTheme="majorEastAsia" w:cstheme="majorEastAsia" w:hint="eastAsia"/>
        <w:sz w:val="28"/>
        <w:szCs w:val="28"/>
      </w:rPr>
    </w:sdtEndPr>
    <w:sdtContent>
      <w:p w:rsidR="00BB4698" w:rsidRDefault="0005362E">
        <w:pPr>
          <w:pStyle w:val="a6"/>
          <w:jc w:val="righ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1C3016" w:rsidRPr="001C3016">
          <w:rPr>
            <w:rFonts w:asciiTheme="majorEastAsia" w:eastAsiaTheme="majorEastAsia" w:hAnsiTheme="majorEastAsia" w:cstheme="majorEastAsia"/>
            <w:noProof/>
            <w:sz w:val="28"/>
            <w:szCs w:val="28"/>
            <w:lang w:val="zh-CN"/>
          </w:rPr>
          <w:t>1</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w:t>
        </w:r>
      </w:p>
    </w:sdtContent>
  </w:sdt>
  <w:p w:rsidR="00BB4698" w:rsidRDefault="00BB4698">
    <w:pPr>
      <w:pStyle w:val="a6"/>
    </w:pPr>
  </w:p>
  <w:p w:rsidR="00BB4698" w:rsidRDefault="00BB46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336" w:rsidRDefault="00CB1336">
      <w:r>
        <w:separator/>
      </w:r>
    </w:p>
  </w:footnote>
  <w:footnote w:type="continuationSeparator" w:id="0">
    <w:p w:rsidR="00CB1336" w:rsidRDefault="00CB1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iMTkyMTQyNzFjN2E5ZmFhNmY4ZGRiOTA0YmQ4N2MifQ=="/>
  </w:docVars>
  <w:rsids>
    <w:rsidRoot w:val="DDEFA33C"/>
    <w:rsid w:val="DDEFA33C"/>
    <w:rsid w:val="ECD3B3C2"/>
    <w:rsid w:val="FB5FB4F3"/>
    <w:rsid w:val="FB6F9806"/>
    <w:rsid w:val="00000550"/>
    <w:rsid w:val="00002D64"/>
    <w:rsid w:val="00020764"/>
    <w:rsid w:val="0002749C"/>
    <w:rsid w:val="00047981"/>
    <w:rsid w:val="00050437"/>
    <w:rsid w:val="0005362E"/>
    <w:rsid w:val="00062654"/>
    <w:rsid w:val="000B03CB"/>
    <w:rsid w:val="00105658"/>
    <w:rsid w:val="00105DB3"/>
    <w:rsid w:val="00126DE5"/>
    <w:rsid w:val="001424BB"/>
    <w:rsid w:val="00147E03"/>
    <w:rsid w:val="00187BA3"/>
    <w:rsid w:val="001900F7"/>
    <w:rsid w:val="001A3B38"/>
    <w:rsid w:val="001C3016"/>
    <w:rsid w:val="001C562C"/>
    <w:rsid w:val="001D3D78"/>
    <w:rsid w:val="001D5EF5"/>
    <w:rsid w:val="001F1C80"/>
    <w:rsid w:val="00207050"/>
    <w:rsid w:val="00221C30"/>
    <w:rsid w:val="00257FEE"/>
    <w:rsid w:val="002A393E"/>
    <w:rsid w:val="002A47A1"/>
    <w:rsid w:val="002B2A63"/>
    <w:rsid w:val="002C03A7"/>
    <w:rsid w:val="00325FD3"/>
    <w:rsid w:val="00331522"/>
    <w:rsid w:val="00357DD5"/>
    <w:rsid w:val="003625C5"/>
    <w:rsid w:val="0039593E"/>
    <w:rsid w:val="00395FFC"/>
    <w:rsid w:val="00397AEA"/>
    <w:rsid w:val="003A69E3"/>
    <w:rsid w:val="003B2F4B"/>
    <w:rsid w:val="003B680C"/>
    <w:rsid w:val="003D0A25"/>
    <w:rsid w:val="003D7D22"/>
    <w:rsid w:val="003E043C"/>
    <w:rsid w:val="003E0547"/>
    <w:rsid w:val="003F0F36"/>
    <w:rsid w:val="00406394"/>
    <w:rsid w:val="004411ED"/>
    <w:rsid w:val="0044491E"/>
    <w:rsid w:val="004551A7"/>
    <w:rsid w:val="004573AF"/>
    <w:rsid w:val="00462582"/>
    <w:rsid w:val="00463DA7"/>
    <w:rsid w:val="00467BE5"/>
    <w:rsid w:val="004829F8"/>
    <w:rsid w:val="00494C3B"/>
    <w:rsid w:val="0049564A"/>
    <w:rsid w:val="004A5113"/>
    <w:rsid w:val="004C3049"/>
    <w:rsid w:val="004D335C"/>
    <w:rsid w:val="004D34F4"/>
    <w:rsid w:val="004E72A4"/>
    <w:rsid w:val="00506D68"/>
    <w:rsid w:val="00523889"/>
    <w:rsid w:val="0053400B"/>
    <w:rsid w:val="00536729"/>
    <w:rsid w:val="005369E2"/>
    <w:rsid w:val="0055700B"/>
    <w:rsid w:val="0056748E"/>
    <w:rsid w:val="00573089"/>
    <w:rsid w:val="0058358D"/>
    <w:rsid w:val="005949AB"/>
    <w:rsid w:val="00596D47"/>
    <w:rsid w:val="005C0BC9"/>
    <w:rsid w:val="005D460C"/>
    <w:rsid w:val="005D6317"/>
    <w:rsid w:val="005E7261"/>
    <w:rsid w:val="005E7595"/>
    <w:rsid w:val="005F549F"/>
    <w:rsid w:val="006143BC"/>
    <w:rsid w:val="0063260E"/>
    <w:rsid w:val="00646723"/>
    <w:rsid w:val="0066455A"/>
    <w:rsid w:val="0069086E"/>
    <w:rsid w:val="00696E62"/>
    <w:rsid w:val="006A5DA1"/>
    <w:rsid w:val="006B7AC3"/>
    <w:rsid w:val="006C6826"/>
    <w:rsid w:val="006D2B23"/>
    <w:rsid w:val="006E2D81"/>
    <w:rsid w:val="00702401"/>
    <w:rsid w:val="00723989"/>
    <w:rsid w:val="007422B8"/>
    <w:rsid w:val="00746A00"/>
    <w:rsid w:val="00761782"/>
    <w:rsid w:val="00763107"/>
    <w:rsid w:val="00780A53"/>
    <w:rsid w:val="0078414E"/>
    <w:rsid w:val="007929CF"/>
    <w:rsid w:val="007A6E54"/>
    <w:rsid w:val="007B0EC2"/>
    <w:rsid w:val="007B2D3D"/>
    <w:rsid w:val="007C286D"/>
    <w:rsid w:val="007D1D85"/>
    <w:rsid w:val="007E5DFD"/>
    <w:rsid w:val="00830C81"/>
    <w:rsid w:val="008368E0"/>
    <w:rsid w:val="00850664"/>
    <w:rsid w:val="00866863"/>
    <w:rsid w:val="008721DA"/>
    <w:rsid w:val="00880D9C"/>
    <w:rsid w:val="00892833"/>
    <w:rsid w:val="008958F5"/>
    <w:rsid w:val="008C6EE3"/>
    <w:rsid w:val="008C748B"/>
    <w:rsid w:val="008D09B9"/>
    <w:rsid w:val="008E1FC6"/>
    <w:rsid w:val="008E3F98"/>
    <w:rsid w:val="008E75B3"/>
    <w:rsid w:val="008F11A0"/>
    <w:rsid w:val="008F2670"/>
    <w:rsid w:val="008F6BC0"/>
    <w:rsid w:val="00904291"/>
    <w:rsid w:val="0092429C"/>
    <w:rsid w:val="00962B3C"/>
    <w:rsid w:val="00986CE2"/>
    <w:rsid w:val="0099613A"/>
    <w:rsid w:val="009A0B9A"/>
    <w:rsid w:val="009B7187"/>
    <w:rsid w:val="009D23CE"/>
    <w:rsid w:val="009D2F7D"/>
    <w:rsid w:val="009E7B9D"/>
    <w:rsid w:val="00A07574"/>
    <w:rsid w:val="00A12BD5"/>
    <w:rsid w:val="00A641E4"/>
    <w:rsid w:val="00A74D89"/>
    <w:rsid w:val="00A90C82"/>
    <w:rsid w:val="00AB3A79"/>
    <w:rsid w:val="00AC42FA"/>
    <w:rsid w:val="00AF684F"/>
    <w:rsid w:val="00B07D1B"/>
    <w:rsid w:val="00B13BEE"/>
    <w:rsid w:val="00B23322"/>
    <w:rsid w:val="00B264B7"/>
    <w:rsid w:val="00B524D7"/>
    <w:rsid w:val="00B64346"/>
    <w:rsid w:val="00B80381"/>
    <w:rsid w:val="00BB17CC"/>
    <w:rsid w:val="00BB4698"/>
    <w:rsid w:val="00BC1F51"/>
    <w:rsid w:val="00BF3090"/>
    <w:rsid w:val="00BF31DB"/>
    <w:rsid w:val="00C05D20"/>
    <w:rsid w:val="00C15F8C"/>
    <w:rsid w:val="00C42C32"/>
    <w:rsid w:val="00C43658"/>
    <w:rsid w:val="00C51C46"/>
    <w:rsid w:val="00C57659"/>
    <w:rsid w:val="00C615CE"/>
    <w:rsid w:val="00C72FDA"/>
    <w:rsid w:val="00C768CD"/>
    <w:rsid w:val="00C839E8"/>
    <w:rsid w:val="00C92B04"/>
    <w:rsid w:val="00CB1336"/>
    <w:rsid w:val="00CB209C"/>
    <w:rsid w:val="00CB626C"/>
    <w:rsid w:val="00CC1333"/>
    <w:rsid w:val="00D049C5"/>
    <w:rsid w:val="00D1414B"/>
    <w:rsid w:val="00D230DC"/>
    <w:rsid w:val="00D4510D"/>
    <w:rsid w:val="00DA4FB8"/>
    <w:rsid w:val="00DC6DEE"/>
    <w:rsid w:val="00DD1FA2"/>
    <w:rsid w:val="00DE5C3D"/>
    <w:rsid w:val="00E15E97"/>
    <w:rsid w:val="00E35738"/>
    <w:rsid w:val="00E46E77"/>
    <w:rsid w:val="00E47D68"/>
    <w:rsid w:val="00E51C72"/>
    <w:rsid w:val="00E65A21"/>
    <w:rsid w:val="00E801CC"/>
    <w:rsid w:val="00EB45D8"/>
    <w:rsid w:val="00EE5CD6"/>
    <w:rsid w:val="00EE740D"/>
    <w:rsid w:val="00F16F32"/>
    <w:rsid w:val="00F27CBF"/>
    <w:rsid w:val="00F63F57"/>
    <w:rsid w:val="00F66F1B"/>
    <w:rsid w:val="00F73BBA"/>
    <w:rsid w:val="00F84048"/>
    <w:rsid w:val="00F92C0C"/>
    <w:rsid w:val="00FA0793"/>
    <w:rsid w:val="00FA7B60"/>
    <w:rsid w:val="00FB29EC"/>
    <w:rsid w:val="00FB6B1D"/>
    <w:rsid w:val="00FC2FCB"/>
    <w:rsid w:val="00FE32F5"/>
    <w:rsid w:val="00FF4593"/>
    <w:rsid w:val="01421AD5"/>
    <w:rsid w:val="0236335D"/>
    <w:rsid w:val="02ED581F"/>
    <w:rsid w:val="04804E4F"/>
    <w:rsid w:val="04897593"/>
    <w:rsid w:val="05375C40"/>
    <w:rsid w:val="098E4D01"/>
    <w:rsid w:val="0AB37C41"/>
    <w:rsid w:val="0BCB6AF9"/>
    <w:rsid w:val="0C474AE5"/>
    <w:rsid w:val="0D3102E8"/>
    <w:rsid w:val="0D7D5BAD"/>
    <w:rsid w:val="0D870F11"/>
    <w:rsid w:val="0DDE4FD5"/>
    <w:rsid w:val="0E4A08BC"/>
    <w:rsid w:val="0EE06B2A"/>
    <w:rsid w:val="0F1F1798"/>
    <w:rsid w:val="0F796797"/>
    <w:rsid w:val="0F9C5147"/>
    <w:rsid w:val="10581601"/>
    <w:rsid w:val="13BA5B9C"/>
    <w:rsid w:val="13BF0CFE"/>
    <w:rsid w:val="15162920"/>
    <w:rsid w:val="155838BF"/>
    <w:rsid w:val="16135A37"/>
    <w:rsid w:val="17C03648"/>
    <w:rsid w:val="187D53EA"/>
    <w:rsid w:val="18BB2FCA"/>
    <w:rsid w:val="194A1770"/>
    <w:rsid w:val="19960E59"/>
    <w:rsid w:val="19BB441C"/>
    <w:rsid w:val="1BB6221F"/>
    <w:rsid w:val="1CCB2BC8"/>
    <w:rsid w:val="1D7D050B"/>
    <w:rsid w:val="218E0668"/>
    <w:rsid w:val="23586D5A"/>
    <w:rsid w:val="25323A5B"/>
    <w:rsid w:val="25C66622"/>
    <w:rsid w:val="26EE2D54"/>
    <w:rsid w:val="278C526B"/>
    <w:rsid w:val="28BE7A85"/>
    <w:rsid w:val="2A30169E"/>
    <w:rsid w:val="2A443FBA"/>
    <w:rsid w:val="2B3E6C5B"/>
    <w:rsid w:val="2C030012"/>
    <w:rsid w:val="2D917516"/>
    <w:rsid w:val="2E734E6D"/>
    <w:rsid w:val="30812CEE"/>
    <w:rsid w:val="315A2315"/>
    <w:rsid w:val="318B25BA"/>
    <w:rsid w:val="32195D2C"/>
    <w:rsid w:val="3239017C"/>
    <w:rsid w:val="32A139E6"/>
    <w:rsid w:val="32D526EA"/>
    <w:rsid w:val="331223BC"/>
    <w:rsid w:val="331F3816"/>
    <w:rsid w:val="35C45B4B"/>
    <w:rsid w:val="36A06A70"/>
    <w:rsid w:val="374B6987"/>
    <w:rsid w:val="37C93D50"/>
    <w:rsid w:val="37F3616B"/>
    <w:rsid w:val="39003892"/>
    <w:rsid w:val="39162FC5"/>
    <w:rsid w:val="396430B4"/>
    <w:rsid w:val="3D0A4BEF"/>
    <w:rsid w:val="3DED72A5"/>
    <w:rsid w:val="3F8E5FAB"/>
    <w:rsid w:val="3FAF1A7E"/>
    <w:rsid w:val="40C06C58"/>
    <w:rsid w:val="45162DE9"/>
    <w:rsid w:val="462D41F2"/>
    <w:rsid w:val="468B4FF2"/>
    <w:rsid w:val="49BE123B"/>
    <w:rsid w:val="49EA244B"/>
    <w:rsid w:val="4AF423F5"/>
    <w:rsid w:val="4B903FA6"/>
    <w:rsid w:val="4E4F4B57"/>
    <w:rsid w:val="4E636855"/>
    <w:rsid w:val="4E7E543D"/>
    <w:rsid w:val="4EFC16B4"/>
    <w:rsid w:val="4FFC486B"/>
    <w:rsid w:val="515E23D7"/>
    <w:rsid w:val="5176064D"/>
    <w:rsid w:val="53752EAF"/>
    <w:rsid w:val="53E43018"/>
    <w:rsid w:val="546D3F89"/>
    <w:rsid w:val="547E00EE"/>
    <w:rsid w:val="580F7106"/>
    <w:rsid w:val="58586CFE"/>
    <w:rsid w:val="585A65D3"/>
    <w:rsid w:val="58EB36CF"/>
    <w:rsid w:val="5A3535DC"/>
    <w:rsid w:val="5AE27183"/>
    <w:rsid w:val="5B9C5154"/>
    <w:rsid w:val="5C377348"/>
    <w:rsid w:val="5C6A37C7"/>
    <w:rsid w:val="5CC76201"/>
    <w:rsid w:val="5F9A04E3"/>
    <w:rsid w:val="60430294"/>
    <w:rsid w:val="60733116"/>
    <w:rsid w:val="61630BEE"/>
    <w:rsid w:val="62121E35"/>
    <w:rsid w:val="625A284E"/>
    <w:rsid w:val="62734ADF"/>
    <w:rsid w:val="63043D0B"/>
    <w:rsid w:val="653348AC"/>
    <w:rsid w:val="65DC2D1D"/>
    <w:rsid w:val="676F7BC1"/>
    <w:rsid w:val="68710172"/>
    <w:rsid w:val="6B1B7E43"/>
    <w:rsid w:val="6C8B750A"/>
    <w:rsid w:val="6D2D20B0"/>
    <w:rsid w:val="6EBC36EB"/>
    <w:rsid w:val="704B0888"/>
    <w:rsid w:val="708C7DEB"/>
    <w:rsid w:val="70BC0E22"/>
    <w:rsid w:val="73247AB1"/>
    <w:rsid w:val="73FC0A2E"/>
    <w:rsid w:val="744C72C0"/>
    <w:rsid w:val="74E97204"/>
    <w:rsid w:val="75581C94"/>
    <w:rsid w:val="765B69DE"/>
    <w:rsid w:val="775B5A6C"/>
    <w:rsid w:val="778B603F"/>
    <w:rsid w:val="78FC193B"/>
    <w:rsid w:val="7A862E00"/>
    <w:rsid w:val="7BB719C2"/>
    <w:rsid w:val="7DF52770"/>
    <w:rsid w:val="7EB4618D"/>
    <w:rsid w:val="7EB47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suppressAutoHyphens/>
      <w:spacing w:beforeAutospacing="1"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ascii="Calibri" w:eastAsia="宋体" w:hAnsi="Calibri" w:cs="宋体"/>
      <w:szCs w:val="22"/>
    </w:rPr>
  </w:style>
  <w:style w:type="paragraph" w:styleId="a4">
    <w:name w:val="Date"/>
    <w:basedOn w:val="a"/>
    <w:next w:val="a"/>
    <w:link w:val="Char0"/>
    <w:qFormat/>
    <w:pPr>
      <w:ind w:leftChars="2500" w:left="100"/>
    </w:p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qFormat/>
    <w:rPr>
      <w:sz w:val="21"/>
      <w:szCs w:val="21"/>
    </w:rPr>
  </w:style>
  <w:style w:type="paragraph" w:customStyle="1" w:styleId="Default">
    <w:name w:val="Default"/>
    <w:uiPriority w:val="99"/>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Char3">
    <w:name w:val="页眉 Char"/>
    <w:basedOn w:val="a0"/>
    <w:link w:val="a7"/>
    <w:qFormat/>
    <w:rPr>
      <w:kern w:val="2"/>
      <w:sz w:val="18"/>
      <w:szCs w:val="18"/>
    </w:rPr>
  </w:style>
  <w:style w:type="character" w:customStyle="1" w:styleId="Char2">
    <w:name w:val="页脚 Char"/>
    <w:basedOn w:val="a0"/>
    <w:link w:val="a6"/>
    <w:qFormat/>
    <w:rPr>
      <w:kern w:val="2"/>
      <w:sz w:val="18"/>
      <w:szCs w:val="18"/>
    </w:rPr>
  </w:style>
  <w:style w:type="paragraph" w:customStyle="1" w:styleId="UserStyle0">
    <w:name w:val="UserStyle_0"/>
    <w:basedOn w:val="a"/>
    <w:qFormat/>
    <w:pPr>
      <w:autoSpaceDE w:val="0"/>
      <w:autoSpaceDN w:val="0"/>
      <w:spacing w:after="160" w:line="278" w:lineRule="auto"/>
      <w:ind w:firstLineChars="200" w:firstLine="200"/>
      <w:jc w:val="left"/>
    </w:pPr>
    <w:rPr>
      <w:rFonts w:ascii="Calibri" w:eastAsia="宋体" w:hAnsi="Calibri" w:cs="Times New Roman"/>
      <w:color w:val="000000"/>
      <w:kern w:val="0"/>
      <w:sz w:val="22"/>
      <w:szCs w:val="21"/>
      <w:lang w:val="zh-CN" w:bidi="zh-CN"/>
    </w:rPr>
  </w:style>
  <w:style w:type="character" w:customStyle="1" w:styleId="Bodytext1">
    <w:name w:val="Body text|1_"/>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408" w:lineRule="auto"/>
      <w:ind w:firstLine="400"/>
      <w:jc w:val="left"/>
    </w:pPr>
    <w:rPr>
      <w:rFonts w:ascii="宋体" w:hAnsi="宋体" w:cs="宋体"/>
      <w:kern w:val="0"/>
      <w:sz w:val="30"/>
      <w:szCs w:val="30"/>
      <w:lang w:val="zh-TW" w:eastAsia="zh-TW" w:bidi="zh-TW"/>
    </w:rPr>
  </w:style>
  <w:style w:type="character" w:customStyle="1" w:styleId="Char1">
    <w:name w:val="批注框文本 Char"/>
    <w:basedOn w:val="a0"/>
    <w:link w:val="a5"/>
    <w:qFormat/>
    <w:rPr>
      <w:kern w:val="2"/>
      <w:sz w:val="18"/>
      <w:szCs w:val="18"/>
    </w:rPr>
  </w:style>
  <w:style w:type="character" w:customStyle="1" w:styleId="Char">
    <w:name w:val="批注文字 Char"/>
    <w:basedOn w:val="a0"/>
    <w:link w:val="a3"/>
    <w:uiPriority w:val="99"/>
    <w:qFormat/>
    <w:rPr>
      <w:rFonts w:ascii="Calibri" w:eastAsia="宋体" w:hAnsi="Calibri" w:cs="宋体"/>
      <w:kern w:val="2"/>
      <w:sz w:val="21"/>
      <w:szCs w:val="22"/>
    </w:rPr>
  </w:style>
  <w:style w:type="character" w:customStyle="1" w:styleId="Char0">
    <w:name w:val="日期 Char"/>
    <w:basedOn w:val="a0"/>
    <w:link w:val="a4"/>
    <w:qFormat/>
    <w:rPr>
      <w:kern w:val="2"/>
      <w:sz w:val="21"/>
      <w:szCs w:val="24"/>
    </w:rPr>
  </w:style>
  <w:style w:type="character" w:customStyle="1" w:styleId="1Char">
    <w:name w:val="标题 1 Char"/>
    <w:basedOn w:val="a0"/>
    <w:link w:val="1"/>
    <w:qFormat/>
    <w:rPr>
      <w:rFonts w:ascii="宋体" w:eastAsia="宋体" w:hAnsi="宋体"/>
      <w:b/>
      <w:kern w:val="44"/>
      <w:sz w:val="48"/>
      <w:szCs w:val="48"/>
    </w:rPr>
  </w:style>
  <w:style w:type="paragraph" w:styleId="ab">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suppressAutoHyphens/>
      <w:spacing w:beforeAutospacing="1"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ascii="Calibri" w:eastAsia="宋体" w:hAnsi="Calibri" w:cs="宋体"/>
      <w:szCs w:val="22"/>
    </w:rPr>
  </w:style>
  <w:style w:type="paragraph" w:styleId="a4">
    <w:name w:val="Date"/>
    <w:basedOn w:val="a"/>
    <w:next w:val="a"/>
    <w:link w:val="Char0"/>
    <w:qFormat/>
    <w:pPr>
      <w:ind w:leftChars="2500" w:left="100"/>
    </w:p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qFormat/>
    <w:rPr>
      <w:sz w:val="21"/>
      <w:szCs w:val="21"/>
    </w:rPr>
  </w:style>
  <w:style w:type="paragraph" w:customStyle="1" w:styleId="Default">
    <w:name w:val="Default"/>
    <w:uiPriority w:val="99"/>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Char3">
    <w:name w:val="页眉 Char"/>
    <w:basedOn w:val="a0"/>
    <w:link w:val="a7"/>
    <w:qFormat/>
    <w:rPr>
      <w:kern w:val="2"/>
      <w:sz w:val="18"/>
      <w:szCs w:val="18"/>
    </w:rPr>
  </w:style>
  <w:style w:type="character" w:customStyle="1" w:styleId="Char2">
    <w:name w:val="页脚 Char"/>
    <w:basedOn w:val="a0"/>
    <w:link w:val="a6"/>
    <w:qFormat/>
    <w:rPr>
      <w:kern w:val="2"/>
      <w:sz w:val="18"/>
      <w:szCs w:val="18"/>
    </w:rPr>
  </w:style>
  <w:style w:type="paragraph" w:customStyle="1" w:styleId="UserStyle0">
    <w:name w:val="UserStyle_0"/>
    <w:basedOn w:val="a"/>
    <w:qFormat/>
    <w:pPr>
      <w:autoSpaceDE w:val="0"/>
      <w:autoSpaceDN w:val="0"/>
      <w:spacing w:after="160" w:line="278" w:lineRule="auto"/>
      <w:ind w:firstLineChars="200" w:firstLine="200"/>
      <w:jc w:val="left"/>
    </w:pPr>
    <w:rPr>
      <w:rFonts w:ascii="Calibri" w:eastAsia="宋体" w:hAnsi="Calibri" w:cs="Times New Roman"/>
      <w:color w:val="000000"/>
      <w:kern w:val="0"/>
      <w:sz w:val="22"/>
      <w:szCs w:val="21"/>
      <w:lang w:val="zh-CN" w:bidi="zh-CN"/>
    </w:rPr>
  </w:style>
  <w:style w:type="character" w:customStyle="1" w:styleId="Bodytext1">
    <w:name w:val="Body text|1_"/>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408" w:lineRule="auto"/>
      <w:ind w:firstLine="400"/>
      <w:jc w:val="left"/>
    </w:pPr>
    <w:rPr>
      <w:rFonts w:ascii="宋体" w:hAnsi="宋体" w:cs="宋体"/>
      <w:kern w:val="0"/>
      <w:sz w:val="30"/>
      <w:szCs w:val="30"/>
      <w:lang w:val="zh-TW" w:eastAsia="zh-TW" w:bidi="zh-TW"/>
    </w:rPr>
  </w:style>
  <w:style w:type="character" w:customStyle="1" w:styleId="Char1">
    <w:name w:val="批注框文本 Char"/>
    <w:basedOn w:val="a0"/>
    <w:link w:val="a5"/>
    <w:qFormat/>
    <w:rPr>
      <w:kern w:val="2"/>
      <w:sz w:val="18"/>
      <w:szCs w:val="18"/>
    </w:rPr>
  </w:style>
  <w:style w:type="character" w:customStyle="1" w:styleId="Char">
    <w:name w:val="批注文字 Char"/>
    <w:basedOn w:val="a0"/>
    <w:link w:val="a3"/>
    <w:uiPriority w:val="99"/>
    <w:qFormat/>
    <w:rPr>
      <w:rFonts w:ascii="Calibri" w:eastAsia="宋体" w:hAnsi="Calibri" w:cs="宋体"/>
      <w:kern w:val="2"/>
      <w:sz w:val="21"/>
      <w:szCs w:val="22"/>
    </w:rPr>
  </w:style>
  <w:style w:type="character" w:customStyle="1" w:styleId="Char0">
    <w:name w:val="日期 Char"/>
    <w:basedOn w:val="a0"/>
    <w:link w:val="a4"/>
    <w:qFormat/>
    <w:rPr>
      <w:kern w:val="2"/>
      <w:sz w:val="21"/>
      <w:szCs w:val="24"/>
    </w:rPr>
  </w:style>
  <w:style w:type="character" w:customStyle="1" w:styleId="1Char">
    <w:name w:val="标题 1 Char"/>
    <w:basedOn w:val="a0"/>
    <w:link w:val="1"/>
    <w:qFormat/>
    <w:rPr>
      <w:rFonts w:ascii="宋体" w:eastAsia="宋体" w:hAnsi="宋体"/>
      <w:b/>
      <w:kern w:val="44"/>
      <w:sz w:val="48"/>
      <w:szCs w:val="48"/>
    </w:rPr>
  </w:style>
  <w:style w:type="paragraph" w:styleId="ab">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Pages>
  <Words>301</Words>
  <Characters>1716</Characters>
  <Application>Microsoft Office Word</Application>
  <DocSecurity>0</DocSecurity>
  <Lines>14</Lines>
  <Paragraphs>4</Paragraphs>
  <ScaleCrop>false</ScaleCrop>
  <Company>Microsoft</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风筝断了线</dc:creator>
  <cp:lastModifiedBy>bear</cp:lastModifiedBy>
  <cp:revision>125</cp:revision>
  <cp:lastPrinted>2024-02-27T06:23:00Z</cp:lastPrinted>
  <dcterms:created xsi:type="dcterms:W3CDTF">2024-02-03T08:58:00Z</dcterms:created>
  <dcterms:modified xsi:type="dcterms:W3CDTF">2026-05-07T02:44:00Z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224826A4BF91458CAD17A5ADD808FBDE_13</vt:lpwstr>
  </property>
  <property fmtid="{D5CDD505-2E9C-101B-9397-08002B2CF9AE}" pid="4" name="KSOTemplateDocerSaveRecord">
    <vt:lpwstr>eyJoZGlkIjoiOGVjNWQxNTllMmJjNzk0ODNlZDVhNzY0MjI5OGM2NzkifQ==</vt:lpwstr>
  </property>
</Properties>
</file>