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DB92">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中共西部科学城重庆高新区工作委员会统战部2026年部门预算情况说明</w:t>
      </w:r>
    </w:p>
    <w:p w14:paraId="25C5F449">
      <w:pPr>
        <w:spacing w:line="600" w:lineRule="exact"/>
        <w:jc w:val="center"/>
        <w:rPr>
          <w:rFonts w:ascii="方正小标宋_GBK" w:hAnsi="华文中宋" w:eastAsia="方正小标宋_GBK" w:cs="华文中宋"/>
          <w:color w:val="0D0D0D"/>
          <w:sz w:val="44"/>
          <w:szCs w:val="44"/>
        </w:rPr>
      </w:pPr>
    </w:p>
    <w:p w14:paraId="06A4B995">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0A045091">
      <w:pPr>
        <w:spacing w:line="600" w:lineRule="exact"/>
        <w:ind w:firstLine="640" w:firstLineChars="200"/>
        <w:rPr>
          <w:rFonts w:ascii="方正仿宋_GBK" w:hAnsi="方正仿宋_GBK" w:cs="方正仿宋_GBK"/>
          <w:color w:val="0D0D0D"/>
          <w:szCs w:val="32"/>
        </w:rPr>
      </w:pPr>
      <w:r>
        <w:rPr>
          <w:rFonts w:hint="eastAsia" w:ascii="方正仿宋_GBK" w:hAnsi="方正仿宋_GBK" w:cs="方正仿宋_GBK"/>
          <w:color w:val="0D0D0D"/>
          <w:szCs w:val="32"/>
        </w:rPr>
        <w:t>（一）职能职责</w:t>
      </w:r>
      <w:bookmarkStart w:id="0" w:name="_GoBack"/>
      <w:bookmarkEnd w:id="0"/>
    </w:p>
    <w:p w14:paraId="07072292">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1.负责统一战线、民族宗教、侨务工作，负责侨联、台联、工商联相关工作。</w:t>
      </w:r>
    </w:p>
    <w:p w14:paraId="069551DF">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2.负责总工会、共青团、妇联等群团建设工作。</w:t>
      </w:r>
    </w:p>
    <w:p w14:paraId="0B9DA0D4">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3.负责服务在区高校工作。</w:t>
      </w:r>
    </w:p>
    <w:p w14:paraId="18B5ED8F">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（二）单位构成</w:t>
      </w:r>
    </w:p>
    <w:p w14:paraId="4E787C19">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统战部单位内设3个科室，分别是综合科、统战科和群团科。</w:t>
      </w:r>
    </w:p>
    <w:p w14:paraId="7785FF30">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二、部门收支总体情况</w:t>
      </w:r>
    </w:p>
    <w:p w14:paraId="1A2C287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772.58万元，其中：一般公共预算拨款772.58万元，政府性基金预算拨款0万元，国有资本经营预算收入0万元，事业收入0万元，事业单位经营收入0万元，其他收入0万元。收入较2025年减少122.32万元，主要是一般公共预算拨款减少115.32万元，政府性基金预算拨款减少7万元。</w:t>
      </w:r>
    </w:p>
    <w:p w14:paraId="65A23765">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772.58万元，其中：一般公共服务支出预算732.56万元，教育支出预算0万元，社会保障和就业支出预算17.23万元，卫生健康支出预算8.42万元，住房保障支出预算14.37万元，其他支出0万元。支出预算较2025年减少122.32万元，主要是基本支出预算增加14.23万元，项目支出预算减少129.55万,基金预算减少7万元。</w:t>
      </w:r>
    </w:p>
    <w:p w14:paraId="34CF79D2">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660D176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2026年一般公共预算财政拨款收入772.58万元，一般公共预算财政拨款支出772.58万元，比2025年减少122.32万元。其中：基本支出253.27万元，比2025年增加14.23万元，主要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主要用于保障在职人员工资福利及社会保险缴费，离休人员离休费，退休人员补助等，保障部门正常运转的各项商品服务支出；项目支出519.31万元，比2025年减少126.55万元，主要原因是厉行节约，减少预算，主要用于统战、共青团、妇联、服务高校等重点工作。</w:t>
      </w:r>
    </w:p>
    <w:p w14:paraId="280E3629">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四、“三公”经费情况说明</w:t>
      </w:r>
    </w:p>
    <w:p w14:paraId="745F65B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三公”经费预算4.5万元，比2025年减少2万元。其中：因公出国（境）费用0万元，与2025年持平；公务接待费0万元，比2025年减少2万元，主要原因是厉行节约，减少接待；公务用车运行维护费4.5万元，与2025年持平；公务用车购置费0万元，与2025年持平。</w:t>
      </w:r>
    </w:p>
    <w:p w14:paraId="23C290DF">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172BB36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1.机关运行经费。2026年一般公共预算财政拨款运行经费37.54万元，比上年减少0.44万元，主要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人员变动，机关运行经费减少。主要用于办公费、印刷费、邮电费、水电费、物管费、差旅费、会议费、培训费及其他商品和服务支出等。</w:t>
      </w:r>
    </w:p>
    <w:p w14:paraId="5F6252C4">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政府采购情况。所属各预算单位政府采购预算总额25万元：政府采购货物预算2万元、政府采购工程预算0万元、政府采购服务预算23万元；其中一般公共预算拨款政府采购25万元：政府采购货物预算2万元、政府采购工程预算0万元、政府采购服务预算23万元。</w:t>
      </w:r>
    </w:p>
    <w:p w14:paraId="424DD5CE">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3.绩效目标设置情况。2026年项目支出均实行了绩效目标管理，涉及一般公共预算当年财政拨款519.31万元。</w:t>
      </w:r>
    </w:p>
    <w:p w14:paraId="05741267">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4.国有资产占有使用情况。截止2025年12月，所属各预算单位共有车辆1辆，其中一般公务用车1辆、执勤执法用车0辆。2026年一般公共预算安排购置车辆0辆，其中一般公务用车0辆、执勤执法用车0辆。</w:t>
      </w:r>
    </w:p>
    <w:p w14:paraId="79635BCA">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5.委托业务费情况。2026年委托业务费涉及财拨资金134.3万元，主要用于统战、群团等支出。</w:t>
      </w:r>
    </w:p>
    <w:p w14:paraId="1869E266">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48630005">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6B3F481E">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（二）其他收入：指单位取得的除“财政拨款收入”、“事业收入”、“经营收入”等以外的收入。</w:t>
      </w:r>
    </w:p>
    <w:p w14:paraId="2A06FC3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（三）基本支出：指为保障机构正常运转、完成日常工作任务而发生的人员经费和公用经费。</w:t>
      </w:r>
    </w:p>
    <w:p w14:paraId="732A2B1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（四）项目支出：指在基本支出之外为完成特定行政任务和事业发展目标所发生的支出。</w:t>
      </w:r>
    </w:p>
    <w:p w14:paraId="7E222ECA">
      <w:pPr>
        <w:spacing w:line="600" w:lineRule="exact"/>
        <w:ind w:firstLine="640" w:firstLineChars="200"/>
        <w:rPr>
          <w:rFonts w:ascii="方正仿宋_GBK" w:hAnsi="仿宋_GB2312" w:cs="仿宋_GB2312"/>
          <w:color w:val="0D0D0D"/>
        </w:rPr>
      </w:pPr>
      <w:r>
        <w:rPr>
          <w:rFonts w:hint="eastAsia" w:ascii="方正仿宋_GBK"/>
          <w:color w:val="0D0D0D"/>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72DE9B">
      <w:pPr>
        <w:spacing w:line="600" w:lineRule="exact"/>
        <w:ind w:firstLine="640" w:firstLineChars="200"/>
        <w:rPr>
          <w:rFonts w:ascii="方正仿宋_GBK" w:hAnsi="仿宋_GB2312" w:cs="仿宋_GB2312"/>
          <w:color w:val="0D0D0D"/>
        </w:rPr>
      </w:pPr>
    </w:p>
    <w:p w14:paraId="5E234E3A">
      <w:pPr>
        <w:spacing w:line="600" w:lineRule="exact"/>
        <w:ind w:firstLine="640" w:firstLineChars="200"/>
        <w:rPr>
          <w:rFonts w:ascii="方正仿宋_GBK"/>
          <w:color w:val="0D0D0D"/>
        </w:rPr>
      </w:pPr>
      <w:r>
        <w:rPr>
          <w:rFonts w:hint="eastAsia" w:ascii="方正仿宋_GBK" w:hAnsi="仿宋_GB2312" w:cs="仿宋_GB2312"/>
          <w:color w:val="0D0D0D"/>
        </w:rPr>
        <w:t>（部门预算公开联系人：刘丹，联系方式：023-68450006）</w:t>
      </w:r>
    </w:p>
    <w:p w14:paraId="38A05C2C">
      <w:pPr>
        <w:spacing w:line="600" w:lineRule="exact"/>
        <w:ind w:firstLine="640" w:firstLineChars="200"/>
        <w:rPr>
          <w:rFonts w:ascii="方正仿宋_GBK"/>
          <w:color w:val="0D0D0D"/>
        </w:rPr>
      </w:pPr>
    </w:p>
    <w:p w14:paraId="32CA48F8">
      <w:pPr>
        <w:spacing w:line="600" w:lineRule="exact"/>
        <w:ind w:firstLine="640" w:firstLineChars="200"/>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B32C8-E632-4CE8-9D64-65FD72B40F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49D2BC5-2675-4B34-B6AE-3D2570CA156A}"/>
  </w:font>
  <w:font w:name="方正仿宋_GBK">
    <w:panose1 w:val="03000509000000000000"/>
    <w:charset w:val="86"/>
    <w:family w:val="script"/>
    <w:pitch w:val="default"/>
    <w:sig w:usb0="00000001" w:usb1="080E0000" w:usb2="00000000" w:usb3="00000000" w:csb0="00040000" w:csb1="00000000"/>
    <w:embedRegular r:id="rId3" w:fontKey="{6D4FE5A3-BC7A-4418-970F-AB5CC53DF009}"/>
  </w:font>
  <w:font w:name="方正小标宋_GBK">
    <w:panose1 w:val="02000000000000000000"/>
    <w:charset w:val="86"/>
    <w:family w:val="script"/>
    <w:pitch w:val="default"/>
    <w:sig w:usb0="A00002BF" w:usb1="38CF7CFA" w:usb2="00082016" w:usb3="00000000" w:csb0="00040001" w:csb1="00000000"/>
    <w:embedRegular r:id="rId4" w:fontKey="{D3BBDC4E-1471-44B5-9440-CE163F0BBD27}"/>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embedRegular r:id="rId5" w:fontKey="{D084A6DB-1F0B-445C-B923-8B0AAF336B38}"/>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31A0FDDD-7E7A-4CA3-AFDA-6EFC0146C8EC}"/>
  </w:font>
  <w:font w:name="仿宋_GB2312">
    <w:altName w:val="仿宋"/>
    <w:panose1 w:val="00000000000000000000"/>
    <w:charset w:val="86"/>
    <w:family w:val="modern"/>
    <w:pitch w:val="default"/>
    <w:sig w:usb0="00000000" w:usb1="00000000" w:usb2="00000000" w:usb3="00000000" w:csb0="00040000" w:csb1="00000000"/>
    <w:embedRegular r:id="rId7" w:fontKey="{03BB193C-0685-431A-9DBA-697FBA642A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E99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2F5">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6AE2F5">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16A0"/>
    <w:rsid w:val="001F7BEF"/>
    <w:rsid w:val="00685564"/>
    <w:rsid w:val="00721377"/>
    <w:rsid w:val="01B15800"/>
    <w:rsid w:val="01B535F0"/>
    <w:rsid w:val="01D83CB4"/>
    <w:rsid w:val="02E244CB"/>
    <w:rsid w:val="046643CE"/>
    <w:rsid w:val="052120A3"/>
    <w:rsid w:val="06A411DD"/>
    <w:rsid w:val="09F46BCB"/>
    <w:rsid w:val="119E01C0"/>
    <w:rsid w:val="13EC5F71"/>
    <w:rsid w:val="16775FC6"/>
    <w:rsid w:val="16F716A0"/>
    <w:rsid w:val="1A966B2D"/>
    <w:rsid w:val="1CAE3569"/>
    <w:rsid w:val="1D4713DB"/>
    <w:rsid w:val="1D830ED2"/>
    <w:rsid w:val="229F38E3"/>
    <w:rsid w:val="25716796"/>
    <w:rsid w:val="25916979"/>
    <w:rsid w:val="26EA6341"/>
    <w:rsid w:val="277CC9E6"/>
    <w:rsid w:val="2BED5132"/>
    <w:rsid w:val="2C4464F3"/>
    <w:rsid w:val="2E982B26"/>
    <w:rsid w:val="33A61841"/>
    <w:rsid w:val="344A041F"/>
    <w:rsid w:val="36C50230"/>
    <w:rsid w:val="3F586805"/>
    <w:rsid w:val="40582115"/>
    <w:rsid w:val="4101455B"/>
    <w:rsid w:val="45525385"/>
    <w:rsid w:val="472F67BD"/>
    <w:rsid w:val="4B204964"/>
    <w:rsid w:val="4D9472CD"/>
    <w:rsid w:val="53F73CC7"/>
    <w:rsid w:val="56F269C8"/>
    <w:rsid w:val="57FF177E"/>
    <w:rsid w:val="5B244033"/>
    <w:rsid w:val="5C4A42A5"/>
    <w:rsid w:val="5CEA3F7C"/>
    <w:rsid w:val="5E1A5A89"/>
    <w:rsid w:val="5FC559AE"/>
    <w:rsid w:val="605D3104"/>
    <w:rsid w:val="66AF2D17"/>
    <w:rsid w:val="69703CFD"/>
    <w:rsid w:val="6BF67CD7"/>
    <w:rsid w:val="6C4B29AA"/>
    <w:rsid w:val="727A15DA"/>
    <w:rsid w:val="74722C9A"/>
    <w:rsid w:val="765C416D"/>
    <w:rsid w:val="78F86228"/>
    <w:rsid w:val="7A41363F"/>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50" w:beforeLines="50" w:after="50" w:afterLines="50" w:line="600" w:lineRule="exact"/>
      <w:jc w:val="center"/>
      <w:outlineLvl w:val="0"/>
    </w:pPr>
    <w:rPr>
      <w:rFonts w:ascii="Calibri" w:hAnsi="Calibri" w:eastAsia="方正小标宋_GBK"/>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1589</Words>
  <Characters>1782</Characters>
  <Lines>12</Lines>
  <Paragraphs>3</Paragraphs>
  <TotalTime>61</TotalTime>
  <ScaleCrop>false</ScaleCrop>
  <LinksUpToDate>false</LinksUpToDate>
  <CharactersWithSpaces>1782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2025-04-02T10:30:00Z</dcterms:created>
  <dc:creator>小怡子</dc:creator>
  <cp:lastModifiedBy>silence</cp:lastModifiedBy>
  <dcterms:modified xsi:type="dcterms:W3CDTF">2026-05-08T02:32:07Z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783DCC57D5A94E448A920004EF9484AF_11</vt:lpwstr>
  </property>
  <property fmtid="{D5CDD505-2E9C-101B-9397-08002B2CF9AE}" pid="4" name="KSOTemplateDocerSaveRecord">
    <vt:lpwstr>eyJoZGlkIjoiZjRmYWUxOWJhMWE5OGFmZGQyNzA0NjBkZTNhOGRjMDEiLCJ1c2VySWQiOiIyNDg4ODMzNzUifQ==</vt:lpwstr>
  </property>
</Properties>
</file>