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E5E07">
      <w:pPr>
        <w:spacing w:line="600" w:lineRule="exact"/>
        <w:jc w:val="center"/>
        <w:rPr>
          <w:rFonts w:ascii="方正小标宋_GBK" w:hAnsi="华文中宋" w:eastAsia="方正小标宋_GBK" w:cs="华文中宋"/>
          <w:color w:val="0D0D0D"/>
          <w:sz w:val="44"/>
          <w:szCs w:val="44"/>
        </w:rPr>
      </w:pPr>
      <w:r>
        <w:rPr>
          <w:rFonts w:hint="eastAsia" w:ascii="方正小标宋_GBK" w:hAnsi="华文中宋" w:eastAsia="方正小标宋_GBK" w:cs="华文中宋"/>
          <w:color w:val="0D0D0D"/>
          <w:sz w:val="44"/>
          <w:szCs w:val="44"/>
        </w:rPr>
        <w:t>中共西部科学城重庆高新区工作委员会统战部2026年部门预算情况说明</w:t>
      </w:r>
    </w:p>
    <w:p w14:paraId="70C41804">
      <w:pPr>
        <w:spacing w:line="600" w:lineRule="exact"/>
        <w:jc w:val="center"/>
        <w:rPr>
          <w:rFonts w:ascii="方正小标宋_GBK" w:hAnsi="华文中宋" w:eastAsia="方正小标宋_GBK" w:cs="华文中宋"/>
          <w:color w:val="0D0D0D"/>
          <w:sz w:val="44"/>
          <w:szCs w:val="44"/>
        </w:rPr>
      </w:pPr>
    </w:p>
    <w:p w14:paraId="13466768">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一、部门基本情况</w:t>
      </w:r>
    </w:p>
    <w:p w14:paraId="04DD86AA">
      <w:pPr>
        <w:spacing w:line="600" w:lineRule="exact"/>
        <w:ind w:firstLine="640" w:firstLineChars="200"/>
        <w:rPr>
          <w:rFonts w:ascii="方正仿宋_GBK" w:hAnsi="方正仿宋_GBK" w:cs="方正仿宋_GBK"/>
          <w:color w:val="0D0D0D"/>
          <w:szCs w:val="32"/>
        </w:rPr>
      </w:pPr>
      <w:r>
        <w:rPr>
          <w:rFonts w:hint="eastAsia" w:ascii="方正仿宋_GBK" w:hAnsi="方正仿宋_GBK" w:cs="方正仿宋_GBK"/>
          <w:color w:val="0D0D0D"/>
          <w:szCs w:val="32"/>
        </w:rPr>
        <w:t>（一）职能职责</w:t>
      </w:r>
    </w:p>
    <w:p w14:paraId="12A42F96">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1.负责统一战线、民族宗</w:t>
      </w:r>
      <w:bookmarkStart w:id="0" w:name="_GoBack"/>
      <w:bookmarkEnd w:id="0"/>
      <w:r>
        <w:rPr>
          <w:rFonts w:hint="eastAsia" w:ascii="方正仿宋_GBK" w:hAnsi="方正仿宋_GBK" w:eastAsia="方正仿宋_GBK" w:cs="方正仿宋_GBK"/>
          <w:color w:val="0D0D0D"/>
          <w:sz w:val="32"/>
          <w:szCs w:val="32"/>
        </w:rPr>
        <w:t>教、侨务工作，负责侨联、台联、工商联相关工作。</w:t>
      </w:r>
    </w:p>
    <w:p w14:paraId="345AD25B">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2.负责总工会、共青团、妇联等群团建设工作。</w:t>
      </w:r>
    </w:p>
    <w:p w14:paraId="187AD950">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3.负责服务在区高校工作。</w:t>
      </w:r>
    </w:p>
    <w:p w14:paraId="592CB709">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（二）单位构成</w:t>
      </w:r>
    </w:p>
    <w:p w14:paraId="1263EED1">
      <w:pPr>
        <w:pStyle w:val="7"/>
        <w:tabs>
          <w:tab w:val="center" w:pos="4153"/>
          <w:tab w:val="left" w:pos="7275"/>
        </w:tabs>
        <w:spacing w:line="600" w:lineRule="exact"/>
        <w:ind w:firstLine="640"/>
        <w:jc w:val="left"/>
        <w:rPr>
          <w:rFonts w:ascii="方正仿宋_GBK" w:hAnsi="方正仿宋_GBK" w:eastAsia="方正仿宋_GBK" w:cs="方正仿宋_GBK"/>
          <w:color w:val="0D0D0D"/>
          <w:sz w:val="32"/>
          <w:szCs w:val="32"/>
        </w:rPr>
      </w:pPr>
      <w:r>
        <w:rPr>
          <w:rFonts w:hint="eastAsia" w:ascii="方正仿宋_GBK" w:hAnsi="方正仿宋_GBK" w:eastAsia="方正仿宋_GBK" w:cs="方正仿宋_GBK"/>
          <w:color w:val="0D0D0D"/>
          <w:sz w:val="32"/>
          <w:szCs w:val="32"/>
        </w:rPr>
        <w:t>统战部单位内设3个科室，分别是综合科、统战科和群团科。无下属二级预算单位。</w:t>
      </w:r>
    </w:p>
    <w:p w14:paraId="63C110F3">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二、部门收支总体情况</w:t>
      </w:r>
    </w:p>
    <w:p w14:paraId="1803CC2B">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一）收入预算：2026年年初预算数772.58万元，其中：一般公共预算拨款772.58万元，政府性基金预算拨款0万元，国有资本经营预算收入0万元，事业收入0万元，事业单位经营收入0万元，其他收入0万元。收入较2025年减少122.32万元，主要是一般公共预算拨款减少115.32万元，政府性基金预算拨款减少7万元。</w:t>
      </w:r>
    </w:p>
    <w:p w14:paraId="4CC42AF3">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二）支出预算：2026年年初预算数772.58万元，其中：一般公共服务支出预算732.56万元，教育支出预算0万元，社会保障和就业支出预算17.23万元，卫生健康支出预算8.42万元，住房保障支出预算14.37万元，其他支出0万元。支出预算较2025年减少122.32万元，主要是基本支出预算增加14.23万元，项目支出预算减少129.55万,基金预算减少7万元。</w:t>
      </w:r>
    </w:p>
    <w:p w14:paraId="4E9F3F07">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三、部门预算情况说明</w:t>
      </w:r>
    </w:p>
    <w:p w14:paraId="7400F32C">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2026年一般公共预算财政拨款收入772.58万元，一般公共预算财政拨款支出772.58万元，比2025年减少122.32万元。其中：基本支出253.27万元，比2025年增加14.23万元，主要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主要用于保障在职人员工资福利及社会保险缴费，离休人员离休费，退休人员补助等，保障部门正常运转的各项商品服务支出；项目支出519.31万元，比2025年减少126.55万元，主要原因是厉行节约，减少预算，主要用于统战、共青团、妇联、服务高校等重点工作。</w:t>
      </w:r>
    </w:p>
    <w:p w14:paraId="3FA6403E">
      <w:pPr>
        <w:spacing w:line="600" w:lineRule="exact"/>
        <w:ind w:firstLine="640" w:firstLineChars="200"/>
        <w:rPr>
          <w:rFonts w:ascii="方正仿宋_GBK" w:hAnsi="黑体" w:cs="仿宋_GB2312"/>
          <w:color w:val="0D0D0D"/>
        </w:rPr>
      </w:pPr>
      <w:r>
        <w:rPr>
          <w:rFonts w:hint="eastAsia" w:ascii="方正黑体_GBK" w:hAnsi="黑体" w:eastAsia="方正黑体_GBK" w:cs="仿宋_GB2312"/>
          <w:color w:val="0D0D0D"/>
        </w:rPr>
        <w:t>四、“三公”经费情况说明</w:t>
      </w:r>
    </w:p>
    <w:p w14:paraId="376E60C8">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2026年“三公”经费预算4.5万元，比2025年减少2万元。其中：因公出国（境）费用0万元，与2025年持平；公务接待费0万元，比2025年减少2万元，主要原因是厉行节约，减少接待；公务用车运行维护费4.5万元，与2025年持平；公务用车购置费0万元，与2025年持平。</w:t>
      </w:r>
    </w:p>
    <w:p w14:paraId="7764CC7A">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五、其他重要事项的情况说明</w:t>
      </w:r>
    </w:p>
    <w:p w14:paraId="2AA38A1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1.机关运行经费。2026年一般公共预算财政拨款运行经费37.54万元，比上年减少0.44万元，主要</w:t>
      </w:r>
      <w:r>
        <w:rPr>
          <w:rFonts w:hint="eastAsia" w:ascii="方正仿宋_GBK" w:hAnsi="仿宋_GB2312" w:cs="仿宋_GB2312"/>
          <w:color w:val="0D0D0D"/>
          <w:lang w:eastAsia="zh-CN"/>
        </w:rPr>
        <w:t>原因是</w:t>
      </w:r>
      <w:r>
        <w:rPr>
          <w:rFonts w:hint="eastAsia" w:ascii="方正仿宋_GBK" w:hAnsi="仿宋_GB2312" w:cs="仿宋_GB2312"/>
          <w:color w:val="0D0D0D"/>
        </w:rPr>
        <w:t>人员变动，机关运行经费减少。主要用于办公费、印刷费、邮电费、水电费、物管费、差旅费、会议费、培训费及其他商品和服务支出等。</w:t>
      </w:r>
    </w:p>
    <w:p w14:paraId="60D9F556">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2.政府采购情况。所属各预算单位政府采购预算总额25万元：政府采购货物预算2万元、政府采购工程预算0万元、政府采购服务预算23万元；其中一般公共预算拨款政府采购25万元：政府采购货物预算2万元、政府采购工程预算0万元、政府采购服务预算23万元。</w:t>
      </w:r>
    </w:p>
    <w:p w14:paraId="588BF1FA">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3.绩效目标设置情况。2026年项目支出均实行了绩效目标管理，涉及一般公共预算当年财政拨款519.31万元。</w:t>
      </w:r>
    </w:p>
    <w:p w14:paraId="1CDCC00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4.国有资产占有使用情况。截止2025年12月，所属各预算单位共有车辆1辆，其中一般公务用车1辆、执勤执法用车0辆。2026年一般公共预算未安排购置车辆。</w:t>
      </w:r>
    </w:p>
    <w:p w14:paraId="10A0F96D">
      <w:pPr>
        <w:spacing w:line="600" w:lineRule="exact"/>
        <w:ind w:firstLine="640" w:firstLineChars="200"/>
        <w:rPr>
          <w:rFonts w:ascii="方正仿宋_GBK" w:hAnsi="仿宋_GB2312" w:cs="仿宋_GB2312"/>
          <w:color w:val="0D0D0D"/>
        </w:rPr>
      </w:pPr>
      <w:r>
        <w:rPr>
          <w:rFonts w:hint="eastAsia" w:ascii="方正仿宋_GBK" w:hAnsi="仿宋_GB2312" w:cs="仿宋_GB2312"/>
          <w:color w:val="0D0D0D"/>
        </w:rPr>
        <w:t>5.委托业务费情况。2026年委托业务费涉及财拨资金134.3万元，主要用于统战、群团等支出。</w:t>
      </w:r>
    </w:p>
    <w:p w14:paraId="296FA052">
      <w:pPr>
        <w:spacing w:line="600" w:lineRule="exact"/>
        <w:ind w:firstLine="640" w:firstLineChars="200"/>
        <w:rPr>
          <w:rFonts w:ascii="方正黑体_GBK" w:hAnsi="黑体" w:eastAsia="方正黑体_GBK" w:cs="仿宋_GB2312"/>
          <w:color w:val="0D0D0D"/>
        </w:rPr>
      </w:pPr>
      <w:r>
        <w:rPr>
          <w:rFonts w:hint="eastAsia" w:ascii="方正黑体_GBK" w:hAnsi="黑体" w:eastAsia="方正黑体_GBK" w:cs="仿宋_GB2312"/>
          <w:color w:val="0D0D0D"/>
        </w:rPr>
        <w:t>六、专业性名词解释</w:t>
      </w:r>
    </w:p>
    <w:p w14:paraId="69BB5525">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（一）财政拨款收入：指本年度从本级财政部门取得的财政拨款，包括一般公共预算财政拨款和政府性基金预算财政拨款。</w:t>
      </w:r>
    </w:p>
    <w:p w14:paraId="54645833">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（二）其他收入：指单位取得的除“财政拨款收入”、“事业收入”、“经营收入”等以外的收入。</w:t>
      </w:r>
    </w:p>
    <w:p w14:paraId="360895BB">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（三）基本支出：指为保障机构正常运转、完成日常工作任务而发生的人员经费和公用经费。</w:t>
      </w:r>
    </w:p>
    <w:p w14:paraId="30B23170">
      <w:pPr>
        <w:pStyle w:val="7"/>
        <w:tabs>
          <w:tab w:val="center" w:pos="4153"/>
          <w:tab w:val="left" w:pos="7275"/>
        </w:tabs>
        <w:spacing w:line="600" w:lineRule="exact"/>
        <w:ind w:firstLine="640"/>
        <w:jc w:val="left"/>
        <w:rPr>
          <w:rFonts w:ascii="方正仿宋_GBK" w:eastAsia="方正仿宋_GBK"/>
          <w:color w:val="0D0D0D"/>
          <w:sz w:val="32"/>
          <w:szCs w:val="32"/>
        </w:rPr>
      </w:pPr>
      <w:r>
        <w:rPr>
          <w:rFonts w:hint="eastAsia" w:ascii="方正仿宋_GBK" w:eastAsia="方正仿宋_GBK"/>
          <w:color w:val="0D0D0D"/>
          <w:sz w:val="32"/>
          <w:szCs w:val="32"/>
        </w:rPr>
        <w:t>（四）项目支出：指在基本支出之外为完成特定行政任务和事业发展目标所发生的支出。</w:t>
      </w:r>
    </w:p>
    <w:p w14:paraId="7411CA81">
      <w:pPr>
        <w:spacing w:line="600" w:lineRule="exact"/>
        <w:ind w:firstLine="640" w:firstLineChars="200"/>
        <w:rPr>
          <w:rFonts w:ascii="方正仿宋_GBK" w:hAnsi="仿宋_GB2312" w:cs="仿宋_GB2312"/>
          <w:color w:val="0D0D0D"/>
        </w:rPr>
      </w:pPr>
      <w:r>
        <w:rPr>
          <w:rFonts w:hint="eastAsia" w:ascii="方正仿宋_GBK"/>
          <w:color w:val="0D0D0D"/>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C0EBD98">
      <w:pPr>
        <w:spacing w:line="600" w:lineRule="exact"/>
        <w:ind w:firstLine="640" w:firstLineChars="200"/>
        <w:rPr>
          <w:rFonts w:ascii="方正仿宋_GBK" w:hAnsi="仿宋_GB2312" w:cs="仿宋_GB2312"/>
          <w:color w:val="0D0D0D"/>
        </w:rPr>
      </w:pPr>
    </w:p>
    <w:p w14:paraId="1B3830FE">
      <w:pPr>
        <w:spacing w:line="600" w:lineRule="exact"/>
        <w:ind w:firstLine="640" w:firstLineChars="200"/>
        <w:rPr>
          <w:rFonts w:ascii="方正仿宋_GBK"/>
          <w:color w:val="0D0D0D"/>
        </w:rPr>
      </w:pPr>
      <w:r>
        <w:rPr>
          <w:rFonts w:hint="eastAsia" w:ascii="方正仿宋_GBK" w:hAnsi="仿宋_GB2312" w:cs="仿宋_GB2312"/>
          <w:color w:val="0D0D0D"/>
        </w:rPr>
        <w:t>（部门预算公开联系人：刘丹，联系方式：023-68450006）</w:t>
      </w:r>
    </w:p>
    <w:p w14:paraId="77789E00">
      <w:pPr>
        <w:spacing w:line="600" w:lineRule="exact"/>
        <w:ind w:firstLine="640" w:firstLineChars="200"/>
        <w:rPr>
          <w:rFonts w:ascii="方正仿宋_GBK"/>
          <w:color w:val="0D0D0D"/>
        </w:rPr>
      </w:pPr>
    </w:p>
    <w:p w14:paraId="5D4E4F82">
      <w:pPr>
        <w:spacing w:line="600" w:lineRule="exact"/>
        <w:ind w:firstLine="640" w:firstLineChars="200"/>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3C737C-3548-427B-9312-4CE333DEF22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4985124-7089-48E1-9E5F-2A9E585ED735}"/>
  </w:font>
  <w:font w:name="方正仿宋_GBK">
    <w:panose1 w:val="03000509000000000000"/>
    <w:charset w:val="86"/>
    <w:family w:val="script"/>
    <w:pitch w:val="default"/>
    <w:sig w:usb0="00000001" w:usb1="080E0000" w:usb2="00000000" w:usb3="00000000" w:csb0="00040000" w:csb1="00000000"/>
    <w:embedRegular r:id="rId3" w:fontKey="{C1C5EFE0-1214-401F-80EA-9D0150DCCB45}"/>
  </w:font>
  <w:font w:name="方正小标宋_GBK">
    <w:panose1 w:val="02000000000000000000"/>
    <w:charset w:val="86"/>
    <w:family w:val="script"/>
    <w:pitch w:val="default"/>
    <w:sig w:usb0="A00002BF" w:usb1="38CF7CFA" w:usb2="00082016" w:usb3="00000000" w:csb0="00040001" w:csb1="00000000"/>
    <w:embedRegular r:id="rId4" w:fontKey="{B3DF8C1C-40BF-4D33-811E-96968A1A4CC6}"/>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embedRegular r:id="rId5" w:fontKey="{C5909945-1F93-4DA1-BB08-349E76F11A64}"/>
  </w:font>
  <w:font w:name="汉仪中宋简">
    <w:altName w:val="宋体"/>
    <w:panose1 w:val="00000000000000000000"/>
    <w:charset w:val="00"/>
    <w:family w:val="auto"/>
    <w:pitch w:val="default"/>
    <w:sig w:usb0="00000000" w:usb1="00000000" w:usb2="00000000" w:usb3="00000000" w:csb0="00000000" w:csb1="00000000"/>
  </w:font>
  <w:font w:name="方正黑体_GBK">
    <w:panose1 w:val="02010600010101010101"/>
    <w:charset w:val="86"/>
    <w:family w:val="script"/>
    <w:pitch w:val="default"/>
    <w:sig w:usb0="00000001" w:usb1="080E0000" w:usb2="00000000" w:usb3="00000000" w:csb0="00040000" w:csb1="00000000"/>
    <w:embedRegular r:id="rId6" w:fontKey="{D8EB95BC-2883-4802-88C9-5F8D0257E589}"/>
  </w:font>
  <w:font w:name="仿宋_GB2312">
    <w:altName w:val="仿宋"/>
    <w:panose1 w:val="00000000000000000000"/>
    <w:charset w:val="86"/>
    <w:family w:val="modern"/>
    <w:pitch w:val="default"/>
    <w:sig w:usb0="00000000" w:usb1="00000000" w:usb2="00000000" w:usb3="00000000" w:csb0="00040000" w:csb1="00000000"/>
    <w:embedRegular r:id="rId7" w:fontKey="{EBF6A7F5-AC8B-49F7-84F2-0216807BFA8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0DDE9D">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0B7F1">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980B7F1">
                    <w:pPr>
                      <w:pStyle w:val="3"/>
                      <w:rPr>
                        <w:sz w:val="32"/>
                        <w:szCs w:val="32"/>
                      </w:rPr>
                    </w:pPr>
                    <w:r>
                      <w:rPr>
                        <w:sz w:val="32"/>
                        <w:szCs w:val="32"/>
                      </w:rPr>
                      <w:t xml:space="preserve">— </w:t>
                    </w:r>
                    <w:r>
                      <w:rPr>
                        <w:sz w:val="32"/>
                        <w:szCs w:val="32"/>
                      </w:rPr>
                      <w:fldChar w:fldCharType="begin"/>
                    </w:r>
                    <w:r>
                      <w:rPr>
                        <w:sz w:val="32"/>
                        <w:szCs w:val="32"/>
                      </w:rPr>
                      <w:instrText xml:space="preserve"> PAGE  \* MERGEFORMAT </w:instrText>
                    </w:r>
                    <w:r>
                      <w:rPr>
                        <w:sz w:val="32"/>
                        <w:szCs w:val="32"/>
                      </w:rPr>
                      <w:fldChar w:fldCharType="separate"/>
                    </w:r>
                    <w:r>
                      <w:rPr>
                        <w:sz w:val="32"/>
                        <w:szCs w:val="32"/>
                      </w:rPr>
                      <w:t>4</w:t>
                    </w:r>
                    <w:r>
                      <w:rPr>
                        <w:sz w:val="32"/>
                        <w:szCs w:val="32"/>
                      </w:rPr>
                      <w:fldChar w:fldCharType="end"/>
                    </w:r>
                    <w:r>
                      <w:rPr>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716A0"/>
    <w:rsid w:val="004C5025"/>
    <w:rsid w:val="00A070F2"/>
    <w:rsid w:val="00B653DB"/>
    <w:rsid w:val="01B15800"/>
    <w:rsid w:val="01B535F0"/>
    <w:rsid w:val="01D83CB4"/>
    <w:rsid w:val="02E244CB"/>
    <w:rsid w:val="046643CE"/>
    <w:rsid w:val="052120A3"/>
    <w:rsid w:val="06A411DD"/>
    <w:rsid w:val="09F46BCB"/>
    <w:rsid w:val="119E01C0"/>
    <w:rsid w:val="13EC5F71"/>
    <w:rsid w:val="15D4698D"/>
    <w:rsid w:val="16775FC6"/>
    <w:rsid w:val="16F716A0"/>
    <w:rsid w:val="1A966B2D"/>
    <w:rsid w:val="1CAE3569"/>
    <w:rsid w:val="1D4713DB"/>
    <w:rsid w:val="1D830ED2"/>
    <w:rsid w:val="229F38E3"/>
    <w:rsid w:val="25716796"/>
    <w:rsid w:val="25916979"/>
    <w:rsid w:val="26EA6341"/>
    <w:rsid w:val="2BED5132"/>
    <w:rsid w:val="2C4464F3"/>
    <w:rsid w:val="2E982B26"/>
    <w:rsid w:val="31FE018C"/>
    <w:rsid w:val="33A61841"/>
    <w:rsid w:val="344A041F"/>
    <w:rsid w:val="36C50230"/>
    <w:rsid w:val="3F586805"/>
    <w:rsid w:val="40582115"/>
    <w:rsid w:val="4101455B"/>
    <w:rsid w:val="45525385"/>
    <w:rsid w:val="472F67BD"/>
    <w:rsid w:val="4B204964"/>
    <w:rsid w:val="4D9472CD"/>
    <w:rsid w:val="53F73CC7"/>
    <w:rsid w:val="56F269C8"/>
    <w:rsid w:val="57FF177E"/>
    <w:rsid w:val="5C4A42A5"/>
    <w:rsid w:val="5CEA3F7C"/>
    <w:rsid w:val="5E1A5A89"/>
    <w:rsid w:val="5FC559AE"/>
    <w:rsid w:val="605D3104"/>
    <w:rsid w:val="66AF2D17"/>
    <w:rsid w:val="69703CFD"/>
    <w:rsid w:val="6BF67CD7"/>
    <w:rsid w:val="6C4B29AA"/>
    <w:rsid w:val="727A15DA"/>
    <w:rsid w:val="74722C9A"/>
    <w:rsid w:val="765C416D"/>
    <w:rsid w:val="78F86228"/>
    <w:rsid w:val="7A41363F"/>
    <w:rsid w:val="7ADED1A0"/>
    <w:rsid w:val="7F01514B"/>
    <w:rsid w:val="FADD4830"/>
    <w:rsid w:val="FBDD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paragraph" w:styleId="2">
    <w:name w:val="heading 1"/>
    <w:basedOn w:val="1"/>
    <w:next w:val="1"/>
    <w:qFormat/>
    <w:uiPriority w:val="0"/>
    <w:pPr>
      <w:keepNext/>
      <w:keepLines/>
      <w:spacing w:before="50" w:beforeLines="50" w:after="50" w:afterLines="50" w:line="600" w:lineRule="exact"/>
      <w:jc w:val="center"/>
      <w:outlineLvl w:val="0"/>
    </w:pPr>
    <w:rPr>
      <w:rFonts w:ascii="Calibri" w:hAnsi="Calibri" w:eastAsia="方正小标宋_GBK"/>
      <w:bCs/>
      <w:kern w:val="44"/>
      <w:sz w:val="44"/>
      <w:szCs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1578</Words>
  <Characters>1771</Characters>
  <Lines>12</Lines>
  <Paragraphs>3</Paragraphs>
  <TotalTime>62</TotalTime>
  <ScaleCrop>false</ScaleCrop>
  <LinksUpToDate>false</LinksUpToDate>
  <CharactersWithSpaces>1771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2025-04-02T18:30:00Z</dcterms:created>
  <dc:creator>小怡子</dc:creator>
  <cp:lastModifiedBy>silence</cp:lastModifiedBy>
  <dcterms:modified xsi:type="dcterms:W3CDTF">2026-05-08T02:30:11Z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783DCC57D5A94E448A920004EF9484AF_11</vt:lpwstr>
  </property>
  <property fmtid="{D5CDD505-2E9C-101B-9397-08002B2CF9AE}" pid="4" name="KSOTemplateDocerSaveRecord">
    <vt:lpwstr>eyJoZGlkIjoiZjRmYWUxOWJhMWE5OGFmZGQyNzA0NjBkZTNhOGRjMDEiLCJ1c2VySWQiOiIyNDg4ODMzNzUifQ==</vt:lpwstr>
  </property>
</Properties>
</file>