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971A5">
      <w:pPr>
        <w:spacing w:line="600" w:lineRule="exact"/>
        <w:jc w:val="center"/>
        <w:rPr>
          <w:rFonts w:ascii="方正小标宋_GBK" w:hAnsi="华文中宋" w:eastAsia="方正小标宋_GBK" w:cs="华文中宋"/>
          <w:color w:val="0D0D0D"/>
          <w:sz w:val="44"/>
          <w:szCs w:val="44"/>
        </w:rPr>
      </w:pPr>
      <w:r>
        <w:rPr>
          <w:rFonts w:hint="eastAsia" w:ascii="方正小标宋_GBK" w:hAnsi="华文中宋" w:eastAsia="方正小标宋_GBK" w:cs="华文中宋"/>
          <w:sz w:val="44"/>
          <w:szCs w:val="44"/>
        </w:rPr>
        <w:t>重庆高新技术产业开发区管理委员会财政局</w:t>
      </w:r>
    </w:p>
    <w:p w14:paraId="4E6243FD">
      <w:pPr>
        <w:spacing w:line="600" w:lineRule="exact"/>
        <w:jc w:val="center"/>
        <w:rPr>
          <w:rFonts w:ascii="方正小标宋_GBK" w:hAnsi="华文中宋" w:eastAsia="方正小标宋_GBK" w:cs="华文中宋"/>
          <w:color w:val="0D0D0D"/>
          <w:sz w:val="44"/>
          <w:szCs w:val="44"/>
        </w:rPr>
      </w:pPr>
      <w:r>
        <w:rPr>
          <w:rFonts w:hint="eastAsia" w:ascii="方正小标宋_GBK" w:hAnsi="华文中宋" w:eastAsia="方正小标宋_GBK" w:cs="华文中宋"/>
          <w:sz w:val="44"/>
          <w:szCs w:val="44"/>
        </w:rPr>
        <w:t>（本级）</w:t>
      </w:r>
      <w:r>
        <w:rPr>
          <w:rFonts w:hint="eastAsia" w:ascii="方正小标宋_GBK" w:hAnsi="华文中宋" w:eastAsia="方正小标宋_GBK" w:cs="华文中宋"/>
          <w:color w:val="0D0D0D"/>
          <w:sz w:val="44"/>
          <w:szCs w:val="44"/>
        </w:rPr>
        <w:t>2026年部门预算情况说明</w:t>
      </w:r>
    </w:p>
    <w:p w14:paraId="6A9C5E4A">
      <w:pPr>
        <w:adjustRightInd w:val="0"/>
        <w:snapToGrid w:val="0"/>
        <w:spacing w:line="600" w:lineRule="exact"/>
        <w:jc w:val="left"/>
        <w:rPr>
          <w:rFonts w:ascii="方正楷体_GBK" w:hAnsi="华文中宋" w:eastAsia="方正楷体_GBK" w:cs="华文中宋"/>
          <w:color w:val="0D0D0D"/>
          <w:sz w:val="32"/>
          <w:szCs w:val="32"/>
        </w:rPr>
      </w:pPr>
    </w:p>
    <w:p w14:paraId="6C174BF3">
      <w:pPr>
        <w:adjustRightInd w:val="0"/>
        <w:snapToGrid w:val="0"/>
        <w:spacing w:line="600" w:lineRule="exact"/>
        <w:ind w:left="640"/>
        <w:rPr>
          <w:rFonts w:ascii="方正黑体_GBK" w:hAnsi="黑体" w:eastAsia="方正黑体_GBK" w:cs="仿宋_GB2312"/>
          <w:color w:val="0D0D0D"/>
          <w:sz w:val="32"/>
          <w:szCs w:val="20"/>
        </w:rPr>
      </w:pPr>
      <w:r>
        <w:rPr>
          <w:rFonts w:hint="eastAsia" w:ascii="方正黑体_GBK" w:hAnsi="黑体" w:eastAsia="方正黑体_GBK" w:cs="仿宋_GB2312"/>
          <w:color w:val="0D0D0D"/>
          <w:sz w:val="32"/>
          <w:szCs w:val="20"/>
        </w:rPr>
        <w:t>一、单位基本情况</w:t>
      </w:r>
    </w:p>
    <w:p w14:paraId="149A8A6E">
      <w:pPr>
        <w:adjustRightInd w:val="0"/>
        <w:snapToGrid w:val="0"/>
        <w:spacing w:line="600" w:lineRule="exact"/>
        <w:ind w:firstLine="640" w:firstLineChars="200"/>
        <w:rPr>
          <w:rFonts w:ascii="方正仿宋_GBK" w:hAnsi="仿宋_GB2312" w:eastAsia="方正仿宋_GBK" w:cs="仿宋_GB2312"/>
          <w:color w:val="0D0D0D"/>
          <w:sz w:val="32"/>
          <w:szCs w:val="20"/>
        </w:rPr>
      </w:pPr>
      <w:r>
        <w:rPr>
          <w:rFonts w:hint="eastAsia" w:ascii="方正楷体_GBK" w:hAnsi="仿宋_GB2312" w:eastAsia="方正楷体_GBK" w:cs="仿宋_GB2312"/>
          <w:color w:val="0D0D0D"/>
          <w:sz w:val="32"/>
          <w:szCs w:val="20"/>
        </w:rPr>
        <w:t>（一）职能职责</w:t>
      </w:r>
    </w:p>
    <w:p w14:paraId="75E9D75D">
      <w:pPr>
        <w:spacing w:line="600" w:lineRule="exact"/>
        <w:ind w:firstLine="640" w:firstLineChars="200"/>
        <w:rPr>
          <w:rFonts w:ascii="方正仿宋_GBK" w:hAnsi="仿宋_GB2312" w:eastAsia="方正仿宋_GB2312" w:cs="仿宋_GB2312"/>
          <w:color w:val="0D0D0D"/>
          <w:sz w:val="32"/>
          <w:szCs w:val="20"/>
        </w:rPr>
      </w:pPr>
      <w:r>
        <w:rPr>
          <w:rFonts w:hint="eastAsia" w:ascii="方正仿宋_GBK" w:hAnsi="仿宋_GB2312" w:eastAsia="方正仿宋_GB2312" w:cs="仿宋_GB2312"/>
          <w:color w:val="0D0D0D"/>
          <w:sz w:val="32"/>
          <w:szCs w:val="20"/>
        </w:rPr>
        <w:t>负责财税政策、</w:t>
      </w:r>
      <w:bookmarkStart w:id="0" w:name="_GoBack"/>
      <w:bookmarkEnd w:id="0"/>
      <w:r>
        <w:rPr>
          <w:rFonts w:hint="eastAsia" w:ascii="方正仿宋_GBK" w:hAnsi="仿宋_GB2312" w:eastAsia="方正仿宋_GB2312" w:cs="仿宋_GB2312"/>
          <w:color w:val="0D0D0D"/>
          <w:sz w:val="32"/>
          <w:szCs w:val="20"/>
        </w:rPr>
        <w:t>财政收支预决算、财政监督、政府采购、资金管理调度、国有资产监督管理、金融、内部审计监督，查处违反财经法纪的行为等工作。负责科技金融工作中的科技金融体系建设和大型企业科技金融服务等工作。</w:t>
      </w:r>
    </w:p>
    <w:p w14:paraId="6AF332A0">
      <w:pPr>
        <w:tabs>
          <w:tab w:val="center" w:pos="4153"/>
          <w:tab w:val="left" w:pos="7275"/>
        </w:tabs>
        <w:adjustRightInd w:val="0"/>
        <w:snapToGrid w:val="0"/>
        <w:spacing w:line="600" w:lineRule="exact"/>
        <w:ind w:left="640"/>
        <w:jc w:val="left"/>
        <w:rPr>
          <w:rFonts w:ascii="方正楷体_GBK" w:hAnsi="仿宋_GB2312" w:eastAsia="方正楷体_GBK" w:cs="仿宋_GB2312"/>
          <w:color w:val="0D0D0D"/>
          <w:sz w:val="32"/>
          <w:szCs w:val="22"/>
        </w:rPr>
      </w:pPr>
      <w:r>
        <w:rPr>
          <w:rFonts w:hint="eastAsia" w:ascii="方正楷体_GBK" w:hAnsi="仿宋_GB2312" w:eastAsia="方正楷体_GBK" w:cs="仿宋_GB2312"/>
          <w:color w:val="0D0D0D"/>
          <w:sz w:val="32"/>
          <w:szCs w:val="22"/>
        </w:rPr>
        <w:t>（二）单位构成</w:t>
      </w:r>
    </w:p>
    <w:p w14:paraId="660FC95B">
      <w:pPr>
        <w:tabs>
          <w:tab w:val="center" w:pos="4153"/>
          <w:tab w:val="left" w:pos="7275"/>
        </w:tabs>
        <w:adjustRightInd w:val="0"/>
        <w:snapToGrid w:val="0"/>
        <w:spacing w:line="600" w:lineRule="exact"/>
        <w:ind w:firstLine="640" w:firstLineChars="200"/>
        <w:jc w:val="left"/>
        <w:rPr>
          <w:rFonts w:ascii="方正仿宋_GBK" w:hAnsi="仿宋_GB2312" w:eastAsia="方正仿宋_GBK" w:cs="仿宋_GB2312"/>
          <w:color w:val="0D0D0D"/>
          <w:sz w:val="32"/>
          <w:szCs w:val="20"/>
        </w:rPr>
      </w:pPr>
      <w:r>
        <w:rPr>
          <w:rFonts w:hint="eastAsia" w:ascii="方正仿宋_GBK" w:hAnsi="仿宋_GB2312" w:eastAsia="方正仿宋_GBK" w:cs="仿宋_GB2312"/>
          <w:color w:val="0D0D0D"/>
          <w:sz w:val="32"/>
          <w:szCs w:val="20"/>
        </w:rPr>
        <w:t>下设九个科室，分别为：综合科、预算科（采购办）、经济建设管理科、公共事务财务管理科、产业发展科（税政科、绩效管理中心）、金融服务中心、国有资产管理科（区罚没财物管理办公室）、审计中心、国库集中收付核算中心。</w:t>
      </w:r>
    </w:p>
    <w:p w14:paraId="62848BEA">
      <w:pPr>
        <w:adjustRightInd w:val="0"/>
        <w:snapToGrid w:val="0"/>
        <w:spacing w:line="600" w:lineRule="exact"/>
        <w:ind w:left="640"/>
        <w:rPr>
          <w:rFonts w:ascii="方正仿宋_GBK" w:hAnsi="黑体" w:eastAsia="方正仿宋_GBK" w:cs="仿宋_GB2312"/>
          <w:color w:val="0D0D0D"/>
          <w:sz w:val="32"/>
          <w:szCs w:val="20"/>
        </w:rPr>
      </w:pPr>
      <w:r>
        <w:rPr>
          <w:rFonts w:hint="eastAsia" w:ascii="方正黑体_GBK" w:hAnsi="黑体" w:eastAsia="方正黑体_GBK" w:cs="仿宋_GB2312"/>
          <w:color w:val="0D0D0D"/>
          <w:sz w:val="32"/>
          <w:szCs w:val="20"/>
        </w:rPr>
        <w:t>二、单位收支总体情况</w:t>
      </w:r>
    </w:p>
    <w:p w14:paraId="5B041EFB">
      <w:pPr>
        <w:adjustRightInd w:val="0"/>
        <w:snapToGrid w:val="0"/>
        <w:spacing w:line="600" w:lineRule="exact"/>
        <w:ind w:firstLine="640" w:firstLineChars="200"/>
        <w:rPr>
          <w:rFonts w:ascii="方正仿宋_GBK" w:hAnsi="仿宋_GB2312" w:eastAsia="方正仿宋_GBK" w:cs="仿宋_GB2312"/>
          <w:color w:val="0D0D0D"/>
          <w:sz w:val="32"/>
          <w:szCs w:val="20"/>
        </w:rPr>
      </w:pPr>
      <w:r>
        <w:rPr>
          <w:rFonts w:hint="eastAsia" w:ascii="方正仿宋_GBK" w:hAnsi="仿宋_GB2312" w:eastAsia="方正仿宋_GBK" w:cs="仿宋_GB2312"/>
          <w:color w:val="0D0D0D"/>
          <w:sz w:val="32"/>
          <w:szCs w:val="20"/>
        </w:rPr>
        <w:t>（一）收入预算：2026年年初预算数2154.98万元，其中：一般公共预算拨款2154.98万元，政府性基金预算拨款0万元，国有资本经营预算收入0万元，事业收入0万元，事业单位经营收入0万元，其他收入0万元。收入较2025年减少283.7万元，主要是委托业务专项等经费拨款减少。</w:t>
      </w:r>
    </w:p>
    <w:p w14:paraId="2527CE02">
      <w:pPr>
        <w:adjustRightInd w:val="0"/>
        <w:snapToGrid w:val="0"/>
        <w:spacing w:line="600" w:lineRule="exact"/>
        <w:ind w:firstLine="640" w:firstLineChars="200"/>
        <w:rPr>
          <w:rFonts w:ascii="方正仿宋_GBK" w:hAnsi="仿宋_GB2312" w:eastAsia="方正仿宋_GBK" w:cs="仿宋_GB2312"/>
          <w:color w:val="0D0D0D"/>
          <w:sz w:val="32"/>
          <w:szCs w:val="20"/>
        </w:rPr>
      </w:pPr>
      <w:r>
        <w:rPr>
          <w:rFonts w:hint="eastAsia" w:ascii="方正仿宋_GBK" w:hAnsi="仿宋_GB2312" w:eastAsia="方正仿宋_GBK" w:cs="仿宋_GB2312"/>
          <w:color w:val="0D0D0D"/>
          <w:sz w:val="32"/>
          <w:szCs w:val="20"/>
        </w:rPr>
        <w:t>（二）支出预算：2026年年初预算数2154.98万元，其中：一般公共服务支出预算2117.06万元，教育支出预算0万元，社会保障和就业支出预算16.13万元，卫生健康支出预算7.96万元，住房保障支出预算13.83万元。支出预算较2025年减少283.7万元，主要是基本支出预算增加30.33万元，项目支出预算减少314.03万元。</w:t>
      </w:r>
    </w:p>
    <w:p w14:paraId="1EA445E1">
      <w:pPr>
        <w:adjustRightInd w:val="0"/>
        <w:snapToGrid w:val="0"/>
        <w:spacing w:line="600" w:lineRule="exact"/>
        <w:ind w:left="640"/>
        <w:rPr>
          <w:rFonts w:ascii="方正黑体_GBK" w:hAnsi="黑体" w:eastAsia="方正黑体_GBK" w:cs="仿宋_GB2312"/>
          <w:color w:val="0D0D0D"/>
          <w:sz w:val="32"/>
          <w:szCs w:val="20"/>
        </w:rPr>
      </w:pPr>
      <w:r>
        <w:rPr>
          <w:rFonts w:hint="eastAsia" w:ascii="方正黑体_GBK" w:hAnsi="黑体" w:eastAsia="方正黑体_GBK" w:cs="仿宋_GB2312"/>
          <w:color w:val="0D0D0D"/>
          <w:sz w:val="32"/>
          <w:szCs w:val="20"/>
        </w:rPr>
        <w:t>三、单位预算情况说明</w:t>
      </w:r>
    </w:p>
    <w:p w14:paraId="5D313298">
      <w:pPr>
        <w:adjustRightInd w:val="0"/>
        <w:snapToGrid w:val="0"/>
        <w:spacing w:line="600" w:lineRule="exact"/>
        <w:ind w:firstLine="640" w:firstLineChars="200"/>
        <w:rPr>
          <w:rFonts w:ascii="方正仿宋_GBK" w:hAnsi="仿宋_GB2312" w:eastAsia="方正仿宋_GBK" w:cs="仿宋_GB2312"/>
          <w:color w:val="0D0D0D"/>
          <w:sz w:val="32"/>
          <w:szCs w:val="20"/>
        </w:rPr>
      </w:pPr>
      <w:r>
        <w:rPr>
          <w:rFonts w:hint="eastAsia" w:ascii="方正仿宋_GBK" w:hAnsi="仿宋_GB2312" w:eastAsia="方正仿宋_GBK" w:cs="仿宋_GB2312"/>
          <w:color w:val="0D0D0D"/>
          <w:sz w:val="32"/>
          <w:szCs w:val="20"/>
        </w:rPr>
        <w:t>2026年一般公共预算财政拨款收入2154.98万元，一般公共预算财政拨款支出2154.98万元，比2025年减少283.7万元。其中：基本支出976.21万元，比2025年增加30.33万元，主要用于保障在职人员工资福利及社会保险缴费，保障部门正常运转的各项商品服务支出等；项目支出1178.77万元，比2025年减少314.03万元，主要原因是委托业务专项等项目经费减少，主要用于信息化建设及维护、审计、金融等重点工作。</w:t>
      </w:r>
    </w:p>
    <w:p w14:paraId="1F613BE7">
      <w:pPr>
        <w:adjustRightInd w:val="0"/>
        <w:snapToGrid w:val="0"/>
        <w:spacing w:line="600" w:lineRule="exact"/>
        <w:ind w:firstLine="640" w:firstLineChars="200"/>
        <w:rPr>
          <w:rFonts w:ascii="方正仿宋_GBK" w:hAnsi="仿宋_GB2312" w:eastAsia="方正仿宋_GBK" w:cs="仿宋_GB2312"/>
          <w:color w:val="0D0D0D"/>
          <w:sz w:val="32"/>
          <w:szCs w:val="20"/>
        </w:rPr>
      </w:pPr>
      <w:r>
        <w:rPr>
          <w:rFonts w:hint="eastAsia" w:ascii="方正仿宋_GBK" w:hAnsi="仿宋_GB2312" w:eastAsia="方正仿宋_GBK" w:cs="仿宋_GB2312"/>
          <w:color w:val="0D0D0D"/>
          <w:sz w:val="32"/>
          <w:szCs w:val="20"/>
        </w:rPr>
        <w:t>财政局2026年无使用政府性基金预算拨款安排的支出。</w:t>
      </w:r>
    </w:p>
    <w:p w14:paraId="0A22BA24">
      <w:pPr>
        <w:adjustRightInd w:val="0"/>
        <w:snapToGrid w:val="0"/>
        <w:spacing w:line="600" w:lineRule="exact"/>
        <w:ind w:left="640"/>
        <w:rPr>
          <w:rFonts w:ascii="方正仿宋_GBK" w:hAnsi="黑体" w:eastAsia="方正仿宋_GBK" w:cs="仿宋_GB2312"/>
          <w:color w:val="0D0D0D"/>
          <w:sz w:val="32"/>
          <w:szCs w:val="20"/>
        </w:rPr>
      </w:pPr>
      <w:r>
        <w:rPr>
          <w:rFonts w:hint="eastAsia" w:ascii="方正黑体_GBK" w:hAnsi="黑体" w:eastAsia="方正黑体_GBK" w:cs="仿宋_GB2312"/>
          <w:color w:val="0D0D0D"/>
          <w:sz w:val="32"/>
          <w:szCs w:val="20"/>
        </w:rPr>
        <w:t>四、“三公”经费情况说明</w:t>
      </w:r>
    </w:p>
    <w:p w14:paraId="52FCC861">
      <w:pPr>
        <w:adjustRightInd w:val="0"/>
        <w:snapToGrid w:val="0"/>
        <w:spacing w:line="600" w:lineRule="exact"/>
        <w:ind w:firstLine="600"/>
        <w:rPr>
          <w:rFonts w:ascii="方正仿宋_GBK" w:hAnsi="仿宋_GB2312" w:eastAsia="方正仿宋_GBK" w:cs="仿宋_GB2312"/>
          <w:color w:val="0D0D0D"/>
          <w:sz w:val="32"/>
          <w:szCs w:val="20"/>
        </w:rPr>
      </w:pPr>
      <w:r>
        <w:rPr>
          <w:rFonts w:hint="eastAsia" w:ascii="方正仿宋_GBK" w:hAnsi="仿宋_GB2312" w:eastAsia="方正仿宋_GBK" w:cs="仿宋_GB2312"/>
          <w:color w:val="0D0D0D"/>
          <w:sz w:val="32"/>
          <w:szCs w:val="20"/>
        </w:rPr>
        <w:t>2026年“三公”经费预算7.5万元，与2025年持平。其中，公务接待费3万元，与2025年持平；公务用车运行维护费4.5万元，与2025年持平。</w:t>
      </w:r>
    </w:p>
    <w:p w14:paraId="6E3CA10B">
      <w:pPr>
        <w:adjustRightInd w:val="0"/>
        <w:snapToGrid w:val="0"/>
        <w:spacing w:line="600" w:lineRule="exact"/>
        <w:ind w:left="640"/>
        <w:rPr>
          <w:rFonts w:ascii="方正黑体_GBK" w:hAnsi="黑体" w:eastAsia="方正黑体_GBK" w:cs="仿宋_GB2312"/>
          <w:color w:val="0D0D0D"/>
          <w:sz w:val="32"/>
          <w:szCs w:val="20"/>
        </w:rPr>
      </w:pPr>
      <w:r>
        <w:rPr>
          <w:rFonts w:hint="eastAsia" w:ascii="方正黑体_GBK" w:hAnsi="黑体" w:eastAsia="方正黑体_GBK" w:cs="仿宋_GB2312"/>
          <w:color w:val="0D0D0D"/>
          <w:sz w:val="32"/>
          <w:szCs w:val="20"/>
        </w:rPr>
        <w:t>五、其他重要事项的情况说明</w:t>
      </w:r>
    </w:p>
    <w:p w14:paraId="0323CC15">
      <w:pPr>
        <w:adjustRightInd w:val="0"/>
        <w:snapToGrid w:val="0"/>
        <w:spacing w:line="600" w:lineRule="exact"/>
        <w:ind w:firstLine="640" w:firstLineChars="200"/>
        <w:rPr>
          <w:rFonts w:ascii="方正仿宋_GBK" w:hAnsi="仿宋_GB2312" w:eastAsia="方正仿宋_GBK" w:cs="仿宋_GB2312"/>
          <w:color w:val="0D0D0D"/>
          <w:sz w:val="32"/>
          <w:szCs w:val="20"/>
        </w:rPr>
      </w:pPr>
      <w:r>
        <w:rPr>
          <w:rFonts w:hint="eastAsia" w:ascii="方正仿宋_GBK" w:hAnsi="仿宋_GB2312" w:eastAsia="方正仿宋_GBK" w:cs="仿宋_GB2312"/>
          <w:color w:val="0D0D0D"/>
          <w:sz w:val="32"/>
          <w:szCs w:val="20"/>
        </w:rPr>
        <w:t>（一）机关运行经费。2026年一般公共预算财政拨款运行经费103.19万元，比上年减少2.11万元，主要原因为厉行节约。主要用于办公费、印刷费、邮电费、水电费、物管费、差旅费、会议费、培训费及其他商品和服务支出等。</w:t>
      </w:r>
    </w:p>
    <w:p w14:paraId="181FE4B5">
      <w:pPr>
        <w:adjustRightInd w:val="0"/>
        <w:snapToGrid w:val="0"/>
        <w:spacing w:line="600" w:lineRule="exact"/>
        <w:ind w:firstLine="640" w:firstLineChars="200"/>
        <w:rPr>
          <w:rFonts w:ascii="方正仿宋_GBK" w:hAnsi="仿宋_GB2312" w:eastAsia="方正仿宋_GBK" w:cs="仿宋_GB2312"/>
          <w:color w:val="0D0D0D"/>
          <w:sz w:val="32"/>
          <w:szCs w:val="20"/>
        </w:rPr>
      </w:pPr>
      <w:r>
        <w:rPr>
          <w:rFonts w:hint="eastAsia" w:ascii="方正仿宋_GBK" w:hAnsi="仿宋_GB2312" w:eastAsia="方正仿宋_GBK" w:cs="仿宋_GB2312"/>
          <w:color w:val="0D0D0D"/>
          <w:sz w:val="32"/>
          <w:szCs w:val="20"/>
        </w:rPr>
        <w:t>（二）政府采购情况。所属各预算单位政府采购预算总额83万元，其中，政府采购货物预算3万元、政府采购服务预算80万元；一般公共预算拨款政府采购83万元，其中，政府采购货物预算3万元、政府采购服务预算80万元。</w:t>
      </w:r>
    </w:p>
    <w:p w14:paraId="3FD8A426">
      <w:pPr>
        <w:adjustRightInd w:val="0"/>
        <w:snapToGrid w:val="0"/>
        <w:spacing w:line="600" w:lineRule="exact"/>
        <w:ind w:firstLine="640" w:firstLineChars="200"/>
        <w:rPr>
          <w:rFonts w:ascii="方正仿宋_GBK" w:hAnsi="仿宋_GB2312" w:eastAsia="方正仿宋_GBK" w:cs="仿宋_GB2312"/>
          <w:color w:val="0D0D0D"/>
          <w:sz w:val="32"/>
          <w:szCs w:val="20"/>
        </w:rPr>
      </w:pPr>
      <w:r>
        <w:rPr>
          <w:rFonts w:hint="eastAsia" w:ascii="方正仿宋_GBK" w:hAnsi="仿宋_GB2312" w:eastAsia="方正仿宋_GBK" w:cs="仿宋_GB2312"/>
          <w:color w:val="0D0D0D"/>
          <w:sz w:val="32"/>
          <w:szCs w:val="20"/>
        </w:rPr>
        <w:t>（三）绩效目标设置情况。2026年项目支出均实行了绩效目标管理，涉及一般公共预算当年财政拨款1178.77万元。</w:t>
      </w:r>
    </w:p>
    <w:p w14:paraId="3C8DAB90">
      <w:pPr>
        <w:adjustRightInd w:val="0"/>
        <w:snapToGrid w:val="0"/>
        <w:spacing w:line="600" w:lineRule="exact"/>
        <w:ind w:firstLine="640" w:firstLineChars="200"/>
        <w:rPr>
          <w:rFonts w:ascii="方正仿宋_GBK" w:hAnsi="仿宋_GB2312" w:eastAsia="方正仿宋_GBK" w:cs="仿宋_GB2312"/>
          <w:color w:val="0D0D0D"/>
          <w:sz w:val="32"/>
          <w:szCs w:val="20"/>
        </w:rPr>
      </w:pPr>
      <w:r>
        <w:rPr>
          <w:rFonts w:hint="eastAsia" w:ascii="方正仿宋_GBK" w:hAnsi="仿宋_GB2312" w:eastAsia="方正仿宋_GBK" w:cs="仿宋_GB2312"/>
          <w:color w:val="0D0D0D"/>
          <w:sz w:val="32"/>
          <w:szCs w:val="20"/>
        </w:rPr>
        <w:t>（四）国有资产占有使用情况。</w:t>
      </w:r>
      <w:r>
        <w:rPr>
          <w:rFonts w:hint="eastAsia" w:ascii="方正仿宋_GBK" w:hAnsi="仿宋_GB2312" w:eastAsia="方正仿宋_GBK" w:cs="仿宋_GB2312"/>
          <w:color w:val="0D0D0D"/>
          <w:sz w:val="32"/>
          <w:szCs w:val="20"/>
          <w:lang w:eastAsia="zh-CN"/>
        </w:rPr>
        <w:t>截至2025年</w:t>
      </w:r>
      <w:r>
        <w:rPr>
          <w:rFonts w:hint="eastAsia" w:ascii="方正仿宋_GBK" w:hAnsi="仿宋_GB2312" w:eastAsia="方正仿宋_GBK" w:cs="仿宋_GB2312"/>
          <w:color w:val="0D0D0D"/>
          <w:sz w:val="32"/>
          <w:szCs w:val="20"/>
        </w:rPr>
        <w:t>12月，所属各预算单位共有车辆1辆，其中一般公务用车1辆。2026年一般公共预算未安排购置车辆。</w:t>
      </w:r>
    </w:p>
    <w:p w14:paraId="6618F7B4">
      <w:pPr>
        <w:adjustRightInd w:val="0"/>
        <w:snapToGrid w:val="0"/>
        <w:spacing w:line="600" w:lineRule="exact"/>
        <w:ind w:firstLine="640" w:firstLineChars="200"/>
        <w:rPr>
          <w:rFonts w:ascii="方正仿宋_GBK" w:hAnsi="仿宋_GB2312" w:eastAsia="方正仿宋_GBK" w:cs="仿宋_GB2312"/>
          <w:color w:val="0D0D0D"/>
          <w:sz w:val="32"/>
          <w:szCs w:val="20"/>
        </w:rPr>
      </w:pPr>
      <w:r>
        <w:rPr>
          <w:rFonts w:hint="eastAsia" w:ascii="方正仿宋_GBK" w:hAnsi="仿宋_GB2312" w:eastAsia="方正仿宋_GBK" w:cs="仿宋_GB2312"/>
          <w:color w:val="0D0D0D"/>
          <w:sz w:val="32"/>
          <w:szCs w:val="20"/>
        </w:rPr>
        <w:t>（五）委托业务费情况。2026年委托业务费涉及财拨资金941.07万元，主要用于政府投资项目审计、行政事业单位、国有企业审计、资产清理、绩效评价、金融发展及风险防控等支出。</w:t>
      </w:r>
    </w:p>
    <w:p w14:paraId="423BEBA1">
      <w:pPr>
        <w:adjustRightInd w:val="0"/>
        <w:snapToGrid w:val="0"/>
        <w:spacing w:line="600" w:lineRule="exact"/>
        <w:ind w:left="640"/>
        <w:rPr>
          <w:rFonts w:ascii="方正黑体_GBK" w:hAnsi="黑体" w:eastAsia="方正黑体_GBK" w:cs="仿宋_GB2312"/>
          <w:color w:val="0D0D0D"/>
          <w:sz w:val="32"/>
          <w:szCs w:val="20"/>
        </w:rPr>
      </w:pPr>
      <w:r>
        <w:rPr>
          <w:rFonts w:hint="eastAsia" w:ascii="方正黑体_GBK" w:hAnsi="黑体" w:eastAsia="方正黑体_GBK" w:cs="仿宋_GB2312"/>
          <w:color w:val="0D0D0D"/>
          <w:sz w:val="32"/>
          <w:szCs w:val="20"/>
        </w:rPr>
        <w:t>六、专业性名词解释</w:t>
      </w:r>
    </w:p>
    <w:p w14:paraId="79307C08">
      <w:pPr>
        <w:tabs>
          <w:tab w:val="center" w:pos="4153"/>
          <w:tab w:val="left" w:pos="7275"/>
        </w:tabs>
        <w:adjustRightInd w:val="0"/>
        <w:snapToGrid w:val="0"/>
        <w:spacing w:line="600" w:lineRule="exact"/>
        <w:ind w:firstLine="640" w:firstLineChars="200"/>
        <w:jc w:val="left"/>
        <w:rPr>
          <w:rFonts w:ascii="方正仿宋_GBK" w:hAnsi="仿宋" w:eastAsia="方正仿宋_GBK" w:cs="Times New Roman"/>
          <w:color w:val="0D0D0D"/>
          <w:sz w:val="32"/>
          <w:szCs w:val="32"/>
        </w:rPr>
      </w:pPr>
      <w:r>
        <w:rPr>
          <w:rFonts w:hint="eastAsia" w:ascii="方正仿宋_GBK" w:hAnsi="仿宋" w:eastAsia="方正仿宋_GBK" w:cs="Times New Roman"/>
          <w:color w:val="0D0D0D"/>
          <w:sz w:val="32"/>
          <w:szCs w:val="32"/>
        </w:rPr>
        <w:t>（一）财政拨款收入：指本年度从本级财政部门取得的财政拨款，包括一般公共预算财政拨款和政府性基金预算财政拨款。</w:t>
      </w:r>
    </w:p>
    <w:p w14:paraId="154DD314">
      <w:pPr>
        <w:adjustRightInd w:val="0"/>
        <w:snapToGrid w:val="0"/>
        <w:spacing w:line="600" w:lineRule="exact"/>
        <w:ind w:firstLine="640" w:firstLineChars="200"/>
        <w:rPr>
          <w:rFonts w:ascii="方正仿宋_GBK" w:hAnsi="仿宋" w:eastAsia="方正仿宋_GBK" w:cs="Times New Roman"/>
          <w:color w:val="0D0D0D"/>
          <w:sz w:val="32"/>
          <w:szCs w:val="32"/>
        </w:rPr>
      </w:pPr>
      <w:r>
        <w:rPr>
          <w:rFonts w:hint="eastAsia" w:ascii="方正仿宋_GBK" w:hAnsi="仿宋" w:eastAsia="方正仿宋_GBK" w:cs="Times New Roman"/>
          <w:color w:val="0D0D0D"/>
          <w:sz w:val="32"/>
          <w:szCs w:val="32"/>
        </w:rPr>
        <w:t>（二）财政专户管理资金收入：指缴入财政专户、实行专项管理的高中以上学费、住宿费、高校委托培养费、函大、电大、夜大及短训班培训费等教育收费。单位根据教育收费标准、学生人数等合理预计。</w:t>
      </w:r>
    </w:p>
    <w:p w14:paraId="443FCCF1">
      <w:pPr>
        <w:adjustRightInd w:val="0"/>
        <w:snapToGrid w:val="0"/>
        <w:spacing w:line="600" w:lineRule="exact"/>
        <w:ind w:firstLine="640" w:firstLineChars="200"/>
        <w:rPr>
          <w:rFonts w:ascii="方正仿宋_GBK" w:hAnsi="仿宋" w:eastAsia="方正仿宋_GBK" w:cs="Times New Roman"/>
          <w:color w:val="0D0D0D"/>
          <w:sz w:val="32"/>
          <w:szCs w:val="32"/>
        </w:rPr>
      </w:pPr>
      <w:r>
        <w:rPr>
          <w:rFonts w:hint="eastAsia" w:ascii="方正仿宋_GBK" w:hAnsi="仿宋" w:eastAsia="方正仿宋_GBK" w:cs="Times New Roman"/>
          <w:color w:val="0D0D0D"/>
          <w:sz w:val="32"/>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59F03398">
      <w:pPr>
        <w:adjustRightInd w:val="0"/>
        <w:snapToGrid w:val="0"/>
        <w:spacing w:line="600" w:lineRule="exact"/>
        <w:ind w:firstLine="640" w:firstLineChars="200"/>
        <w:rPr>
          <w:rFonts w:ascii="方正仿宋_GBK" w:hAnsi="仿宋" w:eastAsia="方正仿宋_GBK" w:cs="Times New Roman"/>
          <w:color w:val="0D0D0D"/>
          <w:sz w:val="32"/>
          <w:szCs w:val="32"/>
        </w:rPr>
      </w:pPr>
      <w:r>
        <w:rPr>
          <w:rFonts w:hint="eastAsia" w:ascii="方正仿宋_GBK" w:hAnsi="仿宋" w:eastAsia="方正仿宋_GBK" w:cs="Times New Roman"/>
          <w:color w:val="0D0D0D"/>
          <w:sz w:val="32"/>
          <w:szCs w:val="32"/>
        </w:rPr>
        <w:t>（四）上级补助收入：指从主管部门或上级单位取得的财政拨款以外的其他补助收入。单位结合上年度上级补助收入等情况进行预计。</w:t>
      </w:r>
    </w:p>
    <w:p w14:paraId="48C84E2C">
      <w:pPr>
        <w:adjustRightInd w:val="0"/>
        <w:snapToGrid w:val="0"/>
        <w:spacing w:line="600" w:lineRule="exact"/>
        <w:ind w:firstLine="640" w:firstLineChars="200"/>
        <w:rPr>
          <w:rFonts w:ascii="方正仿宋_GBK" w:hAnsi="仿宋" w:eastAsia="方正仿宋_GBK" w:cs="Times New Roman"/>
          <w:color w:val="0D0D0D"/>
          <w:sz w:val="32"/>
          <w:szCs w:val="32"/>
        </w:rPr>
      </w:pPr>
      <w:r>
        <w:rPr>
          <w:rFonts w:hint="eastAsia" w:ascii="方正仿宋_GBK" w:hAnsi="仿宋" w:eastAsia="方正仿宋_GBK" w:cs="Times New Roman"/>
          <w:color w:val="0D0D0D"/>
          <w:sz w:val="32"/>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72FFCC45">
      <w:pPr>
        <w:adjustRightInd w:val="0"/>
        <w:snapToGrid w:val="0"/>
        <w:spacing w:line="600" w:lineRule="exact"/>
        <w:ind w:firstLine="640" w:firstLineChars="200"/>
        <w:rPr>
          <w:rFonts w:ascii="方正仿宋_GBK" w:hAnsi="仿宋" w:eastAsia="方正仿宋_GBK" w:cs="Times New Roman"/>
          <w:color w:val="0D0D0D"/>
          <w:sz w:val="32"/>
          <w:szCs w:val="32"/>
        </w:rPr>
      </w:pPr>
      <w:r>
        <w:rPr>
          <w:rFonts w:hint="eastAsia" w:ascii="方正仿宋_GBK" w:hAnsi="仿宋" w:eastAsia="方正仿宋_GBK" w:cs="Times New Roman"/>
          <w:color w:val="0D0D0D"/>
          <w:sz w:val="32"/>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6848EA91">
      <w:pPr>
        <w:adjustRightInd w:val="0"/>
        <w:snapToGrid w:val="0"/>
        <w:spacing w:line="600" w:lineRule="exact"/>
        <w:ind w:firstLine="640" w:firstLineChars="200"/>
        <w:rPr>
          <w:rFonts w:ascii="方正仿宋_GBK" w:hAnsi="仿宋" w:eastAsia="方正仿宋_GBK" w:cs="Times New Roman"/>
          <w:color w:val="0D0D0D"/>
          <w:sz w:val="32"/>
          <w:szCs w:val="32"/>
        </w:rPr>
      </w:pPr>
      <w:r>
        <w:rPr>
          <w:rFonts w:hint="eastAsia" w:ascii="方正仿宋_GBK" w:hAnsi="仿宋" w:eastAsia="方正仿宋_GBK" w:cs="Times New Roman"/>
          <w:color w:val="0D0D0D"/>
          <w:sz w:val="32"/>
          <w:szCs w:val="32"/>
        </w:rPr>
        <w:t>（七）其他收入：指债务收入、投资收益等收入，单位根据情况合理预计，全部编入预算。</w:t>
      </w:r>
    </w:p>
    <w:p w14:paraId="7594BCB6">
      <w:pPr>
        <w:adjustRightInd w:val="0"/>
        <w:snapToGrid w:val="0"/>
        <w:spacing w:line="600" w:lineRule="exact"/>
        <w:ind w:firstLine="640" w:firstLineChars="200"/>
        <w:rPr>
          <w:rFonts w:ascii="方正仿宋_GBK" w:hAnsi="仿宋" w:eastAsia="方正仿宋_GBK" w:cs="Times New Roman"/>
          <w:color w:val="0D0D0D"/>
          <w:sz w:val="32"/>
          <w:szCs w:val="32"/>
        </w:rPr>
      </w:pPr>
      <w:r>
        <w:rPr>
          <w:rFonts w:hint="eastAsia" w:ascii="方正仿宋_GBK" w:hAnsi="仿宋" w:eastAsia="方正仿宋_GBK" w:cs="Times New Roman"/>
          <w:color w:val="0D0D0D"/>
          <w:sz w:val="32"/>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59BB68BF">
      <w:pPr>
        <w:adjustRightInd w:val="0"/>
        <w:snapToGrid w:val="0"/>
        <w:spacing w:line="600" w:lineRule="exact"/>
        <w:ind w:firstLine="640" w:firstLineChars="200"/>
        <w:rPr>
          <w:rFonts w:ascii="方正仿宋_GBK" w:hAnsi="仿宋" w:eastAsia="方正仿宋_GBK" w:cs="Times New Roman"/>
          <w:color w:val="0D0D0D"/>
          <w:sz w:val="32"/>
          <w:szCs w:val="32"/>
        </w:rPr>
      </w:pPr>
      <w:r>
        <w:rPr>
          <w:rFonts w:hint="eastAsia" w:ascii="方正仿宋_GBK" w:hAnsi="仿宋" w:eastAsia="方正仿宋_GBK" w:cs="Times New Roman"/>
          <w:color w:val="0D0D0D"/>
          <w:sz w:val="32"/>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02A2066">
      <w:pPr>
        <w:adjustRightInd w:val="0"/>
        <w:snapToGrid w:val="0"/>
        <w:spacing w:line="600" w:lineRule="exact"/>
        <w:ind w:firstLine="640" w:firstLineChars="200"/>
        <w:rPr>
          <w:rFonts w:ascii="方正仿宋_GBK" w:hAnsi="仿宋" w:eastAsia="方正仿宋_GBK" w:cs="Times New Roman"/>
          <w:color w:val="0D0D0D"/>
          <w:sz w:val="32"/>
          <w:szCs w:val="32"/>
        </w:rPr>
      </w:pPr>
      <w:r>
        <w:rPr>
          <w:rFonts w:hint="eastAsia" w:ascii="方正仿宋_GBK" w:hAnsi="仿宋" w:eastAsia="方正仿宋_GBK" w:cs="Times New Roman"/>
          <w:color w:val="0D0D0D"/>
          <w:sz w:val="32"/>
          <w:szCs w:val="32"/>
        </w:rPr>
        <w:t>（十）项目支出：指在基本支出之外为完成特定行政任务和事业发展目标所发生的支出。</w:t>
      </w:r>
    </w:p>
    <w:p w14:paraId="4B5EF174">
      <w:pPr>
        <w:adjustRightInd w:val="0"/>
        <w:snapToGrid w:val="0"/>
        <w:spacing w:line="600" w:lineRule="exact"/>
        <w:ind w:firstLine="640" w:firstLineChars="200"/>
        <w:rPr>
          <w:rFonts w:ascii="方正仿宋_GBK" w:hAnsi="仿宋" w:eastAsia="方正仿宋_GBK" w:cs="Times New Roman"/>
          <w:color w:val="0D0D0D"/>
          <w:sz w:val="32"/>
          <w:szCs w:val="32"/>
        </w:rPr>
      </w:pPr>
      <w:r>
        <w:rPr>
          <w:rFonts w:hint="eastAsia" w:ascii="方正仿宋_GBK" w:hAnsi="仿宋" w:eastAsia="方正仿宋_GBK" w:cs="Times New Roman"/>
          <w:color w:val="0D0D0D"/>
          <w:sz w:val="32"/>
          <w:szCs w:val="32"/>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27C1EE7">
      <w:pPr>
        <w:adjustRightInd w:val="0"/>
        <w:snapToGrid w:val="0"/>
        <w:spacing w:line="600" w:lineRule="exact"/>
        <w:ind w:firstLine="640" w:firstLineChars="200"/>
        <w:rPr>
          <w:rFonts w:ascii="方正仿宋_GBK" w:hAnsi="仿宋" w:eastAsia="方正仿宋_GBK" w:cs="Times New Roman"/>
          <w:color w:val="0D0D0D"/>
          <w:sz w:val="32"/>
          <w:szCs w:val="32"/>
        </w:rPr>
      </w:pPr>
      <w:r>
        <w:rPr>
          <w:rFonts w:hint="eastAsia" w:ascii="方正仿宋_GBK" w:hAnsi="仿宋" w:eastAsia="方正仿宋_GBK" w:cs="Times New Roman"/>
          <w:color w:val="0D0D0D"/>
          <w:sz w:val="32"/>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7CEDA31C">
      <w:pPr>
        <w:adjustRightInd w:val="0"/>
        <w:snapToGrid w:val="0"/>
        <w:spacing w:line="600" w:lineRule="exact"/>
        <w:ind w:firstLine="640" w:firstLineChars="200"/>
        <w:rPr>
          <w:rFonts w:ascii="方正仿宋_GBK" w:hAnsi="仿宋" w:eastAsia="方正仿宋_GBK" w:cs="Times New Roman"/>
          <w:color w:val="0D0D0D"/>
          <w:sz w:val="32"/>
          <w:szCs w:val="32"/>
        </w:rPr>
      </w:pPr>
      <w:r>
        <w:rPr>
          <w:rFonts w:hint="eastAsia" w:ascii="方正仿宋_GBK" w:hAnsi="仿宋" w:eastAsia="方正仿宋_GBK" w:cs="Times New Roman"/>
          <w:color w:val="0D0D0D"/>
          <w:sz w:val="32"/>
          <w:szCs w:val="32"/>
        </w:rPr>
        <w:t>（十三）工资福利支出（支出经济分类科目类级）：反映单位开支的在职职工和编制外长期聘用人员的各类劳动报酬，以及为上述人员缴纳的各项社会保险费等。</w:t>
      </w:r>
    </w:p>
    <w:p w14:paraId="505736A7">
      <w:pPr>
        <w:adjustRightInd w:val="0"/>
        <w:snapToGrid w:val="0"/>
        <w:spacing w:line="600" w:lineRule="exact"/>
        <w:ind w:firstLine="640" w:firstLineChars="200"/>
        <w:rPr>
          <w:rFonts w:ascii="方正仿宋_GBK" w:hAnsi="仿宋" w:eastAsia="方正仿宋_GBK" w:cs="Times New Roman"/>
          <w:color w:val="0D0D0D"/>
          <w:sz w:val="32"/>
          <w:szCs w:val="32"/>
        </w:rPr>
      </w:pPr>
      <w:r>
        <w:rPr>
          <w:rFonts w:hint="eastAsia" w:ascii="方正仿宋_GBK" w:hAnsi="仿宋" w:eastAsia="方正仿宋_GBK" w:cs="Times New Roman"/>
          <w:color w:val="0D0D0D"/>
          <w:sz w:val="32"/>
          <w:szCs w:val="32"/>
        </w:rPr>
        <w:t>（十四）商品和服务支出（支出经济分类科目类级）：反映单位购买商品和服务的支出（不包括用于购置固定资产的支出、战略性和应急储备支出）。</w:t>
      </w:r>
    </w:p>
    <w:p w14:paraId="374321F9">
      <w:pPr>
        <w:adjustRightInd w:val="0"/>
        <w:snapToGrid w:val="0"/>
        <w:spacing w:line="600" w:lineRule="exact"/>
        <w:ind w:firstLine="640" w:firstLineChars="200"/>
        <w:rPr>
          <w:rFonts w:ascii="方正仿宋_GBK" w:hAnsi="仿宋" w:eastAsia="方正仿宋_GBK" w:cs="Times New Roman"/>
          <w:color w:val="0D0D0D"/>
          <w:sz w:val="32"/>
          <w:szCs w:val="32"/>
        </w:rPr>
      </w:pPr>
      <w:r>
        <w:rPr>
          <w:rFonts w:hint="eastAsia" w:ascii="方正仿宋_GBK" w:hAnsi="仿宋" w:eastAsia="方正仿宋_GBK" w:cs="Times New Roman"/>
          <w:color w:val="0D0D0D"/>
          <w:sz w:val="32"/>
          <w:szCs w:val="32"/>
        </w:rPr>
        <w:t>（十五）对个人和家庭的补助（支出经济分类科目类级）：反映用于对个人和家庭的补助支出。</w:t>
      </w:r>
    </w:p>
    <w:p w14:paraId="5DE9E6FC">
      <w:pPr>
        <w:adjustRightInd w:val="0"/>
        <w:snapToGrid w:val="0"/>
        <w:spacing w:line="600" w:lineRule="exact"/>
        <w:ind w:firstLine="640" w:firstLineChars="200"/>
        <w:rPr>
          <w:rFonts w:ascii="方正仿宋_GBK" w:hAnsi="仿宋" w:eastAsia="方正仿宋_GBK" w:cs="Times New Roman"/>
          <w:color w:val="0D0D0D"/>
          <w:sz w:val="32"/>
          <w:szCs w:val="32"/>
        </w:rPr>
      </w:pPr>
      <w:r>
        <w:rPr>
          <w:rFonts w:hint="eastAsia" w:ascii="方正仿宋_GBK" w:hAnsi="仿宋" w:eastAsia="方正仿宋_GBK" w:cs="Times New Roman"/>
          <w:color w:val="0D0D0D"/>
          <w:sz w:val="32"/>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330F860D">
      <w:pPr>
        <w:adjustRightInd w:val="0"/>
        <w:snapToGrid w:val="0"/>
        <w:spacing w:line="600" w:lineRule="exact"/>
        <w:ind w:firstLine="640" w:firstLineChars="200"/>
        <w:rPr>
          <w:rFonts w:ascii="方正仿宋_GBK" w:hAnsi="仿宋_GB2312" w:eastAsia="方正仿宋_GBK" w:cs="仿宋_GB2312"/>
          <w:color w:val="0D0D0D"/>
          <w:sz w:val="32"/>
          <w:szCs w:val="20"/>
        </w:rPr>
      </w:pPr>
    </w:p>
    <w:p w14:paraId="5E79A992">
      <w:pPr>
        <w:adjustRightInd w:val="0"/>
        <w:snapToGrid w:val="0"/>
        <w:spacing w:line="600" w:lineRule="exact"/>
        <w:ind w:firstLine="640" w:firstLineChars="200"/>
        <w:rPr>
          <w:rFonts w:ascii="方正仿宋_GBK" w:hAnsi="方正仿宋_GBK" w:eastAsia="方正仿宋_GBK" w:cs="方正仿宋_GBK"/>
          <w:sz w:val="28"/>
        </w:rPr>
      </w:pPr>
      <w:r>
        <w:rPr>
          <w:rFonts w:hint="eastAsia" w:ascii="方正仿宋_GBK" w:hAnsi="仿宋_GB2312" w:eastAsia="方正仿宋_GBK" w:cs="仿宋_GB2312"/>
          <w:color w:val="0D0D0D"/>
          <w:sz w:val="32"/>
          <w:szCs w:val="20"/>
        </w:rPr>
        <w:t>部门预算公开联系人：徐新新，联系方式：</w:t>
      </w:r>
      <w:r>
        <w:rPr>
          <w:rFonts w:hint="eastAsia" w:ascii="方正仿宋_GBK" w:hAnsi="方正仿宋_GBK" w:eastAsia="方正仿宋_GBK" w:cs="方正仿宋_GBK"/>
          <w:color w:val="0D0D0D"/>
          <w:sz w:val="32"/>
          <w:szCs w:val="20"/>
        </w:rPr>
        <w:t>023-68154309</w:t>
      </w:r>
    </w:p>
    <w:sectPr>
      <w:footerReference r:id="rId3" w:type="default"/>
      <w:footerReference r:id="rId4" w:type="even"/>
      <w:pgSz w:w="11906" w:h="16838"/>
      <w:pgMar w:top="1985"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10DD71-A845-48B5-9156-136E09B2DD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2" w:fontKey="{1D594FCA-C870-4F9C-A517-B33B79027852}"/>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embedRegular r:id="rId3" w:fontKey="{F7B6F5A6-6E20-49B8-9A5C-8D9B6EE68270}"/>
  </w:font>
  <w:font w:name="仿宋">
    <w:panose1 w:val="02010609060101010101"/>
    <w:charset w:val="86"/>
    <w:family w:val="modern"/>
    <w:pitch w:val="default"/>
    <w:sig w:usb0="800002BF" w:usb1="38CF7CFA" w:usb2="00000016" w:usb3="00000000" w:csb0="00040001" w:csb1="00000000"/>
    <w:embedRegular r:id="rId4" w:fontKey="{026F7147-A925-4838-8EB8-F5FB2C862A03}"/>
  </w:font>
  <w:font w:name="Tahoma">
    <w:panose1 w:val="020B0604030504040204"/>
    <w:charset w:val="00"/>
    <w:family w:val="swiss"/>
    <w:pitch w:val="default"/>
    <w:sig w:usb0="E1002EFF" w:usb1="C000605B" w:usb2="00000029" w:usb3="00000000" w:csb0="200101FF" w:csb1="20280000"/>
  </w:font>
  <w:font w:name="方正黑体_GBK">
    <w:panose1 w:val="02010600010101010101"/>
    <w:charset w:val="86"/>
    <w:family w:val="script"/>
    <w:pitch w:val="default"/>
    <w:sig w:usb0="00000001" w:usb1="080E0000" w:usb2="00000000" w:usb3="00000000" w:csb0="00040000" w:csb1="00000000"/>
    <w:embedRegular r:id="rId5" w:fontKey="{8EE1AE17-FDE2-46A9-8FD9-17165CF80528}"/>
  </w:font>
  <w:font w:name="Helvetica">
    <w:altName w:val="Arial"/>
    <w:panose1 w:val="020B0604020202020204"/>
    <w:charset w:val="00"/>
    <w:family w:val="swiss"/>
    <w:pitch w:val="default"/>
    <w:sig w:usb0="00000000" w:usb1="00000000" w:usb2="00000000" w:usb3="00000000" w:csb0="00000001" w:csb1="00000000"/>
  </w:font>
  <w:font w:name="方正小标宋_GBK">
    <w:panose1 w:val="02000000000000000000"/>
    <w:charset w:val="86"/>
    <w:family w:val="script"/>
    <w:pitch w:val="default"/>
    <w:sig w:usb0="A00002BF" w:usb1="38CF7CFA" w:usb2="00082016" w:usb3="00000000" w:csb0="00040001" w:csb1="00000000"/>
    <w:embedRegular r:id="rId6" w:fontKey="{501DD859-5A65-48FC-B5B4-475A04F7D2C9}"/>
  </w:font>
  <w:font w:name="华文中宋">
    <w:altName w:val="宋体"/>
    <w:panose1 w:val="02010600040101010101"/>
    <w:charset w:val="86"/>
    <w:family w:val="auto"/>
    <w:pitch w:val="default"/>
    <w:sig w:usb0="00000000" w:usb1="00000000" w:usb2="00000010" w:usb3="00000000" w:csb0="0004009F" w:csb1="00000000"/>
    <w:embedRegular r:id="rId7" w:fontKey="{31830599-68BF-4B42-A878-06FAFA7AC032}"/>
  </w:font>
  <w:font w:name="汉仪中宋简">
    <w:altName w:val="宋体"/>
    <w:panose1 w:val="00000000000000000000"/>
    <w:charset w:val="00"/>
    <w:family w:val="auto"/>
    <w:pitch w:val="default"/>
    <w:sig w:usb0="00000000" w:usb1="00000000" w:usb2="00000000" w:usb3="00000000" w:csb0="00000000" w:csb1="00000000"/>
  </w:font>
  <w:font w:name="方正楷体_GBK">
    <w:panose1 w:val="02000000000000000000"/>
    <w:charset w:val="86"/>
    <w:family w:val="script"/>
    <w:pitch w:val="default"/>
    <w:sig w:usb0="800002BF" w:usb1="38CF7CFA" w:usb2="00000016" w:usb3="00000000" w:csb0="00040000" w:csb1="00000000"/>
    <w:embedRegular r:id="rId8" w:fontKey="{10DE66A3-6A87-4F51-90D6-BABE34B93999}"/>
  </w:font>
  <w:font w:name="方正仿宋_GB2312">
    <w:altName w:val="方正仿宋_GBK"/>
    <w:panose1 w:val="00000000000000000000"/>
    <w:charset w:val="86"/>
    <w:family w:val="auto"/>
    <w:pitch w:val="default"/>
    <w:sig w:usb0="00000000" w:usb1="00000000" w:usb2="00000012" w:usb3="00000000" w:csb0="00040001" w:csb1="00000000"/>
    <w:embedRegular r:id="rId9" w:fontKey="{0A306D0F-B8A2-4823-8F9A-260055258E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6087721"/>
    </w:sdtPr>
    <w:sdtContent>
      <w:p w14:paraId="29336AEB">
        <w:pPr>
          <w:pStyle w:val="13"/>
          <w:jc w:val="right"/>
        </w:pPr>
        <w:r>
          <w:rPr>
            <w:rFonts w:hint="eastAsia" w:ascii="方正仿宋_GBK" w:eastAsia="方正仿宋_GBK"/>
            <w:sz w:val="28"/>
            <w:szCs w:val="28"/>
          </w:rPr>
          <w:t>—</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5</w:t>
        </w:r>
        <w:r>
          <w:rPr>
            <w:rFonts w:hint="eastAsia" w:ascii="方正仿宋_GBK" w:eastAsia="方正仿宋_GBK"/>
            <w:sz w:val="28"/>
            <w:szCs w:val="28"/>
          </w:rPr>
          <w:fldChar w:fldCharType="end"/>
        </w:r>
        <w:r>
          <w:rPr>
            <w:rFonts w:hint="eastAsia" w:ascii="方正仿宋_GBK" w:eastAsia="方正仿宋_GBK"/>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9043103"/>
    </w:sdtPr>
    <w:sdtContent>
      <w:p w14:paraId="0401C362">
        <w:pPr>
          <w:pStyle w:val="13"/>
          <w:rPr>
            <w:sz w:val="21"/>
            <w:szCs w:val="24"/>
          </w:rPr>
        </w:pPr>
        <w:r>
          <w:rPr>
            <w:rFonts w:hint="eastAsia" w:ascii="方正仿宋_GBK" w:eastAsia="方正仿宋_GBK"/>
            <w:sz w:val="28"/>
            <w:szCs w:val="28"/>
          </w:rPr>
          <w:t>—</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6</w:t>
        </w:r>
        <w:r>
          <w:rPr>
            <w:rFonts w:hint="eastAsia" w:ascii="方正仿宋_GBK" w:eastAsia="方正仿宋_GBK"/>
            <w:sz w:val="28"/>
            <w:szCs w:val="28"/>
          </w:rPr>
          <w:fldChar w:fldCharType="end"/>
        </w:r>
        <w:r>
          <w:rPr>
            <w:rFonts w:hint="eastAsia" w:ascii="方正仿宋_GBK" w:eastAsia="方正仿宋_GBK"/>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DEFA33C"/>
    <w:rsid w:val="00000550"/>
    <w:rsid w:val="00001862"/>
    <w:rsid w:val="00002CC1"/>
    <w:rsid w:val="00002D64"/>
    <w:rsid w:val="00003BC4"/>
    <w:rsid w:val="00005D5C"/>
    <w:rsid w:val="00012820"/>
    <w:rsid w:val="000150E4"/>
    <w:rsid w:val="00020764"/>
    <w:rsid w:val="0002749C"/>
    <w:rsid w:val="0003038B"/>
    <w:rsid w:val="0004558F"/>
    <w:rsid w:val="00047981"/>
    <w:rsid w:val="00050437"/>
    <w:rsid w:val="0005121E"/>
    <w:rsid w:val="00055D53"/>
    <w:rsid w:val="00056B76"/>
    <w:rsid w:val="00062654"/>
    <w:rsid w:val="00066FCD"/>
    <w:rsid w:val="000774C1"/>
    <w:rsid w:val="000B03CB"/>
    <w:rsid w:val="000B6225"/>
    <w:rsid w:val="000B7225"/>
    <w:rsid w:val="000B7E52"/>
    <w:rsid w:val="000E0316"/>
    <w:rsid w:val="000E253A"/>
    <w:rsid w:val="000E6017"/>
    <w:rsid w:val="000F5FC0"/>
    <w:rsid w:val="000F7E2D"/>
    <w:rsid w:val="001040A9"/>
    <w:rsid w:val="00105192"/>
    <w:rsid w:val="00105658"/>
    <w:rsid w:val="00105DB3"/>
    <w:rsid w:val="00113867"/>
    <w:rsid w:val="0012521D"/>
    <w:rsid w:val="00126DE5"/>
    <w:rsid w:val="00130A33"/>
    <w:rsid w:val="00132542"/>
    <w:rsid w:val="0013773B"/>
    <w:rsid w:val="001424BB"/>
    <w:rsid w:val="00142BFC"/>
    <w:rsid w:val="00147E03"/>
    <w:rsid w:val="001624AE"/>
    <w:rsid w:val="0016433D"/>
    <w:rsid w:val="00182D7C"/>
    <w:rsid w:val="00184418"/>
    <w:rsid w:val="00187BA3"/>
    <w:rsid w:val="001900F7"/>
    <w:rsid w:val="001A3B38"/>
    <w:rsid w:val="001A41BD"/>
    <w:rsid w:val="001A52BF"/>
    <w:rsid w:val="001B06C0"/>
    <w:rsid w:val="001B58B1"/>
    <w:rsid w:val="001B5F04"/>
    <w:rsid w:val="001C52EC"/>
    <w:rsid w:val="001C562C"/>
    <w:rsid w:val="001C5D1E"/>
    <w:rsid w:val="001C76A9"/>
    <w:rsid w:val="001D3D78"/>
    <w:rsid w:val="001D480D"/>
    <w:rsid w:val="001D5EF5"/>
    <w:rsid w:val="001E045D"/>
    <w:rsid w:val="001E3AF6"/>
    <w:rsid w:val="001F0CB6"/>
    <w:rsid w:val="001F1C80"/>
    <w:rsid w:val="001F5F4C"/>
    <w:rsid w:val="001F698D"/>
    <w:rsid w:val="001F6997"/>
    <w:rsid w:val="001F7164"/>
    <w:rsid w:val="002026B2"/>
    <w:rsid w:val="00207050"/>
    <w:rsid w:val="00221C30"/>
    <w:rsid w:val="00222916"/>
    <w:rsid w:val="00240596"/>
    <w:rsid w:val="00247D46"/>
    <w:rsid w:val="002552A4"/>
    <w:rsid w:val="0025598C"/>
    <w:rsid w:val="00255C41"/>
    <w:rsid w:val="00257CD5"/>
    <w:rsid w:val="00257FEE"/>
    <w:rsid w:val="00263889"/>
    <w:rsid w:val="00263C35"/>
    <w:rsid w:val="002655AE"/>
    <w:rsid w:val="002705DA"/>
    <w:rsid w:val="00282745"/>
    <w:rsid w:val="00286C14"/>
    <w:rsid w:val="00290D8F"/>
    <w:rsid w:val="00292CE2"/>
    <w:rsid w:val="0029567D"/>
    <w:rsid w:val="002979E8"/>
    <w:rsid w:val="002A393E"/>
    <w:rsid w:val="002A47A1"/>
    <w:rsid w:val="002A617F"/>
    <w:rsid w:val="002B2A63"/>
    <w:rsid w:val="002C03A7"/>
    <w:rsid w:val="002C7EE9"/>
    <w:rsid w:val="002E0CCF"/>
    <w:rsid w:val="002E1F6E"/>
    <w:rsid w:val="002E2DA3"/>
    <w:rsid w:val="002F16B1"/>
    <w:rsid w:val="002F1D72"/>
    <w:rsid w:val="002F3AC0"/>
    <w:rsid w:val="0030336C"/>
    <w:rsid w:val="00310ED0"/>
    <w:rsid w:val="003205A1"/>
    <w:rsid w:val="00325FD3"/>
    <w:rsid w:val="00331522"/>
    <w:rsid w:val="00350B55"/>
    <w:rsid w:val="00357DD5"/>
    <w:rsid w:val="0036015F"/>
    <w:rsid w:val="003625C5"/>
    <w:rsid w:val="00364941"/>
    <w:rsid w:val="00381B0F"/>
    <w:rsid w:val="00382420"/>
    <w:rsid w:val="00390D72"/>
    <w:rsid w:val="0039593E"/>
    <w:rsid w:val="00395FFC"/>
    <w:rsid w:val="00397AEA"/>
    <w:rsid w:val="003A003C"/>
    <w:rsid w:val="003A1180"/>
    <w:rsid w:val="003A69E3"/>
    <w:rsid w:val="003B2F4B"/>
    <w:rsid w:val="003B46E2"/>
    <w:rsid w:val="003B680C"/>
    <w:rsid w:val="003D0A25"/>
    <w:rsid w:val="003D3E70"/>
    <w:rsid w:val="003D5F5C"/>
    <w:rsid w:val="003D7D22"/>
    <w:rsid w:val="003E043C"/>
    <w:rsid w:val="003E0547"/>
    <w:rsid w:val="003F0EBF"/>
    <w:rsid w:val="003F0F36"/>
    <w:rsid w:val="003F5200"/>
    <w:rsid w:val="0040612C"/>
    <w:rsid w:val="00406394"/>
    <w:rsid w:val="00406CC8"/>
    <w:rsid w:val="00416DD2"/>
    <w:rsid w:val="00430AB2"/>
    <w:rsid w:val="00440F9F"/>
    <w:rsid w:val="004411ED"/>
    <w:rsid w:val="004427AC"/>
    <w:rsid w:val="0044491E"/>
    <w:rsid w:val="00452E10"/>
    <w:rsid w:val="004551A7"/>
    <w:rsid w:val="004573AF"/>
    <w:rsid w:val="00462582"/>
    <w:rsid w:val="00463DA7"/>
    <w:rsid w:val="00464823"/>
    <w:rsid w:val="00467BE5"/>
    <w:rsid w:val="004737CB"/>
    <w:rsid w:val="00473C7B"/>
    <w:rsid w:val="004829F8"/>
    <w:rsid w:val="00494C3B"/>
    <w:rsid w:val="0049564A"/>
    <w:rsid w:val="004A0AC1"/>
    <w:rsid w:val="004A2007"/>
    <w:rsid w:val="004A5113"/>
    <w:rsid w:val="004B5544"/>
    <w:rsid w:val="004C0ACB"/>
    <w:rsid w:val="004C0E27"/>
    <w:rsid w:val="004C3049"/>
    <w:rsid w:val="004D0C28"/>
    <w:rsid w:val="004D335C"/>
    <w:rsid w:val="004D34F4"/>
    <w:rsid w:val="004E72A4"/>
    <w:rsid w:val="00506D68"/>
    <w:rsid w:val="00517BA1"/>
    <w:rsid w:val="005210E5"/>
    <w:rsid w:val="005219CC"/>
    <w:rsid w:val="0052242B"/>
    <w:rsid w:val="00523889"/>
    <w:rsid w:val="0052397D"/>
    <w:rsid w:val="00531A51"/>
    <w:rsid w:val="0053400B"/>
    <w:rsid w:val="00536729"/>
    <w:rsid w:val="005369E2"/>
    <w:rsid w:val="00552EC9"/>
    <w:rsid w:val="0055700B"/>
    <w:rsid w:val="00560FE1"/>
    <w:rsid w:val="00561E70"/>
    <w:rsid w:val="0056748E"/>
    <w:rsid w:val="0057164C"/>
    <w:rsid w:val="00573089"/>
    <w:rsid w:val="005753BF"/>
    <w:rsid w:val="00582A7F"/>
    <w:rsid w:val="0058358D"/>
    <w:rsid w:val="00583EEB"/>
    <w:rsid w:val="00584A9A"/>
    <w:rsid w:val="00586B99"/>
    <w:rsid w:val="005949AB"/>
    <w:rsid w:val="00596D47"/>
    <w:rsid w:val="005973EF"/>
    <w:rsid w:val="005A4BEE"/>
    <w:rsid w:val="005B2B5B"/>
    <w:rsid w:val="005B2F7C"/>
    <w:rsid w:val="005C026A"/>
    <w:rsid w:val="005C0BC9"/>
    <w:rsid w:val="005C2703"/>
    <w:rsid w:val="005D460C"/>
    <w:rsid w:val="005D6317"/>
    <w:rsid w:val="005E2679"/>
    <w:rsid w:val="005E7261"/>
    <w:rsid w:val="005E7595"/>
    <w:rsid w:val="005F42D9"/>
    <w:rsid w:val="005F549F"/>
    <w:rsid w:val="005F7E87"/>
    <w:rsid w:val="00603CE7"/>
    <w:rsid w:val="006057BC"/>
    <w:rsid w:val="006143BC"/>
    <w:rsid w:val="00624185"/>
    <w:rsid w:val="0062568A"/>
    <w:rsid w:val="00625BD3"/>
    <w:rsid w:val="006315F1"/>
    <w:rsid w:val="0063246B"/>
    <w:rsid w:val="0063260E"/>
    <w:rsid w:val="00634531"/>
    <w:rsid w:val="00646723"/>
    <w:rsid w:val="00656F56"/>
    <w:rsid w:val="0066455A"/>
    <w:rsid w:val="00675134"/>
    <w:rsid w:val="006763EF"/>
    <w:rsid w:val="0069086E"/>
    <w:rsid w:val="00696E62"/>
    <w:rsid w:val="006A1ADB"/>
    <w:rsid w:val="006A496C"/>
    <w:rsid w:val="006A5DA1"/>
    <w:rsid w:val="006B33CA"/>
    <w:rsid w:val="006B7AC3"/>
    <w:rsid w:val="006C6826"/>
    <w:rsid w:val="006D2B23"/>
    <w:rsid w:val="006E2D81"/>
    <w:rsid w:val="006F224E"/>
    <w:rsid w:val="006F516A"/>
    <w:rsid w:val="006F67DF"/>
    <w:rsid w:val="006F7C53"/>
    <w:rsid w:val="00702401"/>
    <w:rsid w:val="00712B05"/>
    <w:rsid w:val="00723554"/>
    <w:rsid w:val="00723989"/>
    <w:rsid w:val="00727D3A"/>
    <w:rsid w:val="00734083"/>
    <w:rsid w:val="007422B8"/>
    <w:rsid w:val="00745A5B"/>
    <w:rsid w:val="00746A00"/>
    <w:rsid w:val="00751FC3"/>
    <w:rsid w:val="007523DE"/>
    <w:rsid w:val="00761782"/>
    <w:rsid w:val="00763107"/>
    <w:rsid w:val="007713BC"/>
    <w:rsid w:val="00775611"/>
    <w:rsid w:val="00780A53"/>
    <w:rsid w:val="0078414E"/>
    <w:rsid w:val="007929CF"/>
    <w:rsid w:val="007A6E54"/>
    <w:rsid w:val="007B0EC2"/>
    <w:rsid w:val="007B2D3D"/>
    <w:rsid w:val="007C0FD6"/>
    <w:rsid w:val="007C286D"/>
    <w:rsid w:val="007C469C"/>
    <w:rsid w:val="007C680F"/>
    <w:rsid w:val="007D1D85"/>
    <w:rsid w:val="007D2B0E"/>
    <w:rsid w:val="007E5DFD"/>
    <w:rsid w:val="007E6CD6"/>
    <w:rsid w:val="00807407"/>
    <w:rsid w:val="008079BD"/>
    <w:rsid w:val="0081058F"/>
    <w:rsid w:val="00810ED8"/>
    <w:rsid w:val="008147A1"/>
    <w:rsid w:val="00822BA4"/>
    <w:rsid w:val="00830C81"/>
    <w:rsid w:val="00835E66"/>
    <w:rsid w:val="008365B4"/>
    <w:rsid w:val="008368E0"/>
    <w:rsid w:val="008376C2"/>
    <w:rsid w:val="008462F6"/>
    <w:rsid w:val="00850664"/>
    <w:rsid w:val="00866863"/>
    <w:rsid w:val="008721DA"/>
    <w:rsid w:val="00874BE6"/>
    <w:rsid w:val="00880D9C"/>
    <w:rsid w:val="0089224F"/>
    <w:rsid w:val="00892833"/>
    <w:rsid w:val="0089423A"/>
    <w:rsid w:val="008958F5"/>
    <w:rsid w:val="008A671E"/>
    <w:rsid w:val="008C6EE3"/>
    <w:rsid w:val="008C748B"/>
    <w:rsid w:val="008D09B9"/>
    <w:rsid w:val="008D2759"/>
    <w:rsid w:val="008D27F4"/>
    <w:rsid w:val="008E1FC6"/>
    <w:rsid w:val="008E3F98"/>
    <w:rsid w:val="008E5AD6"/>
    <w:rsid w:val="008E6E47"/>
    <w:rsid w:val="008E75B3"/>
    <w:rsid w:val="008F11A0"/>
    <w:rsid w:val="008F2670"/>
    <w:rsid w:val="008F6888"/>
    <w:rsid w:val="008F6BC0"/>
    <w:rsid w:val="00904291"/>
    <w:rsid w:val="00904E51"/>
    <w:rsid w:val="0090636F"/>
    <w:rsid w:val="009205B0"/>
    <w:rsid w:val="00922D91"/>
    <w:rsid w:val="0092429C"/>
    <w:rsid w:val="00925159"/>
    <w:rsid w:val="009258E5"/>
    <w:rsid w:val="0094168B"/>
    <w:rsid w:val="009619CD"/>
    <w:rsid w:val="00962B3C"/>
    <w:rsid w:val="009731B7"/>
    <w:rsid w:val="00974821"/>
    <w:rsid w:val="009760FA"/>
    <w:rsid w:val="009770D7"/>
    <w:rsid w:val="00983FE7"/>
    <w:rsid w:val="009842A9"/>
    <w:rsid w:val="00986CE2"/>
    <w:rsid w:val="00990551"/>
    <w:rsid w:val="0099613A"/>
    <w:rsid w:val="009A0B9A"/>
    <w:rsid w:val="009A757B"/>
    <w:rsid w:val="009A759E"/>
    <w:rsid w:val="009B2751"/>
    <w:rsid w:val="009B7187"/>
    <w:rsid w:val="009C1966"/>
    <w:rsid w:val="009C6585"/>
    <w:rsid w:val="009D1654"/>
    <w:rsid w:val="009D23CE"/>
    <w:rsid w:val="009D2F7D"/>
    <w:rsid w:val="009D4FF2"/>
    <w:rsid w:val="009D7C5D"/>
    <w:rsid w:val="009E7B9D"/>
    <w:rsid w:val="009F2D5D"/>
    <w:rsid w:val="00A07574"/>
    <w:rsid w:val="00A12AEB"/>
    <w:rsid w:val="00A12BD5"/>
    <w:rsid w:val="00A2342B"/>
    <w:rsid w:val="00A3762E"/>
    <w:rsid w:val="00A641E4"/>
    <w:rsid w:val="00A648DF"/>
    <w:rsid w:val="00A74D89"/>
    <w:rsid w:val="00A7548E"/>
    <w:rsid w:val="00A90C82"/>
    <w:rsid w:val="00AB3A79"/>
    <w:rsid w:val="00AB5130"/>
    <w:rsid w:val="00AC192E"/>
    <w:rsid w:val="00AC42FA"/>
    <w:rsid w:val="00AD3891"/>
    <w:rsid w:val="00AE4989"/>
    <w:rsid w:val="00AF684F"/>
    <w:rsid w:val="00B07D1B"/>
    <w:rsid w:val="00B1331B"/>
    <w:rsid w:val="00B13BEE"/>
    <w:rsid w:val="00B173AC"/>
    <w:rsid w:val="00B23322"/>
    <w:rsid w:val="00B24A0A"/>
    <w:rsid w:val="00B264B7"/>
    <w:rsid w:val="00B2681A"/>
    <w:rsid w:val="00B33D3A"/>
    <w:rsid w:val="00B47CCF"/>
    <w:rsid w:val="00B47E48"/>
    <w:rsid w:val="00B524D7"/>
    <w:rsid w:val="00B535EE"/>
    <w:rsid w:val="00B64346"/>
    <w:rsid w:val="00B64C3E"/>
    <w:rsid w:val="00B73925"/>
    <w:rsid w:val="00B80381"/>
    <w:rsid w:val="00B803E8"/>
    <w:rsid w:val="00B80A59"/>
    <w:rsid w:val="00B839D4"/>
    <w:rsid w:val="00BA6448"/>
    <w:rsid w:val="00BB17CC"/>
    <w:rsid w:val="00BC1F51"/>
    <w:rsid w:val="00BC2FF1"/>
    <w:rsid w:val="00BC6A17"/>
    <w:rsid w:val="00BD2A72"/>
    <w:rsid w:val="00BE59CF"/>
    <w:rsid w:val="00BF3090"/>
    <w:rsid w:val="00C05D20"/>
    <w:rsid w:val="00C06FBB"/>
    <w:rsid w:val="00C12920"/>
    <w:rsid w:val="00C15F8C"/>
    <w:rsid w:val="00C30377"/>
    <w:rsid w:val="00C42C32"/>
    <w:rsid w:val="00C43658"/>
    <w:rsid w:val="00C470DD"/>
    <w:rsid w:val="00C51C46"/>
    <w:rsid w:val="00C541F7"/>
    <w:rsid w:val="00C57659"/>
    <w:rsid w:val="00C65C43"/>
    <w:rsid w:val="00C66DFF"/>
    <w:rsid w:val="00C702E2"/>
    <w:rsid w:val="00C72CA3"/>
    <w:rsid w:val="00C72FDA"/>
    <w:rsid w:val="00C76723"/>
    <w:rsid w:val="00C768CD"/>
    <w:rsid w:val="00C80D9D"/>
    <w:rsid w:val="00C839E8"/>
    <w:rsid w:val="00C92B04"/>
    <w:rsid w:val="00CA2D3C"/>
    <w:rsid w:val="00CB209C"/>
    <w:rsid w:val="00CB3584"/>
    <w:rsid w:val="00CB626C"/>
    <w:rsid w:val="00CC1333"/>
    <w:rsid w:val="00CC72AC"/>
    <w:rsid w:val="00CD072F"/>
    <w:rsid w:val="00CD2A2F"/>
    <w:rsid w:val="00CD5569"/>
    <w:rsid w:val="00CE5D23"/>
    <w:rsid w:val="00CE6DF4"/>
    <w:rsid w:val="00CE7B57"/>
    <w:rsid w:val="00CF5F44"/>
    <w:rsid w:val="00D049C5"/>
    <w:rsid w:val="00D133AB"/>
    <w:rsid w:val="00D1414B"/>
    <w:rsid w:val="00D1564E"/>
    <w:rsid w:val="00D21DF0"/>
    <w:rsid w:val="00D21FF0"/>
    <w:rsid w:val="00D230DC"/>
    <w:rsid w:val="00D4510D"/>
    <w:rsid w:val="00D47EC2"/>
    <w:rsid w:val="00D5266E"/>
    <w:rsid w:val="00D53531"/>
    <w:rsid w:val="00D57FFE"/>
    <w:rsid w:val="00D73140"/>
    <w:rsid w:val="00D842F0"/>
    <w:rsid w:val="00D948F9"/>
    <w:rsid w:val="00DA12E4"/>
    <w:rsid w:val="00DA4FB8"/>
    <w:rsid w:val="00DA67A6"/>
    <w:rsid w:val="00DB14D7"/>
    <w:rsid w:val="00DB1695"/>
    <w:rsid w:val="00DB6072"/>
    <w:rsid w:val="00DC3361"/>
    <w:rsid w:val="00DC592B"/>
    <w:rsid w:val="00DC6DEE"/>
    <w:rsid w:val="00DD1FA2"/>
    <w:rsid w:val="00DD624A"/>
    <w:rsid w:val="00DE5C3D"/>
    <w:rsid w:val="00DE677B"/>
    <w:rsid w:val="00DF646C"/>
    <w:rsid w:val="00E0451B"/>
    <w:rsid w:val="00E04EF6"/>
    <w:rsid w:val="00E117C3"/>
    <w:rsid w:val="00E13354"/>
    <w:rsid w:val="00E145D7"/>
    <w:rsid w:val="00E1526D"/>
    <w:rsid w:val="00E15629"/>
    <w:rsid w:val="00E15E97"/>
    <w:rsid w:val="00E2696A"/>
    <w:rsid w:val="00E35738"/>
    <w:rsid w:val="00E46E77"/>
    <w:rsid w:val="00E47D68"/>
    <w:rsid w:val="00E50E34"/>
    <w:rsid w:val="00E51C72"/>
    <w:rsid w:val="00E52097"/>
    <w:rsid w:val="00E54527"/>
    <w:rsid w:val="00E65A21"/>
    <w:rsid w:val="00E66E13"/>
    <w:rsid w:val="00E7102B"/>
    <w:rsid w:val="00E801CC"/>
    <w:rsid w:val="00E85E44"/>
    <w:rsid w:val="00E86198"/>
    <w:rsid w:val="00E8632F"/>
    <w:rsid w:val="00E86E12"/>
    <w:rsid w:val="00EA72FC"/>
    <w:rsid w:val="00EB45D8"/>
    <w:rsid w:val="00ED057B"/>
    <w:rsid w:val="00ED1258"/>
    <w:rsid w:val="00ED292F"/>
    <w:rsid w:val="00EE5CD6"/>
    <w:rsid w:val="00EE740D"/>
    <w:rsid w:val="00EF05C5"/>
    <w:rsid w:val="00EF306D"/>
    <w:rsid w:val="00EF5A2F"/>
    <w:rsid w:val="00F0277D"/>
    <w:rsid w:val="00F16F32"/>
    <w:rsid w:val="00F27CBF"/>
    <w:rsid w:val="00F40577"/>
    <w:rsid w:val="00F417A0"/>
    <w:rsid w:val="00F41DFD"/>
    <w:rsid w:val="00F602CE"/>
    <w:rsid w:val="00F63F57"/>
    <w:rsid w:val="00F66F1B"/>
    <w:rsid w:val="00F673E9"/>
    <w:rsid w:val="00F70639"/>
    <w:rsid w:val="00F723E2"/>
    <w:rsid w:val="00F73BBA"/>
    <w:rsid w:val="00F75D2F"/>
    <w:rsid w:val="00F76B89"/>
    <w:rsid w:val="00F84048"/>
    <w:rsid w:val="00F91D07"/>
    <w:rsid w:val="00F92C0C"/>
    <w:rsid w:val="00F9651A"/>
    <w:rsid w:val="00FA0793"/>
    <w:rsid w:val="00FA134B"/>
    <w:rsid w:val="00FA7B60"/>
    <w:rsid w:val="00FB29EC"/>
    <w:rsid w:val="00FB6B1D"/>
    <w:rsid w:val="00FB7BD2"/>
    <w:rsid w:val="00FC2FCB"/>
    <w:rsid w:val="00FD3430"/>
    <w:rsid w:val="00FD67C1"/>
    <w:rsid w:val="00FE0EAD"/>
    <w:rsid w:val="00FE32F5"/>
    <w:rsid w:val="00FE3D1A"/>
    <w:rsid w:val="00FF4593"/>
    <w:rsid w:val="143B4769"/>
    <w:rsid w:val="174B0B14"/>
    <w:rsid w:val="1FED2BFD"/>
    <w:rsid w:val="26FF6CF8"/>
    <w:rsid w:val="2CFAB8AA"/>
    <w:rsid w:val="2FB34850"/>
    <w:rsid w:val="2FFE6E78"/>
    <w:rsid w:val="37FFBE45"/>
    <w:rsid w:val="39BF0739"/>
    <w:rsid w:val="3B9F8459"/>
    <w:rsid w:val="3BFFC3EE"/>
    <w:rsid w:val="3DFD396A"/>
    <w:rsid w:val="3DFE540C"/>
    <w:rsid w:val="3E4704F6"/>
    <w:rsid w:val="3E7DE289"/>
    <w:rsid w:val="3FBFA5F4"/>
    <w:rsid w:val="44874807"/>
    <w:rsid w:val="4773C8D4"/>
    <w:rsid w:val="54F7CFD1"/>
    <w:rsid w:val="57EF0FDB"/>
    <w:rsid w:val="58FD9049"/>
    <w:rsid w:val="5AFFDB1C"/>
    <w:rsid w:val="5BEBA213"/>
    <w:rsid w:val="5BFE63EB"/>
    <w:rsid w:val="5F320180"/>
    <w:rsid w:val="5FBF15F9"/>
    <w:rsid w:val="65B6998B"/>
    <w:rsid w:val="65FE437F"/>
    <w:rsid w:val="677D1DD1"/>
    <w:rsid w:val="69DD4DC9"/>
    <w:rsid w:val="6BDF65DF"/>
    <w:rsid w:val="6FFC6260"/>
    <w:rsid w:val="70EED791"/>
    <w:rsid w:val="725C1AED"/>
    <w:rsid w:val="73B78DEB"/>
    <w:rsid w:val="73FB40FF"/>
    <w:rsid w:val="73FD64B3"/>
    <w:rsid w:val="75FD8495"/>
    <w:rsid w:val="76FFD984"/>
    <w:rsid w:val="77DF1CF9"/>
    <w:rsid w:val="77FFE8EF"/>
    <w:rsid w:val="78DBB1F0"/>
    <w:rsid w:val="7AD6A069"/>
    <w:rsid w:val="7B8F2653"/>
    <w:rsid w:val="7B9F875D"/>
    <w:rsid w:val="7BD4947B"/>
    <w:rsid w:val="7DBE43A9"/>
    <w:rsid w:val="7DF3CFD4"/>
    <w:rsid w:val="7DF7795C"/>
    <w:rsid w:val="7E796071"/>
    <w:rsid w:val="7E7D5987"/>
    <w:rsid w:val="7EEC405E"/>
    <w:rsid w:val="7F7FB087"/>
    <w:rsid w:val="7F87A1E9"/>
    <w:rsid w:val="7FBDD148"/>
    <w:rsid w:val="7FBDFA99"/>
    <w:rsid w:val="7FDC507D"/>
    <w:rsid w:val="7FEDC2DC"/>
    <w:rsid w:val="7FFB804E"/>
    <w:rsid w:val="7FFD3B5E"/>
    <w:rsid w:val="86CF5A08"/>
    <w:rsid w:val="8D02EC01"/>
    <w:rsid w:val="8FE5E326"/>
    <w:rsid w:val="979AF1D7"/>
    <w:rsid w:val="97DF8BFF"/>
    <w:rsid w:val="9BEEC7C9"/>
    <w:rsid w:val="9DDF4875"/>
    <w:rsid w:val="9DF56254"/>
    <w:rsid w:val="AEF3DCCA"/>
    <w:rsid w:val="B69D9474"/>
    <w:rsid w:val="B9FBA485"/>
    <w:rsid w:val="BBE7276B"/>
    <w:rsid w:val="BDBF4E54"/>
    <w:rsid w:val="BEBFBF03"/>
    <w:rsid w:val="BEFF7EE2"/>
    <w:rsid w:val="BF2FFED0"/>
    <w:rsid w:val="BFBE1C86"/>
    <w:rsid w:val="BFFDC588"/>
    <w:rsid w:val="BFFEB3A4"/>
    <w:rsid w:val="CFC6C164"/>
    <w:rsid w:val="CFDFD5BC"/>
    <w:rsid w:val="D0FDAA38"/>
    <w:rsid w:val="DBDAD5D2"/>
    <w:rsid w:val="DBF8280E"/>
    <w:rsid w:val="DDEFA33C"/>
    <w:rsid w:val="DDF6D9B2"/>
    <w:rsid w:val="DEED0549"/>
    <w:rsid w:val="DFBDE87D"/>
    <w:rsid w:val="DFCD5595"/>
    <w:rsid w:val="DFED26A8"/>
    <w:rsid w:val="E59FE660"/>
    <w:rsid w:val="EA97C3A3"/>
    <w:rsid w:val="EB7B49CE"/>
    <w:rsid w:val="EBA349FC"/>
    <w:rsid w:val="EBD570A7"/>
    <w:rsid w:val="ECD3B3C2"/>
    <w:rsid w:val="ED7D5361"/>
    <w:rsid w:val="EDEF2CAF"/>
    <w:rsid w:val="EDFE2ECB"/>
    <w:rsid w:val="EF9D134B"/>
    <w:rsid w:val="EFA4FB99"/>
    <w:rsid w:val="EFF7E3E3"/>
    <w:rsid w:val="F4F56713"/>
    <w:rsid w:val="F6C71E72"/>
    <w:rsid w:val="F6F94114"/>
    <w:rsid w:val="F76FD236"/>
    <w:rsid w:val="F7EF42AF"/>
    <w:rsid w:val="F7F6B0DD"/>
    <w:rsid w:val="FA7F7D47"/>
    <w:rsid w:val="FAEA6767"/>
    <w:rsid w:val="FB6F9806"/>
    <w:rsid w:val="FB766340"/>
    <w:rsid w:val="FBFA64EB"/>
    <w:rsid w:val="FBFF61C2"/>
    <w:rsid w:val="FC79CA62"/>
    <w:rsid w:val="FDDF8ED8"/>
    <w:rsid w:val="FDFB98F7"/>
    <w:rsid w:val="FED24DB4"/>
    <w:rsid w:val="FEEE2CFA"/>
    <w:rsid w:val="FEF97506"/>
    <w:rsid w:val="FEFF2A80"/>
    <w:rsid w:val="FFBD4161"/>
    <w:rsid w:val="FFC9C423"/>
    <w:rsid w:val="FFDF9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6"/>
    <w:qFormat/>
    <w:uiPriority w:val="0"/>
    <w:pPr>
      <w:suppressAutoHyphens/>
      <w:spacing w:beforeAutospacing="1" w:afterAutospacing="1"/>
      <w:jc w:val="left"/>
      <w:outlineLvl w:val="0"/>
    </w:pPr>
    <w:rPr>
      <w:rFonts w:hint="eastAsia" w:ascii="宋体" w:hAnsi="宋体" w:eastAsia="宋体"/>
      <w:b/>
      <w:kern w:val="44"/>
      <w:sz w:val="48"/>
      <w:szCs w:val="48"/>
    </w:rPr>
  </w:style>
  <w:style w:type="paragraph" w:styleId="3">
    <w:name w:val="heading 2"/>
    <w:basedOn w:val="1"/>
    <w:next w:val="1"/>
    <w:link w:val="55"/>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rPr>
      <w:rFonts w:ascii="Times New Roman" w:hAnsi="Times New Roman" w:eastAsia="宋体" w:cs="Times New Roman"/>
    </w:rPr>
  </w:style>
  <w:style w:type="paragraph" w:styleId="5">
    <w:name w:val="index 8"/>
    <w:basedOn w:val="1"/>
    <w:next w:val="1"/>
    <w:qFormat/>
    <w:uiPriority w:val="0"/>
    <w:pPr>
      <w:ind w:left="1400" w:leftChars="1400"/>
    </w:pPr>
  </w:style>
  <w:style w:type="paragraph" w:styleId="6">
    <w:name w:val="Normal Indent"/>
    <w:basedOn w:val="1"/>
    <w:next w:val="1"/>
    <w:qFormat/>
    <w:uiPriority w:val="0"/>
    <w:pPr>
      <w:ind w:firstLine="200" w:firstLineChars="200"/>
    </w:pPr>
    <w:rPr>
      <w:rFonts w:ascii="Times New Roman" w:hAnsi="Times New Roman" w:eastAsia="宋体" w:cs="Times New Roman"/>
    </w:rPr>
  </w:style>
  <w:style w:type="paragraph" w:styleId="7">
    <w:name w:val="annotation text"/>
    <w:basedOn w:val="1"/>
    <w:link w:val="34"/>
    <w:qFormat/>
    <w:uiPriority w:val="99"/>
    <w:pPr>
      <w:jc w:val="left"/>
    </w:pPr>
    <w:rPr>
      <w:rFonts w:ascii="Calibri" w:hAnsi="Calibri" w:eastAsia="宋体" w:cs="宋体"/>
      <w:szCs w:val="22"/>
    </w:rPr>
  </w:style>
  <w:style w:type="paragraph" w:styleId="8">
    <w:name w:val="Body Text"/>
    <w:basedOn w:val="1"/>
    <w:link w:val="39"/>
    <w:qFormat/>
    <w:uiPriority w:val="1"/>
    <w:pPr>
      <w:spacing w:after="120"/>
    </w:pPr>
  </w:style>
  <w:style w:type="paragraph" w:styleId="9">
    <w:name w:val="Body Text Indent"/>
    <w:basedOn w:val="1"/>
    <w:link w:val="60"/>
    <w:qFormat/>
    <w:uiPriority w:val="0"/>
    <w:pPr>
      <w:spacing w:after="120"/>
      <w:ind w:left="420" w:leftChars="200"/>
    </w:pPr>
  </w:style>
  <w:style w:type="paragraph" w:styleId="10">
    <w:name w:val="Plain Text"/>
    <w:basedOn w:val="1"/>
    <w:next w:val="5"/>
    <w:link w:val="38"/>
    <w:qFormat/>
    <w:uiPriority w:val="0"/>
    <w:pPr>
      <w:ind w:firstLine="630" w:firstLineChars="200"/>
    </w:pPr>
    <w:rPr>
      <w:rFonts w:ascii="方正仿宋_GBK" w:hAnsi="Courier New" w:eastAsia="方正仿宋_GBK" w:cs="Times New Roman"/>
      <w:w w:val="98"/>
      <w:sz w:val="32"/>
      <w:szCs w:val="32"/>
    </w:rPr>
  </w:style>
  <w:style w:type="paragraph" w:styleId="11">
    <w:name w:val="Date"/>
    <w:basedOn w:val="1"/>
    <w:next w:val="1"/>
    <w:link w:val="35"/>
    <w:qFormat/>
    <w:uiPriority w:val="0"/>
    <w:pPr>
      <w:ind w:left="100" w:leftChars="2500"/>
    </w:pPr>
  </w:style>
  <w:style w:type="paragraph" w:styleId="12">
    <w:name w:val="Balloon Text"/>
    <w:basedOn w:val="1"/>
    <w:link w:val="33"/>
    <w:qFormat/>
    <w:uiPriority w:val="99"/>
    <w:rPr>
      <w:sz w:val="18"/>
      <w:szCs w:val="18"/>
    </w:rPr>
  </w:style>
  <w:style w:type="paragraph" w:styleId="13">
    <w:name w:val="footer"/>
    <w:basedOn w:val="1"/>
    <w:link w:val="29"/>
    <w:qFormat/>
    <w:uiPriority w:val="99"/>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footnote text"/>
    <w:basedOn w:val="1"/>
    <w:next w:val="8"/>
    <w:link w:val="59"/>
    <w:qFormat/>
    <w:uiPriority w:val="99"/>
    <w:pPr>
      <w:snapToGrid w:val="0"/>
      <w:jc w:val="left"/>
    </w:pPr>
    <w:rPr>
      <w:rFonts w:ascii="Times New Roman" w:hAnsi="Times New Roman" w:eastAsia="宋体" w:cs="Times New Roman"/>
      <w:sz w:val="18"/>
      <w:szCs w:val="18"/>
    </w:rPr>
  </w:style>
  <w:style w:type="paragraph" w:styleId="16">
    <w:name w:val="HTML Preformatted"/>
    <w:basedOn w:val="1"/>
    <w:link w:val="4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7">
    <w:name w:val="Normal (Web)"/>
    <w:basedOn w:val="1"/>
    <w:qFormat/>
    <w:uiPriority w:val="99"/>
    <w:pPr>
      <w:spacing w:beforeAutospacing="1" w:afterAutospacing="1"/>
      <w:jc w:val="left"/>
    </w:pPr>
    <w:rPr>
      <w:rFonts w:cs="Times New Roman"/>
      <w:kern w:val="0"/>
      <w:sz w:val="24"/>
    </w:rPr>
  </w:style>
  <w:style w:type="paragraph" w:styleId="18">
    <w:name w:val="Title"/>
    <w:basedOn w:val="1"/>
    <w:next w:val="1"/>
    <w:link w:val="57"/>
    <w:qFormat/>
    <w:uiPriority w:val="0"/>
    <w:pPr>
      <w:spacing w:before="240" w:after="60"/>
      <w:jc w:val="center"/>
      <w:outlineLvl w:val="0"/>
    </w:pPr>
    <w:rPr>
      <w:rFonts w:ascii="Cambria" w:hAnsi="Cambria" w:eastAsia="宋体" w:cs="Times New Roman"/>
      <w:b/>
      <w:bCs/>
      <w:sz w:val="32"/>
      <w:szCs w:val="32"/>
    </w:rPr>
  </w:style>
  <w:style w:type="paragraph" w:styleId="19">
    <w:name w:val="annotation subject"/>
    <w:basedOn w:val="7"/>
    <w:next w:val="7"/>
    <w:link w:val="42"/>
    <w:unhideWhenUsed/>
    <w:qFormat/>
    <w:uiPriority w:val="99"/>
    <w:rPr>
      <w:rFonts w:ascii="Times New Roman" w:hAnsi="Times New Roman" w:eastAsia="方正仿宋_GBK" w:cs="Times New Roman"/>
      <w:b/>
      <w:bCs/>
      <w:sz w:val="32"/>
      <w:szCs w:val="20"/>
    </w:rPr>
  </w:style>
  <w:style w:type="paragraph" w:styleId="20">
    <w:name w:val="Body Text First Indent"/>
    <w:basedOn w:val="8"/>
    <w:link w:val="40"/>
    <w:unhideWhenUsed/>
    <w:qFormat/>
    <w:uiPriority w:val="0"/>
    <w:pPr>
      <w:ind w:firstLine="420" w:firstLineChars="100"/>
    </w:pPr>
    <w:rPr>
      <w:rFonts w:ascii="Times New Roman" w:hAnsi="Times New Roman" w:eastAsia="宋体" w:cs="Times New Roman"/>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Hyperlink"/>
    <w:unhideWhenUsed/>
    <w:qFormat/>
    <w:uiPriority w:val="0"/>
    <w:rPr>
      <w:color w:val="0563C1"/>
      <w:u w:val="single"/>
    </w:rPr>
  </w:style>
  <w:style w:type="character" w:styleId="26">
    <w:name w:val="annotation reference"/>
    <w:basedOn w:val="23"/>
    <w:qFormat/>
    <w:uiPriority w:val="99"/>
    <w:rPr>
      <w:sz w:val="21"/>
      <w:szCs w:val="21"/>
    </w:rPr>
  </w:style>
  <w:style w:type="paragraph" w:customStyle="1" w:styleId="2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8">
    <w:name w:val="页眉 Char"/>
    <w:basedOn w:val="23"/>
    <w:link w:val="14"/>
    <w:qFormat/>
    <w:uiPriority w:val="99"/>
    <w:rPr>
      <w:kern w:val="2"/>
      <w:sz w:val="18"/>
      <w:szCs w:val="18"/>
    </w:rPr>
  </w:style>
  <w:style w:type="character" w:customStyle="1" w:styleId="29">
    <w:name w:val="页脚 Char"/>
    <w:basedOn w:val="23"/>
    <w:link w:val="13"/>
    <w:qFormat/>
    <w:uiPriority w:val="99"/>
    <w:rPr>
      <w:kern w:val="2"/>
      <w:sz w:val="18"/>
      <w:szCs w:val="18"/>
    </w:rPr>
  </w:style>
  <w:style w:type="paragraph" w:customStyle="1" w:styleId="30">
    <w:name w:val="UserStyle_0"/>
    <w:basedOn w:val="1"/>
    <w:qFormat/>
    <w:uiPriority w:val="0"/>
    <w:pPr>
      <w:autoSpaceDE w:val="0"/>
      <w:autoSpaceDN w:val="0"/>
      <w:spacing w:after="160" w:line="278" w:lineRule="auto"/>
      <w:ind w:firstLine="200" w:firstLineChars="200"/>
      <w:jc w:val="left"/>
    </w:pPr>
    <w:rPr>
      <w:rFonts w:ascii="Calibri" w:hAnsi="Calibri" w:eastAsia="宋体" w:cs="Times New Roman"/>
      <w:color w:val="000000"/>
      <w:kern w:val="0"/>
      <w:sz w:val="22"/>
      <w:szCs w:val="21"/>
      <w:lang w:val="zh-CN" w:bidi="zh-CN"/>
    </w:rPr>
  </w:style>
  <w:style w:type="character" w:customStyle="1" w:styleId="31">
    <w:name w:val="Body text|1_"/>
    <w:link w:val="32"/>
    <w:qFormat/>
    <w:uiPriority w:val="0"/>
    <w:rPr>
      <w:rFonts w:ascii="宋体" w:hAnsi="宋体" w:cs="宋体"/>
      <w:sz w:val="30"/>
      <w:szCs w:val="30"/>
      <w:lang w:val="zh-TW" w:eastAsia="zh-TW" w:bidi="zh-TW"/>
    </w:rPr>
  </w:style>
  <w:style w:type="paragraph" w:customStyle="1" w:styleId="32">
    <w:name w:val="Body text|1"/>
    <w:basedOn w:val="1"/>
    <w:link w:val="31"/>
    <w:qFormat/>
    <w:uiPriority w:val="0"/>
    <w:pPr>
      <w:spacing w:line="408" w:lineRule="auto"/>
      <w:ind w:firstLine="400"/>
      <w:jc w:val="left"/>
    </w:pPr>
    <w:rPr>
      <w:rFonts w:ascii="宋体" w:hAnsi="宋体" w:cs="宋体"/>
      <w:kern w:val="0"/>
      <w:sz w:val="30"/>
      <w:szCs w:val="30"/>
      <w:lang w:val="zh-TW" w:eastAsia="zh-TW" w:bidi="zh-TW"/>
    </w:rPr>
  </w:style>
  <w:style w:type="character" w:customStyle="1" w:styleId="33">
    <w:name w:val="批注框文本 Char"/>
    <w:basedOn w:val="23"/>
    <w:link w:val="12"/>
    <w:qFormat/>
    <w:uiPriority w:val="99"/>
    <w:rPr>
      <w:kern w:val="2"/>
      <w:sz w:val="18"/>
      <w:szCs w:val="18"/>
    </w:rPr>
  </w:style>
  <w:style w:type="character" w:customStyle="1" w:styleId="34">
    <w:name w:val="批注文字 Char"/>
    <w:basedOn w:val="23"/>
    <w:link w:val="7"/>
    <w:qFormat/>
    <w:uiPriority w:val="99"/>
    <w:rPr>
      <w:rFonts w:ascii="Calibri" w:hAnsi="Calibri" w:eastAsia="宋体" w:cs="宋体"/>
      <w:kern w:val="2"/>
      <w:sz w:val="21"/>
      <w:szCs w:val="22"/>
    </w:rPr>
  </w:style>
  <w:style w:type="character" w:customStyle="1" w:styleId="35">
    <w:name w:val="日期 Char"/>
    <w:basedOn w:val="23"/>
    <w:link w:val="11"/>
    <w:qFormat/>
    <w:uiPriority w:val="0"/>
    <w:rPr>
      <w:kern w:val="2"/>
      <w:sz w:val="21"/>
      <w:szCs w:val="24"/>
    </w:rPr>
  </w:style>
  <w:style w:type="character" w:customStyle="1" w:styleId="36">
    <w:name w:val="标题 1 Char"/>
    <w:basedOn w:val="23"/>
    <w:link w:val="2"/>
    <w:qFormat/>
    <w:uiPriority w:val="0"/>
    <w:rPr>
      <w:rFonts w:ascii="宋体" w:hAnsi="宋体" w:eastAsia="宋体"/>
      <w:b/>
      <w:kern w:val="44"/>
      <w:sz w:val="48"/>
      <w:szCs w:val="48"/>
    </w:rPr>
  </w:style>
  <w:style w:type="paragraph" w:styleId="37">
    <w:name w:val="List Paragraph"/>
    <w:basedOn w:val="1"/>
    <w:unhideWhenUsed/>
    <w:qFormat/>
    <w:uiPriority w:val="99"/>
    <w:pPr>
      <w:ind w:firstLine="420" w:firstLineChars="200"/>
    </w:pPr>
  </w:style>
  <w:style w:type="character" w:customStyle="1" w:styleId="38">
    <w:name w:val="纯文本 Char"/>
    <w:basedOn w:val="23"/>
    <w:link w:val="10"/>
    <w:qFormat/>
    <w:uiPriority w:val="0"/>
    <w:rPr>
      <w:rFonts w:ascii="方正仿宋_GBK" w:hAnsi="Courier New" w:eastAsia="方正仿宋_GBK" w:cs="Times New Roman"/>
      <w:w w:val="98"/>
      <w:kern w:val="2"/>
      <w:sz w:val="32"/>
      <w:szCs w:val="32"/>
    </w:rPr>
  </w:style>
  <w:style w:type="character" w:customStyle="1" w:styleId="39">
    <w:name w:val="正文文本 Char"/>
    <w:basedOn w:val="23"/>
    <w:link w:val="8"/>
    <w:qFormat/>
    <w:uiPriority w:val="1"/>
    <w:rPr>
      <w:kern w:val="2"/>
      <w:sz w:val="21"/>
      <w:szCs w:val="24"/>
    </w:rPr>
  </w:style>
  <w:style w:type="character" w:customStyle="1" w:styleId="40">
    <w:name w:val="正文首行缩进 Char"/>
    <w:basedOn w:val="39"/>
    <w:link w:val="20"/>
    <w:qFormat/>
    <w:uiPriority w:val="0"/>
    <w:rPr>
      <w:rFonts w:ascii="Times New Roman" w:hAnsi="Times New Roman" w:eastAsia="宋体" w:cs="Times New Roman"/>
      <w:kern w:val="2"/>
      <w:sz w:val="21"/>
      <w:szCs w:val="24"/>
    </w:rPr>
  </w:style>
  <w:style w:type="character" w:customStyle="1" w:styleId="41">
    <w:name w:val="HTML 预设格式 Char"/>
    <w:basedOn w:val="23"/>
    <w:link w:val="16"/>
    <w:qFormat/>
    <w:uiPriority w:val="99"/>
    <w:rPr>
      <w:rFonts w:ascii="宋体" w:hAnsi="宋体" w:eastAsia="宋体" w:cs="宋体"/>
      <w:sz w:val="24"/>
      <w:szCs w:val="24"/>
    </w:rPr>
  </w:style>
  <w:style w:type="character" w:customStyle="1" w:styleId="42">
    <w:name w:val="批注主题 Char"/>
    <w:basedOn w:val="34"/>
    <w:link w:val="19"/>
    <w:qFormat/>
    <w:uiPriority w:val="99"/>
    <w:rPr>
      <w:rFonts w:ascii="Times New Roman" w:hAnsi="Times New Roman" w:eastAsia="方正仿宋_GBK" w:cs="Times New Roman"/>
      <w:b/>
      <w:bCs/>
      <w:kern w:val="2"/>
      <w:sz w:val="32"/>
      <w:szCs w:val="22"/>
    </w:rPr>
  </w:style>
  <w:style w:type="paragraph" w:customStyle="1" w:styleId="43">
    <w:name w:val="Char"/>
    <w:basedOn w:val="1"/>
    <w:qFormat/>
    <w:uiPriority w:val="0"/>
    <w:rPr>
      <w:rFonts w:ascii="Tahoma" w:hAnsi="Tahoma" w:eastAsia="仿宋_GB2312" w:cs="Times New Roman"/>
      <w:sz w:val="24"/>
      <w:szCs w:val="20"/>
    </w:rPr>
  </w:style>
  <w:style w:type="table" w:customStyle="1" w:styleId="44">
    <w:name w:val="网格型1"/>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5">
    <w:name w:val="font11"/>
    <w:basedOn w:val="23"/>
    <w:qFormat/>
    <w:uiPriority w:val="0"/>
    <w:rPr>
      <w:rFonts w:hint="eastAsia" w:ascii="方正黑体_GBK" w:hAnsi="方正黑体_GBK" w:eastAsia="方正黑体_GBK" w:cs="方正黑体_GBK"/>
      <w:color w:val="000000"/>
      <w:sz w:val="32"/>
      <w:szCs w:val="32"/>
      <w:u w:val="none"/>
    </w:rPr>
  </w:style>
  <w:style w:type="character" w:customStyle="1" w:styleId="46">
    <w:name w:val="font71"/>
    <w:basedOn w:val="23"/>
    <w:qFormat/>
    <w:uiPriority w:val="0"/>
    <w:rPr>
      <w:rFonts w:hint="eastAsia" w:ascii="方正黑体_GBK" w:hAnsi="方正黑体_GBK" w:eastAsia="方正黑体_GBK" w:cs="方正黑体_GBK"/>
      <w:color w:val="000000"/>
      <w:sz w:val="22"/>
      <w:szCs w:val="22"/>
      <w:u w:val="none"/>
    </w:rPr>
  </w:style>
  <w:style w:type="character" w:customStyle="1" w:styleId="47">
    <w:name w:val="font41"/>
    <w:basedOn w:val="23"/>
    <w:qFormat/>
    <w:uiPriority w:val="0"/>
    <w:rPr>
      <w:rFonts w:hint="eastAsia" w:ascii="方正仿宋_GBK" w:hAnsi="方正仿宋_GBK" w:eastAsia="方正仿宋_GBK" w:cs="方正仿宋_GBK"/>
      <w:color w:val="000000"/>
      <w:sz w:val="22"/>
      <w:szCs w:val="22"/>
      <w:u w:val="none"/>
    </w:rPr>
  </w:style>
  <w:style w:type="character" w:customStyle="1" w:styleId="48">
    <w:name w:val="font81"/>
    <w:basedOn w:val="23"/>
    <w:qFormat/>
    <w:uiPriority w:val="0"/>
    <w:rPr>
      <w:rFonts w:hint="eastAsia" w:ascii="方正仿宋_GBK" w:hAnsi="方正仿宋_GBK" w:eastAsia="方正仿宋_GBK" w:cs="方正仿宋_GBK"/>
      <w:color w:val="000000"/>
      <w:sz w:val="20"/>
      <w:szCs w:val="20"/>
      <w:u w:val="none"/>
    </w:rPr>
  </w:style>
  <w:style w:type="character" w:customStyle="1" w:styleId="49">
    <w:name w:val="font51"/>
    <w:basedOn w:val="23"/>
    <w:qFormat/>
    <w:uiPriority w:val="0"/>
    <w:rPr>
      <w:rFonts w:ascii="宋体" w:hAnsi="宋体" w:eastAsia="宋体" w:cs="宋体"/>
      <w:color w:val="000000"/>
      <w:sz w:val="28"/>
      <w:szCs w:val="28"/>
      <w:u w:val="none"/>
    </w:rPr>
  </w:style>
  <w:style w:type="paragraph" w:customStyle="1" w:styleId="50">
    <w:name w:val="默认"/>
    <w:qFormat/>
    <w:uiPriority w:val="0"/>
    <w:rPr>
      <w:rFonts w:ascii="Helvetica" w:hAnsi="Helvetica" w:eastAsia="Helvetica" w:cs="Helvetica"/>
      <w:color w:val="000000"/>
      <w:sz w:val="22"/>
      <w:szCs w:val="22"/>
      <w:lang w:val="en-US" w:eastAsia="zh-CN" w:bidi="ar-SA"/>
    </w:rPr>
  </w:style>
  <w:style w:type="paragraph" w:customStyle="1" w:styleId="51">
    <w:name w:val="_Style 13"/>
    <w:basedOn w:val="1"/>
    <w:qFormat/>
    <w:uiPriority w:val="0"/>
    <w:rPr>
      <w:rFonts w:ascii="宋体" w:hAnsi="宋体" w:eastAsia="宋体" w:cs="Courier New"/>
      <w:sz w:val="32"/>
      <w:szCs w:val="32"/>
    </w:rPr>
  </w:style>
  <w:style w:type="character" w:customStyle="1" w:styleId="52">
    <w:name w:val="bjh-p"/>
    <w:basedOn w:val="23"/>
    <w:qFormat/>
    <w:uiPriority w:val="0"/>
  </w:style>
  <w:style w:type="character" w:customStyle="1" w:styleId="53">
    <w:name w:val="NormalCharacter"/>
    <w:qFormat/>
    <w:uiPriority w:val="0"/>
  </w:style>
  <w:style w:type="paragraph" w:customStyle="1" w:styleId="54">
    <w:name w:val="BodyText"/>
    <w:basedOn w:val="1"/>
    <w:qFormat/>
    <w:uiPriority w:val="0"/>
    <w:rPr>
      <w:rFonts w:ascii="Times New Roman" w:hAnsi="Times New Roman" w:eastAsia="宋体" w:cs="Times New Roman"/>
      <w:sz w:val="52"/>
    </w:rPr>
  </w:style>
  <w:style w:type="character" w:customStyle="1" w:styleId="55">
    <w:name w:val="标题 2 Char"/>
    <w:basedOn w:val="23"/>
    <w:link w:val="3"/>
    <w:semiHidden/>
    <w:qFormat/>
    <w:uiPriority w:val="0"/>
    <w:rPr>
      <w:rFonts w:asciiTheme="majorHAnsi" w:hAnsiTheme="majorHAnsi" w:eastAsiaTheme="majorEastAsia" w:cstheme="majorBidi"/>
      <w:b/>
      <w:bCs/>
      <w:kern w:val="2"/>
      <w:sz w:val="32"/>
      <w:szCs w:val="32"/>
    </w:rPr>
  </w:style>
  <w:style w:type="paragraph" w:customStyle="1" w:styleId="56">
    <w:name w:val="Normal Indent1"/>
    <w:basedOn w:val="1"/>
    <w:qFormat/>
    <w:uiPriority w:val="0"/>
    <w:pPr>
      <w:ind w:firstLine="420"/>
    </w:pPr>
    <w:rPr>
      <w:szCs w:val="22"/>
    </w:rPr>
  </w:style>
  <w:style w:type="character" w:customStyle="1" w:styleId="57">
    <w:name w:val="标题 Char"/>
    <w:basedOn w:val="23"/>
    <w:link w:val="18"/>
    <w:qFormat/>
    <w:uiPriority w:val="0"/>
    <w:rPr>
      <w:rFonts w:ascii="Cambria" w:hAnsi="Cambria" w:eastAsia="宋体" w:cs="Times New Roman"/>
      <w:b/>
      <w:bCs/>
      <w:kern w:val="2"/>
      <w:sz w:val="32"/>
      <w:szCs w:val="32"/>
    </w:rPr>
  </w:style>
  <w:style w:type="character" w:customStyle="1" w:styleId="58">
    <w:name w:val="fontstyle01"/>
    <w:qFormat/>
    <w:uiPriority w:val="0"/>
    <w:rPr>
      <w:rFonts w:hint="eastAsia" w:ascii="黑体" w:hAnsi="黑体" w:eastAsia="黑体"/>
      <w:color w:val="000000"/>
      <w:sz w:val="18"/>
      <w:szCs w:val="18"/>
    </w:rPr>
  </w:style>
  <w:style w:type="character" w:customStyle="1" w:styleId="59">
    <w:name w:val="脚注文本 Char"/>
    <w:basedOn w:val="23"/>
    <w:link w:val="15"/>
    <w:qFormat/>
    <w:uiPriority w:val="99"/>
    <w:rPr>
      <w:rFonts w:ascii="Times New Roman" w:hAnsi="Times New Roman" w:eastAsia="宋体" w:cs="Times New Roman"/>
      <w:kern w:val="2"/>
      <w:sz w:val="18"/>
      <w:szCs w:val="18"/>
    </w:rPr>
  </w:style>
  <w:style w:type="character" w:customStyle="1" w:styleId="60">
    <w:name w:val="正文文本缩进 Char"/>
    <w:basedOn w:val="23"/>
    <w:link w:val="9"/>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2724</Words>
  <Characters>2908</Characters>
  <Lines>20</Lines>
  <Paragraphs>5</Paragraphs>
  <TotalTime>2</TotalTime>
  <ScaleCrop>false</ScaleCrop>
  <LinksUpToDate>false</LinksUpToDate>
  <CharactersWithSpaces>2908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2024-02-04T16:58:00Z</dcterms:created>
  <dc:creator>风筝断了线</dc:creator>
  <cp:lastModifiedBy>silence</cp:lastModifiedBy>
  <cp:lastPrinted>2026-03-20T15:35:00Z</cp:lastPrinted>
  <dcterms:modified xsi:type="dcterms:W3CDTF">2026-07-06T02:59:05Z</dcterms:modified>
  <cp:revision>353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C5AE0F298FD6FB09F81BE8648795229F_41</vt:lpwstr>
  </property>
  <property fmtid="{D5CDD505-2E9C-101B-9397-08002B2CF9AE}" pid="4" name="KSOTemplateDocerSaveRecord">
    <vt:lpwstr>eyJoZGlkIjoiZjRmYWUxOWJhMWE5OGFmZGQyNzA0NjBkZTNhOGRjMDEiLCJ1c2VySWQiOiIyNDg4ODMzNzUifQ==</vt:lpwstr>
  </property>
</Properties>
</file>