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71" w:rsidRDefault="001425A7">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重庆市沙坪坝区虎溪社区卫生服务中心</w:t>
      </w:r>
    </w:p>
    <w:p w:rsidR="00AD0C71" w:rsidRDefault="001425A7">
      <w:pPr>
        <w:pStyle w:val="a9"/>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AD0C71" w:rsidRDefault="00AD0C71">
      <w:pPr>
        <w:pStyle w:val="a9"/>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AD0C71" w:rsidRDefault="001425A7">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一、单位基本情况</w:t>
      </w:r>
    </w:p>
    <w:p w:rsidR="00AD0C71" w:rsidRDefault="001425A7">
      <w:pPr>
        <w:pStyle w:val="a9"/>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b"/>
          <w:rFonts w:ascii="楷体" w:eastAsia="楷体" w:hAnsi="楷体" w:cs="楷体"/>
          <w:sz w:val="32"/>
          <w:szCs w:val="32"/>
          <w:shd w:val="clear" w:color="auto" w:fill="FFFFFF"/>
        </w:rPr>
        <w:t>（一）职能职责</w:t>
      </w:r>
    </w:p>
    <w:p w:rsidR="00AD0C71" w:rsidRDefault="001425A7">
      <w:pPr>
        <w:pStyle w:val="a9"/>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sz w:val="32"/>
          <w:szCs w:val="32"/>
          <w:shd w:val="clear" w:color="auto" w:fill="FFFFFF"/>
        </w:rPr>
        <w:t>保障中心工作的正常运转，完成职责范围内的任务及上级安排的工作。</w:t>
      </w:r>
    </w:p>
    <w:p w:rsidR="00AD0C71" w:rsidRDefault="001425A7">
      <w:pPr>
        <w:pStyle w:val="a9"/>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sz w:val="32"/>
          <w:szCs w:val="32"/>
          <w:shd w:val="clear" w:color="auto" w:fill="FFFFFF"/>
        </w:rPr>
        <w:t>以人的健康为中心、家庭为单位、社区为范围、需求为导向，以妇女、儿童、老年人、慢性病人、残疾人等为重点，以解决社区主要卫生问题、满足基本卫生服务需求为目的，融预防、医疗、保健、康复、健康教育等为一体的，有效、经济、方便、综合、连续的基层卫生服务。</w:t>
      </w:r>
    </w:p>
    <w:p w:rsidR="00AD0C71" w:rsidRDefault="001425A7">
      <w:pPr>
        <w:pStyle w:val="a9"/>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sz w:val="32"/>
          <w:szCs w:val="32"/>
          <w:shd w:val="clear" w:color="auto" w:fill="FFFFFF"/>
        </w:rPr>
        <w:t>开展基本诊疗服务。主要包括使用适宜技术、设备和基本药物，开展常见病、多发病的门诊和住院诊疗、院内外急救、转诊和中医药等服务。</w:t>
      </w:r>
    </w:p>
    <w:p w:rsidR="00AD0C71" w:rsidRDefault="001425A7">
      <w:pPr>
        <w:pStyle w:val="a9"/>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b"/>
          <w:rFonts w:ascii="楷体" w:eastAsia="楷体" w:hAnsi="楷体" w:cs="楷体"/>
          <w:sz w:val="32"/>
          <w:szCs w:val="32"/>
          <w:shd w:val="clear" w:color="auto" w:fill="FFFFFF"/>
        </w:rPr>
        <w:t>（二）机构设置</w:t>
      </w:r>
    </w:p>
    <w:p w:rsidR="00AD0C71" w:rsidRDefault="001425A7">
      <w:pPr>
        <w:pStyle w:val="a9"/>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虎溪社区卫生服务中心开设全科、外科、妇科、儿科、中医科、住院部、预防保健、儿童保健等诊疗科室，能开展康复、常见病、多发病、慢性病的门诊诊疗、住院康复、健康咨询、检查及疫苗接种工作。配套开设超声科、检验科、放射科等辅助检查科室，能开展血尿常规、肝功能、肾功能、血脂、血糖、血型、甲功、乙肝两对半、骨代谢、性激素六项、心肌酶谱、幽门螺杆菌等检测，腹部超声、血管超声、</w:t>
      </w:r>
      <w:r>
        <w:rPr>
          <w:rFonts w:ascii="方正仿宋_GBK" w:eastAsia="方正仿宋_GBK" w:hAnsi="方正仿宋_GBK" w:cs="方正仿宋_GBK"/>
          <w:sz w:val="32"/>
          <w:szCs w:val="32"/>
          <w:shd w:val="clear" w:color="auto" w:fill="FFFFFF"/>
        </w:rPr>
        <w:lastRenderedPageBreak/>
        <w:t>心电</w:t>
      </w:r>
      <w:r>
        <w:rPr>
          <w:rFonts w:ascii="方正仿宋_GBK" w:eastAsia="方正仿宋_GBK" w:hAnsi="方正仿宋_GBK" w:cs="方正仿宋_GBK"/>
          <w:sz w:val="32"/>
          <w:szCs w:val="32"/>
          <w:shd w:val="clear" w:color="auto" w:fill="FFFFFF"/>
        </w:rPr>
        <w:t>图、肺功能等检查项目，拥有</w:t>
      </w:r>
      <w:r>
        <w:rPr>
          <w:rFonts w:ascii="Times New Roman" w:eastAsia="方正仿宋_GBK" w:hAnsi="Times New Roman"/>
          <w:sz w:val="32"/>
          <w:szCs w:val="32"/>
          <w:shd w:val="clear" w:color="auto" w:fill="FFFFFF"/>
        </w:rPr>
        <w:t>40</w:t>
      </w:r>
      <w:r>
        <w:rPr>
          <w:rFonts w:ascii="方正仿宋_GBK" w:eastAsia="方正仿宋_GBK" w:hAnsi="方正仿宋_GBK" w:cs="方正仿宋_GBK"/>
          <w:sz w:val="32"/>
          <w:szCs w:val="32"/>
          <w:shd w:val="clear" w:color="auto" w:fill="FFFFFF"/>
        </w:rPr>
        <w:t>排</w:t>
      </w:r>
      <w:r>
        <w:rPr>
          <w:rFonts w:ascii="方正仿宋_GBK" w:eastAsia="方正仿宋_GBK" w:hAnsi="方正仿宋_GBK" w:cs="方正仿宋_GBK"/>
          <w:sz w:val="32"/>
          <w:szCs w:val="32"/>
          <w:shd w:val="clear" w:color="auto" w:fill="FFFFFF"/>
        </w:rPr>
        <w:t>CT</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DR</w:t>
      </w:r>
      <w:r>
        <w:rPr>
          <w:rFonts w:ascii="方正仿宋_GBK" w:eastAsia="方正仿宋_GBK" w:hAnsi="方正仿宋_GBK" w:cs="方正仿宋_GBK"/>
          <w:sz w:val="32"/>
          <w:szCs w:val="32"/>
          <w:shd w:val="clear" w:color="auto" w:fill="FFFFFF"/>
        </w:rPr>
        <w:t>、彩色多普勒超声诊断仪、层流手术室、全自动生化分析仪等多类先进仪器设备。</w:t>
      </w:r>
    </w:p>
    <w:p w:rsidR="00AD0C71" w:rsidRDefault="001425A7">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二、单位决算收支情况说明</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AD0C71" w:rsidRDefault="001425A7">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3018.41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679.43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29.1%</w:t>
      </w:r>
      <w:r>
        <w:rPr>
          <w:rFonts w:ascii="方正仿宋_GBK" w:eastAsia="方正仿宋_GBK" w:hAnsi="方正仿宋_GBK" w:cs="方正仿宋_GBK"/>
          <w:sz w:val="32"/>
          <w:szCs w:val="32"/>
          <w:shd w:val="clear" w:color="auto" w:fill="FFFFFF"/>
        </w:rPr>
        <w:t>，主要原因是本年度有区内人员调入我单位，一般公共预算财政拨款人员经费增加；重点发展医疗诊疗服务，引进三甲医院专家坐诊，基本公共卫生服务和医疗相结合，提供更多的检查项目和治疗服务，事业收入及基本公共卫生服务拨款收入增加，对应的药品耗材</w:t>
      </w:r>
      <w:r>
        <w:rPr>
          <w:rFonts w:ascii="Times New Roman" w:eastAsia="方正仿宋_GBK" w:hAnsi="Times New Roman" w:cs="Arial"/>
          <w:bCs/>
          <w:snapToGrid w:val="0"/>
          <w:sz w:val="32"/>
          <w:szCs w:val="32"/>
        </w:rPr>
        <w:t>支出和其他医疗成本支出也随之增加。</w:t>
      </w:r>
    </w:p>
    <w:p w:rsidR="00AD0C71" w:rsidRDefault="001425A7">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3018.41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679.43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29.1%</w:t>
      </w:r>
      <w:r>
        <w:rPr>
          <w:rFonts w:ascii="方正仿宋_GBK" w:eastAsia="方正仿宋_GBK" w:hAnsi="方正仿宋_GBK" w:cs="方正仿宋_GBK"/>
          <w:sz w:val="32"/>
          <w:szCs w:val="32"/>
          <w:shd w:val="clear" w:color="auto" w:fill="FFFFFF"/>
        </w:rPr>
        <w:t>，主要原因是本年度有区内人员调入我单位，一般公共预算财政拨款人员经费增加；重点发展医疗诊疗服务，引进三甲医院专家坐诊，基本公共卫生服务和医疗相结合，提供更多的检查项目和治疗服务，事业收入及基本公共卫生服务拨款收入增加。其中：财政拨款收入</w:t>
      </w:r>
      <w:r>
        <w:rPr>
          <w:rFonts w:ascii="Times New Roman" w:eastAsia="方正仿宋_GBK" w:hAnsi="Times New Roman" w:hint="default"/>
          <w:sz w:val="32"/>
          <w:szCs w:val="32"/>
          <w:shd w:val="clear" w:color="auto" w:fill="FFFFFF"/>
        </w:rPr>
        <w:t>885.23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29.3%</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2133.18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70.7%</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AD0C71" w:rsidRDefault="001425A7">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lastRenderedPageBreak/>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2813.46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886</w:t>
      </w:r>
      <w:r>
        <w:rPr>
          <w:rFonts w:ascii="Times New Roman" w:eastAsia="方正仿宋_GBK" w:hAnsi="Times New Roman" w:hint="default"/>
          <w:sz w:val="32"/>
          <w:szCs w:val="32"/>
          <w:shd w:val="clear" w:color="auto" w:fill="FFFFFF"/>
        </w:rPr>
        <w:t>.16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46%</w:t>
      </w:r>
      <w:r>
        <w:rPr>
          <w:rFonts w:ascii="方正仿宋_GBK" w:eastAsia="方正仿宋_GBK" w:hAnsi="方正仿宋_GBK" w:cs="方正仿宋_GBK"/>
          <w:sz w:val="32"/>
          <w:szCs w:val="32"/>
          <w:shd w:val="clear" w:color="auto" w:fill="FFFFFF"/>
        </w:rPr>
        <w:t>，主要原因是事业收入及基本公共卫生服务人次增幅较大，对应的药品耗材支出和其他医疗成本支出也随之增加。其中：基本支出</w:t>
      </w:r>
      <w:r>
        <w:rPr>
          <w:rFonts w:ascii="Times New Roman" w:eastAsia="方正仿宋_GBK" w:hAnsi="Times New Roman" w:hint="default"/>
          <w:sz w:val="32"/>
          <w:szCs w:val="32"/>
          <w:shd w:val="clear" w:color="auto" w:fill="FFFFFF"/>
        </w:rPr>
        <w:t>704.69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25%</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2108.78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75%</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204.95</w:t>
      </w:r>
      <w:r>
        <w:rPr>
          <w:rFonts w:ascii="方正仿宋_GBK" w:eastAsia="方正仿宋_GBK" w:hAnsi="方正仿宋_GBK" w:cs="方正仿宋_GBK"/>
          <w:sz w:val="32"/>
          <w:szCs w:val="32"/>
          <w:shd w:val="clear" w:color="auto" w:fill="FFFFFF"/>
        </w:rPr>
        <w:t>万元。</w:t>
      </w:r>
    </w:p>
    <w:p w:rsidR="00AD0C71" w:rsidRDefault="001425A7">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，主要原因是年终无结转结余。</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885.23</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291.69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49.1%</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主要原因是本年度</w:t>
      </w:r>
      <w:r>
        <w:rPr>
          <w:rFonts w:ascii="方正仿宋_GBK" w:eastAsia="方正仿宋_GBK" w:hAnsi="方正仿宋_GBK" w:cs="方正仿宋_GBK"/>
          <w:sz w:val="32"/>
          <w:szCs w:val="32"/>
          <w:shd w:val="clear" w:color="auto" w:fill="FFFFFF"/>
        </w:rPr>
        <w:t>有区内人员调入我单位</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一般公共预算财政拨款人员经费</w:t>
      </w:r>
      <w:r>
        <w:rPr>
          <w:rFonts w:ascii="Times New Roman" w:eastAsia="方正仿宋_GBK" w:hAnsi="Times New Roman"/>
          <w:sz w:val="32"/>
          <w:szCs w:val="32"/>
          <w:shd w:val="clear" w:color="auto" w:fill="FFFFFF"/>
        </w:rPr>
        <w:t>增加；</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年积极走访辖区居民，为辖区居民提供基本公共卫生服务，</w:t>
      </w:r>
      <w:r>
        <w:rPr>
          <w:rFonts w:ascii="方正仿宋_GBK" w:eastAsia="方正仿宋_GBK" w:hAnsi="方正仿宋_GBK" w:cs="方正仿宋_GBK"/>
          <w:sz w:val="32"/>
          <w:szCs w:val="32"/>
          <w:shd w:val="clear" w:color="auto" w:fill="FFFFFF"/>
        </w:rPr>
        <w:t>基本公共卫生服务服务拨款资金增加</w:t>
      </w:r>
      <w:r>
        <w:rPr>
          <w:rFonts w:ascii="Times New Roman" w:eastAsia="方正仿宋_GBK" w:hAnsi="Times New Roman"/>
          <w:sz w:val="32"/>
          <w:szCs w:val="32"/>
          <w:shd w:val="clear" w:color="auto" w:fill="FFFFFF"/>
        </w:rPr>
        <w:t>。</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AD0C71" w:rsidRDefault="001425A7">
      <w:pPr>
        <w:pStyle w:val="a9"/>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885.23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291.69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49.1%</w:t>
      </w: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主要原因是本年度</w:t>
      </w:r>
      <w:r>
        <w:rPr>
          <w:rFonts w:ascii="方正仿宋_GBK" w:eastAsia="方正仿宋_GBK" w:hAnsi="方正仿宋_GBK" w:cs="方正仿宋_GBK"/>
          <w:sz w:val="32"/>
          <w:szCs w:val="32"/>
          <w:shd w:val="clear" w:color="auto" w:fill="FFFFFF"/>
        </w:rPr>
        <w:t>有区内人员调入我单位</w:t>
      </w:r>
      <w:r>
        <w:rPr>
          <w:rFonts w:ascii="Times New Roman" w:eastAsia="方正仿宋_GBK" w:hAnsi="Times New Roman"/>
          <w:sz w:val="32"/>
          <w:szCs w:val="32"/>
          <w:shd w:val="clear" w:color="auto" w:fill="FFFFFF"/>
        </w:rPr>
        <w:t>，一般公共预算财政拨款人员经费增加；</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年积极走访辖区居民，为辖区居民提供基本公共卫生服务，</w:t>
      </w:r>
      <w:r>
        <w:rPr>
          <w:rFonts w:ascii="方正仿宋_GBK" w:eastAsia="方正仿宋_GBK" w:hAnsi="方正仿宋_GBK" w:cs="方正仿宋_GBK"/>
          <w:sz w:val="32"/>
          <w:szCs w:val="32"/>
          <w:shd w:val="clear" w:color="auto" w:fill="FFFFFF"/>
        </w:rPr>
        <w:t>基本公共卫生服务服务拨款资金增加</w:t>
      </w:r>
      <w:r>
        <w:rPr>
          <w:rFonts w:ascii="Times New Roman" w:eastAsia="方正仿宋_GBK" w:hAnsi="Times New Roman"/>
          <w:sz w:val="32"/>
          <w:szCs w:val="32"/>
          <w:shd w:val="clear" w:color="auto" w:fill="FFFFFF"/>
        </w:rPr>
        <w:t>。</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较年初预算数增加</w:t>
      </w:r>
      <w:r>
        <w:rPr>
          <w:rFonts w:ascii="Times New Roman" w:eastAsia="方正仿宋_GBK" w:hAnsi="Times New Roman" w:hint="default"/>
          <w:sz w:val="32"/>
          <w:szCs w:val="32"/>
          <w:shd w:val="clear" w:color="auto" w:fill="FFFFFF"/>
        </w:rPr>
        <w:t>782.04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757.9%</w:t>
      </w:r>
      <w:r>
        <w:rPr>
          <w:rFonts w:ascii="方正仿宋_GBK" w:eastAsia="方正仿宋_GBK" w:hAnsi="方正仿宋_GBK" w:cs="方正仿宋_GBK"/>
          <w:sz w:val="32"/>
          <w:szCs w:val="32"/>
          <w:shd w:val="clear" w:color="auto" w:fill="FFFFFF"/>
        </w:rPr>
        <w:t>。主要原因是增加了基本公共卫生服务拨款资金。此外，年初财政拨款结转和结余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AD0C71" w:rsidRDefault="001425A7">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885.23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291.69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49.1%</w:t>
      </w:r>
      <w:r>
        <w:rPr>
          <w:rFonts w:ascii="方正仿宋_GBK" w:eastAsia="方正仿宋_GBK" w:hAnsi="方正仿宋_GBK" w:cs="方正仿宋_GBK"/>
          <w:sz w:val="32"/>
          <w:szCs w:val="32"/>
          <w:shd w:val="clear" w:color="auto" w:fill="FFFFFF"/>
        </w:rPr>
        <w:t>。主要原因</w:t>
      </w:r>
      <w:r>
        <w:rPr>
          <w:rFonts w:ascii="Times New Roman" w:eastAsia="方正仿宋_GBK" w:hAnsi="Times New Roman"/>
          <w:sz w:val="32"/>
          <w:szCs w:val="32"/>
          <w:shd w:val="clear" w:color="auto" w:fill="FFFFFF"/>
        </w:rPr>
        <w:t>是本年度</w:t>
      </w:r>
      <w:r>
        <w:rPr>
          <w:rFonts w:ascii="方正仿宋_GBK" w:eastAsia="方正仿宋_GBK" w:hAnsi="方正仿宋_GBK" w:cs="方正仿宋_GBK"/>
          <w:sz w:val="32"/>
          <w:szCs w:val="32"/>
          <w:shd w:val="clear" w:color="auto" w:fill="FFFFFF"/>
        </w:rPr>
        <w:t>有区内人员调入我单位，一般公共预算财政拨款人员经费增加；</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年积极走访辖区居民，为辖区居民提供基本公共卫生服务，基本公共卫生服务拨款资金增加。</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782.04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757.9%</w:t>
      </w:r>
      <w:r>
        <w:rPr>
          <w:rFonts w:ascii="方正仿宋_GBK" w:eastAsia="方正仿宋_GBK" w:hAnsi="方正仿宋_GBK" w:cs="方正仿宋_GBK"/>
          <w:sz w:val="32"/>
          <w:szCs w:val="32"/>
          <w:shd w:val="clear" w:color="auto" w:fill="FFFFFF"/>
        </w:rPr>
        <w:t>。主要原因是增加了基本公共卫生服务拨款资金。</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AD0C71" w:rsidRDefault="001425A7">
      <w:pPr>
        <w:pStyle w:val="a9"/>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27.78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11.79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73.7%</w:t>
      </w:r>
      <w:r>
        <w:rPr>
          <w:rFonts w:ascii="方正仿宋_GBK" w:eastAsia="方正仿宋_GBK" w:hAnsi="方正仿宋_GBK" w:cs="方正仿宋_GBK"/>
          <w:sz w:val="32"/>
          <w:szCs w:val="32"/>
          <w:shd w:val="clear" w:color="auto" w:fill="FFFFFF"/>
        </w:rPr>
        <w:t>，主要原因</w:t>
      </w:r>
      <w:r>
        <w:rPr>
          <w:rFonts w:ascii="Times New Roman" w:eastAsia="方正仿宋_GBK" w:hAnsi="Times New Roman"/>
          <w:sz w:val="32"/>
          <w:szCs w:val="32"/>
          <w:shd w:val="clear" w:color="auto" w:fill="FFFFFF"/>
        </w:rPr>
        <w:t>是本年度</w:t>
      </w:r>
      <w:r>
        <w:rPr>
          <w:rFonts w:ascii="方正仿宋_GBK" w:eastAsia="方正仿宋_GBK" w:hAnsi="方正仿宋_GBK" w:cs="方正仿宋_GBK"/>
          <w:sz w:val="32"/>
          <w:szCs w:val="32"/>
          <w:shd w:val="clear" w:color="auto" w:fill="FFFFFF"/>
        </w:rPr>
        <w:t>有区内人员调入我单位，一般公共预算财政拨款人员经费增加。</w:t>
      </w:r>
    </w:p>
    <w:p w:rsidR="00AD0C71" w:rsidRDefault="001425A7">
      <w:pPr>
        <w:pStyle w:val="a9"/>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847.93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95.8%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768.72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970.5%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本年度</w:t>
      </w:r>
      <w:r>
        <w:rPr>
          <w:rFonts w:ascii="方正仿宋_GBK" w:eastAsia="方正仿宋_GBK" w:hAnsi="方正仿宋_GBK" w:cs="方正仿宋_GBK"/>
          <w:sz w:val="32"/>
          <w:szCs w:val="32"/>
          <w:shd w:val="clear" w:color="auto" w:fill="FFFFFF"/>
        </w:rPr>
        <w:t>有区内人员调入我单位，一般公共预算财政拨款人员经费增加；</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年积极走访辖区居民，为辖区居民提供基本公共卫生服务，基本公共卫生服务拨款资金增加。</w:t>
      </w:r>
    </w:p>
    <w:p w:rsidR="00AD0C71" w:rsidRDefault="001425A7">
      <w:pPr>
        <w:pStyle w:val="a9"/>
        <w:numPr>
          <w:ilvl w:val="0"/>
          <w:numId w:val="1"/>
        </w:numPr>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9.52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1.53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19.2%</w:t>
      </w:r>
      <w:r>
        <w:rPr>
          <w:rFonts w:ascii="方正仿宋_GBK" w:eastAsia="方正仿宋_GBK" w:hAnsi="方正仿宋_GBK" w:cs="方正仿宋_GBK"/>
          <w:sz w:val="32"/>
          <w:szCs w:val="32"/>
          <w:shd w:val="clear" w:color="auto" w:fill="FFFFFF"/>
        </w:rPr>
        <w:t>，主要原因</w:t>
      </w:r>
      <w:r>
        <w:rPr>
          <w:rFonts w:ascii="Times New Roman" w:eastAsia="方正仿宋_GBK" w:hAnsi="Times New Roman"/>
          <w:sz w:val="32"/>
          <w:szCs w:val="32"/>
          <w:shd w:val="clear" w:color="auto" w:fill="FFFFFF"/>
        </w:rPr>
        <w:t>是本年度</w:t>
      </w:r>
      <w:r>
        <w:rPr>
          <w:rFonts w:ascii="方正仿宋_GBK" w:eastAsia="方正仿宋_GBK" w:hAnsi="方正仿宋_GBK" w:cs="方正仿宋_GBK"/>
          <w:sz w:val="32"/>
          <w:szCs w:val="32"/>
          <w:shd w:val="clear" w:color="auto" w:fill="FFFFFF"/>
        </w:rPr>
        <w:t>有区内人员调入我单位，一般公共预算财政拨款人员经费增加。</w:t>
      </w:r>
    </w:p>
    <w:p w:rsidR="00AD0C71" w:rsidRDefault="001425A7">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b"/>
          <w:rFonts w:ascii="Times New Roman" w:eastAsia="方正仿宋_GBK" w:hAnsi="Times New Roman" w:hint="default"/>
          <w:sz w:val="32"/>
          <w:szCs w:val="32"/>
          <w:shd w:val="clear" w:color="auto" w:fill="FFFFFF"/>
        </w:rPr>
        <w:lastRenderedPageBreak/>
        <w:t>3</w:t>
      </w:r>
      <w:r>
        <w:rPr>
          <w:rStyle w:val="ab"/>
          <w:rFonts w:ascii="方正仿宋_GBK" w:eastAsia="方正仿宋_GBK" w:hAnsi="方正仿宋_GBK" w:cs="方正仿宋_GBK"/>
          <w:sz w:val="32"/>
          <w:szCs w:val="32"/>
          <w:shd w:val="clear" w:color="auto" w:fill="FFFFFF"/>
        </w:rPr>
        <w:t>.</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w:t>
      </w:r>
      <w:r>
        <w:rPr>
          <w:rFonts w:ascii="Times New Roman" w:eastAsia="方正仿宋_GBK" w:hAnsi="Times New Roman"/>
          <w:sz w:val="32"/>
          <w:szCs w:val="32"/>
          <w:shd w:val="clear" w:color="auto" w:fill="FFFFFF"/>
        </w:rPr>
        <w:t>，</w:t>
      </w:r>
      <w:r>
        <w:rPr>
          <w:rFonts w:ascii="Times New Roman" w:eastAsia="方正仿宋_GBK" w:hAnsi="Times New Roman" w:hint="default"/>
          <w:sz w:val="32"/>
          <w:szCs w:val="32"/>
          <w:shd w:val="clear" w:color="auto" w:fill="FFFFFF"/>
        </w:rPr>
        <w:t>无增减</w:t>
      </w:r>
      <w:r>
        <w:rPr>
          <w:rFonts w:ascii="方正仿宋_GBK" w:eastAsia="方正仿宋_GBK" w:hAnsi="方正仿宋_GBK" w:cs="方正仿宋_GBK"/>
          <w:sz w:val="32"/>
          <w:szCs w:val="32"/>
          <w:shd w:val="clear" w:color="auto" w:fill="FFFFFF"/>
        </w:rPr>
        <w:t>，主要原因是年终无结转结余。</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462.34</w:t>
      </w:r>
      <w:r>
        <w:rPr>
          <w:rFonts w:ascii="方正仿宋_GBK" w:eastAsia="方正仿宋_GBK" w:hAnsi="方正仿宋_GBK" w:cs="方正仿宋_GBK"/>
          <w:sz w:val="32"/>
          <w:szCs w:val="32"/>
          <w:shd w:val="clear" w:color="auto" w:fill="FFFFFF"/>
        </w:rPr>
        <w:t>万元。</w:t>
      </w:r>
    </w:p>
    <w:p w:rsidR="00AD0C71" w:rsidRDefault="001425A7">
      <w:pPr>
        <w:pStyle w:val="a9"/>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461.21</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461.21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本年度</w:t>
      </w:r>
      <w:r>
        <w:rPr>
          <w:rFonts w:ascii="方正仿宋_GBK" w:eastAsia="方正仿宋_GBK" w:hAnsi="方正仿宋_GBK" w:cs="方正仿宋_GBK"/>
          <w:sz w:val="32"/>
          <w:szCs w:val="32"/>
          <w:shd w:val="clear" w:color="auto" w:fill="FFFFFF"/>
        </w:rPr>
        <w:t>有区内人员调入我单位，一般公共预算财政拨款人员经费增加；人员经费用途主要包括人员工资及社保等。公用经费</w:t>
      </w:r>
      <w:r>
        <w:rPr>
          <w:rFonts w:ascii="Times New Roman" w:eastAsia="方正仿宋_GBK" w:hAnsi="Times New Roman" w:hint="default"/>
          <w:sz w:val="32"/>
          <w:szCs w:val="32"/>
          <w:shd w:val="clear" w:color="auto" w:fill="FFFFFF"/>
        </w:rPr>
        <w:t>1.13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w:t>
      </w:r>
      <w:r>
        <w:rPr>
          <w:rFonts w:ascii="Times New Roman" w:eastAsia="方正仿宋_GBK" w:hAnsi="Times New Roman"/>
          <w:sz w:val="32"/>
          <w:szCs w:val="32"/>
          <w:shd w:val="clear" w:color="auto" w:fill="FFFFFF"/>
        </w:rPr>
        <w:t>是本年度</w:t>
      </w:r>
      <w:r>
        <w:rPr>
          <w:rFonts w:ascii="方正仿宋_GBK" w:eastAsia="方正仿宋_GBK" w:hAnsi="方正仿宋_GBK" w:cs="方正仿宋_GBK"/>
          <w:sz w:val="32"/>
          <w:szCs w:val="32"/>
          <w:shd w:val="clear" w:color="auto" w:fill="FFFFFF"/>
        </w:rPr>
        <w:t>有区内人员调入我单位，一般公共预算财政拨款公用经费增加。公用经费用途主要包括培训费、工会经费等。</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年度无政府性基金预算财政</w:t>
      </w:r>
      <w:r>
        <w:rPr>
          <w:rFonts w:ascii="方正仿宋_GBK" w:eastAsia="方正仿宋_GBK" w:hAnsi="方正仿宋_GBK" w:cs="方正仿宋_GBK"/>
          <w:sz w:val="32"/>
          <w:szCs w:val="32"/>
          <w:shd w:val="clear" w:color="auto" w:fill="FFFFFF"/>
        </w:rPr>
        <w:t>拨款收支。</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AD0C71" w:rsidRDefault="001425A7">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三、财政拨款“三公”经费情况说明</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。主要原因是本单位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年度未发生因公出国（境）、未购置公务用车、未发生公务接待、无公务用车。</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（二）“三公”经费分项支出情况</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年度本单位因公出国（境）费用</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，与上年持平。主要原因是本单位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年度未发生因公出国（境）支出。</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，与上年持平。主要原因是本单位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年度未发生公务用车购置费。</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，与上年持平。主要原因是本单位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年度未发生公务用车运行维护费。</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万元，费用支出较年初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sz w:val="32"/>
          <w:szCs w:val="32"/>
          <w:shd w:val="clear" w:color="auto" w:fill="FFFFFF"/>
        </w:rPr>
        <w:t>，与上年持平。主要原因是本单位</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年度未发生公务接待费。</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AD0C71" w:rsidRDefault="001425A7">
      <w:pPr>
        <w:pStyle w:val="a9"/>
        <w:shd w:val="clear" w:color="auto" w:fill="FFFFFF"/>
        <w:spacing w:before="0" w:beforeAutospacing="0" w:after="0" w:afterAutospacing="0" w:line="596" w:lineRule="exact"/>
        <w:ind w:firstLineChars="200" w:firstLine="643"/>
        <w:rPr>
          <w:rStyle w:val="ab"/>
          <w:rFonts w:ascii="黑体" w:eastAsia="黑体" w:hAnsi="黑体" w:cs="黑体" w:hint="default"/>
          <w:sz w:val="32"/>
          <w:szCs w:val="32"/>
          <w:shd w:val="clear" w:color="auto" w:fill="FFFFFF"/>
        </w:rPr>
      </w:pPr>
      <w:r>
        <w:rPr>
          <w:rStyle w:val="ab"/>
          <w:rFonts w:ascii="黑体" w:eastAsia="黑体" w:hAnsi="黑体" w:cs="黑体"/>
          <w:sz w:val="32"/>
          <w:szCs w:val="32"/>
          <w:shd w:val="clear" w:color="auto" w:fill="FFFFFF"/>
        </w:rPr>
        <w:t>四、其他需要说明的事项</w:t>
      </w:r>
    </w:p>
    <w:p w:rsidR="00AD0C71" w:rsidRDefault="001425A7">
      <w:pPr>
        <w:pStyle w:val="a9"/>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，主要原因是本年度无会议费支出。本年度培训费支出</w:t>
      </w:r>
      <w:r>
        <w:rPr>
          <w:rFonts w:ascii="Times New Roman" w:eastAsia="方正仿宋_GBK" w:hAnsi="Times New Roman" w:hint="default"/>
          <w:sz w:val="32"/>
          <w:szCs w:val="32"/>
          <w:shd w:val="clear" w:color="auto" w:fill="FFFFFF"/>
        </w:rPr>
        <w:t>0.11</w:t>
      </w:r>
      <w:r>
        <w:rPr>
          <w:rFonts w:ascii="方正仿宋_GBK" w:eastAsia="方正仿宋_GBK" w:hAnsi="方正仿宋_GBK" w:cs="方正仿宋_GBK"/>
          <w:sz w:val="32"/>
          <w:szCs w:val="32"/>
          <w:shd w:val="clear" w:color="auto" w:fill="FFFFFF"/>
        </w:rPr>
        <w:t>万</w:t>
      </w:r>
      <w:r>
        <w:rPr>
          <w:rFonts w:ascii="方正仿宋_GBK" w:eastAsia="方正仿宋_GBK" w:hAnsi="方正仿宋_GBK" w:cs="方正仿宋_GBK"/>
          <w:sz w:val="32"/>
          <w:szCs w:val="32"/>
          <w:shd w:val="clear" w:color="auto" w:fill="FFFFFF"/>
        </w:rPr>
        <w:lastRenderedPageBreak/>
        <w:t>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，主要原因是本年度存在人员调入情况，一般公共预算财政拨款公用经费增加。本年度差旅费支出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年度相比，无变化</w:t>
      </w:r>
      <w:r>
        <w:rPr>
          <w:rFonts w:ascii="方正仿宋_GBK" w:eastAsia="方正仿宋_GBK" w:hAnsi="方正仿宋_GBK" w:cs="方正仿宋_GBK"/>
          <w:sz w:val="32"/>
          <w:szCs w:val="32"/>
          <w:shd w:val="clear" w:color="auto" w:fill="FFFFFF"/>
        </w:rPr>
        <w:t>，主要原因是本年度差旅费支出由事业收入保障。</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AD0C71" w:rsidRDefault="001425A7">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highlight w:val="yellow"/>
        </w:rPr>
      </w:pPr>
      <w:r>
        <w:rPr>
          <w:rFonts w:ascii="Times New Roman" w:eastAsia="方正仿宋_GBK" w:hAnsi="Times New Roman" w:hint="default"/>
          <w:sz w:val="32"/>
          <w:szCs w:val="32"/>
          <w:shd w:val="clear" w:color="auto" w:fill="FFFFFF"/>
        </w:rPr>
        <w:t>按照部门决算列报口径，我单位不在机关运行经费统计范围之内。</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AD0C71" w:rsidRDefault="001425A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AD0C71" w:rsidRDefault="001425A7">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2.27</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2.27</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2.27</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2.27</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100 %</w:t>
      </w:r>
      <w:r>
        <w:rPr>
          <w:rFonts w:ascii="方正仿宋_GBK" w:eastAsia="方正仿宋_GBK" w:hAnsi="方正仿宋_GBK" w:cs="方正仿宋_GBK"/>
          <w:sz w:val="32"/>
          <w:szCs w:val="32"/>
          <w:shd w:val="clear" w:color="auto" w:fill="FFFFFF"/>
        </w:rPr>
        <w:t>。主要用于采购复印纸。</w:t>
      </w:r>
    </w:p>
    <w:p w:rsidR="00AD0C71" w:rsidRDefault="001425A7">
      <w:pPr>
        <w:pStyle w:val="Char0"/>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hint="eastAsia"/>
          <w:sz w:val="32"/>
          <w:szCs w:val="32"/>
          <w:shd w:val="clear" w:color="auto" w:fill="FFFFFF"/>
        </w:rPr>
        <w:t>五、</w:t>
      </w:r>
      <w:r>
        <w:rPr>
          <w:rStyle w:val="ab"/>
          <w:rFonts w:ascii="黑体" w:eastAsia="黑体" w:hAnsi="黑体" w:cs="黑体" w:hint="eastAsia"/>
          <w:sz w:val="32"/>
          <w:szCs w:val="32"/>
          <w:shd w:val="clear" w:color="auto" w:fill="FFFFFF"/>
        </w:rPr>
        <w:t>2024</w:t>
      </w:r>
      <w:r>
        <w:rPr>
          <w:rStyle w:val="ab"/>
          <w:rFonts w:ascii="黑体" w:eastAsia="黑体" w:hAnsi="黑体" w:cs="黑体" w:hint="eastAsia"/>
          <w:sz w:val="32"/>
          <w:szCs w:val="32"/>
          <w:shd w:val="clear" w:color="auto" w:fill="FFFFFF"/>
        </w:rPr>
        <w:t>年度预算绩效管理情况说明</w:t>
      </w:r>
    </w:p>
    <w:p w:rsidR="00AD0C71" w:rsidRDefault="001425A7">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AD0C71" w:rsidRDefault="001425A7">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我单位对</w:t>
      </w:r>
      <w:r>
        <w:rPr>
          <w:rFonts w:ascii="Times New Roman" w:eastAsia="方正仿宋_GBK" w:hAnsi="Times New Roman" w:hint="eastAsia"/>
          <w:sz w:val="32"/>
          <w:szCs w:val="32"/>
          <w:shd w:val="clear" w:color="auto" w:fill="FFFFFF"/>
        </w:rPr>
        <w:t>6</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Times New Roman" w:eastAsia="方正仿宋_GBK" w:hAnsi="Times New Roman" w:hint="eastAsia"/>
          <w:sz w:val="32"/>
          <w:szCs w:val="32"/>
          <w:shd w:val="clear" w:color="auto" w:fill="FFFFFF"/>
        </w:rPr>
        <w:t>340.86</w:t>
      </w:r>
      <w:r>
        <w:rPr>
          <w:rFonts w:ascii="方正仿宋_GBK" w:eastAsia="方正仿宋_GBK" w:hAnsi="方正仿宋_GBK" w:cs="方正仿宋_GBK" w:hint="eastAsia"/>
          <w:sz w:val="32"/>
          <w:szCs w:val="32"/>
          <w:shd w:val="clear" w:color="auto" w:fill="FFFFFF"/>
        </w:rPr>
        <w:t>万元。</w:t>
      </w:r>
    </w:p>
    <w:p w:rsidR="00AD0C71" w:rsidRDefault="001425A7">
      <w:pPr>
        <w:pStyle w:val="Char0"/>
        <w:spacing w:before="0" w:beforeAutospacing="0" w:after="0" w:afterAutospacing="0" w:line="596" w:lineRule="exact"/>
        <w:ind w:firstLineChars="100" w:firstLine="321"/>
        <w:rPr>
          <w:rFonts w:ascii="方正仿宋_GBK" w:eastAsia="方正仿宋_GBK" w:hAnsi="方正仿宋_GBK" w:cs="方正仿宋_GBK"/>
          <w:b/>
          <w:bCs/>
          <w:sz w:val="32"/>
          <w:szCs w:val="32"/>
          <w:shd w:val="clear" w:color="auto" w:fill="FFFFFF"/>
        </w:rPr>
      </w:pPr>
      <w:r>
        <w:rPr>
          <w:rFonts w:ascii="方正仿宋_GBK" w:eastAsia="方正仿宋_GBK" w:hAnsi="方正仿宋_GBK" w:cs="方正仿宋_GBK" w:hint="eastAsia"/>
          <w:b/>
          <w:bCs/>
          <w:sz w:val="32"/>
          <w:szCs w:val="32"/>
          <w:shd w:val="clear" w:color="auto" w:fill="FFFFFF"/>
        </w:rPr>
        <w:t>项目支出绩效自评表</w:t>
      </w:r>
    </w:p>
    <w:tbl>
      <w:tblPr>
        <w:tblpPr w:leftFromText="180" w:rightFromText="180" w:vertAnchor="text" w:horzAnchor="margin" w:tblpXSpec="center" w:tblpY="529"/>
        <w:tblOverlap w:val="never"/>
        <w:tblW w:w="9380" w:type="dxa"/>
        <w:tblLayout w:type="fixed"/>
        <w:tblLook w:val="04A0" w:firstRow="1" w:lastRow="0" w:firstColumn="1" w:lastColumn="0" w:noHBand="0" w:noVBand="1"/>
      </w:tblPr>
      <w:tblGrid>
        <w:gridCol w:w="1994"/>
        <w:gridCol w:w="579"/>
        <w:gridCol w:w="756"/>
        <w:gridCol w:w="917"/>
        <w:gridCol w:w="846"/>
        <w:gridCol w:w="611"/>
        <w:gridCol w:w="862"/>
        <w:gridCol w:w="695"/>
        <w:gridCol w:w="574"/>
        <w:gridCol w:w="845"/>
        <w:gridCol w:w="701"/>
      </w:tblGrid>
      <w:tr w:rsidR="009F7EDA" w:rsidTr="009F7EDA">
        <w:trPr>
          <w:trHeight w:val="503"/>
        </w:trPr>
        <w:tc>
          <w:tcPr>
            <w:tcW w:w="938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ascii="微软雅黑" w:eastAsia="微软雅黑" w:hAnsi="微软雅黑" w:cs="微软雅黑" w:hint="default"/>
                <w:b/>
                <w:bCs/>
                <w:color w:val="000000"/>
                <w:sz w:val="15"/>
                <w:szCs w:val="15"/>
              </w:rPr>
            </w:pPr>
            <w:r>
              <w:rPr>
                <w:rFonts w:ascii="微软雅黑" w:eastAsia="微软雅黑" w:hAnsi="微软雅黑" w:cs="微软雅黑"/>
                <w:b/>
                <w:bCs/>
                <w:color w:val="000000"/>
                <w:sz w:val="15"/>
                <w:szCs w:val="15"/>
                <w:lang w:bidi="ar"/>
              </w:rPr>
              <w:t>2024年度二级项目绩效自评表</w:t>
            </w:r>
          </w:p>
        </w:tc>
      </w:tr>
      <w:tr w:rsidR="009F7EDA" w:rsidTr="009F7EDA">
        <w:trPr>
          <w:trHeight w:val="439"/>
        </w:trPr>
        <w:tc>
          <w:tcPr>
            <w:tcW w:w="938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1"/>
              <w:jc w:val="right"/>
              <w:textAlignment w:val="center"/>
              <w:rPr>
                <w:rFonts w:cs="宋体" w:hint="default"/>
                <w:b/>
                <w:bCs/>
                <w:color w:val="DA3232"/>
                <w:sz w:val="15"/>
                <w:szCs w:val="15"/>
              </w:rPr>
            </w:pPr>
          </w:p>
        </w:tc>
      </w:tr>
      <w:tr w:rsidR="009F7EDA" w:rsidTr="009F7EDA">
        <w:trPr>
          <w:trHeight w:val="632"/>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b/>
                <w:bCs/>
                <w:color w:val="000000"/>
                <w:sz w:val="15"/>
                <w:szCs w:val="15"/>
              </w:rPr>
            </w:pPr>
            <w:r>
              <w:rPr>
                <w:rFonts w:cs="宋体"/>
                <w:b/>
                <w:bCs/>
                <w:color w:val="000000"/>
                <w:sz w:val="15"/>
                <w:szCs w:val="15"/>
                <w:lang w:bidi="ar"/>
              </w:rPr>
              <w:t>项目名称：</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基本药物制度补助资金</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b/>
                <w:bCs/>
                <w:color w:val="000000"/>
                <w:sz w:val="15"/>
                <w:szCs w:val="15"/>
              </w:rPr>
            </w:pPr>
            <w:r>
              <w:rPr>
                <w:rFonts w:cs="宋体"/>
                <w:b/>
                <w:bCs/>
                <w:color w:val="000000"/>
                <w:sz w:val="15"/>
                <w:szCs w:val="15"/>
                <w:lang w:bidi="ar"/>
              </w:rPr>
              <w:t>项目编码：</w:t>
            </w: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50019323T000003790409</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b/>
                <w:bCs/>
                <w:color w:val="000000"/>
                <w:sz w:val="15"/>
                <w:szCs w:val="15"/>
              </w:rPr>
            </w:pPr>
            <w:r>
              <w:rPr>
                <w:rFonts w:cs="宋体"/>
                <w:b/>
                <w:bCs/>
                <w:color w:val="000000"/>
                <w:sz w:val="15"/>
                <w:szCs w:val="15"/>
                <w:lang w:bidi="ar"/>
              </w:rPr>
              <w:t>自评总分：</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97.00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rPr>
                <w:rFonts w:cs="宋体" w:hint="default"/>
                <w:b/>
                <w:bCs/>
                <w:color w:val="000000"/>
                <w:sz w:val="15"/>
                <w:szCs w:val="15"/>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DA" w:rsidRDefault="009F7EDA" w:rsidP="009F7EDA">
            <w:pPr>
              <w:rPr>
                <w:rFonts w:cs="宋体" w:hint="default"/>
                <w:color w:val="000000"/>
                <w:sz w:val="15"/>
                <w:szCs w:val="15"/>
              </w:rPr>
            </w:pPr>
          </w:p>
        </w:tc>
      </w:tr>
      <w:tr w:rsidR="009F7EDA" w:rsidTr="009F7EDA">
        <w:trPr>
          <w:trHeight w:val="632"/>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b/>
                <w:bCs/>
                <w:color w:val="000000"/>
                <w:sz w:val="15"/>
                <w:szCs w:val="15"/>
              </w:rPr>
            </w:pPr>
            <w:r>
              <w:rPr>
                <w:rFonts w:cs="宋体"/>
                <w:b/>
                <w:bCs/>
                <w:color w:val="000000"/>
                <w:sz w:val="15"/>
                <w:szCs w:val="15"/>
                <w:lang w:bidi="ar"/>
              </w:rPr>
              <w:t>项目主管部门：</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204-重庆高新区卫生系统</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b/>
                <w:bCs/>
                <w:color w:val="000000"/>
                <w:sz w:val="15"/>
                <w:szCs w:val="15"/>
              </w:rPr>
            </w:pPr>
            <w:r>
              <w:rPr>
                <w:rFonts w:cs="宋体"/>
                <w:b/>
                <w:bCs/>
                <w:color w:val="000000"/>
                <w:sz w:val="15"/>
                <w:szCs w:val="15"/>
                <w:lang w:bidi="ar"/>
              </w:rPr>
              <w:t>财政归口处室：</w:t>
            </w: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002-公共科</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b/>
                <w:bCs/>
                <w:color w:val="000000"/>
                <w:sz w:val="15"/>
                <w:szCs w:val="15"/>
              </w:rPr>
            </w:pPr>
            <w:r>
              <w:rPr>
                <w:rFonts w:cs="宋体"/>
                <w:b/>
                <w:bCs/>
                <w:color w:val="000000"/>
                <w:sz w:val="15"/>
                <w:szCs w:val="15"/>
                <w:lang w:bidi="ar"/>
              </w:rPr>
              <w:t>部门联系人：</w:t>
            </w:r>
          </w:p>
        </w:tc>
        <w:tc>
          <w:tcPr>
            <w:tcW w:w="12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严洁</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b/>
                <w:bCs/>
                <w:color w:val="000000"/>
                <w:sz w:val="15"/>
                <w:szCs w:val="15"/>
              </w:rPr>
            </w:pPr>
            <w:r>
              <w:rPr>
                <w:rFonts w:cs="宋体"/>
                <w:b/>
                <w:bCs/>
                <w:color w:val="000000"/>
                <w:sz w:val="15"/>
                <w:szCs w:val="15"/>
                <w:lang w:bidi="ar"/>
              </w:rPr>
              <w:t>联系电话：</w:t>
            </w:r>
          </w:p>
        </w:tc>
        <w:tc>
          <w:tcPr>
            <w:tcW w:w="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DA" w:rsidRDefault="009F7EDA" w:rsidP="009F7EDA">
            <w:pPr>
              <w:textAlignment w:val="center"/>
              <w:rPr>
                <w:rFonts w:cs="宋体" w:hint="default"/>
                <w:color w:val="000000"/>
                <w:sz w:val="15"/>
                <w:szCs w:val="15"/>
              </w:rPr>
            </w:pPr>
            <w:r>
              <w:rPr>
                <w:rFonts w:cs="宋体"/>
                <w:color w:val="000000"/>
                <w:sz w:val="15"/>
                <w:szCs w:val="15"/>
                <w:lang w:bidi="ar"/>
              </w:rPr>
              <w:t>65004561</w:t>
            </w:r>
          </w:p>
        </w:tc>
      </w:tr>
      <w:tr w:rsidR="009F7EDA" w:rsidTr="009F7EDA">
        <w:trPr>
          <w:trHeight w:val="542"/>
        </w:trPr>
        <w:tc>
          <w:tcPr>
            <w:tcW w:w="938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ascii="微软雅黑" w:eastAsia="微软雅黑" w:hAnsi="微软雅黑" w:cs="微软雅黑" w:hint="default"/>
                <w:b/>
                <w:bCs/>
                <w:color w:val="808080"/>
                <w:sz w:val="15"/>
                <w:szCs w:val="15"/>
              </w:rPr>
            </w:pPr>
            <w:r>
              <w:rPr>
                <w:rFonts w:ascii="微软雅黑" w:eastAsia="微软雅黑" w:hAnsi="微软雅黑" w:cs="微软雅黑"/>
                <w:b/>
                <w:bCs/>
                <w:color w:val="808080"/>
                <w:sz w:val="15"/>
                <w:szCs w:val="15"/>
                <w:lang w:bidi="ar"/>
              </w:rPr>
              <w:t>资金情况</w:t>
            </w:r>
          </w:p>
        </w:tc>
      </w:tr>
      <w:tr w:rsidR="009F7EDA" w:rsidTr="009F7EDA">
        <w:trPr>
          <w:trHeight w:val="632"/>
        </w:trPr>
        <w:tc>
          <w:tcPr>
            <w:tcW w:w="25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rPr>
                <w:rFonts w:cs="宋体" w:hint="default"/>
                <w:color w:val="000000"/>
                <w:sz w:val="15"/>
                <w:szCs w:val="15"/>
              </w:rPr>
            </w:pP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年初预算数</w:t>
            </w:r>
          </w:p>
        </w:tc>
        <w:tc>
          <w:tcPr>
            <w:tcW w:w="14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全年（调整）预算数</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全年执行数</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执行率</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textAlignment w:val="center"/>
              <w:rPr>
                <w:rFonts w:cs="宋体" w:hint="default"/>
                <w:b/>
                <w:bCs/>
                <w:color w:val="000000"/>
                <w:sz w:val="15"/>
                <w:szCs w:val="15"/>
              </w:rPr>
            </w:pPr>
            <w:r>
              <w:rPr>
                <w:rFonts w:cs="宋体"/>
                <w:b/>
                <w:bCs/>
                <w:color w:val="000000"/>
                <w:sz w:val="15"/>
                <w:szCs w:val="15"/>
                <w:lang w:bidi="ar"/>
              </w:rPr>
              <w:t>执行率权重</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执行率得分</w:t>
            </w:r>
          </w:p>
        </w:tc>
      </w:tr>
      <w:tr w:rsidR="009F7EDA" w:rsidTr="009F7EDA">
        <w:trPr>
          <w:trHeight w:val="632"/>
        </w:trPr>
        <w:tc>
          <w:tcPr>
            <w:tcW w:w="1994" w:type="dxa"/>
            <w:tcBorders>
              <w:top w:val="single" w:sz="4" w:space="0" w:color="000000"/>
              <w:left w:val="single" w:sz="4" w:space="0" w:color="000000"/>
              <w:bottom w:val="single" w:sz="4" w:space="0" w:color="000000"/>
              <w:right w:val="nil"/>
            </w:tcBorders>
            <w:shd w:val="clear" w:color="auto" w:fill="auto"/>
            <w:vAlign w:val="center"/>
          </w:tcPr>
          <w:p w:rsidR="009F7EDA" w:rsidRDefault="009F7EDA" w:rsidP="009F7EDA">
            <w:pPr>
              <w:textAlignment w:val="center"/>
              <w:rPr>
                <w:rFonts w:cs="宋体" w:hint="default"/>
                <w:color w:val="000000"/>
                <w:sz w:val="15"/>
                <w:szCs w:val="15"/>
              </w:rPr>
            </w:pPr>
            <w:r>
              <w:rPr>
                <w:rFonts w:cs="宋体"/>
                <w:color w:val="000000"/>
                <w:sz w:val="15"/>
                <w:szCs w:val="15"/>
                <w:lang w:bidi="ar"/>
              </w:rPr>
              <w:t>年度总金额</w:t>
            </w:r>
          </w:p>
        </w:tc>
        <w:tc>
          <w:tcPr>
            <w:tcW w:w="579"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917"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0.00 </w:t>
            </w:r>
          </w:p>
        </w:tc>
        <w:tc>
          <w:tcPr>
            <w:tcW w:w="846"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611" w:type="dxa"/>
            <w:tcBorders>
              <w:top w:val="single" w:sz="4" w:space="0" w:color="000000"/>
              <w:left w:val="nil"/>
              <w:bottom w:val="single" w:sz="4" w:space="0" w:color="000000"/>
              <w:right w:val="single" w:sz="4" w:space="0" w:color="000000"/>
            </w:tcBorders>
            <w:shd w:val="clear" w:color="auto" w:fill="auto"/>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146,295.00 </w:t>
            </w:r>
          </w:p>
        </w:tc>
        <w:tc>
          <w:tcPr>
            <w:tcW w:w="862"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695"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146,295.00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rPr>
                <w:rFonts w:cs="宋体" w:hint="default"/>
                <w:color w:val="000000"/>
                <w:sz w:val="15"/>
                <w:szCs w:val="15"/>
              </w:rPr>
            </w:pPr>
          </w:p>
        </w:tc>
      </w:tr>
      <w:tr w:rsidR="009F7EDA" w:rsidTr="009F7EDA">
        <w:trPr>
          <w:trHeight w:val="632"/>
        </w:trPr>
        <w:tc>
          <w:tcPr>
            <w:tcW w:w="1994" w:type="dxa"/>
            <w:tcBorders>
              <w:top w:val="single" w:sz="4" w:space="0" w:color="000000"/>
              <w:left w:val="single" w:sz="4" w:space="0" w:color="000000"/>
              <w:bottom w:val="single" w:sz="4" w:space="0" w:color="000000"/>
              <w:right w:val="nil"/>
            </w:tcBorders>
            <w:shd w:val="clear" w:color="auto" w:fill="auto"/>
            <w:vAlign w:val="center"/>
          </w:tcPr>
          <w:p w:rsidR="009F7EDA" w:rsidRDefault="009F7EDA" w:rsidP="009F7EDA">
            <w:pPr>
              <w:textAlignment w:val="center"/>
              <w:rPr>
                <w:rFonts w:cs="宋体" w:hint="default"/>
                <w:color w:val="000000"/>
                <w:sz w:val="15"/>
                <w:szCs w:val="15"/>
              </w:rPr>
            </w:pPr>
            <w:r>
              <w:rPr>
                <w:rFonts w:cs="宋体"/>
                <w:color w:val="000000"/>
                <w:sz w:val="15"/>
                <w:szCs w:val="15"/>
                <w:lang w:bidi="ar"/>
              </w:rPr>
              <w:t>其中：财政拨款</w:t>
            </w:r>
          </w:p>
        </w:tc>
        <w:tc>
          <w:tcPr>
            <w:tcW w:w="579"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917"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0.00 </w:t>
            </w:r>
          </w:p>
        </w:tc>
        <w:tc>
          <w:tcPr>
            <w:tcW w:w="846"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611" w:type="dxa"/>
            <w:tcBorders>
              <w:top w:val="single" w:sz="4" w:space="0" w:color="000000"/>
              <w:left w:val="nil"/>
              <w:bottom w:val="single" w:sz="4" w:space="0" w:color="000000"/>
              <w:right w:val="single" w:sz="4" w:space="0" w:color="000000"/>
            </w:tcBorders>
            <w:shd w:val="clear" w:color="auto" w:fill="auto"/>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146,295.00 </w:t>
            </w:r>
          </w:p>
        </w:tc>
        <w:tc>
          <w:tcPr>
            <w:tcW w:w="862"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695"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146,295.00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100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textAlignment w:val="center"/>
              <w:rPr>
                <w:rFonts w:cs="宋体" w:hint="default"/>
                <w:color w:val="000000"/>
                <w:sz w:val="15"/>
                <w:szCs w:val="15"/>
              </w:rPr>
            </w:pPr>
            <w:r>
              <w:rPr>
                <w:rFonts w:cs="宋体"/>
                <w:color w:val="000000"/>
                <w:sz w:val="15"/>
                <w:szCs w:val="15"/>
                <w:lang w:bidi="ar"/>
              </w:rPr>
              <w:t>10.00</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both"/>
              <w:textAlignment w:val="center"/>
              <w:rPr>
                <w:rFonts w:cs="宋体" w:hint="default"/>
                <w:color w:val="000000"/>
                <w:sz w:val="15"/>
                <w:szCs w:val="15"/>
              </w:rPr>
            </w:pPr>
            <w:r>
              <w:rPr>
                <w:rFonts w:cs="宋体"/>
                <w:color w:val="000000"/>
                <w:sz w:val="15"/>
                <w:szCs w:val="15"/>
                <w:lang w:bidi="ar"/>
              </w:rPr>
              <w:t xml:space="preserve">10.00 </w:t>
            </w:r>
          </w:p>
        </w:tc>
      </w:tr>
      <w:tr w:rsidR="009F7EDA" w:rsidTr="009F7EDA">
        <w:trPr>
          <w:trHeight w:val="632"/>
        </w:trPr>
        <w:tc>
          <w:tcPr>
            <w:tcW w:w="1994" w:type="dxa"/>
            <w:tcBorders>
              <w:top w:val="single" w:sz="4" w:space="0" w:color="000000"/>
              <w:left w:val="single" w:sz="4" w:space="0" w:color="000000"/>
              <w:bottom w:val="single" w:sz="4" w:space="0" w:color="000000"/>
              <w:right w:val="nil"/>
            </w:tcBorders>
            <w:shd w:val="clear" w:color="auto" w:fill="auto"/>
            <w:vAlign w:val="center"/>
          </w:tcPr>
          <w:p w:rsidR="009F7EDA" w:rsidRDefault="009F7EDA" w:rsidP="009F7EDA">
            <w:pPr>
              <w:textAlignment w:val="center"/>
              <w:rPr>
                <w:rFonts w:cs="宋体" w:hint="default"/>
                <w:color w:val="000000"/>
                <w:sz w:val="15"/>
                <w:szCs w:val="15"/>
              </w:rPr>
            </w:pPr>
            <w:r>
              <w:rPr>
                <w:rFonts w:cs="宋体"/>
                <w:color w:val="000000"/>
                <w:sz w:val="15"/>
                <w:szCs w:val="15"/>
                <w:lang w:bidi="ar"/>
              </w:rPr>
              <w:t>一般公共预算</w:t>
            </w:r>
          </w:p>
        </w:tc>
        <w:tc>
          <w:tcPr>
            <w:tcW w:w="579"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c>
          <w:tcPr>
            <w:tcW w:w="756"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917"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0.00 </w:t>
            </w:r>
          </w:p>
        </w:tc>
        <w:tc>
          <w:tcPr>
            <w:tcW w:w="846"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611" w:type="dxa"/>
            <w:tcBorders>
              <w:top w:val="single" w:sz="4" w:space="0" w:color="000000"/>
              <w:left w:val="nil"/>
              <w:bottom w:val="single" w:sz="4" w:space="0" w:color="000000"/>
              <w:right w:val="single" w:sz="4" w:space="0" w:color="000000"/>
            </w:tcBorders>
            <w:shd w:val="clear" w:color="auto" w:fill="auto"/>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146,295.00</w:t>
            </w:r>
          </w:p>
        </w:tc>
        <w:tc>
          <w:tcPr>
            <w:tcW w:w="862" w:type="dxa"/>
            <w:tcBorders>
              <w:top w:val="single" w:sz="4" w:space="0" w:color="000000"/>
              <w:left w:val="single" w:sz="4" w:space="0" w:color="000000"/>
              <w:bottom w:val="single" w:sz="4" w:space="0" w:color="000000"/>
              <w:right w:val="nil"/>
            </w:tcBorders>
            <w:shd w:val="clear" w:color="auto" w:fill="auto"/>
            <w:noWrap/>
            <w:vAlign w:val="center"/>
          </w:tcPr>
          <w:p w:rsidR="009F7EDA" w:rsidRDefault="009F7EDA" w:rsidP="009F7EDA">
            <w:pPr>
              <w:rPr>
                <w:rFonts w:cs="宋体" w:hint="default"/>
                <w:color w:val="000000"/>
                <w:sz w:val="15"/>
                <w:szCs w:val="15"/>
              </w:rPr>
            </w:pPr>
          </w:p>
        </w:tc>
        <w:tc>
          <w:tcPr>
            <w:tcW w:w="695" w:type="dxa"/>
            <w:tcBorders>
              <w:top w:val="single" w:sz="4" w:space="0" w:color="000000"/>
              <w:left w:val="nil"/>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 xml:space="preserve">146,295.00 </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textAlignment w:val="center"/>
              <w:rPr>
                <w:rFonts w:cs="宋体" w:hint="default"/>
                <w:color w:val="000000"/>
                <w:sz w:val="15"/>
                <w:szCs w:val="15"/>
              </w:rPr>
            </w:pPr>
            <w:r>
              <w:rPr>
                <w:rFonts w:cs="宋体"/>
                <w:color w:val="000000"/>
                <w:sz w:val="15"/>
                <w:szCs w:val="15"/>
                <w:lang w:bidi="ar"/>
              </w:rPr>
              <w:t>100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right"/>
              <w:rPr>
                <w:rFonts w:cs="宋体" w:hint="default"/>
                <w:color w:val="000000"/>
                <w:sz w:val="15"/>
                <w:szCs w:val="15"/>
              </w:rPr>
            </w:pPr>
          </w:p>
        </w:tc>
      </w:tr>
      <w:tr w:rsidR="009F7EDA" w:rsidTr="009F7EDA">
        <w:trPr>
          <w:trHeight w:val="369"/>
        </w:trPr>
        <w:tc>
          <w:tcPr>
            <w:tcW w:w="938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ascii="微软雅黑" w:eastAsia="微软雅黑" w:hAnsi="微软雅黑" w:cs="微软雅黑" w:hint="default"/>
                <w:b/>
                <w:bCs/>
                <w:color w:val="808080"/>
                <w:sz w:val="15"/>
                <w:szCs w:val="15"/>
              </w:rPr>
            </w:pPr>
            <w:r>
              <w:rPr>
                <w:rFonts w:ascii="微软雅黑" w:eastAsia="微软雅黑" w:hAnsi="微软雅黑" w:cs="微软雅黑"/>
                <w:b/>
                <w:bCs/>
                <w:color w:val="808080"/>
                <w:sz w:val="15"/>
                <w:szCs w:val="15"/>
                <w:lang w:bidi="ar"/>
              </w:rPr>
              <w:t>绩效目标</w:t>
            </w:r>
          </w:p>
        </w:tc>
      </w:tr>
      <w:tr w:rsidR="009F7EDA" w:rsidTr="009F7EDA">
        <w:trPr>
          <w:trHeight w:val="439"/>
        </w:trPr>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年初绩效目标</w:t>
            </w:r>
          </w:p>
        </w:tc>
        <w:tc>
          <w:tcPr>
            <w:tcW w:w="301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全年（调整）绩效目标</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全年目标实际完成情况</w:t>
            </w:r>
          </w:p>
        </w:tc>
      </w:tr>
      <w:tr w:rsidR="009F7EDA" w:rsidTr="009F7EDA">
        <w:trPr>
          <w:trHeight w:val="1360"/>
        </w:trPr>
        <w:tc>
          <w:tcPr>
            <w:tcW w:w="4246" w:type="dxa"/>
            <w:gridSpan w:val="4"/>
            <w:tcBorders>
              <w:top w:val="single" w:sz="4" w:space="0" w:color="000000"/>
              <w:left w:val="single" w:sz="4" w:space="0" w:color="000000"/>
              <w:bottom w:val="single" w:sz="4" w:space="0" w:color="000000"/>
              <w:right w:val="single" w:sz="4" w:space="0" w:color="000000"/>
            </w:tcBorders>
            <w:shd w:val="clear" w:color="auto" w:fill="auto"/>
          </w:tcPr>
          <w:p w:rsidR="009F7EDA" w:rsidRDefault="009F7EDA" w:rsidP="009F7EDA">
            <w:pPr>
              <w:textAlignment w:val="top"/>
              <w:rPr>
                <w:rFonts w:cs="宋体" w:hint="default"/>
                <w:color w:val="000000"/>
                <w:sz w:val="15"/>
                <w:szCs w:val="15"/>
              </w:rPr>
            </w:pPr>
            <w:r>
              <w:rPr>
                <w:rFonts w:cs="宋体"/>
                <w:color w:val="000000"/>
                <w:sz w:val="15"/>
                <w:szCs w:val="15"/>
                <w:lang w:bidi="ar"/>
              </w:rPr>
              <w:t>1、基层医疗卫生机构按要求实施基本药物制度；2、基本药物制度在村卫生室顺利实施；3、对基本药物制度补助满意度进一步提高。</w:t>
            </w:r>
          </w:p>
        </w:tc>
        <w:tc>
          <w:tcPr>
            <w:tcW w:w="3014" w:type="dxa"/>
            <w:gridSpan w:val="4"/>
            <w:tcBorders>
              <w:top w:val="single" w:sz="4" w:space="0" w:color="000000"/>
              <w:left w:val="single" w:sz="4" w:space="0" w:color="000000"/>
              <w:bottom w:val="single" w:sz="4" w:space="0" w:color="000000"/>
              <w:right w:val="single" w:sz="4" w:space="0" w:color="000000"/>
            </w:tcBorders>
            <w:shd w:val="clear" w:color="auto" w:fill="auto"/>
          </w:tcPr>
          <w:p w:rsidR="009F7EDA" w:rsidRDefault="009F7EDA" w:rsidP="009F7EDA">
            <w:pPr>
              <w:textAlignment w:val="top"/>
              <w:rPr>
                <w:rFonts w:cs="宋体" w:hint="default"/>
                <w:color w:val="000000"/>
                <w:sz w:val="15"/>
                <w:szCs w:val="15"/>
              </w:rPr>
            </w:pPr>
            <w:r>
              <w:rPr>
                <w:rFonts w:cs="宋体"/>
                <w:color w:val="000000"/>
                <w:sz w:val="15"/>
                <w:szCs w:val="15"/>
                <w:lang w:bidi="ar"/>
              </w:rPr>
              <w:t>1、基层医疗卫生机构按要求实施基本药物制度；2、基本药物制度在村卫生室顺利实施；3、对基本药物制度补助满意度进一步提高。</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tcPr>
          <w:p w:rsidR="009F7EDA" w:rsidRDefault="009F7EDA" w:rsidP="009F7EDA">
            <w:pPr>
              <w:textAlignment w:val="top"/>
              <w:rPr>
                <w:rFonts w:cs="宋体" w:hint="default"/>
                <w:color w:val="000000"/>
                <w:sz w:val="15"/>
                <w:szCs w:val="15"/>
              </w:rPr>
            </w:pPr>
            <w:r>
              <w:rPr>
                <w:rFonts w:cs="宋体"/>
                <w:color w:val="000000"/>
                <w:sz w:val="15"/>
                <w:szCs w:val="15"/>
                <w:lang w:bidi="ar"/>
              </w:rPr>
              <w:t>本年度按要求实施基本药物制度，来院患者对基本药物制度补助满意度进一步提高。</w:t>
            </w:r>
          </w:p>
        </w:tc>
      </w:tr>
      <w:tr w:rsidR="009F7EDA" w:rsidTr="009F7EDA">
        <w:trPr>
          <w:trHeight w:val="542"/>
        </w:trPr>
        <w:tc>
          <w:tcPr>
            <w:tcW w:w="938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ascii="微软雅黑" w:eastAsia="微软雅黑" w:hAnsi="微软雅黑" w:cs="微软雅黑" w:hint="default"/>
                <w:b/>
                <w:bCs/>
                <w:color w:val="808080"/>
                <w:sz w:val="15"/>
                <w:szCs w:val="15"/>
              </w:rPr>
            </w:pPr>
            <w:r>
              <w:rPr>
                <w:rFonts w:ascii="微软雅黑" w:eastAsia="微软雅黑" w:hAnsi="微软雅黑" w:cs="微软雅黑"/>
                <w:b/>
                <w:bCs/>
                <w:color w:val="808080"/>
                <w:sz w:val="15"/>
                <w:szCs w:val="15"/>
                <w:lang w:bidi="ar"/>
              </w:rPr>
              <w:t>绩效指标</w:t>
            </w:r>
          </w:p>
        </w:tc>
      </w:tr>
      <w:tr w:rsidR="009F7EDA" w:rsidTr="009F7EDA">
        <w:trPr>
          <w:trHeight w:val="943"/>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指标名称</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计量单位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指标性质</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指标值</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全年完成值</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偏离度（%）</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得分系数（%）</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指标权重</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指标得分</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是否核心指标</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jc w:val="center"/>
              <w:textAlignment w:val="center"/>
              <w:rPr>
                <w:rFonts w:cs="宋体" w:hint="default"/>
                <w:b/>
                <w:bCs/>
                <w:color w:val="000000"/>
                <w:sz w:val="15"/>
                <w:szCs w:val="15"/>
              </w:rPr>
            </w:pPr>
            <w:r>
              <w:rPr>
                <w:rFonts w:cs="宋体"/>
                <w:b/>
                <w:bCs/>
                <w:color w:val="000000"/>
                <w:sz w:val="15"/>
                <w:szCs w:val="15"/>
                <w:lang w:bidi="ar"/>
              </w:rPr>
              <w:t>说明</w:t>
            </w:r>
          </w:p>
        </w:tc>
      </w:tr>
      <w:tr w:rsidR="009F7EDA" w:rsidTr="009F7EDA">
        <w:trPr>
          <w:trHeight w:val="439"/>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基药补</w:t>
            </w:r>
            <w:proofErr w:type="gramStart"/>
            <w:r>
              <w:rPr>
                <w:rFonts w:cs="宋体"/>
                <w:color w:val="000000"/>
                <w:sz w:val="15"/>
                <w:szCs w:val="15"/>
                <w:lang w:bidi="ar"/>
              </w:rPr>
              <w:t>助项目</w:t>
            </w:r>
            <w:proofErr w:type="gramEnd"/>
            <w:r>
              <w:rPr>
                <w:rFonts w:cs="宋体"/>
                <w:color w:val="000000"/>
                <w:sz w:val="15"/>
                <w:szCs w:val="15"/>
                <w:lang w:bidi="ar"/>
              </w:rPr>
              <w:t>服务质量</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良好</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15</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是</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r>
      <w:tr w:rsidR="009F7EDA" w:rsidTr="009F7EDA">
        <w:trPr>
          <w:trHeight w:val="439"/>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基药全年完成合格率</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90</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11.11</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r>
      <w:tr w:rsidR="009F7EDA" w:rsidTr="009F7EDA">
        <w:trPr>
          <w:trHeight w:val="439"/>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基</w:t>
            </w:r>
            <w:proofErr w:type="gramStart"/>
            <w:r>
              <w:rPr>
                <w:rFonts w:cs="宋体"/>
                <w:color w:val="000000"/>
                <w:sz w:val="15"/>
                <w:szCs w:val="15"/>
                <w:lang w:bidi="ar"/>
              </w:rPr>
              <w:t>药管理</w:t>
            </w:r>
            <w:proofErr w:type="gramEnd"/>
            <w:r>
              <w:rPr>
                <w:rFonts w:cs="宋体"/>
                <w:color w:val="000000"/>
                <w:sz w:val="15"/>
                <w:szCs w:val="15"/>
                <w:lang w:bidi="ar"/>
              </w:rPr>
              <w:t>制度落实到位</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良好</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20</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80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12</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p>
        </w:tc>
      </w:tr>
      <w:tr w:rsidR="009F7EDA" w:rsidTr="009F7EDA">
        <w:trPr>
          <w:trHeight w:val="439"/>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基药补</w:t>
            </w:r>
            <w:proofErr w:type="gramStart"/>
            <w:r>
              <w:rPr>
                <w:rFonts w:cs="宋体"/>
                <w:color w:val="000000"/>
                <w:sz w:val="15"/>
                <w:szCs w:val="15"/>
                <w:lang w:bidi="ar"/>
              </w:rPr>
              <w:t>助项目</w:t>
            </w:r>
            <w:proofErr w:type="gramEnd"/>
            <w:r>
              <w:rPr>
                <w:rFonts w:cs="宋体"/>
                <w:color w:val="000000"/>
                <w:sz w:val="15"/>
                <w:szCs w:val="15"/>
                <w:lang w:bidi="ar"/>
              </w:rPr>
              <w:t>服务安全性</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良好</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r>
      <w:tr w:rsidR="009F7EDA" w:rsidTr="009F7EDA">
        <w:trPr>
          <w:trHeight w:val="632"/>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lastRenderedPageBreak/>
              <w:t>为辖区居民提供价格合理的基</w:t>
            </w:r>
            <w:proofErr w:type="gramStart"/>
            <w:r>
              <w:rPr>
                <w:rFonts w:cs="宋体"/>
                <w:color w:val="000000"/>
                <w:sz w:val="15"/>
                <w:szCs w:val="15"/>
                <w:lang w:bidi="ar"/>
              </w:rPr>
              <w:t>药服务</w:t>
            </w:r>
            <w:proofErr w:type="gramEnd"/>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良好</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r>
      <w:tr w:rsidR="009F7EDA" w:rsidTr="009F7EDA">
        <w:trPr>
          <w:trHeight w:val="439"/>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基层医疗机构正常运行</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良好</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r>
      <w:tr w:rsidR="009F7EDA" w:rsidTr="009F7EDA">
        <w:trPr>
          <w:trHeight w:val="439"/>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来院病人满意度</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90</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93.33</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3.7</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r>
      <w:tr w:rsidR="009F7EDA" w:rsidTr="009F7EDA">
        <w:trPr>
          <w:trHeight w:val="642"/>
        </w:trPr>
        <w:tc>
          <w:tcPr>
            <w:tcW w:w="1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基本药物补助公用经费成本</w:t>
            </w:r>
          </w:p>
        </w:tc>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元</w:t>
            </w:r>
          </w:p>
        </w:tc>
        <w:tc>
          <w:tcPr>
            <w:tcW w:w="7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134059</w:t>
            </w:r>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146295</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9.13</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6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7EDA" w:rsidRDefault="009F7EDA" w:rsidP="009F7EDA">
            <w:pPr>
              <w:rPr>
                <w:rFonts w:cs="宋体" w:hint="default"/>
                <w:color w:val="000000"/>
                <w:sz w:val="15"/>
                <w:szCs w:val="15"/>
              </w:rPr>
            </w:pPr>
          </w:p>
        </w:tc>
      </w:tr>
    </w:tbl>
    <w:p w:rsidR="00AD0C71" w:rsidRDefault="00AD0C71">
      <w:pPr>
        <w:pStyle w:val="Char0"/>
        <w:spacing w:before="0" w:beforeAutospacing="0" w:after="0" w:afterAutospacing="0" w:line="596" w:lineRule="exact"/>
        <w:ind w:firstLineChars="100" w:firstLine="321"/>
        <w:rPr>
          <w:rFonts w:ascii="方正仿宋_GBK" w:eastAsia="方正仿宋_GBK" w:hAnsi="方正仿宋_GBK" w:cs="方正仿宋_GBK"/>
          <w:b/>
          <w:bCs/>
          <w:sz w:val="32"/>
          <w:szCs w:val="32"/>
          <w:shd w:val="clear" w:color="auto" w:fill="FFFFFF"/>
        </w:rPr>
      </w:pPr>
    </w:p>
    <w:p w:rsidR="00AD0C71" w:rsidRDefault="00AD0C71">
      <w:pPr>
        <w:pStyle w:val="Char0"/>
        <w:spacing w:before="0" w:beforeAutospacing="0" w:after="0" w:afterAutospacing="0" w:line="596" w:lineRule="exact"/>
        <w:ind w:firstLineChars="100" w:firstLine="321"/>
        <w:rPr>
          <w:rFonts w:ascii="方正仿宋_GBK" w:eastAsia="方正仿宋_GBK" w:hAnsi="方正仿宋_GBK" w:cs="方正仿宋_GBK"/>
          <w:b/>
          <w:bCs/>
          <w:sz w:val="32"/>
          <w:szCs w:val="32"/>
          <w:shd w:val="clear" w:color="auto" w:fill="FFFFFF"/>
        </w:rPr>
      </w:pPr>
    </w:p>
    <w:p w:rsidR="00AD0C71" w:rsidRDefault="00AD0C71">
      <w:pPr>
        <w:pStyle w:val="Char0"/>
        <w:autoSpaceDE w:val="0"/>
        <w:spacing w:before="0" w:beforeAutospacing="0" w:after="0" w:afterAutospacing="0"/>
        <w:rPr>
          <w:rFonts w:ascii="楷体" w:eastAsia="楷体" w:hAnsi="楷体" w:cs="楷体"/>
          <w:b/>
          <w:bCs/>
          <w:sz w:val="32"/>
          <w:szCs w:val="32"/>
          <w:shd w:val="clear" w:color="auto" w:fill="FFFFFF"/>
        </w:rPr>
      </w:pPr>
    </w:p>
    <w:tbl>
      <w:tblPr>
        <w:tblpPr w:leftFromText="180" w:rightFromText="180" w:vertAnchor="text" w:horzAnchor="page" w:tblpXSpec="center" w:tblpY="637"/>
        <w:tblOverlap w:val="never"/>
        <w:tblW w:w="9400" w:type="dxa"/>
        <w:tblLayout w:type="fixed"/>
        <w:tblLook w:val="04A0" w:firstRow="1" w:lastRow="0" w:firstColumn="1" w:lastColumn="0" w:noHBand="0" w:noVBand="1"/>
      </w:tblPr>
      <w:tblGrid>
        <w:gridCol w:w="1727"/>
        <w:gridCol w:w="655"/>
        <w:gridCol w:w="532"/>
        <w:gridCol w:w="872"/>
        <w:gridCol w:w="682"/>
        <w:gridCol w:w="873"/>
        <w:gridCol w:w="1009"/>
        <w:gridCol w:w="873"/>
        <w:gridCol w:w="522"/>
        <w:gridCol w:w="886"/>
        <w:gridCol w:w="769"/>
      </w:tblGrid>
      <w:tr w:rsidR="00AD0C71" w:rsidTr="009F7EDA">
        <w:trPr>
          <w:trHeight w:val="425"/>
        </w:trPr>
        <w:tc>
          <w:tcPr>
            <w:tcW w:w="940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ascii="微软雅黑" w:eastAsia="微软雅黑" w:hAnsi="微软雅黑" w:cs="微软雅黑" w:hint="default"/>
                <w:b/>
                <w:bCs/>
                <w:color w:val="000000"/>
                <w:sz w:val="15"/>
                <w:szCs w:val="15"/>
              </w:rPr>
            </w:pPr>
            <w:r>
              <w:rPr>
                <w:rFonts w:ascii="微软雅黑" w:eastAsia="微软雅黑" w:hAnsi="微软雅黑" w:cs="微软雅黑"/>
                <w:b/>
                <w:bCs/>
                <w:color w:val="000000"/>
                <w:sz w:val="15"/>
                <w:szCs w:val="15"/>
                <w:lang w:bidi="ar"/>
              </w:rPr>
              <w:t>2024</w:t>
            </w:r>
            <w:r>
              <w:rPr>
                <w:rFonts w:ascii="微软雅黑" w:eastAsia="微软雅黑" w:hAnsi="微软雅黑" w:cs="微软雅黑"/>
                <w:b/>
                <w:bCs/>
                <w:color w:val="000000"/>
                <w:sz w:val="15"/>
                <w:szCs w:val="15"/>
                <w:lang w:bidi="ar"/>
              </w:rPr>
              <w:t>年度二级项目绩效自评表</w:t>
            </w:r>
          </w:p>
        </w:tc>
      </w:tr>
      <w:tr w:rsidR="00AD0C71" w:rsidTr="009F7EDA">
        <w:trPr>
          <w:trHeight w:val="304"/>
        </w:trPr>
        <w:tc>
          <w:tcPr>
            <w:tcW w:w="940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ind w:firstLineChars="100" w:firstLine="151"/>
              <w:jc w:val="right"/>
              <w:textAlignment w:val="center"/>
              <w:rPr>
                <w:rFonts w:cs="宋体" w:hint="default"/>
                <w:b/>
                <w:bCs/>
                <w:color w:val="DA3232"/>
                <w:sz w:val="15"/>
                <w:szCs w:val="15"/>
              </w:rPr>
            </w:pPr>
          </w:p>
        </w:tc>
      </w:tr>
      <w:tr w:rsidR="00AD0C71" w:rsidTr="009F7EDA">
        <w:trPr>
          <w:trHeight w:val="304"/>
        </w:trPr>
        <w:tc>
          <w:tcPr>
            <w:tcW w:w="1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b/>
                <w:bCs/>
                <w:color w:val="000000"/>
                <w:sz w:val="15"/>
                <w:szCs w:val="15"/>
              </w:rPr>
            </w:pPr>
            <w:r>
              <w:rPr>
                <w:rFonts w:cs="宋体"/>
                <w:b/>
                <w:bCs/>
                <w:color w:val="000000"/>
                <w:sz w:val="15"/>
                <w:szCs w:val="15"/>
                <w:lang w:bidi="ar"/>
              </w:rPr>
              <w:t>项目名称：</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基本公共卫生服务</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b/>
                <w:bCs/>
                <w:color w:val="000000"/>
                <w:sz w:val="15"/>
                <w:szCs w:val="15"/>
              </w:rPr>
            </w:pPr>
            <w:r>
              <w:rPr>
                <w:rFonts w:cs="宋体"/>
                <w:b/>
                <w:bCs/>
                <w:color w:val="000000"/>
                <w:sz w:val="15"/>
                <w:szCs w:val="15"/>
                <w:lang w:bidi="ar"/>
              </w:rPr>
              <w:t>项目编码：</w:t>
            </w:r>
          </w:p>
        </w:tc>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50019322T000002450118</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b/>
                <w:bCs/>
                <w:color w:val="000000"/>
                <w:sz w:val="15"/>
                <w:szCs w:val="15"/>
              </w:rPr>
            </w:pPr>
            <w:r>
              <w:rPr>
                <w:rFonts w:cs="宋体"/>
                <w:b/>
                <w:bCs/>
                <w:color w:val="000000"/>
                <w:sz w:val="15"/>
                <w:szCs w:val="15"/>
                <w:lang w:bidi="ar"/>
              </w:rPr>
              <w:t>自评总分：</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100.00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jc w:val="right"/>
              <w:rPr>
                <w:rFonts w:cs="宋体" w:hint="default"/>
                <w:b/>
                <w:bCs/>
                <w:color w:val="000000"/>
                <w:sz w:val="15"/>
                <w:szCs w:val="15"/>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AD0C71">
            <w:pPr>
              <w:rPr>
                <w:rFonts w:cs="宋体" w:hint="default"/>
                <w:color w:val="000000"/>
                <w:sz w:val="15"/>
                <w:szCs w:val="15"/>
              </w:rPr>
            </w:pPr>
          </w:p>
        </w:tc>
      </w:tr>
      <w:tr w:rsidR="00AD0C71" w:rsidTr="009F7EDA">
        <w:trPr>
          <w:trHeight w:val="598"/>
        </w:trPr>
        <w:tc>
          <w:tcPr>
            <w:tcW w:w="1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b/>
                <w:bCs/>
                <w:color w:val="000000"/>
                <w:sz w:val="15"/>
                <w:szCs w:val="15"/>
              </w:rPr>
            </w:pPr>
            <w:r>
              <w:rPr>
                <w:rFonts w:cs="宋体"/>
                <w:b/>
                <w:bCs/>
                <w:color w:val="000000"/>
                <w:sz w:val="15"/>
                <w:szCs w:val="15"/>
                <w:lang w:bidi="ar"/>
              </w:rPr>
              <w:t>项目主管部门：</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204-</w:t>
            </w:r>
            <w:r>
              <w:rPr>
                <w:rFonts w:cs="宋体"/>
                <w:color w:val="000000"/>
                <w:sz w:val="15"/>
                <w:szCs w:val="15"/>
                <w:lang w:bidi="ar"/>
              </w:rPr>
              <w:t>重庆高新区卫生系统</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b/>
                <w:bCs/>
                <w:color w:val="000000"/>
                <w:sz w:val="15"/>
                <w:szCs w:val="15"/>
              </w:rPr>
            </w:pPr>
            <w:r>
              <w:rPr>
                <w:rFonts w:cs="宋体"/>
                <w:b/>
                <w:bCs/>
                <w:color w:val="000000"/>
                <w:sz w:val="15"/>
                <w:szCs w:val="15"/>
                <w:lang w:bidi="ar"/>
              </w:rPr>
              <w:t>财政归口处室：</w:t>
            </w:r>
          </w:p>
        </w:tc>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002-</w:t>
            </w:r>
            <w:r>
              <w:rPr>
                <w:rFonts w:cs="宋体"/>
                <w:color w:val="000000"/>
                <w:sz w:val="15"/>
                <w:szCs w:val="15"/>
                <w:lang w:bidi="ar"/>
              </w:rPr>
              <w:t>公共科</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b/>
                <w:bCs/>
                <w:color w:val="000000"/>
                <w:sz w:val="15"/>
                <w:szCs w:val="15"/>
              </w:rPr>
            </w:pPr>
            <w:r>
              <w:rPr>
                <w:rFonts w:cs="宋体"/>
                <w:b/>
                <w:bCs/>
                <w:color w:val="000000"/>
                <w:sz w:val="15"/>
                <w:szCs w:val="15"/>
                <w:lang w:bidi="ar"/>
              </w:rPr>
              <w:t>部门联系人：</w:t>
            </w:r>
          </w:p>
        </w:tc>
        <w:tc>
          <w:tcPr>
            <w:tcW w:w="13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严洁</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both"/>
              <w:textAlignment w:val="center"/>
              <w:rPr>
                <w:rFonts w:cs="宋体" w:hint="default"/>
                <w:b/>
                <w:bCs/>
                <w:color w:val="000000"/>
                <w:sz w:val="15"/>
                <w:szCs w:val="15"/>
                <w:lang w:bidi="ar"/>
              </w:rPr>
            </w:pPr>
            <w:r>
              <w:rPr>
                <w:rFonts w:cs="宋体"/>
                <w:b/>
                <w:bCs/>
                <w:color w:val="000000"/>
                <w:sz w:val="15"/>
                <w:szCs w:val="15"/>
                <w:lang w:bidi="ar"/>
              </w:rPr>
              <w:t>联系</w:t>
            </w:r>
          </w:p>
          <w:p w:rsidR="00AD0C71" w:rsidRDefault="001425A7">
            <w:pPr>
              <w:jc w:val="both"/>
              <w:textAlignment w:val="center"/>
              <w:rPr>
                <w:rFonts w:cs="宋体" w:hint="default"/>
                <w:b/>
                <w:bCs/>
                <w:color w:val="000000"/>
                <w:sz w:val="15"/>
                <w:szCs w:val="15"/>
              </w:rPr>
            </w:pPr>
            <w:r>
              <w:rPr>
                <w:rFonts w:cs="宋体"/>
                <w:b/>
                <w:bCs/>
                <w:color w:val="000000"/>
                <w:sz w:val="15"/>
                <w:szCs w:val="15"/>
                <w:lang w:bidi="ar"/>
              </w:rPr>
              <w:t>电话：</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textAlignment w:val="center"/>
              <w:rPr>
                <w:rFonts w:cs="宋体" w:hint="default"/>
                <w:color w:val="000000"/>
                <w:sz w:val="15"/>
                <w:szCs w:val="15"/>
              </w:rPr>
            </w:pPr>
            <w:r>
              <w:rPr>
                <w:rFonts w:cs="宋体"/>
                <w:color w:val="000000"/>
                <w:sz w:val="15"/>
                <w:szCs w:val="15"/>
                <w:lang w:bidi="ar"/>
              </w:rPr>
              <w:t>65004561</w:t>
            </w:r>
          </w:p>
        </w:tc>
      </w:tr>
      <w:tr w:rsidR="00AD0C71" w:rsidTr="009F7EDA">
        <w:trPr>
          <w:trHeight w:val="304"/>
        </w:trPr>
        <w:tc>
          <w:tcPr>
            <w:tcW w:w="940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ascii="微软雅黑" w:eastAsia="微软雅黑" w:hAnsi="微软雅黑" w:cs="微软雅黑" w:hint="default"/>
                <w:b/>
                <w:bCs/>
                <w:color w:val="808080"/>
                <w:sz w:val="15"/>
                <w:szCs w:val="15"/>
              </w:rPr>
            </w:pPr>
            <w:r>
              <w:rPr>
                <w:rFonts w:ascii="微软雅黑" w:eastAsia="微软雅黑" w:hAnsi="微软雅黑" w:cs="微软雅黑"/>
                <w:b/>
                <w:bCs/>
                <w:color w:val="808080"/>
                <w:sz w:val="15"/>
                <w:szCs w:val="15"/>
                <w:lang w:bidi="ar"/>
              </w:rPr>
              <w:t>资金情况</w:t>
            </w:r>
          </w:p>
        </w:tc>
      </w:tr>
      <w:tr w:rsidR="00AD0C71" w:rsidTr="009F7EDA">
        <w:trPr>
          <w:trHeight w:val="598"/>
        </w:trPr>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jc w:val="center"/>
              <w:rPr>
                <w:rFonts w:cs="宋体" w:hint="default"/>
                <w:color w:val="000000"/>
                <w:sz w:val="15"/>
                <w:szCs w:val="15"/>
              </w:rPr>
            </w:pPr>
          </w:p>
        </w:tc>
        <w:tc>
          <w:tcPr>
            <w:tcW w:w="140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年初预算数</w:t>
            </w:r>
          </w:p>
        </w:tc>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全年（调整）预算数</w:t>
            </w:r>
          </w:p>
        </w:tc>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全年执行数</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执行率</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textAlignment w:val="center"/>
              <w:rPr>
                <w:rFonts w:cs="宋体" w:hint="default"/>
                <w:b/>
                <w:bCs/>
                <w:color w:val="000000"/>
                <w:sz w:val="15"/>
                <w:szCs w:val="15"/>
              </w:rPr>
            </w:pPr>
            <w:r>
              <w:rPr>
                <w:rFonts w:cs="宋体"/>
                <w:b/>
                <w:bCs/>
                <w:color w:val="000000"/>
                <w:sz w:val="15"/>
                <w:szCs w:val="15"/>
                <w:lang w:bidi="ar"/>
              </w:rPr>
              <w:t>执行率权重</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执行率得分</w:t>
            </w:r>
          </w:p>
        </w:tc>
      </w:tr>
      <w:tr w:rsidR="00AD0C71" w:rsidTr="009F7EDA">
        <w:trPr>
          <w:trHeight w:val="598"/>
        </w:trPr>
        <w:tc>
          <w:tcPr>
            <w:tcW w:w="1727" w:type="dxa"/>
            <w:tcBorders>
              <w:top w:val="single" w:sz="4" w:space="0" w:color="000000"/>
              <w:left w:val="single" w:sz="4" w:space="0" w:color="000000"/>
              <w:bottom w:val="single" w:sz="4" w:space="0" w:color="000000"/>
              <w:right w:val="nil"/>
            </w:tcBorders>
            <w:shd w:val="clear" w:color="auto" w:fill="auto"/>
            <w:vAlign w:val="center"/>
          </w:tcPr>
          <w:p w:rsidR="00AD0C71" w:rsidRDefault="001425A7">
            <w:pPr>
              <w:textAlignment w:val="center"/>
              <w:rPr>
                <w:rFonts w:cs="宋体" w:hint="default"/>
                <w:color w:val="000000"/>
                <w:sz w:val="15"/>
                <w:szCs w:val="15"/>
              </w:rPr>
            </w:pPr>
            <w:r>
              <w:rPr>
                <w:rFonts w:cs="宋体"/>
                <w:color w:val="000000"/>
                <w:sz w:val="15"/>
                <w:szCs w:val="15"/>
                <w:lang w:bidi="ar"/>
              </w:rPr>
              <w:t>年度总金额</w:t>
            </w:r>
          </w:p>
        </w:tc>
        <w:tc>
          <w:tcPr>
            <w:tcW w:w="655" w:type="dxa"/>
            <w:tcBorders>
              <w:top w:val="single" w:sz="4" w:space="0" w:color="000000"/>
              <w:left w:val="nil"/>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c>
          <w:tcPr>
            <w:tcW w:w="532"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2" w:type="dxa"/>
            <w:tcBorders>
              <w:top w:val="single" w:sz="4" w:space="0" w:color="000000"/>
              <w:left w:val="nil"/>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0.00 </w:t>
            </w:r>
          </w:p>
        </w:tc>
        <w:tc>
          <w:tcPr>
            <w:tcW w:w="682"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3,262,560.30 </w:t>
            </w:r>
          </w:p>
        </w:tc>
        <w:tc>
          <w:tcPr>
            <w:tcW w:w="1009"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3" w:type="dxa"/>
            <w:tcBorders>
              <w:top w:val="single" w:sz="4" w:space="0" w:color="000000"/>
              <w:left w:val="nil"/>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3,262,560.30 </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jc w:val="right"/>
              <w:rPr>
                <w:rFonts w:cs="宋体" w:hint="default"/>
                <w:color w:val="000000"/>
                <w:sz w:val="15"/>
                <w:szCs w:val="15"/>
              </w:rPr>
            </w:pPr>
          </w:p>
        </w:tc>
      </w:tr>
      <w:tr w:rsidR="00AD0C71" w:rsidTr="009F7EDA">
        <w:trPr>
          <w:trHeight w:val="598"/>
        </w:trPr>
        <w:tc>
          <w:tcPr>
            <w:tcW w:w="1727" w:type="dxa"/>
            <w:tcBorders>
              <w:top w:val="single" w:sz="4" w:space="0" w:color="000000"/>
              <w:left w:val="single" w:sz="4" w:space="0" w:color="000000"/>
              <w:bottom w:val="single" w:sz="4" w:space="0" w:color="000000"/>
              <w:right w:val="nil"/>
            </w:tcBorders>
            <w:shd w:val="clear" w:color="auto" w:fill="auto"/>
            <w:vAlign w:val="center"/>
          </w:tcPr>
          <w:p w:rsidR="00AD0C71" w:rsidRDefault="001425A7">
            <w:pPr>
              <w:textAlignment w:val="center"/>
              <w:rPr>
                <w:rFonts w:cs="宋体" w:hint="default"/>
                <w:color w:val="000000"/>
                <w:sz w:val="15"/>
                <w:szCs w:val="15"/>
              </w:rPr>
            </w:pPr>
            <w:r>
              <w:rPr>
                <w:rFonts w:cs="宋体"/>
                <w:color w:val="000000"/>
                <w:sz w:val="15"/>
                <w:szCs w:val="15"/>
                <w:lang w:bidi="ar"/>
              </w:rPr>
              <w:t>其中：财政拨款</w:t>
            </w:r>
          </w:p>
        </w:tc>
        <w:tc>
          <w:tcPr>
            <w:tcW w:w="655" w:type="dxa"/>
            <w:tcBorders>
              <w:top w:val="single" w:sz="4" w:space="0" w:color="000000"/>
              <w:left w:val="nil"/>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c>
          <w:tcPr>
            <w:tcW w:w="532"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2" w:type="dxa"/>
            <w:tcBorders>
              <w:top w:val="single" w:sz="4" w:space="0" w:color="000000"/>
              <w:left w:val="nil"/>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0.00 </w:t>
            </w:r>
          </w:p>
        </w:tc>
        <w:tc>
          <w:tcPr>
            <w:tcW w:w="682"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3,262,560.30 </w:t>
            </w:r>
          </w:p>
        </w:tc>
        <w:tc>
          <w:tcPr>
            <w:tcW w:w="1009"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3" w:type="dxa"/>
            <w:tcBorders>
              <w:top w:val="single" w:sz="4" w:space="0" w:color="000000"/>
              <w:left w:val="nil"/>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3,262,560.30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100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textAlignment w:val="center"/>
              <w:rPr>
                <w:rFonts w:cs="宋体" w:hint="default"/>
                <w:color w:val="000000"/>
                <w:sz w:val="15"/>
                <w:szCs w:val="15"/>
              </w:rPr>
            </w:pPr>
            <w:r>
              <w:rPr>
                <w:rFonts w:cs="宋体"/>
                <w:color w:val="000000"/>
                <w:sz w:val="15"/>
                <w:szCs w:val="15"/>
                <w:lang w:bidi="ar"/>
              </w:rPr>
              <w:t>10.00</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 xml:space="preserve">10.00 </w:t>
            </w:r>
          </w:p>
        </w:tc>
      </w:tr>
      <w:tr w:rsidR="00AD0C71" w:rsidTr="009F7EDA">
        <w:trPr>
          <w:trHeight w:val="532"/>
        </w:trPr>
        <w:tc>
          <w:tcPr>
            <w:tcW w:w="1727" w:type="dxa"/>
            <w:tcBorders>
              <w:top w:val="single" w:sz="4" w:space="0" w:color="000000"/>
              <w:left w:val="single" w:sz="4" w:space="0" w:color="000000"/>
              <w:bottom w:val="single" w:sz="4" w:space="0" w:color="000000"/>
              <w:right w:val="nil"/>
            </w:tcBorders>
            <w:shd w:val="clear" w:color="auto" w:fill="auto"/>
            <w:vAlign w:val="center"/>
          </w:tcPr>
          <w:p w:rsidR="00AD0C71" w:rsidRDefault="001425A7">
            <w:pPr>
              <w:textAlignment w:val="center"/>
              <w:rPr>
                <w:rFonts w:cs="宋体" w:hint="default"/>
                <w:color w:val="000000"/>
                <w:sz w:val="15"/>
                <w:szCs w:val="15"/>
              </w:rPr>
            </w:pPr>
            <w:r>
              <w:rPr>
                <w:rFonts w:cs="宋体"/>
                <w:color w:val="000000"/>
                <w:sz w:val="15"/>
                <w:szCs w:val="15"/>
                <w:lang w:bidi="ar"/>
              </w:rPr>
              <w:t>一般公共预算</w:t>
            </w:r>
          </w:p>
        </w:tc>
        <w:tc>
          <w:tcPr>
            <w:tcW w:w="655" w:type="dxa"/>
            <w:tcBorders>
              <w:top w:val="single" w:sz="4" w:space="0" w:color="000000"/>
              <w:left w:val="nil"/>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c>
          <w:tcPr>
            <w:tcW w:w="532"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2" w:type="dxa"/>
            <w:tcBorders>
              <w:top w:val="single" w:sz="4" w:space="0" w:color="000000"/>
              <w:left w:val="nil"/>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0.00 </w:t>
            </w:r>
          </w:p>
        </w:tc>
        <w:tc>
          <w:tcPr>
            <w:tcW w:w="682"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3,262,560.30 </w:t>
            </w:r>
          </w:p>
        </w:tc>
        <w:tc>
          <w:tcPr>
            <w:tcW w:w="1009" w:type="dxa"/>
            <w:tcBorders>
              <w:top w:val="single" w:sz="4" w:space="0" w:color="000000"/>
              <w:left w:val="single" w:sz="4" w:space="0" w:color="000000"/>
              <w:bottom w:val="single" w:sz="4" w:space="0" w:color="000000"/>
              <w:right w:val="nil"/>
            </w:tcBorders>
            <w:shd w:val="clear" w:color="auto" w:fill="auto"/>
            <w:noWrap/>
            <w:vAlign w:val="center"/>
          </w:tcPr>
          <w:p w:rsidR="00AD0C71" w:rsidRDefault="00AD0C71">
            <w:pPr>
              <w:rPr>
                <w:rFonts w:cs="宋体" w:hint="default"/>
                <w:color w:val="000000"/>
                <w:sz w:val="15"/>
                <w:szCs w:val="15"/>
              </w:rPr>
            </w:pPr>
          </w:p>
        </w:tc>
        <w:tc>
          <w:tcPr>
            <w:tcW w:w="873" w:type="dxa"/>
            <w:tcBorders>
              <w:top w:val="single" w:sz="4" w:space="0" w:color="000000"/>
              <w:left w:val="nil"/>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 xml:space="preserve">3,262,560.30 </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right"/>
              <w:textAlignment w:val="center"/>
              <w:rPr>
                <w:rFonts w:cs="宋体" w:hint="default"/>
                <w:color w:val="000000"/>
                <w:sz w:val="15"/>
                <w:szCs w:val="15"/>
              </w:rPr>
            </w:pPr>
            <w:r>
              <w:rPr>
                <w:rFonts w:cs="宋体"/>
                <w:color w:val="000000"/>
                <w:sz w:val="15"/>
                <w:szCs w:val="15"/>
                <w:lang w:bidi="ar"/>
              </w:rPr>
              <w:t>100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jc w:val="right"/>
              <w:rPr>
                <w:rFonts w:cs="宋体" w:hint="default"/>
                <w:color w:val="000000"/>
                <w:sz w:val="15"/>
                <w:szCs w:val="15"/>
              </w:rPr>
            </w:pPr>
          </w:p>
        </w:tc>
      </w:tr>
      <w:tr w:rsidR="00AD0C71" w:rsidTr="009F7EDA">
        <w:trPr>
          <w:trHeight w:val="304"/>
        </w:trPr>
        <w:tc>
          <w:tcPr>
            <w:tcW w:w="940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ascii="微软雅黑" w:eastAsia="微软雅黑" w:hAnsi="微软雅黑" w:cs="微软雅黑" w:hint="default"/>
                <w:b/>
                <w:bCs/>
                <w:color w:val="808080"/>
                <w:sz w:val="15"/>
                <w:szCs w:val="15"/>
              </w:rPr>
            </w:pPr>
            <w:r>
              <w:rPr>
                <w:rFonts w:ascii="微软雅黑" w:eastAsia="微软雅黑" w:hAnsi="微软雅黑" w:cs="微软雅黑"/>
                <w:b/>
                <w:bCs/>
                <w:color w:val="808080"/>
                <w:sz w:val="15"/>
                <w:szCs w:val="15"/>
                <w:lang w:bidi="ar"/>
              </w:rPr>
              <w:t>绩效目标</w:t>
            </w:r>
          </w:p>
        </w:tc>
      </w:tr>
      <w:tr w:rsidR="00AD0C71" w:rsidTr="009F7EDA">
        <w:trPr>
          <w:trHeight w:val="304"/>
        </w:trPr>
        <w:tc>
          <w:tcPr>
            <w:tcW w:w="3786"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年初绩效目标</w:t>
            </w:r>
          </w:p>
        </w:tc>
        <w:tc>
          <w:tcPr>
            <w:tcW w:w="343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全年（调整）绩效目标</w:t>
            </w:r>
          </w:p>
        </w:tc>
        <w:tc>
          <w:tcPr>
            <w:tcW w:w="217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全年目标实际完成情况</w:t>
            </w:r>
          </w:p>
        </w:tc>
      </w:tr>
      <w:tr w:rsidR="00AD0C71" w:rsidTr="009F7EDA">
        <w:trPr>
          <w:trHeight w:val="1481"/>
        </w:trPr>
        <w:tc>
          <w:tcPr>
            <w:tcW w:w="3786" w:type="dxa"/>
            <w:gridSpan w:val="4"/>
            <w:tcBorders>
              <w:top w:val="single" w:sz="4" w:space="0" w:color="000000"/>
              <w:left w:val="single" w:sz="4" w:space="0" w:color="000000"/>
              <w:bottom w:val="single" w:sz="4" w:space="0" w:color="000000"/>
              <w:right w:val="single" w:sz="4" w:space="0" w:color="000000"/>
            </w:tcBorders>
            <w:shd w:val="clear" w:color="auto" w:fill="auto"/>
          </w:tcPr>
          <w:p w:rsidR="00AD0C71" w:rsidRDefault="001425A7">
            <w:pPr>
              <w:textAlignment w:val="top"/>
              <w:rPr>
                <w:rFonts w:cs="宋体" w:hint="default"/>
                <w:color w:val="000000"/>
                <w:sz w:val="15"/>
                <w:szCs w:val="15"/>
              </w:rPr>
            </w:pPr>
            <w:r>
              <w:rPr>
                <w:rFonts w:cs="宋体"/>
                <w:color w:val="000000"/>
                <w:sz w:val="15"/>
                <w:szCs w:val="15"/>
                <w:lang w:bidi="ar"/>
              </w:rPr>
              <w:t>我中心通过实施十二项基本公共卫生服务项目，对城乡居民健康问题主要是卫生问题实施干预，减少主要健康危险因素，有效预防和控制主要传染病心脏病及慢性病，提高我中心公共卫生服务和突发公共卫生事件应急处置能力，使辖区城乡居民逐步享有均等化的公共卫生服务。</w:t>
            </w:r>
          </w:p>
        </w:tc>
        <w:tc>
          <w:tcPr>
            <w:tcW w:w="3437" w:type="dxa"/>
            <w:gridSpan w:val="4"/>
            <w:tcBorders>
              <w:top w:val="single" w:sz="4" w:space="0" w:color="000000"/>
              <w:left w:val="single" w:sz="4" w:space="0" w:color="000000"/>
              <w:bottom w:val="single" w:sz="4" w:space="0" w:color="000000"/>
              <w:right w:val="single" w:sz="4" w:space="0" w:color="000000"/>
            </w:tcBorders>
            <w:shd w:val="clear" w:color="auto" w:fill="auto"/>
          </w:tcPr>
          <w:p w:rsidR="00AD0C71" w:rsidRDefault="001425A7">
            <w:pPr>
              <w:textAlignment w:val="top"/>
              <w:rPr>
                <w:rFonts w:cs="宋体" w:hint="default"/>
                <w:color w:val="000000"/>
                <w:sz w:val="15"/>
                <w:szCs w:val="15"/>
              </w:rPr>
            </w:pPr>
            <w:r>
              <w:rPr>
                <w:rFonts w:cs="宋体"/>
                <w:color w:val="000000"/>
                <w:sz w:val="15"/>
                <w:szCs w:val="15"/>
                <w:lang w:bidi="ar"/>
              </w:rPr>
              <w:t>我中心通过实施十二项基本公共卫生服务项目，对城乡居民健康问题主要是卫生问题实施干预，减少主要健康危险因素，有效预防和控制主要传染病心脏病及慢性病，提高我中心公共卫生服务和突发公共卫生事件应急处置能力，使辖区城乡居民逐步享有均等化的公共卫生服务。</w:t>
            </w:r>
          </w:p>
        </w:tc>
        <w:tc>
          <w:tcPr>
            <w:tcW w:w="2177" w:type="dxa"/>
            <w:gridSpan w:val="3"/>
            <w:tcBorders>
              <w:top w:val="single" w:sz="4" w:space="0" w:color="000000"/>
              <w:left w:val="single" w:sz="4" w:space="0" w:color="000000"/>
              <w:bottom w:val="single" w:sz="4" w:space="0" w:color="000000"/>
              <w:right w:val="single" w:sz="4" w:space="0" w:color="000000"/>
            </w:tcBorders>
            <w:shd w:val="clear" w:color="auto" w:fill="auto"/>
          </w:tcPr>
          <w:p w:rsidR="00AD0C71" w:rsidRDefault="001425A7">
            <w:pPr>
              <w:textAlignment w:val="top"/>
              <w:rPr>
                <w:rFonts w:cs="宋体" w:hint="default"/>
                <w:color w:val="000000"/>
                <w:sz w:val="15"/>
                <w:szCs w:val="15"/>
              </w:rPr>
            </w:pPr>
            <w:r>
              <w:rPr>
                <w:rFonts w:cs="宋体"/>
                <w:color w:val="000000"/>
                <w:sz w:val="15"/>
                <w:szCs w:val="15"/>
                <w:lang w:bidi="ar"/>
              </w:rPr>
              <w:t>基本完成全年基本公共卫生服务，提高辖区居民健康生活意识。</w:t>
            </w:r>
          </w:p>
        </w:tc>
      </w:tr>
      <w:tr w:rsidR="00AD0C71" w:rsidTr="009F7EDA">
        <w:trPr>
          <w:trHeight w:val="304"/>
        </w:trPr>
        <w:tc>
          <w:tcPr>
            <w:tcW w:w="9400"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ascii="微软雅黑" w:eastAsia="微软雅黑" w:hAnsi="微软雅黑" w:cs="微软雅黑" w:hint="default"/>
                <w:b/>
                <w:bCs/>
                <w:color w:val="808080"/>
                <w:sz w:val="15"/>
                <w:szCs w:val="15"/>
              </w:rPr>
            </w:pPr>
            <w:r>
              <w:rPr>
                <w:rFonts w:ascii="微软雅黑" w:eastAsia="微软雅黑" w:hAnsi="微软雅黑" w:cs="微软雅黑"/>
                <w:b/>
                <w:bCs/>
                <w:color w:val="808080"/>
                <w:sz w:val="15"/>
                <w:szCs w:val="15"/>
                <w:lang w:bidi="ar"/>
              </w:rPr>
              <w:t>绩效指标</w:t>
            </w:r>
          </w:p>
        </w:tc>
      </w:tr>
      <w:tr w:rsidR="00AD0C71" w:rsidTr="009F7EDA">
        <w:trPr>
          <w:trHeight w:val="598"/>
        </w:trPr>
        <w:tc>
          <w:tcPr>
            <w:tcW w:w="17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指标名称</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计量单位</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指标性质</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指标值</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全年完成值</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偏离度（</w:t>
            </w:r>
            <w:r>
              <w:rPr>
                <w:rFonts w:cs="宋体"/>
                <w:b/>
                <w:bCs/>
                <w:color w:val="000000"/>
                <w:sz w:val="15"/>
                <w:szCs w:val="15"/>
                <w:lang w:bidi="ar"/>
              </w:rPr>
              <w:t>%</w:t>
            </w:r>
            <w:r>
              <w:rPr>
                <w:rFonts w:cs="宋体"/>
                <w:b/>
                <w:bCs/>
                <w:color w:val="000000"/>
                <w:sz w:val="15"/>
                <w:szCs w:val="15"/>
                <w:lang w:bidi="ar"/>
              </w:rPr>
              <w:t>）</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得分系数（</w:t>
            </w:r>
            <w:r>
              <w:rPr>
                <w:rFonts w:cs="宋体"/>
                <w:b/>
                <w:bCs/>
                <w:color w:val="000000"/>
                <w:sz w:val="15"/>
                <w:szCs w:val="15"/>
                <w:lang w:bidi="ar"/>
              </w:rPr>
              <w:t>%</w:t>
            </w:r>
            <w:r>
              <w:rPr>
                <w:rFonts w:cs="宋体"/>
                <w:b/>
                <w:bCs/>
                <w:color w:val="000000"/>
                <w:sz w:val="15"/>
                <w:szCs w:val="15"/>
                <w:lang w:bidi="ar"/>
              </w:rPr>
              <w:t>）</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指标权重</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指标得分</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是否核心指标</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jc w:val="center"/>
              <w:textAlignment w:val="center"/>
              <w:rPr>
                <w:rFonts w:cs="宋体" w:hint="default"/>
                <w:b/>
                <w:bCs/>
                <w:color w:val="000000"/>
                <w:sz w:val="15"/>
                <w:szCs w:val="15"/>
              </w:rPr>
            </w:pPr>
            <w:r>
              <w:rPr>
                <w:rFonts w:cs="宋体"/>
                <w:b/>
                <w:bCs/>
                <w:color w:val="000000"/>
                <w:sz w:val="15"/>
                <w:szCs w:val="15"/>
                <w:lang w:bidi="ar"/>
              </w:rPr>
              <w:t>说明</w:t>
            </w:r>
          </w:p>
        </w:tc>
      </w:tr>
      <w:tr w:rsidR="00AD0C71" w:rsidTr="009F7EDA">
        <w:trPr>
          <w:trHeight w:val="598"/>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0-6</w:t>
            </w:r>
            <w:r>
              <w:rPr>
                <w:rFonts w:cs="宋体"/>
                <w:color w:val="000000"/>
                <w:sz w:val="15"/>
                <w:szCs w:val="15"/>
                <w:lang w:bidi="ar"/>
              </w:rPr>
              <w:t>岁儿童健康管理</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人</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6000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6440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7.33</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AD0C71">
            <w:pPr>
              <w:rPr>
                <w:rFonts w:cs="宋体" w:hint="default"/>
                <w:color w:val="000000"/>
                <w:sz w:val="15"/>
                <w:szCs w:val="15"/>
              </w:rPr>
            </w:pPr>
          </w:p>
        </w:tc>
      </w:tr>
      <w:tr w:rsidR="00AD0C71" w:rsidTr="009F7EDA">
        <w:trPr>
          <w:trHeight w:val="304"/>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健康教育</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场</w:t>
            </w:r>
            <w:r>
              <w:rPr>
                <w:rFonts w:cs="宋体"/>
                <w:color w:val="000000"/>
                <w:sz w:val="15"/>
                <w:szCs w:val="15"/>
                <w:lang w:bidi="ar"/>
              </w:rPr>
              <w:lastRenderedPageBreak/>
              <w:t>次</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lastRenderedPageBreak/>
              <w:t>≥</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20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42</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110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AD0C71">
            <w:pPr>
              <w:ind w:firstLineChars="100" w:firstLine="150"/>
              <w:textAlignment w:val="center"/>
              <w:rPr>
                <w:rFonts w:cs="宋体" w:hint="default"/>
                <w:color w:val="000000"/>
                <w:sz w:val="15"/>
                <w:szCs w:val="15"/>
              </w:rPr>
            </w:pPr>
          </w:p>
        </w:tc>
      </w:tr>
      <w:tr w:rsidR="00AD0C71" w:rsidTr="009F7EDA">
        <w:trPr>
          <w:trHeight w:val="304"/>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lastRenderedPageBreak/>
              <w:t>居民健康档案管理</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人数</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100000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123859</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23.86</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r>
      <w:tr w:rsidR="00AD0C71" w:rsidTr="009F7EDA">
        <w:trPr>
          <w:trHeight w:val="598"/>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居民健康体检</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人</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6000</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7298</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21.63</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r>
      <w:tr w:rsidR="00AD0C71" w:rsidTr="009F7EDA">
        <w:trPr>
          <w:trHeight w:val="598"/>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慢性病、重大疾病预防和控制水平</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逐年增加</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20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20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是</w:t>
            </w:r>
          </w:p>
        </w:tc>
        <w:tc>
          <w:tcPr>
            <w:tcW w:w="7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AD0C71">
            <w:pPr>
              <w:rPr>
                <w:rFonts w:cs="宋体" w:hint="default"/>
                <w:color w:val="000000"/>
                <w:sz w:val="15"/>
                <w:szCs w:val="15"/>
              </w:rPr>
            </w:pPr>
          </w:p>
        </w:tc>
      </w:tr>
      <w:tr w:rsidR="00AD0C71" w:rsidTr="009F7EDA">
        <w:trPr>
          <w:trHeight w:val="892"/>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居民健康指数</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持续上升</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r>
      <w:tr w:rsidR="00AD0C71" w:rsidTr="009F7EDA">
        <w:trPr>
          <w:trHeight w:val="505"/>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辖区居民满意度</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年</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定性</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基本满意</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r>
      <w:tr w:rsidR="00AD0C71" w:rsidTr="009F7EDA">
        <w:trPr>
          <w:trHeight w:val="608"/>
        </w:trPr>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基本公共卫生服务人员和公用经费成本支出</w:t>
            </w:r>
          </w:p>
        </w:tc>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万</w:t>
            </w:r>
          </w:p>
        </w:tc>
        <w:tc>
          <w:tcPr>
            <w:tcW w:w="5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326.26</w:t>
            </w:r>
          </w:p>
        </w:tc>
        <w:tc>
          <w:tcPr>
            <w:tcW w:w="6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326.26</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0</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100</w:t>
            </w:r>
          </w:p>
        </w:tc>
        <w:tc>
          <w:tcPr>
            <w:tcW w:w="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5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jc w:val="right"/>
              <w:textAlignment w:val="center"/>
              <w:rPr>
                <w:rFonts w:cs="宋体" w:hint="default"/>
                <w:color w:val="000000"/>
                <w:sz w:val="15"/>
                <w:szCs w:val="15"/>
              </w:rPr>
            </w:pPr>
            <w:r>
              <w:rPr>
                <w:rFonts w:cs="宋体"/>
                <w:color w:val="000000"/>
                <w:sz w:val="15"/>
                <w:szCs w:val="15"/>
                <w:lang w:bidi="ar"/>
              </w:rPr>
              <w:t>10</w:t>
            </w:r>
          </w:p>
        </w:tc>
        <w:tc>
          <w:tcPr>
            <w:tcW w:w="8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1425A7">
            <w:pPr>
              <w:ind w:firstLineChars="100" w:firstLine="150"/>
              <w:textAlignment w:val="center"/>
              <w:rPr>
                <w:rFonts w:cs="宋体" w:hint="default"/>
                <w:color w:val="000000"/>
                <w:sz w:val="15"/>
                <w:szCs w:val="15"/>
              </w:rPr>
            </w:pPr>
            <w:r>
              <w:rPr>
                <w:rFonts w:cs="宋体"/>
                <w:color w:val="000000"/>
                <w:sz w:val="15"/>
                <w:szCs w:val="15"/>
                <w:lang w:bidi="ar"/>
              </w:rPr>
              <w:t>否</w:t>
            </w:r>
          </w:p>
        </w:tc>
        <w:tc>
          <w:tcPr>
            <w:tcW w:w="7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D0C71" w:rsidRDefault="00AD0C71">
            <w:pPr>
              <w:rPr>
                <w:rFonts w:cs="宋体" w:hint="default"/>
                <w:color w:val="000000"/>
                <w:sz w:val="15"/>
                <w:szCs w:val="15"/>
              </w:rPr>
            </w:pPr>
          </w:p>
        </w:tc>
      </w:tr>
    </w:tbl>
    <w:p w:rsidR="00AD0C71" w:rsidRDefault="00AD0C71">
      <w:pPr>
        <w:pStyle w:val="Char0"/>
        <w:autoSpaceDE w:val="0"/>
        <w:spacing w:before="0" w:beforeAutospacing="0" w:after="0" w:afterAutospacing="0"/>
        <w:rPr>
          <w:rFonts w:ascii="楷体" w:eastAsia="楷体" w:hAnsi="楷体" w:cs="楷体"/>
          <w:b/>
          <w:bCs/>
          <w:sz w:val="32"/>
          <w:szCs w:val="32"/>
          <w:shd w:val="clear" w:color="auto" w:fill="FFFFFF"/>
        </w:rPr>
      </w:pPr>
    </w:p>
    <w:p w:rsidR="00AD0C71" w:rsidRDefault="001425A7">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AD0C71" w:rsidRDefault="001425A7">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AD0C71" w:rsidRDefault="001425A7">
      <w:pPr>
        <w:pStyle w:val="10"/>
        <w:autoSpaceDE w:val="0"/>
        <w:spacing w:line="596" w:lineRule="exact"/>
        <w:ind w:firstLine="643"/>
        <w:rPr>
          <w:rFonts w:ascii="方正仿宋_GBK" w:eastAsia="方正仿宋_GBK" w:hAnsi="方正仿宋_GBK" w:cs="方正仿宋_GBK" w:hint="default"/>
          <w:sz w:val="32"/>
          <w:szCs w:val="32"/>
          <w:shd w:val="clear" w:color="auto" w:fill="FFFFFF"/>
        </w:rPr>
      </w:pPr>
      <w:r>
        <w:rPr>
          <w:rFonts w:ascii="楷体" w:eastAsia="楷体" w:hAnsi="楷体" w:cs="楷体"/>
          <w:b/>
          <w:bCs/>
          <w:sz w:val="32"/>
          <w:szCs w:val="32"/>
          <w:shd w:val="clear" w:color="auto" w:fill="FFFFFF"/>
          <w:lang w:bidi="ar"/>
        </w:rPr>
        <w:t>（三）财政绩效评价情况</w:t>
      </w:r>
    </w:p>
    <w:p w:rsidR="00AD0C71" w:rsidRDefault="001425A7">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eastAsia="方正仿宋_GBK"/>
          <w:bCs/>
          <w:sz w:val="32"/>
          <w:szCs w:val="32"/>
        </w:rPr>
        <w:t>高新区</w:t>
      </w:r>
      <w:r>
        <w:rPr>
          <w:rFonts w:ascii="Times New Roman" w:eastAsia="方正仿宋_GBK" w:hAnsi="Times New Roman" w:hint="default"/>
          <w:bCs/>
          <w:sz w:val="32"/>
          <w:szCs w:val="32"/>
        </w:rPr>
        <w:t>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AD0C71" w:rsidRDefault="001425A7">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w:t>
      </w:r>
      <w:r>
        <w:rPr>
          <w:rStyle w:val="ab"/>
          <w:rFonts w:ascii="黑体" w:eastAsia="黑体" w:hAnsi="黑体" w:cs="黑体" w:hint="eastAsia"/>
          <w:sz w:val="32"/>
          <w:szCs w:val="32"/>
          <w:shd w:val="clear" w:color="auto" w:fill="FFFFFF"/>
        </w:rPr>
        <w:t>六、专业名词解释</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w:t>
      </w:r>
      <w:r>
        <w:rPr>
          <w:rFonts w:ascii="方正仿宋_GBK" w:eastAsia="方正仿宋_GBK" w:hAnsi="方正仿宋_GBK" w:cs="方正仿宋_GBK" w:hint="eastAsia"/>
          <w:sz w:val="32"/>
          <w:szCs w:val="32"/>
          <w:shd w:val="clear" w:color="auto" w:fill="FFFFFF"/>
        </w:rPr>
        <w:lastRenderedPageBreak/>
        <w:t>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lastRenderedPageBreak/>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w:t>
      </w:r>
      <w:r>
        <w:rPr>
          <w:rFonts w:ascii="方正仿宋_GBK" w:eastAsia="方正仿宋_GBK" w:hAnsi="方正仿宋_GBK" w:cs="方正仿宋_GBK" w:hint="eastAsia"/>
          <w:sz w:val="32"/>
          <w:szCs w:val="32"/>
          <w:shd w:val="clear" w:color="auto" w:fill="FFFFFF"/>
        </w:rPr>
        <w:t>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lastRenderedPageBreak/>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r>
        <w:rPr>
          <w:rFonts w:ascii="方正仿宋_GBK" w:eastAsia="方正仿宋_GBK" w:hAnsi="方正仿宋_GBK" w:cs="方正仿宋_GBK" w:hint="eastAsia"/>
          <w:sz w:val="32"/>
          <w:szCs w:val="32"/>
          <w:shd w:val="clear" w:color="auto" w:fill="FFFFFF"/>
        </w:rPr>
        <w:t>。</w:t>
      </w:r>
    </w:p>
    <w:p w:rsidR="00AD0C71" w:rsidRDefault="001425A7">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黑体" w:eastAsia="黑体" w:hAnsi="黑体" w:cs="黑体" w:hint="eastAsia"/>
          <w:sz w:val="32"/>
          <w:szCs w:val="32"/>
          <w:shd w:val="clear" w:color="auto" w:fill="FFFFFF"/>
        </w:rPr>
        <w:t>七、决算公开联系方式及信息反馈渠道</w:t>
      </w:r>
    </w:p>
    <w:p w:rsidR="00AD0C71" w:rsidRDefault="001425A7" w:rsidP="009F7EDA">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严洁</w:t>
      </w:r>
      <w:r w:rsidR="009F7EDA">
        <w:rPr>
          <w:rFonts w:ascii="方正仿宋_GBK" w:eastAsia="方正仿宋_GBK" w:hAnsi="方正仿宋_GBK" w:cs="方正仿宋_GBK" w:hint="eastAsia"/>
          <w:sz w:val="32"/>
          <w:szCs w:val="32"/>
          <w:shd w:val="clear" w:color="auto" w:fill="FFFFFF"/>
        </w:rPr>
        <w:t>，</w:t>
      </w:r>
      <w:bookmarkStart w:id="0" w:name="_GoBack"/>
      <w:bookmarkEnd w:id="0"/>
      <w:r>
        <w:rPr>
          <w:rFonts w:ascii="方正仿宋_GBK" w:eastAsia="方正仿宋_GBK" w:hAnsi="方正仿宋_GBK" w:cs="方正仿宋_GBK" w:hint="eastAsia"/>
          <w:sz w:val="32"/>
          <w:szCs w:val="32"/>
          <w:shd w:val="clear" w:color="auto" w:fill="FFFFFF"/>
        </w:rPr>
        <w:t>023-65004561</w:t>
      </w:r>
    </w:p>
    <w:p w:rsidR="00AD0C71" w:rsidRDefault="00AD0C71">
      <w:pPr>
        <w:pStyle w:val="1"/>
        <w:autoSpaceDE w:val="0"/>
        <w:spacing w:line="596" w:lineRule="exact"/>
        <w:ind w:firstLine="643"/>
        <w:jc w:val="both"/>
        <w:rPr>
          <w:rStyle w:val="ab"/>
          <w:rFonts w:ascii="方正仿宋_GBK" w:eastAsia="方正仿宋_GBK" w:hAnsi="方正仿宋_GBK" w:cs="方正仿宋_GBK"/>
          <w:sz w:val="32"/>
          <w:szCs w:val="32"/>
          <w:shd w:val="clear" w:color="auto" w:fill="FFFF00"/>
        </w:rPr>
        <w:sectPr w:rsidR="00AD0C71">
          <w:footerReference w:type="default" r:id="rId9"/>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AD0C71">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AD0C71">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D0C71">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rPr>
                <w:rFonts w:ascii="Arial" w:hAnsi="Arial" w:cs="Arial" w:hint="default"/>
                <w:color w:val="000000"/>
                <w:sz w:val="22"/>
                <w:szCs w:val="22"/>
              </w:rPr>
            </w:pPr>
            <w:r>
              <w:rPr>
                <w:rFonts w:cs="宋体"/>
                <w:sz w:val="20"/>
                <w:szCs w:val="20"/>
              </w:rPr>
              <w:t>单位：</w:t>
            </w:r>
            <w:r>
              <w:rPr>
                <w:sz w:val="20"/>
              </w:rPr>
              <w:t>重庆市沙坪坝区虎溪社区卫生服务中心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885.23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2,133.18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27.78</w:t>
            </w: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2,776.16</w:t>
            </w: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9.52</w:t>
            </w: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3,018.41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2,813.46</w:t>
            </w: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204.95</w:t>
            </w:r>
            <w:r>
              <w:rPr>
                <w:rFonts w:ascii="Times New Roman" w:hAnsi="Times New Roman"/>
                <w:color w:val="000000"/>
                <w:sz w:val="20"/>
              </w:rPr>
              <w:t xml:space="preserve"> </w:t>
            </w:r>
          </w:p>
        </w:tc>
      </w:tr>
      <w:tr w:rsidR="00AD0C71">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D0C71">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3,018.41</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D0C71" w:rsidRDefault="001425A7">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3,018.41</w:t>
            </w:r>
            <w:r>
              <w:rPr>
                <w:rFonts w:ascii="Times New Roman" w:hAnsi="Times New Roman"/>
                <w:color w:val="000000"/>
                <w:sz w:val="20"/>
              </w:rPr>
              <w:t xml:space="preserve"> </w:t>
            </w:r>
          </w:p>
        </w:tc>
      </w:tr>
    </w:tbl>
    <w:p w:rsidR="00AD0C71" w:rsidRDefault="00AD0C71">
      <w:pPr>
        <w:rPr>
          <w:rFonts w:cs="宋体" w:hint="default"/>
          <w:sz w:val="21"/>
          <w:szCs w:val="21"/>
        </w:rPr>
      </w:pPr>
    </w:p>
    <w:p w:rsidR="00AD0C71" w:rsidRDefault="001425A7">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AD0C71">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D0C71">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AD0C71" w:rsidRDefault="001425A7">
            <w:pPr>
              <w:spacing w:line="280" w:lineRule="exact"/>
              <w:rPr>
                <w:rFonts w:cs="宋体" w:hint="default"/>
                <w:color w:val="000000"/>
                <w:sz w:val="20"/>
                <w:szCs w:val="20"/>
              </w:rPr>
            </w:pPr>
            <w:r>
              <w:rPr>
                <w:rFonts w:cs="宋体"/>
                <w:sz w:val="20"/>
                <w:szCs w:val="20"/>
              </w:rPr>
              <w:t>单位：</w:t>
            </w:r>
            <w:r>
              <w:rPr>
                <w:sz w:val="20"/>
              </w:rPr>
              <w:t>重庆市沙坪坝区虎溪社区卫生服务中心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D0C71">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其他收入</w:t>
            </w:r>
          </w:p>
        </w:tc>
      </w:tr>
      <w:tr w:rsidR="00AD0C71">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3,018.41</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885.23</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2,133.18</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2,981.11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847.93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2,133.18</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基层医疗卫生机构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2,241.61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108.43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2,133.18</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2100301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城市社区卫生机构</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2,241.61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108.43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2,133.18</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公共卫生</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728.26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728.26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2100408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基本公共卫生服务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728.26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728.26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0C71" w:rsidRDefault="001425A7">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AD0C71">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AD0C71">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AD0C71" w:rsidRDefault="001425A7">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重庆市沙坪坝区虎溪社区卫生服务中心</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D0C71">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对附属单位补助支出</w:t>
            </w:r>
          </w:p>
        </w:tc>
      </w:tr>
      <w:tr w:rsidR="00AD0C71">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D0C71" w:rsidRDefault="00AD0C71">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2,813.46</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704.69</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2,108.78</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2,776.16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667.39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2,108.78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基层医疗卫生机构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2,036.67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336.14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1,700.52</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2100301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城市社区卫生机构</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2,036.67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336.14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1,700.52</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公共卫生</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728.26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408.26</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2100408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基本公共卫生服务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728.26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408.26</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0C71" w:rsidRDefault="001425A7">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AD0C71">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400" w:lineRule="exact"/>
              <w:jc w:val="center"/>
              <w:textAlignment w:val="bottom"/>
              <w:rPr>
                <w:rFonts w:cs="宋体" w:hint="default"/>
                <w:b/>
                <w:color w:val="000000"/>
                <w:sz w:val="32"/>
                <w:szCs w:val="32"/>
              </w:rPr>
            </w:pPr>
            <w:r>
              <w:rPr>
                <w:rFonts w:cs="宋体"/>
                <w:b/>
                <w:color w:val="000000"/>
                <w:sz w:val="32"/>
                <w:szCs w:val="32"/>
              </w:rPr>
              <w:lastRenderedPageBreak/>
              <w:t>财政拨款收入支出决算总表</w:t>
            </w:r>
          </w:p>
        </w:tc>
      </w:tr>
      <w:tr w:rsidR="00AD0C71">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D0C71" w:rsidRDefault="001425A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重庆市沙坪坝区虎溪社区卫生服务中心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D0C71">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AD0C71">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D0C71">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885.23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27.78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847.93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847.93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885.23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200" w:lineRule="exact"/>
              <w:rPr>
                <w:rFonts w:ascii="Times New Roman" w:hAnsi="Times New Roman" w:hint="default"/>
                <w:color w:val="000000"/>
                <w:sz w:val="18"/>
                <w:szCs w:val="18"/>
              </w:rPr>
            </w:pP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200" w:lineRule="exact"/>
              <w:jc w:val="right"/>
              <w:rPr>
                <w:rFonts w:ascii="Times New Roman" w:hAnsi="Times New Roman" w:hint="default"/>
                <w:color w:val="000000"/>
                <w:sz w:val="18"/>
                <w:szCs w:val="18"/>
              </w:rPr>
            </w:pPr>
          </w:p>
        </w:tc>
      </w:tr>
      <w:tr w:rsidR="00AD0C71">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885.23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885.23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D0C71" w:rsidRDefault="001425A7">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AD0C71">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D0C71">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AD0C71" w:rsidRDefault="001425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重庆市沙坪坝区虎溪社区卫生服务中心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D0C71">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本年支出</w:t>
            </w:r>
          </w:p>
        </w:tc>
      </w:tr>
      <w:tr w:rsidR="00AD0C71">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项目支出</w:t>
            </w:r>
          </w:p>
        </w:tc>
      </w:tr>
      <w:tr w:rsidR="00AD0C71">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885.23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462.34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422.89</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27.78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847.93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425.04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422.89</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基层医疗卫生机构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93.80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14.63</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城市社区卫生机构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108.43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93.80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14.63</w:t>
            </w:r>
            <w:r>
              <w:rPr>
                <w:rFonts w:ascii="Times New Roman" w:hAnsi="Times New Roman"/>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公共卫生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728.26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408.26</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2100408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基本公共卫生服务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728.26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408.26</w:t>
            </w:r>
            <w:r>
              <w:rPr>
                <w:rFonts w:ascii="Times New Roman" w:hAnsi="Times New Roman"/>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D0C71">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0C71" w:rsidRDefault="001425A7">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AD0C71" w:rsidRDefault="001425A7">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AD0C71">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D0C71">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AD0C71" w:rsidRDefault="001425A7">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重庆市沙坪坝区虎溪社区卫生服务中心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D0C71">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D0C71" w:rsidRDefault="00AD0C71">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D0C71">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D0C71">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spacing w:line="192" w:lineRule="exact"/>
              <w:jc w:val="center"/>
              <w:rPr>
                <w:rFonts w:cs="宋体" w:hint="default"/>
                <w:b/>
                <w:color w:val="000000"/>
                <w:sz w:val="18"/>
                <w:szCs w:val="18"/>
              </w:rPr>
            </w:pP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461.21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320.85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jc w:val="right"/>
              <w:rPr>
                <w:rFonts w:ascii="Times New Roman" w:hAnsi="Times New Roman" w:hint="default"/>
                <w:color w:val="000000"/>
                <w:sz w:val="18"/>
                <w:szCs w:val="18"/>
              </w:rPr>
            </w:pPr>
          </w:p>
        </w:tc>
      </w:tr>
      <w:tr w:rsidR="00AD0C71">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jc w:val="right"/>
              <w:rPr>
                <w:rFonts w:ascii="Times New Roman" w:hAnsi="Times New Roman" w:hint="default"/>
                <w:color w:val="000000"/>
                <w:sz w:val="18"/>
                <w:szCs w:val="18"/>
              </w:rPr>
            </w:pPr>
          </w:p>
        </w:tc>
      </w:tr>
      <w:tr w:rsidR="00AD0C71">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AD0C71">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spacing w:line="192" w:lineRule="exact"/>
              <w:jc w:val="right"/>
              <w:rPr>
                <w:rFonts w:ascii="Times New Roman" w:hAnsi="Times New Roman" w:hint="default"/>
                <w:color w:val="000000"/>
                <w:sz w:val="18"/>
                <w:szCs w:val="18"/>
              </w:rPr>
            </w:pPr>
          </w:p>
        </w:tc>
      </w:tr>
      <w:tr w:rsidR="00AD0C71">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1425A7">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461.21</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w:t>
            </w:r>
            <w:r>
              <w:rPr>
                <w:rFonts w:ascii="Times New Roman" w:hAnsi="Times New Roman"/>
                <w:color w:val="000000"/>
                <w:sz w:val="18"/>
              </w:rPr>
              <w:t xml:space="preserve"> </w:t>
            </w:r>
          </w:p>
        </w:tc>
      </w:tr>
    </w:tbl>
    <w:p w:rsidR="00AD0C71" w:rsidRDefault="001425A7">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AD0C71">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AD0C71">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AD0C71" w:rsidRDefault="001425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重庆市沙坪坝区虎溪社区卫生服务中心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D0C71">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年末结转和结余</w:t>
            </w:r>
          </w:p>
        </w:tc>
      </w:tr>
      <w:tr w:rsidR="00AD0C71">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0C71">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D0C71" w:rsidRDefault="001425A7">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AD0C71" w:rsidRDefault="001425A7">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AD0C71">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D0C71">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D0C71" w:rsidRDefault="001425A7">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重庆市沙坪坝区虎溪社区卫生服务中心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D0C71">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D0C71" w:rsidRDefault="00AD0C71">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D0C71">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D0C71" w:rsidRDefault="001425A7">
            <w:pPr>
              <w:jc w:val="center"/>
              <w:textAlignment w:val="bottom"/>
              <w:rPr>
                <w:rFonts w:cs="宋体" w:hint="default"/>
                <w:b/>
                <w:color w:val="000000"/>
                <w:sz w:val="20"/>
                <w:szCs w:val="20"/>
              </w:rPr>
            </w:pPr>
            <w:r>
              <w:rPr>
                <w:rFonts w:cs="宋体"/>
                <w:b/>
                <w:color w:val="000000"/>
                <w:sz w:val="20"/>
                <w:szCs w:val="20"/>
              </w:rPr>
              <w:t>本年支出</w:t>
            </w:r>
          </w:p>
        </w:tc>
      </w:tr>
      <w:tr w:rsidR="00AD0C71">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项目支出</w:t>
            </w:r>
          </w:p>
        </w:tc>
      </w:tr>
      <w:tr w:rsidR="00AD0C7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D0C71" w:rsidRDefault="00AD0C71">
            <w:pPr>
              <w:jc w:val="center"/>
              <w:rPr>
                <w:rFonts w:cs="宋体" w:hint="default"/>
                <w:b/>
                <w:color w:val="000000"/>
                <w:sz w:val="20"/>
                <w:szCs w:val="20"/>
              </w:rPr>
            </w:pPr>
          </w:p>
        </w:tc>
      </w:tr>
      <w:tr w:rsidR="00AD0C71">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D0C71" w:rsidRDefault="001425A7">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D0C71">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AD0C71">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D0C71" w:rsidRDefault="001425A7">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D0C71" w:rsidRDefault="001425A7">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D0C71" w:rsidRDefault="001425A7">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AD0C71">
        <w:trPr>
          <w:trHeight w:val="343"/>
        </w:trPr>
        <w:tc>
          <w:tcPr>
            <w:tcW w:w="5000" w:type="pct"/>
            <w:gridSpan w:val="5"/>
            <w:shd w:val="clear" w:color="auto" w:fill="auto"/>
            <w:noWrap/>
            <w:tcMar>
              <w:top w:w="15" w:type="dxa"/>
              <w:left w:w="15" w:type="dxa"/>
              <w:right w:w="15" w:type="dxa"/>
            </w:tcMar>
            <w:vAlign w:val="bottom"/>
          </w:tcPr>
          <w:p w:rsidR="00AD0C71" w:rsidRDefault="001425A7">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D0C71">
        <w:trPr>
          <w:trHeight w:val="244"/>
        </w:trPr>
        <w:tc>
          <w:tcPr>
            <w:tcW w:w="1124" w:type="pct"/>
            <w:shd w:val="clear" w:color="auto" w:fill="auto"/>
            <w:noWrap/>
            <w:tcMar>
              <w:top w:w="15" w:type="dxa"/>
              <w:left w:w="15" w:type="dxa"/>
              <w:right w:w="15" w:type="dxa"/>
            </w:tcMar>
            <w:vAlign w:val="bottom"/>
          </w:tcPr>
          <w:p w:rsidR="00AD0C71" w:rsidRDefault="00AD0C71">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AD0C71" w:rsidRDefault="00AD0C71">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D0C71" w:rsidRDefault="00AD0C71">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D0C71" w:rsidRDefault="00AD0C71">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D0C71">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D0C71" w:rsidRDefault="001425A7">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重庆市沙坪坝区虎溪社区卫生服务中心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D0C71" w:rsidRDefault="00AD0C71">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D0C71" w:rsidRDefault="00AD0C71">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D0C71" w:rsidRDefault="001425A7">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D0C7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D0C71">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2.27</w:t>
            </w: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2.27</w:t>
            </w: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2.27</w:t>
            </w:r>
            <w:r>
              <w:rPr>
                <w:rFonts w:ascii="Times New Roman" w:hAnsi="Times New Roman"/>
                <w:color w:val="000000"/>
                <w:sz w:val="18"/>
              </w:rPr>
              <w:t xml:space="preserve"> </w:t>
            </w:r>
          </w:p>
        </w:tc>
      </w:tr>
      <w:tr w:rsidR="00AD0C71">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2.27</w:t>
            </w:r>
            <w:r>
              <w:rPr>
                <w:rFonts w:ascii="Times New Roman" w:hAnsi="Times New Roman"/>
                <w:color w:val="000000"/>
                <w:sz w:val="18"/>
              </w:rPr>
              <w:t xml:space="preserve"> </w:t>
            </w:r>
          </w:p>
        </w:tc>
      </w:tr>
      <w:tr w:rsidR="00AD0C71">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AD0C7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AD0C71">
            <w:pPr>
              <w:spacing w:line="280" w:lineRule="exact"/>
              <w:jc w:val="right"/>
              <w:rPr>
                <w:rFonts w:cs="宋体" w:hint="default"/>
                <w:color w:val="000000"/>
                <w:kern w:val="2"/>
                <w:sz w:val="16"/>
                <w:szCs w:val="16"/>
              </w:rPr>
            </w:pPr>
          </w:p>
        </w:tc>
      </w:tr>
      <w:tr w:rsidR="00AD0C7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0.11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AD0C71">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AD0C71">
            <w:pPr>
              <w:spacing w:line="280" w:lineRule="exact"/>
              <w:jc w:val="right"/>
              <w:rPr>
                <w:rFonts w:cs="宋体" w:hint="default"/>
                <w:color w:val="000000"/>
                <w:kern w:val="2"/>
                <w:sz w:val="16"/>
                <w:szCs w:val="16"/>
              </w:rPr>
            </w:pPr>
          </w:p>
        </w:tc>
      </w:tr>
      <w:tr w:rsidR="00AD0C71">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1425A7">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1425A7">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D0C71" w:rsidRDefault="00AD0C71">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D0C71" w:rsidRDefault="00AD0C71">
            <w:pPr>
              <w:spacing w:line="280" w:lineRule="exact"/>
              <w:jc w:val="right"/>
              <w:rPr>
                <w:rFonts w:cs="宋体" w:hint="default"/>
                <w:color w:val="000000"/>
                <w:sz w:val="16"/>
                <w:szCs w:val="16"/>
              </w:rPr>
            </w:pPr>
          </w:p>
        </w:tc>
      </w:tr>
    </w:tbl>
    <w:p w:rsidR="00AD0C71" w:rsidRDefault="001425A7">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AD0C71">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A7" w:rsidRDefault="001425A7">
      <w:pPr>
        <w:rPr>
          <w:rFonts w:hint="default"/>
        </w:rPr>
      </w:pPr>
      <w:r>
        <w:separator/>
      </w:r>
    </w:p>
  </w:endnote>
  <w:endnote w:type="continuationSeparator" w:id="0">
    <w:p w:rsidR="001425A7" w:rsidRDefault="001425A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6A8C80E3-88C3-43FE-8433-9EB38F8E60D8}"/>
  </w:font>
  <w:font w:name="黑体">
    <w:altName w:val="SimHei"/>
    <w:panose1 w:val="02010609060101010101"/>
    <w:charset w:val="86"/>
    <w:family w:val="modern"/>
    <w:pitch w:val="fixed"/>
    <w:sig w:usb0="800002BF" w:usb1="38CF7CFA" w:usb2="00000016" w:usb3="00000000" w:csb0="00040001" w:csb1="00000000"/>
    <w:embedBold r:id="rId2" w:subsetted="1" w:fontKey="{2C8FF479-CA06-4354-A8BE-F529A48F8F2C}"/>
  </w:font>
  <w:font w:name="楷体">
    <w:panose1 w:val="02010609060101010101"/>
    <w:charset w:val="86"/>
    <w:family w:val="modern"/>
    <w:pitch w:val="fixed"/>
    <w:sig w:usb0="800002BF" w:usb1="38CF7CFA" w:usb2="00000016" w:usb3="00000000" w:csb0="00040001" w:csb1="00000000"/>
    <w:embedBold r:id="rId3" w:subsetted="1" w:fontKey="{70BCA8C5-568E-4E8D-BB56-4C0EE02EEF3B}"/>
  </w:font>
  <w:font w:name="方正仿宋_GBK">
    <w:panose1 w:val="03000509000000000000"/>
    <w:charset w:val="86"/>
    <w:family w:val="script"/>
    <w:pitch w:val="fixed"/>
    <w:sig w:usb0="00000001" w:usb1="080E0000" w:usb2="00000010" w:usb3="00000000" w:csb0="00040000" w:csb1="00000000"/>
    <w:embedRegular r:id="rId4" w:subsetted="1" w:fontKey="{2A8DE040-044C-488A-8EB9-8303603C68A5}"/>
    <w:embedBold r:id="rId5" w:subsetted="1" w:fontKey="{6CD34868-F996-466F-A36B-53518613CAE8}"/>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Bold r:id="rId6" w:subsetted="1" w:fontKey="{9D23B0D5-5876-4746-AF14-FB22A32E2D9B}"/>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71" w:rsidRDefault="001425A7">
    <w:pPr>
      <w:pStyle w:val="a7"/>
      <w:rPr>
        <w:rFonts w:hint="default"/>
      </w:rPr>
    </w:pPr>
    <w:r>
      <w:rPr>
        <w:rFonts w:hint="default"/>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D0C71" w:rsidRDefault="001425A7">
                          <w:pPr>
                            <w:pStyle w:val="a7"/>
                            <w:rPr>
                              <w:rFonts w:hint="default"/>
                            </w:rPr>
                          </w:pPr>
                          <w:r>
                            <w:fldChar w:fldCharType="begin"/>
                          </w:r>
                          <w:r>
                            <w:instrText xml:space="preserve"> PAGE  \* MERGEFORMAT </w:instrText>
                          </w:r>
                          <w:r>
                            <w:fldChar w:fldCharType="separate"/>
                          </w:r>
                          <w:r w:rsidR="009F7EDA">
                            <w:rPr>
                              <w:rFonts w:hint="default"/>
                              <w:noProof/>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AD0C71" w:rsidRDefault="001425A7">
                    <w:pPr>
                      <w:pStyle w:val="a7"/>
                      <w:rPr>
                        <w:rFonts w:hint="default"/>
                      </w:rPr>
                    </w:pPr>
                    <w:r>
                      <w:fldChar w:fldCharType="begin"/>
                    </w:r>
                    <w:r>
                      <w:instrText xml:space="preserve"> PAGE  \* MERGEFORMAT </w:instrText>
                    </w:r>
                    <w:r>
                      <w:fldChar w:fldCharType="separate"/>
                    </w:r>
                    <w:r w:rsidR="009F7EDA">
                      <w:rPr>
                        <w:rFonts w:hint="default"/>
                        <w:noProof/>
                      </w:rPr>
                      <w:t>- 13 -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71" w:rsidRDefault="001425A7">
    <w:pPr>
      <w:pStyle w:val="a7"/>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D0C71" w:rsidRDefault="001425A7">
                          <w:pPr>
                            <w:pStyle w:val="a7"/>
                            <w:rPr>
                              <w:rFonts w:hint="default"/>
                            </w:rPr>
                          </w:pPr>
                          <w:r>
                            <w:t xml:space="preserve"> </w:t>
                          </w:r>
                          <w:r>
                            <w:fldChar w:fldCharType="begin"/>
                          </w:r>
                          <w:r>
                            <w:instrText>PAGE   \* MERGEFORMAT</w:instrText>
                          </w:r>
                          <w:r>
                            <w:fldChar w:fldCharType="separate"/>
                          </w:r>
                          <w:r w:rsidR="009F7EDA" w:rsidRPr="009F7EDA">
                            <w:rPr>
                              <w:rFonts w:hint="default"/>
                              <w:noProof/>
                              <w:lang w:val="zh-CN"/>
                            </w:rPr>
                            <w:t>-</w:t>
                          </w:r>
                          <w:r w:rsidR="009F7EDA">
                            <w:rPr>
                              <w:rFonts w:hint="default"/>
                              <w:noProof/>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AD0C71" w:rsidRDefault="001425A7">
                    <w:pPr>
                      <w:pStyle w:val="a7"/>
                      <w:rPr>
                        <w:rFonts w:hint="default"/>
                      </w:rPr>
                    </w:pPr>
                    <w:r>
                      <w:t xml:space="preserve"> </w:t>
                    </w:r>
                    <w:r>
                      <w:fldChar w:fldCharType="begin"/>
                    </w:r>
                    <w:r>
                      <w:instrText>PAGE   \* MERGEFORMAT</w:instrText>
                    </w:r>
                    <w:r>
                      <w:fldChar w:fldCharType="separate"/>
                    </w:r>
                    <w:r w:rsidR="009F7EDA" w:rsidRPr="009F7EDA">
                      <w:rPr>
                        <w:rFonts w:hint="default"/>
                        <w:noProof/>
                        <w:lang w:val="zh-CN"/>
                      </w:rPr>
                      <w:t>-</w:t>
                    </w:r>
                    <w:r w:rsidR="009F7EDA">
                      <w:rPr>
                        <w:rFonts w:hint="default"/>
                        <w:noProof/>
                      </w:rPr>
                      <w:t xml:space="preserve"> 23 -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AD0C71" w:rsidRDefault="001425A7">
                          <w:pPr>
                            <w:pStyle w:val="a7"/>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C9409B3">
                    <w:pPr>
                      <w:pStyle w:val="7"/>
                      <w:jc w:val="both"/>
                      <w:rPr>
                        <w:rFonts w:hint="default"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A7" w:rsidRDefault="001425A7">
      <w:pPr>
        <w:rPr>
          <w:rFonts w:hint="default"/>
        </w:rPr>
      </w:pPr>
      <w:r>
        <w:separator/>
      </w:r>
    </w:p>
  </w:footnote>
  <w:footnote w:type="continuationSeparator" w:id="0">
    <w:p w:rsidR="001425A7" w:rsidRDefault="001425A7">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71" w:rsidRDefault="00AD0C71">
    <w:pPr>
      <w:pStyle w:val="a8"/>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3EACA"/>
    <w:multiLevelType w:val="singleLevel"/>
    <w:tmpl w:val="3A33EAC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425A7"/>
    <w:rsid w:val="001D3BB7"/>
    <w:rsid w:val="002B254B"/>
    <w:rsid w:val="0034050A"/>
    <w:rsid w:val="00344169"/>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9F7EDA"/>
    <w:rsid w:val="00A566F9"/>
    <w:rsid w:val="00A74F46"/>
    <w:rsid w:val="00AD0C71"/>
    <w:rsid w:val="00AF2751"/>
    <w:rsid w:val="00B03CCD"/>
    <w:rsid w:val="00BE2B89"/>
    <w:rsid w:val="00BF0D89"/>
    <w:rsid w:val="00C10E9E"/>
    <w:rsid w:val="00C20C3E"/>
    <w:rsid w:val="00C5163E"/>
    <w:rsid w:val="00CE47D8"/>
    <w:rsid w:val="00CF2ACF"/>
    <w:rsid w:val="00D03AAF"/>
    <w:rsid w:val="00D52F95"/>
    <w:rsid w:val="00DD0539"/>
    <w:rsid w:val="00E07662"/>
    <w:rsid w:val="00E368E9"/>
    <w:rsid w:val="00EE1E33"/>
    <w:rsid w:val="00F73F90"/>
    <w:rsid w:val="00FB4B3B"/>
    <w:rsid w:val="01474EBF"/>
    <w:rsid w:val="01F3521E"/>
    <w:rsid w:val="032338E1"/>
    <w:rsid w:val="03B87EA0"/>
    <w:rsid w:val="03E3214F"/>
    <w:rsid w:val="044C50BA"/>
    <w:rsid w:val="05BC6D49"/>
    <w:rsid w:val="06194FF1"/>
    <w:rsid w:val="06A2550B"/>
    <w:rsid w:val="06F80EE2"/>
    <w:rsid w:val="07001CCA"/>
    <w:rsid w:val="075678DB"/>
    <w:rsid w:val="077B465F"/>
    <w:rsid w:val="079D7CC7"/>
    <w:rsid w:val="07E94EC9"/>
    <w:rsid w:val="08051BCA"/>
    <w:rsid w:val="086C12F4"/>
    <w:rsid w:val="08705944"/>
    <w:rsid w:val="08BA052C"/>
    <w:rsid w:val="08DB07BA"/>
    <w:rsid w:val="09055F84"/>
    <w:rsid w:val="0969353F"/>
    <w:rsid w:val="098305D0"/>
    <w:rsid w:val="09B1218B"/>
    <w:rsid w:val="0A3317EA"/>
    <w:rsid w:val="0A5C4B69"/>
    <w:rsid w:val="0A7664C5"/>
    <w:rsid w:val="0A86124A"/>
    <w:rsid w:val="0AB54CC0"/>
    <w:rsid w:val="0B9335CE"/>
    <w:rsid w:val="0BF2311A"/>
    <w:rsid w:val="0C7927C4"/>
    <w:rsid w:val="0C9B098C"/>
    <w:rsid w:val="0D673E11"/>
    <w:rsid w:val="0DDA54E4"/>
    <w:rsid w:val="0E3A5F83"/>
    <w:rsid w:val="0F3C1758"/>
    <w:rsid w:val="0F836721"/>
    <w:rsid w:val="0FA25D96"/>
    <w:rsid w:val="107B59E5"/>
    <w:rsid w:val="10EC0126"/>
    <w:rsid w:val="10F70B9A"/>
    <w:rsid w:val="111445C7"/>
    <w:rsid w:val="114278C6"/>
    <w:rsid w:val="1158083A"/>
    <w:rsid w:val="11643A4B"/>
    <w:rsid w:val="11ED0F98"/>
    <w:rsid w:val="11F03528"/>
    <w:rsid w:val="120C43E3"/>
    <w:rsid w:val="12C921C4"/>
    <w:rsid w:val="13871C70"/>
    <w:rsid w:val="139D7E86"/>
    <w:rsid w:val="13A71CB4"/>
    <w:rsid w:val="13AF1D43"/>
    <w:rsid w:val="13CE1647"/>
    <w:rsid w:val="13FD55AB"/>
    <w:rsid w:val="14200702"/>
    <w:rsid w:val="1429086F"/>
    <w:rsid w:val="14370EA1"/>
    <w:rsid w:val="14496F20"/>
    <w:rsid w:val="155F44D6"/>
    <w:rsid w:val="15E16F83"/>
    <w:rsid w:val="163A6CEE"/>
    <w:rsid w:val="173708E3"/>
    <w:rsid w:val="17C374FC"/>
    <w:rsid w:val="182E4AB6"/>
    <w:rsid w:val="189079DC"/>
    <w:rsid w:val="189B0D0B"/>
    <w:rsid w:val="18AD2173"/>
    <w:rsid w:val="18B43F7C"/>
    <w:rsid w:val="191C433B"/>
    <w:rsid w:val="194A1770"/>
    <w:rsid w:val="195645B9"/>
    <w:rsid w:val="19B906A4"/>
    <w:rsid w:val="19CB099F"/>
    <w:rsid w:val="1A981183"/>
    <w:rsid w:val="1AE35F45"/>
    <w:rsid w:val="1B6F15B6"/>
    <w:rsid w:val="1BAA2EDC"/>
    <w:rsid w:val="1CA55E64"/>
    <w:rsid w:val="1CA7677C"/>
    <w:rsid w:val="1D014A01"/>
    <w:rsid w:val="1D022362"/>
    <w:rsid w:val="1D1B04B0"/>
    <w:rsid w:val="1DA52501"/>
    <w:rsid w:val="1DBD6767"/>
    <w:rsid w:val="1DC52125"/>
    <w:rsid w:val="1DD26311"/>
    <w:rsid w:val="1DD62C9D"/>
    <w:rsid w:val="1E374ACB"/>
    <w:rsid w:val="1EA00084"/>
    <w:rsid w:val="1ECF0A66"/>
    <w:rsid w:val="1EF67CA4"/>
    <w:rsid w:val="1F020D3A"/>
    <w:rsid w:val="1F2C5189"/>
    <w:rsid w:val="1F4B0B02"/>
    <w:rsid w:val="1FBB35CD"/>
    <w:rsid w:val="1FCD26AF"/>
    <w:rsid w:val="203268D8"/>
    <w:rsid w:val="20642787"/>
    <w:rsid w:val="20A7394C"/>
    <w:rsid w:val="21556F04"/>
    <w:rsid w:val="22403BD3"/>
    <w:rsid w:val="22AD3177"/>
    <w:rsid w:val="2323790C"/>
    <w:rsid w:val="235417B6"/>
    <w:rsid w:val="24B92327"/>
    <w:rsid w:val="24C14514"/>
    <w:rsid w:val="24FB4C78"/>
    <w:rsid w:val="2533755C"/>
    <w:rsid w:val="25791755"/>
    <w:rsid w:val="26396DF4"/>
    <w:rsid w:val="27167136"/>
    <w:rsid w:val="271B442C"/>
    <w:rsid w:val="27B23302"/>
    <w:rsid w:val="27D35027"/>
    <w:rsid w:val="29310A5F"/>
    <w:rsid w:val="29C37A35"/>
    <w:rsid w:val="29FE3BE4"/>
    <w:rsid w:val="2A076083"/>
    <w:rsid w:val="2A73162E"/>
    <w:rsid w:val="2B08155F"/>
    <w:rsid w:val="2B167953"/>
    <w:rsid w:val="2B200583"/>
    <w:rsid w:val="2B2729C0"/>
    <w:rsid w:val="2B8209DE"/>
    <w:rsid w:val="2B821C91"/>
    <w:rsid w:val="2BF81A22"/>
    <w:rsid w:val="2C636760"/>
    <w:rsid w:val="2C6762A3"/>
    <w:rsid w:val="2DBD5517"/>
    <w:rsid w:val="2FCA4B37"/>
    <w:rsid w:val="2FE029D7"/>
    <w:rsid w:val="2FF06E00"/>
    <w:rsid w:val="3015071F"/>
    <w:rsid w:val="30586FEC"/>
    <w:rsid w:val="30F2476F"/>
    <w:rsid w:val="315F0B22"/>
    <w:rsid w:val="31A15828"/>
    <w:rsid w:val="31D84415"/>
    <w:rsid w:val="31F40854"/>
    <w:rsid w:val="32285F6F"/>
    <w:rsid w:val="32770556"/>
    <w:rsid w:val="329C0913"/>
    <w:rsid w:val="32AA0460"/>
    <w:rsid w:val="32F50547"/>
    <w:rsid w:val="3337290D"/>
    <w:rsid w:val="3365229D"/>
    <w:rsid w:val="33E31118"/>
    <w:rsid w:val="33EF7674"/>
    <w:rsid w:val="342D7BC6"/>
    <w:rsid w:val="352930DB"/>
    <w:rsid w:val="35573069"/>
    <w:rsid w:val="355F6038"/>
    <w:rsid w:val="356C2D1F"/>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AF771E2"/>
    <w:rsid w:val="3B1705E5"/>
    <w:rsid w:val="3B18334B"/>
    <w:rsid w:val="3B36794F"/>
    <w:rsid w:val="3B5D137F"/>
    <w:rsid w:val="3B6F6EE0"/>
    <w:rsid w:val="3C566AD6"/>
    <w:rsid w:val="3C594871"/>
    <w:rsid w:val="3C6A5B02"/>
    <w:rsid w:val="3D083B3A"/>
    <w:rsid w:val="3D2757A1"/>
    <w:rsid w:val="3D3D4FC4"/>
    <w:rsid w:val="3D916716"/>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7D2480"/>
    <w:rsid w:val="41E0734B"/>
    <w:rsid w:val="426C1EA8"/>
    <w:rsid w:val="42736402"/>
    <w:rsid w:val="42E86A87"/>
    <w:rsid w:val="430F446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755AE6"/>
    <w:rsid w:val="49F44C5D"/>
    <w:rsid w:val="4A263DF2"/>
    <w:rsid w:val="4A2F278B"/>
    <w:rsid w:val="4A6F6675"/>
    <w:rsid w:val="4B135857"/>
    <w:rsid w:val="4B7951CB"/>
    <w:rsid w:val="4B7C315C"/>
    <w:rsid w:val="4B9304A5"/>
    <w:rsid w:val="4D1F53CA"/>
    <w:rsid w:val="4D5D0D6B"/>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784522"/>
    <w:rsid w:val="54861779"/>
    <w:rsid w:val="55084A4C"/>
    <w:rsid w:val="552256E1"/>
    <w:rsid w:val="554E5773"/>
    <w:rsid w:val="555829E0"/>
    <w:rsid w:val="555A3CBC"/>
    <w:rsid w:val="5582012B"/>
    <w:rsid w:val="558E4E05"/>
    <w:rsid w:val="55954BB9"/>
    <w:rsid w:val="55AA1EFE"/>
    <w:rsid w:val="55BE2E85"/>
    <w:rsid w:val="56530F5D"/>
    <w:rsid w:val="567700D3"/>
    <w:rsid w:val="56FF7E9E"/>
    <w:rsid w:val="578867FC"/>
    <w:rsid w:val="57EC78BB"/>
    <w:rsid w:val="580A3393"/>
    <w:rsid w:val="5842572D"/>
    <w:rsid w:val="597F3BD7"/>
    <w:rsid w:val="5A3B59D6"/>
    <w:rsid w:val="5AD134D8"/>
    <w:rsid w:val="5BF41F67"/>
    <w:rsid w:val="5C263CE4"/>
    <w:rsid w:val="5C5D2777"/>
    <w:rsid w:val="5CED61D0"/>
    <w:rsid w:val="5CF66BF3"/>
    <w:rsid w:val="5D290C69"/>
    <w:rsid w:val="5D81321F"/>
    <w:rsid w:val="5D8803DF"/>
    <w:rsid w:val="5DA80C2C"/>
    <w:rsid w:val="5F2D4A41"/>
    <w:rsid w:val="60264970"/>
    <w:rsid w:val="60C74F6C"/>
    <w:rsid w:val="60C931D1"/>
    <w:rsid w:val="61015958"/>
    <w:rsid w:val="61025A59"/>
    <w:rsid w:val="613D5BBC"/>
    <w:rsid w:val="61536C39"/>
    <w:rsid w:val="61BC02FE"/>
    <w:rsid w:val="62944DD7"/>
    <w:rsid w:val="6319381F"/>
    <w:rsid w:val="63C25DC5"/>
    <w:rsid w:val="63C62057"/>
    <w:rsid w:val="64571EF5"/>
    <w:rsid w:val="64FB113D"/>
    <w:rsid w:val="651974CC"/>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AB231B"/>
    <w:rsid w:val="68EB1B71"/>
    <w:rsid w:val="696C0310"/>
    <w:rsid w:val="6A026A5C"/>
    <w:rsid w:val="6A31115D"/>
    <w:rsid w:val="6A6C7940"/>
    <w:rsid w:val="6A9F1565"/>
    <w:rsid w:val="6AAD2300"/>
    <w:rsid w:val="6AC45C2D"/>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726E84"/>
    <w:rsid w:val="71C34D91"/>
    <w:rsid w:val="72D466F0"/>
    <w:rsid w:val="72DB435C"/>
    <w:rsid w:val="72E2613A"/>
    <w:rsid w:val="72F771F4"/>
    <w:rsid w:val="73934AD2"/>
    <w:rsid w:val="73B12CD9"/>
    <w:rsid w:val="73B307DA"/>
    <w:rsid w:val="746F6492"/>
    <w:rsid w:val="750837F0"/>
    <w:rsid w:val="754758CF"/>
    <w:rsid w:val="75595ECD"/>
    <w:rsid w:val="75781275"/>
    <w:rsid w:val="764F62AB"/>
    <w:rsid w:val="765C45EC"/>
    <w:rsid w:val="768A7619"/>
    <w:rsid w:val="76974B9D"/>
    <w:rsid w:val="76BD23AB"/>
    <w:rsid w:val="772E1EBA"/>
    <w:rsid w:val="777A74B0"/>
    <w:rsid w:val="77F6687E"/>
    <w:rsid w:val="781926BC"/>
    <w:rsid w:val="78B31A15"/>
    <w:rsid w:val="796D60A4"/>
    <w:rsid w:val="79A031D5"/>
    <w:rsid w:val="79B47FDF"/>
    <w:rsid w:val="79E569A9"/>
    <w:rsid w:val="79E861FD"/>
    <w:rsid w:val="79FC31D0"/>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annotation text"/>
    <w:basedOn w:val="a"/>
    <w:qFormat/>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annotation text"/>
    <w:basedOn w:val="a"/>
    <w:qFormat/>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6"/>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2357</Words>
  <Characters>13440</Characters>
  <Application>Microsoft Office Word</Application>
  <DocSecurity>0</DocSecurity>
  <Lines>112</Lines>
  <Paragraphs>31</Paragraphs>
  <ScaleCrop>false</ScaleCrop>
  <Company>Microsoft</Company>
  <LinksUpToDate>false</LinksUpToDate>
  <CharactersWithSpaces>15766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24</cp:revision>
  <dcterms:created xsi:type="dcterms:W3CDTF">2024-07-11T02:00:00Z</dcterms:created>
  <dcterms:modified xsi:type="dcterms:W3CDTF">2025-11-03T07:53:00Z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375E406AAFC948EBB0B061AABA12C65C_13</vt:lpwstr>
  </property>
  <property fmtid="{D5CDD505-2E9C-101B-9397-08002B2CF9AE}" pid="4" name="KSOTemplateDocerSaveRecord">
    <vt:lpwstr>eyJoZGlkIjoiNzIyODc5OTkxZDYzMDM3YTY0ZGQwMjk5ZmI2YTFiNjAiLCJ1c2VySWQiOiI1NDQ4MDY5MDQifQ==</vt:lpwstr>
  </property>
</Properties>
</file>