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90315">
      <w:pPr>
        <w:pStyle w:val="7"/>
        <w:keepNext w:val="0"/>
        <w:keepLines w:val="0"/>
        <w:pageBreakBefore w:val="0"/>
        <w:widowControl w:val="0"/>
        <w:shd w:val="clear"/>
        <w:kinsoku/>
        <w:wordWrap/>
        <w:overflowPunct/>
        <w:topLinePunct w:val="0"/>
        <w:autoSpaceDN/>
        <w:bidi w:val="0"/>
        <w:adjustRightInd/>
        <w:spacing w:before="0" w:beforeAutospacing="0" w:after="0" w:afterAutospacing="0" w:line="600" w:lineRule="exact"/>
        <w:jc w:val="center"/>
        <w:textAlignment w:val="auto"/>
        <w:rPr>
          <w:rFonts w:ascii="方正小标宋_GBK" w:hAnsi="方正小标宋_GBK" w:eastAsia="方正小标宋_GBK" w:cs="方正小标宋_GBK"/>
          <w:b w:val="0"/>
          <w:bCs w:val="0"/>
          <w:color w:val="auto"/>
          <w:sz w:val="44"/>
          <w:szCs w:val="44"/>
          <w:highlight w:val="none"/>
        </w:rPr>
      </w:pPr>
      <w:bookmarkStart w:id="3" w:name="_GoBack"/>
      <w:bookmarkEnd w:id="3"/>
      <w:r>
        <w:rPr>
          <w:rFonts w:ascii="方正小标宋_GBK" w:hAnsi="方正小标宋_GBK" w:eastAsia="方正小标宋_GBK" w:cs="方正小标宋_GBK"/>
          <w:b w:val="0"/>
          <w:bCs w:val="0"/>
          <w:color w:val="auto"/>
          <w:sz w:val="44"/>
          <w:szCs w:val="44"/>
          <w:highlight w:val="none"/>
        </w:rPr>
        <w:t>重庆市九龙坡区石板镇卫生院</w:t>
      </w:r>
    </w:p>
    <w:p w14:paraId="2BC89C49">
      <w:pPr>
        <w:pStyle w:val="7"/>
        <w:keepNext w:val="0"/>
        <w:keepLines w:val="0"/>
        <w:pageBreakBefore w:val="0"/>
        <w:widowControl w:val="0"/>
        <w:shd w:val="clear"/>
        <w:kinsoku/>
        <w:wordWrap/>
        <w:overflowPunct/>
        <w:topLinePunct w:val="0"/>
        <w:autoSpaceDN/>
        <w:bidi w:val="0"/>
        <w:adjustRightInd/>
        <w:spacing w:before="0" w:beforeAutospacing="0" w:after="0" w:afterAutospacing="0" w:line="600" w:lineRule="exact"/>
        <w:jc w:val="center"/>
        <w:textAlignment w:val="auto"/>
        <w:rPr>
          <w:rFonts w:ascii="方正小标宋_GBK" w:hAnsi="方正小标宋_GBK" w:eastAsia="方正小标宋_GBK" w:cs="方正小标宋_GBK"/>
          <w:b w:val="0"/>
          <w:bCs w:val="0"/>
          <w:color w:val="auto"/>
          <w:sz w:val="44"/>
          <w:szCs w:val="44"/>
          <w:highlight w:val="none"/>
          <w:shd w:val="clear" w:color="auto" w:fill="FFFFFF"/>
        </w:rPr>
      </w:pPr>
      <w:r>
        <w:rPr>
          <w:rFonts w:ascii="方正小标宋_GBK" w:hAnsi="方正小标宋_GBK" w:eastAsia="方正小标宋_GBK" w:cs="方正小标宋_GBK"/>
          <w:b w:val="0"/>
          <w:bCs w:val="0"/>
          <w:color w:val="auto"/>
          <w:sz w:val="44"/>
          <w:szCs w:val="44"/>
          <w:highlight w:val="none"/>
          <w:shd w:val="clear" w:color="auto" w:fill="FFFFFF"/>
        </w:rPr>
        <w:t>2023年度决算公开说明</w:t>
      </w:r>
    </w:p>
    <w:p w14:paraId="4C76F402">
      <w:pPr>
        <w:pStyle w:val="7"/>
        <w:keepNext w:val="0"/>
        <w:keepLines w:val="0"/>
        <w:pageBreakBefore w:val="0"/>
        <w:widowControl w:val="0"/>
        <w:shd w:val="clear"/>
        <w:kinsoku/>
        <w:wordWrap/>
        <w:overflowPunct/>
        <w:topLinePunct w:val="0"/>
        <w:autoSpaceDN/>
        <w:bidi w:val="0"/>
        <w:adjustRightInd/>
        <w:spacing w:before="0" w:beforeAutospacing="0" w:after="0" w:afterAutospacing="0" w:line="600" w:lineRule="exact"/>
        <w:jc w:val="both"/>
        <w:textAlignment w:val="auto"/>
        <w:rPr>
          <w:rFonts w:ascii="方正小标宋_GBK" w:hAnsi="方正小标宋_GBK" w:eastAsia="方正小标宋_GBK" w:cs="方正小标宋_GBK"/>
          <w:b w:val="0"/>
          <w:bCs w:val="0"/>
          <w:color w:val="auto"/>
          <w:sz w:val="32"/>
          <w:szCs w:val="32"/>
          <w:highlight w:val="none"/>
          <w:shd w:val="clear" w:color="auto" w:fill="FFFFFF"/>
        </w:rPr>
      </w:pPr>
    </w:p>
    <w:p w14:paraId="68A9B09B">
      <w:pPr>
        <w:pStyle w:val="7"/>
        <w:keepNext w:val="0"/>
        <w:keepLines w:val="0"/>
        <w:pageBreakBefore w:val="0"/>
        <w:widowControl w:val="0"/>
        <w:shd w:val="clear" w:color="auto"/>
        <w:kinsoku/>
        <w:wordWrap/>
        <w:overflowPunct/>
        <w:topLinePunct w:val="0"/>
        <w:autoSpaceDN/>
        <w:bidi w:val="0"/>
        <w:adjustRightInd/>
        <w:spacing w:beforeAutospacing="0" w:after="0" w:afterAutospacing="0" w:line="600" w:lineRule="exact"/>
        <w:ind w:firstLine="640" w:firstLineChars="200"/>
        <w:jc w:val="both"/>
        <w:textAlignment w:val="auto"/>
        <w:rPr>
          <w:rFonts w:hint="eastAsia" w:ascii="方正黑体_GBK" w:hAnsi="方正黑体_GBK" w:eastAsia="方正黑体_GBK" w:cs="方正黑体_GBK"/>
          <w:b w:val="0"/>
          <w:bCs w:val="0"/>
          <w:color w:val="auto"/>
          <w:sz w:val="32"/>
          <w:szCs w:val="32"/>
          <w:highlight w:val="none"/>
        </w:rPr>
      </w:pPr>
      <w:r>
        <w:rPr>
          <w:rStyle w:val="11"/>
          <w:rFonts w:hint="eastAsia" w:ascii="方正黑体_GBK" w:hAnsi="方正黑体_GBK" w:eastAsia="方正黑体_GBK" w:cs="方正黑体_GBK"/>
          <w:b w:val="0"/>
          <w:bCs w:val="0"/>
          <w:color w:val="auto"/>
          <w:sz w:val="32"/>
          <w:szCs w:val="32"/>
          <w:highlight w:val="none"/>
          <w:shd w:val="clear" w:color="auto" w:fill="FFFFFF"/>
        </w:rPr>
        <w:t>一、单位基本情况</w:t>
      </w:r>
    </w:p>
    <w:p w14:paraId="61F1A12C">
      <w:pPr>
        <w:pStyle w:val="7"/>
        <w:keepNext w:val="0"/>
        <w:keepLines w:val="0"/>
        <w:pageBreakBefore w:val="0"/>
        <w:widowControl w:val="0"/>
        <w:shd w:val="clear" w:color="auto"/>
        <w:kinsoku/>
        <w:wordWrap/>
        <w:overflowPunct/>
        <w:topLinePunct w:val="0"/>
        <w:autoSpaceDN/>
        <w:bidi w:val="0"/>
        <w:adjustRightInd/>
        <w:spacing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rPr>
      </w:pPr>
      <w:r>
        <w:rPr>
          <w:rStyle w:val="11"/>
          <w:rFonts w:hint="eastAsia" w:ascii="方正楷体_GBK" w:hAnsi="方正楷体_GBK" w:eastAsia="方正楷体_GBK" w:cs="方正楷体_GBK"/>
          <w:b w:val="0"/>
          <w:bCs w:val="0"/>
          <w:color w:val="auto"/>
          <w:sz w:val="32"/>
          <w:szCs w:val="32"/>
          <w:highlight w:val="none"/>
          <w:shd w:val="clear" w:color="auto" w:fill="FFFFFF"/>
        </w:rPr>
        <w:t>（一）职能职责</w:t>
      </w:r>
    </w:p>
    <w:p w14:paraId="5A562F97">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宋体" w:eastAsia="方正仿宋_GBK" w:cs="宋体"/>
          <w:b w:val="0"/>
          <w:bCs w:val="0"/>
          <w:color w:val="auto"/>
          <w:kern w:val="0"/>
          <w:sz w:val="32"/>
          <w:szCs w:val="32"/>
          <w:highlight w:val="none"/>
        </w:rPr>
      </w:pPr>
      <w:r>
        <w:rPr>
          <w:rFonts w:hint="eastAsia" w:ascii="方正仿宋_GBK" w:hAnsi="宋体" w:eastAsia="方正仿宋_GBK" w:cs="宋体"/>
          <w:b w:val="0"/>
          <w:bCs w:val="0"/>
          <w:color w:val="auto"/>
          <w:kern w:val="0"/>
          <w:sz w:val="32"/>
          <w:szCs w:val="32"/>
          <w:highlight w:val="none"/>
        </w:rPr>
        <w:t>石板镇卫生院是公益一类全额拨款事业单位，主要职能是为辖区居民提供常见病、多发病的规范化治疗、系统化管理及重点人群健康管理、预防接种、计划生育技术指导、传染病防控等服务。</w:t>
      </w:r>
    </w:p>
    <w:p w14:paraId="56841A85">
      <w:pPr>
        <w:pStyle w:val="7"/>
        <w:keepNext w:val="0"/>
        <w:keepLines w:val="0"/>
        <w:pageBreakBefore w:val="0"/>
        <w:widowControl w:val="0"/>
        <w:shd w:val="clear" w:color="auto"/>
        <w:kinsoku/>
        <w:wordWrap/>
        <w:overflowPunct/>
        <w:topLinePunct w:val="0"/>
        <w:autoSpaceDN/>
        <w:bidi w:val="0"/>
        <w:adjustRightInd/>
        <w:spacing w:beforeAutospacing="0" w:after="0" w:afterAutospacing="0" w:line="600" w:lineRule="exact"/>
        <w:ind w:firstLine="640" w:firstLineChars="200"/>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rPr>
      </w:pPr>
      <w:r>
        <w:rPr>
          <w:rStyle w:val="11"/>
          <w:rFonts w:hint="eastAsia" w:ascii="方正楷体_GBK" w:hAnsi="方正楷体_GBK" w:eastAsia="方正楷体_GBK" w:cs="方正楷体_GBK"/>
          <w:b w:val="0"/>
          <w:bCs w:val="0"/>
          <w:color w:val="auto"/>
          <w:sz w:val="32"/>
          <w:szCs w:val="32"/>
          <w:highlight w:val="none"/>
          <w:shd w:val="clear" w:color="auto" w:fill="FFFFFF"/>
        </w:rPr>
        <w:t>（二）机构设置</w:t>
      </w:r>
    </w:p>
    <w:p w14:paraId="26F5119B">
      <w:pPr>
        <w:pStyle w:val="7"/>
        <w:keepNext w:val="0"/>
        <w:keepLines w:val="0"/>
        <w:pageBreakBefore w:val="0"/>
        <w:widowControl w:val="0"/>
        <w:shd w:val="clear" w:color="auto"/>
        <w:kinsoku/>
        <w:wordWrap/>
        <w:overflowPunct/>
        <w:topLinePunct w:val="0"/>
        <w:autoSpaceDN/>
        <w:bidi w:val="0"/>
        <w:adjustRightInd/>
        <w:spacing w:beforeAutospacing="0" w:after="0" w:afterAutospacing="0" w:line="600" w:lineRule="exact"/>
        <w:ind w:firstLine="640" w:firstLineChars="200"/>
        <w:jc w:val="both"/>
        <w:textAlignment w:val="auto"/>
        <w:rPr>
          <w:rFonts w:hint="eastAsia" w:ascii="方正仿宋_GBK" w:hAnsi="宋体" w:eastAsia="方正仿宋_GBK" w:cs="宋体"/>
          <w:b w:val="0"/>
          <w:bCs w:val="0"/>
          <w:color w:val="auto"/>
          <w:kern w:val="0"/>
          <w:sz w:val="32"/>
          <w:szCs w:val="32"/>
          <w:highlight w:val="none"/>
        </w:rPr>
      </w:pPr>
      <w:r>
        <w:rPr>
          <w:rFonts w:hint="eastAsia" w:ascii="方正仿宋_GBK" w:hAnsi="宋体" w:eastAsia="方正仿宋_GBK" w:cs="宋体"/>
          <w:b w:val="0"/>
          <w:bCs w:val="0"/>
          <w:color w:val="auto"/>
          <w:kern w:val="0"/>
          <w:sz w:val="32"/>
          <w:szCs w:val="32"/>
          <w:highlight w:val="none"/>
        </w:rPr>
        <w:t>石板镇卫生院开设全科、内科、外科、口腔科、中医及理疗科、影像科、检验科、预防保健科、妇幼保健计划生育服务科、公共卫生科、药剂科等业务科室，设有党政办、人事科、财务科、总务科、医务科、护理部、医保科等管理科室。</w:t>
      </w:r>
    </w:p>
    <w:p w14:paraId="012EDBFD">
      <w:pPr>
        <w:pStyle w:val="7"/>
        <w:keepNext w:val="0"/>
        <w:keepLines w:val="0"/>
        <w:pageBreakBefore w:val="0"/>
        <w:widowControl w:val="0"/>
        <w:shd w:val="clear" w:color="auto"/>
        <w:kinsoku/>
        <w:wordWrap/>
        <w:overflowPunct/>
        <w:topLinePunct w:val="0"/>
        <w:autoSpaceDN/>
        <w:bidi w:val="0"/>
        <w:adjustRightInd/>
        <w:spacing w:beforeAutospacing="0" w:after="0" w:afterAutospacing="0" w:line="600" w:lineRule="exact"/>
        <w:ind w:firstLine="640" w:firstLineChars="200"/>
        <w:jc w:val="both"/>
        <w:textAlignment w:val="auto"/>
        <w:rPr>
          <w:rStyle w:val="11"/>
          <w:rFonts w:hint="eastAsia" w:ascii="方正黑体_GBK" w:hAnsi="方正黑体_GBK" w:eastAsia="方正黑体_GBK" w:cs="方正黑体_GBK"/>
          <w:b w:val="0"/>
          <w:bCs w:val="0"/>
          <w:color w:val="auto"/>
          <w:sz w:val="32"/>
          <w:szCs w:val="32"/>
          <w:highlight w:val="none"/>
          <w:shd w:val="clear" w:color="auto" w:fill="FFFFFF"/>
        </w:rPr>
      </w:pPr>
      <w:r>
        <w:rPr>
          <w:rStyle w:val="11"/>
          <w:rFonts w:hint="eastAsia" w:ascii="方正黑体_GBK" w:hAnsi="方正黑体_GBK" w:eastAsia="方正黑体_GBK" w:cs="方正黑体_GBK"/>
          <w:b w:val="0"/>
          <w:bCs w:val="0"/>
          <w:color w:val="auto"/>
          <w:sz w:val="32"/>
          <w:szCs w:val="32"/>
          <w:highlight w:val="none"/>
          <w:shd w:val="clear" w:color="auto" w:fill="FFFFFF"/>
        </w:rPr>
        <w:t>二、单位决算情况说明</w:t>
      </w:r>
    </w:p>
    <w:p w14:paraId="605E827B">
      <w:pPr>
        <w:pStyle w:val="7"/>
        <w:keepNext w:val="0"/>
        <w:keepLines w:val="0"/>
        <w:pageBreakBefore w:val="0"/>
        <w:widowControl w:val="0"/>
        <w:shd w:val="clear" w:color="auto"/>
        <w:kinsoku/>
        <w:wordWrap/>
        <w:overflowPunct/>
        <w:topLinePunct w:val="0"/>
        <w:autoSpaceDN/>
        <w:bidi w:val="0"/>
        <w:adjustRightInd/>
        <w:spacing w:beforeAutospacing="0" w:after="0" w:afterAutospacing="0" w:line="600" w:lineRule="exact"/>
        <w:ind w:firstLine="640" w:firstLineChars="200"/>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rPr>
      </w:pPr>
      <w:r>
        <w:rPr>
          <w:rStyle w:val="11"/>
          <w:rFonts w:hint="eastAsia" w:ascii="方正楷体_GBK" w:hAnsi="方正楷体_GBK" w:eastAsia="方正楷体_GBK" w:cs="方正楷体_GBK"/>
          <w:b w:val="0"/>
          <w:bCs w:val="0"/>
          <w:color w:val="auto"/>
          <w:sz w:val="32"/>
          <w:szCs w:val="32"/>
          <w:highlight w:val="none"/>
          <w:shd w:val="clear" w:color="auto" w:fill="FFFFFF"/>
        </w:rPr>
        <w:t>（一）收入支出决算总体情况说明</w:t>
      </w:r>
    </w:p>
    <w:p w14:paraId="2BDA8600">
      <w:pPr>
        <w:pStyle w:val="7"/>
        <w:keepNext w:val="0"/>
        <w:keepLines w:val="0"/>
        <w:pageBreakBefore w:val="0"/>
        <w:widowControl w:val="0"/>
        <w:shd w:val="clear" w:color="auto"/>
        <w:kinsoku/>
        <w:wordWrap/>
        <w:overflowPunct/>
        <w:topLinePunct w:val="0"/>
        <w:autoSpaceDN/>
        <w:bidi w:val="0"/>
        <w:adjustRightInd/>
        <w:spacing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Style w:val="11"/>
          <w:rFonts w:hint="default" w:ascii="Times New Roman" w:hAnsi="Times New Roman" w:eastAsia="方正仿宋_GBK" w:cs="Times New Roman"/>
          <w:b w:val="0"/>
          <w:bCs w:val="0"/>
          <w:color w:val="auto"/>
          <w:sz w:val="32"/>
          <w:szCs w:val="32"/>
          <w:highlight w:val="none"/>
          <w:shd w:val="clear" w:color="auto" w:fill="FFFFFF"/>
        </w:rPr>
        <w:t>1.总体情况。</w:t>
      </w:r>
      <w:r>
        <w:rPr>
          <w:rFonts w:hint="default" w:ascii="Times New Roman" w:hAnsi="Times New Roman" w:eastAsia="方正仿宋_GBK" w:cs="Times New Roman"/>
          <w:b w:val="0"/>
          <w:bCs w:val="0"/>
          <w:color w:val="auto"/>
          <w:sz w:val="32"/>
          <w:szCs w:val="32"/>
          <w:highlight w:val="none"/>
          <w:shd w:val="clear" w:color="auto" w:fill="FFFFFF"/>
        </w:rPr>
        <w:t>2023年度收入总计1227.61万元，支出总计</w:t>
      </w:r>
      <w:r>
        <w:rPr>
          <w:rFonts w:hint="default" w:ascii="Times New Roman" w:hAnsi="Times New Roman" w:eastAsia="方正仿宋_GBK" w:cs="Times New Roman"/>
          <w:b w:val="0"/>
          <w:bCs w:val="0"/>
          <w:color w:val="auto"/>
          <w:sz w:val="32"/>
          <w:szCs w:val="32"/>
          <w:highlight w:val="none"/>
        </w:rPr>
        <w:t>1227.61</w:t>
      </w:r>
      <w:r>
        <w:rPr>
          <w:rFonts w:hint="default" w:ascii="Times New Roman" w:hAnsi="Times New Roman" w:eastAsia="方正仿宋_GBK" w:cs="Times New Roman"/>
          <w:b w:val="0"/>
          <w:bCs w:val="0"/>
          <w:color w:val="auto"/>
          <w:sz w:val="32"/>
          <w:szCs w:val="32"/>
          <w:highlight w:val="none"/>
          <w:shd w:val="clear" w:color="auto" w:fill="FFFFFF"/>
        </w:rPr>
        <w:t>万元。收支较上年决算数减少111.37万元，下降8.32%，主要原因是</w:t>
      </w:r>
      <w:r>
        <w:rPr>
          <w:rFonts w:hint="default" w:ascii="Times New Roman" w:hAnsi="Times New Roman" w:eastAsia="方正仿宋_GBK" w:cs="Times New Roman"/>
          <w:b w:val="0"/>
          <w:bCs w:val="0"/>
          <w:color w:val="auto"/>
          <w:sz w:val="32"/>
          <w:szCs w:val="32"/>
          <w:highlight w:val="none"/>
          <w:shd w:val="clear" w:color="auto" w:fill="FFFFFF"/>
          <w:lang w:eastAsia="zh-CN"/>
        </w:rPr>
        <w:t>预算口径调整</w:t>
      </w:r>
      <w:r>
        <w:rPr>
          <w:rFonts w:hint="default" w:ascii="Times New Roman" w:hAnsi="Times New Roman" w:eastAsia="方正仿宋_GBK" w:cs="Times New Roman"/>
          <w:b w:val="0"/>
          <w:bCs w:val="0"/>
          <w:color w:val="auto"/>
          <w:sz w:val="32"/>
          <w:szCs w:val="32"/>
          <w:highlight w:val="none"/>
          <w:shd w:val="clear" w:color="auto" w:fill="FFFFFF"/>
          <w:lang w:val="en-US" w:eastAsia="zh-CN"/>
        </w:rPr>
        <w:t>，</w:t>
      </w:r>
      <w:r>
        <w:rPr>
          <w:rFonts w:hint="default" w:ascii="Times New Roman" w:hAnsi="Times New Roman" w:eastAsia="方正仿宋_GBK" w:cs="Times New Roman"/>
          <w:b w:val="0"/>
          <w:bCs w:val="0"/>
          <w:color w:val="auto"/>
          <w:kern w:val="0"/>
          <w:sz w:val="32"/>
          <w:szCs w:val="32"/>
          <w:highlight w:val="none"/>
        </w:rPr>
        <w:t>财政拨款收入较上年减少</w:t>
      </w:r>
      <w:r>
        <w:rPr>
          <w:rFonts w:hint="default" w:ascii="Times New Roman" w:hAnsi="Times New Roman" w:eastAsia="方正仿宋_GBK" w:cs="Times New Roman"/>
          <w:b w:val="0"/>
          <w:bCs w:val="0"/>
          <w:color w:val="auto"/>
          <w:sz w:val="32"/>
          <w:szCs w:val="32"/>
          <w:highlight w:val="none"/>
          <w:shd w:val="clear" w:color="auto" w:fill="FFFFFF"/>
        </w:rPr>
        <w:t>161.64万元，</w:t>
      </w:r>
      <w:r>
        <w:rPr>
          <w:rFonts w:hint="default" w:ascii="Times New Roman" w:hAnsi="Times New Roman" w:eastAsia="方正仿宋_GBK" w:cs="Times New Roman"/>
          <w:b w:val="0"/>
          <w:bCs w:val="0"/>
          <w:color w:val="auto"/>
          <w:sz w:val="32"/>
          <w:szCs w:val="32"/>
          <w:highlight w:val="none"/>
          <w:shd w:val="clear" w:color="auto" w:fill="FFFFFF"/>
          <w:lang w:val="en-US" w:eastAsia="zh-CN"/>
        </w:rPr>
        <w:t>事业收入</w:t>
      </w:r>
      <w:r>
        <w:rPr>
          <w:rFonts w:hint="default" w:ascii="Times New Roman" w:hAnsi="Times New Roman" w:eastAsia="方正仿宋_GBK" w:cs="Times New Roman"/>
          <w:b w:val="0"/>
          <w:bCs w:val="0"/>
          <w:color w:val="auto"/>
          <w:sz w:val="32"/>
          <w:szCs w:val="32"/>
          <w:highlight w:val="none"/>
          <w:shd w:val="clear" w:color="auto" w:fill="FFFFFF"/>
        </w:rPr>
        <w:t>较上年增加50.2</w:t>
      </w:r>
      <w:r>
        <w:rPr>
          <w:rFonts w:hint="default" w:ascii="Times New Roman" w:hAnsi="Times New Roman" w:eastAsia="方正仿宋_GBK" w:cs="Times New Roman"/>
          <w:b w:val="0"/>
          <w:bCs w:val="0"/>
          <w:color w:val="auto"/>
          <w:sz w:val="32"/>
          <w:szCs w:val="32"/>
          <w:highlight w:val="none"/>
          <w:shd w:val="clear" w:color="auto" w:fill="FFFFFF"/>
          <w:lang w:val="en-US" w:eastAsia="zh-CN"/>
        </w:rPr>
        <w:t>7</w:t>
      </w:r>
      <w:r>
        <w:rPr>
          <w:rFonts w:hint="default" w:ascii="Times New Roman" w:hAnsi="Times New Roman" w:eastAsia="方正仿宋_GBK" w:cs="Times New Roman"/>
          <w:b w:val="0"/>
          <w:bCs w:val="0"/>
          <w:color w:val="auto"/>
          <w:sz w:val="32"/>
          <w:szCs w:val="32"/>
          <w:highlight w:val="none"/>
          <w:shd w:val="clear" w:color="auto" w:fill="FFFFFF"/>
        </w:rPr>
        <w:t>万</w:t>
      </w:r>
      <w:r>
        <w:rPr>
          <w:rFonts w:hint="eastAsia" w:ascii="方正仿宋_GBK" w:hAnsi="方正仿宋_GBK" w:eastAsia="方正仿宋_GBK" w:cs="方正仿宋_GBK"/>
          <w:b w:val="0"/>
          <w:bCs w:val="0"/>
          <w:color w:val="auto"/>
          <w:sz w:val="32"/>
          <w:szCs w:val="32"/>
          <w:highlight w:val="none"/>
          <w:shd w:val="clear" w:color="auto" w:fill="FFFFFF"/>
        </w:rPr>
        <w:t>元。</w:t>
      </w:r>
    </w:p>
    <w:p w14:paraId="0714F411">
      <w:pPr>
        <w:pStyle w:val="7"/>
        <w:keepNext w:val="0"/>
        <w:keepLines w:val="0"/>
        <w:pageBreakBefore w:val="0"/>
        <w:widowControl w:val="0"/>
        <w:shd w:val="clear" w:color="auto"/>
        <w:kinsoku/>
        <w:wordWrap/>
        <w:overflowPunct/>
        <w:topLinePunct w:val="0"/>
        <w:autoSpaceDN/>
        <w:bidi w:val="0"/>
        <w:adjustRightInd/>
        <w:spacing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shd w:val="clear" w:color="auto" w:fill="FFFFFF"/>
        </w:rPr>
      </w:pPr>
      <w:r>
        <w:rPr>
          <w:rStyle w:val="11"/>
          <w:rFonts w:hint="default" w:ascii="Times New Roman" w:hAnsi="Times New Roman" w:eastAsia="方正仿宋_GBK" w:cs="Times New Roman"/>
          <w:b w:val="0"/>
          <w:bCs w:val="0"/>
          <w:color w:val="auto"/>
          <w:sz w:val="32"/>
          <w:szCs w:val="32"/>
          <w:highlight w:val="none"/>
          <w:shd w:val="clear" w:color="auto" w:fill="FFFFFF"/>
        </w:rPr>
        <w:t>2.收入情况。</w:t>
      </w:r>
      <w:r>
        <w:rPr>
          <w:rFonts w:hint="default" w:ascii="Times New Roman" w:hAnsi="Times New Roman" w:eastAsia="方正仿宋_GBK" w:cs="Times New Roman"/>
          <w:b w:val="0"/>
          <w:bCs w:val="0"/>
          <w:color w:val="auto"/>
          <w:sz w:val="32"/>
          <w:szCs w:val="32"/>
          <w:highlight w:val="none"/>
          <w:shd w:val="clear" w:color="auto" w:fill="FFFFFF"/>
        </w:rPr>
        <w:t>2023年度收入合计1227.61万元，较上年决算数减少111.37万元，下降8.32%，主要原因是</w:t>
      </w:r>
      <w:r>
        <w:rPr>
          <w:rFonts w:hint="default" w:ascii="Times New Roman" w:hAnsi="Times New Roman" w:eastAsia="方正仿宋_GBK" w:cs="Times New Roman"/>
          <w:b w:val="0"/>
          <w:bCs w:val="0"/>
          <w:color w:val="auto"/>
          <w:sz w:val="32"/>
          <w:szCs w:val="32"/>
          <w:highlight w:val="none"/>
          <w:shd w:val="clear" w:color="auto" w:fill="FFFFFF"/>
          <w:lang w:eastAsia="zh-CN"/>
        </w:rPr>
        <w:t>预算口径调整</w:t>
      </w:r>
      <w:r>
        <w:rPr>
          <w:rFonts w:hint="default" w:ascii="Times New Roman" w:hAnsi="Times New Roman" w:eastAsia="方正仿宋_GBK" w:cs="Times New Roman"/>
          <w:b w:val="0"/>
          <w:bCs w:val="0"/>
          <w:color w:val="auto"/>
          <w:sz w:val="32"/>
          <w:szCs w:val="32"/>
          <w:highlight w:val="none"/>
          <w:shd w:val="clear" w:color="auto" w:fill="FFFFFF"/>
          <w:lang w:val="en-US" w:eastAsia="zh-CN"/>
        </w:rPr>
        <w:t>，</w:t>
      </w:r>
      <w:r>
        <w:rPr>
          <w:rFonts w:hint="default" w:ascii="Times New Roman" w:hAnsi="Times New Roman" w:eastAsia="方正仿宋_GBK" w:cs="Times New Roman"/>
          <w:b w:val="0"/>
          <w:bCs w:val="0"/>
          <w:color w:val="auto"/>
          <w:sz w:val="32"/>
          <w:szCs w:val="32"/>
          <w:highlight w:val="none"/>
          <w:shd w:val="clear" w:color="auto" w:fill="FFFFFF"/>
        </w:rPr>
        <w:t>财政拨款收入较上年减少161.64万元，</w:t>
      </w:r>
      <w:r>
        <w:rPr>
          <w:rFonts w:hint="default" w:ascii="Times New Roman" w:hAnsi="Times New Roman" w:eastAsia="方正仿宋_GBK" w:cs="Times New Roman"/>
          <w:b w:val="0"/>
          <w:bCs w:val="0"/>
          <w:color w:val="auto"/>
          <w:sz w:val="32"/>
          <w:szCs w:val="32"/>
          <w:highlight w:val="none"/>
          <w:shd w:val="clear" w:color="auto" w:fill="FFFFFF"/>
          <w:lang w:val="en-US" w:eastAsia="zh-CN"/>
        </w:rPr>
        <w:t>事业收入</w:t>
      </w:r>
      <w:r>
        <w:rPr>
          <w:rFonts w:hint="default" w:ascii="Times New Roman" w:hAnsi="Times New Roman" w:eastAsia="方正仿宋_GBK" w:cs="Times New Roman"/>
          <w:b w:val="0"/>
          <w:bCs w:val="0"/>
          <w:color w:val="auto"/>
          <w:sz w:val="32"/>
          <w:szCs w:val="32"/>
          <w:highlight w:val="none"/>
          <w:shd w:val="clear" w:color="auto" w:fill="FFFFFF"/>
        </w:rPr>
        <w:t>较上年增加50.2</w:t>
      </w:r>
      <w:r>
        <w:rPr>
          <w:rFonts w:hint="default" w:ascii="Times New Roman" w:hAnsi="Times New Roman" w:eastAsia="方正仿宋_GBK" w:cs="Times New Roman"/>
          <w:b w:val="0"/>
          <w:bCs w:val="0"/>
          <w:color w:val="auto"/>
          <w:sz w:val="32"/>
          <w:szCs w:val="32"/>
          <w:highlight w:val="none"/>
          <w:shd w:val="clear" w:color="auto" w:fill="FFFFFF"/>
          <w:lang w:val="en-US" w:eastAsia="zh-CN"/>
        </w:rPr>
        <w:t>7</w:t>
      </w:r>
      <w:r>
        <w:rPr>
          <w:rFonts w:hint="default" w:ascii="Times New Roman" w:hAnsi="Times New Roman" w:eastAsia="方正仿宋_GBK" w:cs="Times New Roman"/>
          <w:b w:val="0"/>
          <w:bCs w:val="0"/>
          <w:color w:val="auto"/>
          <w:sz w:val="32"/>
          <w:szCs w:val="32"/>
          <w:highlight w:val="none"/>
          <w:shd w:val="clear" w:color="auto" w:fill="FFFFFF"/>
        </w:rPr>
        <w:t>万元。其中：财政拨款收入971.05万元，占79.1%；事业收入256.55万元，占20.9%；经营收入0万元，占0%；其他收入0万元，占0%。此外，使用非财政拨款结余和专用结余0万元，年初结转和结余0万</w:t>
      </w:r>
      <w:r>
        <w:rPr>
          <w:rFonts w:ascii="方正仿宋_GBK" w:hAnsi="方正仿宋_GBK" w:eastAsia="方正仿宋_GBK" w:cs="方正仿宋_GBK"/>
          <w:b w:val="0"/>
          <w:bCs w:val="0"/>
          <w:color w:val="auto"/>
          <w:sz w:val="32"/>
          <w:szCs w:val="32"/>
          <w:highlight w:val="none"/>
          <w:shd w:val="clear" w:color="auto" w:fill="FFFFFF"/>
        </w:rPr>
        <w:t>元。</w:t>
      </w:r>
    </w:p>
    <w:p w14:paraId="613A799D">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Style w:val="11"/>
          <w:rFonts w:hint="default" w:ascii="Times New Roman" w:hAnsi="Times New Roman" w:eastAsia="方正仿宋_GBK" w:cs="Times New Roman"/>
          <w:b w:val="0"/>
          <w:bCs w:val="0"/>
          <w:color w:val="auto"/>
          <w:sz w:val="32"/>
          <w:szCs w:val="32"/>
          <w:highlight w:val="none"/>
          <w:shd w:val="clear" w:color="auto" w:fill="FFFFFF"/>
        </w:rPr>
        <w:t>3.支出情况。</w:t>
      </w:r>
      <w:r>
        <w:rPr>
          <w:rFonts w:hint="default" w:ascii="Times New Roman" w:hAnsi="Times New Roman" w:eastAsia="方正仿宋_GBK" w:cs="Times New Roman"/>
          <w:b w:val="0"/>
          <w:bCs w:val="0"/>
          <w:color w:val="auto"/>
          <w:sz w:val="32"/>
          <w:szCs w:val="32"/>
          <w:highlight w:val="none"/>
          <w:shd w:val="clear" w:color="auto" w:fill="FFFFFF"/>
        </w:rPr>
        <w:t>2023年度支出合计</w:t>
      </w:r>
      <w:r>
        <w:rPr>
          <w:rFonts w:hint="default" w:ascii="Times New Roman" w:hAnsi="Times New Roman" w:eastAsia="方正仿宋_GBK" w:cs="Times New Roman"/>
          <w:b w:val="0"/>
          <w:bCs w:val="0"/>
          <w:color w:val="auto"/>
          <w:sz w:val="32"/>
          <w:szCs w:val="32"/>
          <w:highlight w:val="none"/>
        </w:rPr>
        <w:t>1227.61</w:t>
      </w:r>
      <w:r>
        <w:rPr>
          <w:rFonts w:hint="default" w:ascii="Times New Roman" w:hAnsi="Times New Roman" w:eastAsia="方正仿宋_GBK" w:cs="Times New Roman"/>
          <w:b w:val="0"/>
          <w:bCs w:val="0"/>
          <w:color w:val="auto"/>
          <w:sz w:val="32"/>
          <w:szCs w:val="32"/>
          <w:highlight w:val="none"/>
          <w:shd w:val="clear" w:color="auto" w:fill="FFFFFF"/>
        </w:rPr>
        <w:t>万元，较上年决算数减少103.44万元，下降7.77%，主要原因是</w:t>
      </w:r>
      <w:r>
        <w:rPr>
          <w:rFonts w:hint="default" w:ascii="Times New Roman" w:hAnsi="Times New Roman" w:eastAsia="方正仿宋_GBK" w:cs="Times New Roman"/>
          <w:b w:val="0"/>
          <w:bCs w:val="0"/>
          <w:color w:val="auto"/>
          <w:sz w:val="32"/>
          <w:szCs w:val="32"/>
          <w:highlight w:val="none"/>
          <w:shd w:val="clear" w:color="auto" w:fill="FFFFFF"/>
          <w:lang w:eastAsia="zh-CN"/>
        </w:rPr>
        <w:t>预算口径调整，</w:t>
      </w:r>
      <w:r>
        <w:rPr>
          <w:rFonts w:hint="default" w:ascii="Times New Roman" w:hAnsi="Times New Roman" w:eastAsia="方正仿宋_GBK" w:cs="Times New Roman"/>
          <w:b w:val="0"/>
          <w:bCs w:val="0"/>
          <w:color w:val="auto"/>
          <w:kern w:val="0"/>
          <w:sz w:val="32"/>
          <w:szCs w:val="32"/>
          <w:highlight w:val="none"/>
        </w:rPr>
        <w:t>基本支出减</w:t>
      </w:r>
      <w:r>
        <w:rPr>
          <w:rFonts w:hint="default" w:ascii="Times New Roman" w:hAnsi="Times New Roman" w:eastAsia="方正仿宋_GBK" w:cs="Times New Roman"/>
          <w:b w:val="0"/>
          <w:bCs w:val="0"/>
          <w:color w:val="auto"/>
          <w:sz w:val="32"/>
          <w:szCs w:val="32"/>
          <w:highlight w:val="none"/>
          <w:shd w:val="clear" w:color="auto" w:fill="FFFFFF"/>
        </w:rPr>
        <w:t>少269.92万元</w:t>
      </w:r>
      <w:r>
        <w:rPr>
          <w:rFonts w:hint="default" w:ascii="Times New Roman" w:hAnsi="Times New Roman" w:eastAsia="方正仿宋_GBK" w:cs="Times New Roman"/>
          <w:b w:val="0"/>
          <w:bCs w:val="0"/>
          <w:color w:val="auto"/>
          <w:sz w:val="32"/>
          <w:szCs w:val="32"/>
          <w:highlight w:val="none"/>
          <w:shd w:val="clear" w:color="auto" w:fill="FFFFFF"/>
          <w:lang w:eastAsia="zh-CN"/>
        </w:rPr>
        <w:t>，项目支出</w:t>
      </w:r>
      <w:r>
        <w:rPr>
          <w:rFonts w:hint="default" w:ascii="Times New Roman" w:hAnsi="Times New Roman" w:eastAsia="方正仿宋_GBK" w:cs="Times New Roman"/>
          <w:b w:val="0"/>
          <w:bCs w:val="0"/>
          <w:color w:val="auto"/>
          <w:sz w:val="32"/>
          <w:szCs w:val="32"/>
          <w:highlight w:val="none"/>
          <w:shd w:val="clear" w:color="auto" w:fill="FFFFFF"/>
        </w:rPr>
        <w:t>增加166.48</w:t>
      </w:r>
      <w:r>
        <w:rPr>
          <w:rFonts w:hint="default" w:ascii="Times New Roman" w:hAnsi="Times New Roman" w:eastAsia="方正仿宋_GBK" w:cs="Times New Roman"/>
          <w:b w:val="0"/>
          <w:bCs w:val="0"/>
          <w:color w:val="auto"/>
          <w:sz w:val="32"/>
          <w:szCs w:val="32"/>
          <w:highlight w:val="none"/>
          <w:shd w:val="clear" w:color="auto" w:fill="FFFFFF"/>
          <w:lang w:eastAsia="zh-CN"/>
        </w:rPr>
        <w:t>万元</w:t>
      </w:r>
      <w:r>
        <w:rPr>
          <w:rFonts w:hint="default" w:ascii="Times New Roman" w:hAnsi="Times New Roman" w:eastAsia="方正仿宋_GBK" w:cs="Times New Roman"/>
          <w:b w:val="0"/>
          <w:bCs w:val="0"/>
          <w:color w:val="auto"/>
          <w:sz w:val="32"/>
          <w:szCs w:val="32"/>
          <w:highlight w:val="none"/>
          <w:shd w:val="clear" w:color="auto" w:fill="FFFFFF"/>
        </w:rPr>
        <w:t>。其中：基本支出1061.13万元，占86.44%；项目支出166.48万元，占13.56%；经营支出</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万元，占0%。此外，结余分配</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万元。</w:t>
      </w:r>
    </w:p>
    <w:p w14:paraId="598694D7">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Style w:val="11"/>
          <w:rFonts w:hint="default" w:ascii="Times New Roman" w:hAnsi="Times New Roman" w:eastAsia="方正仿宋_GBK" w:cs="Times New Roman"/>
          <w:b w:val="0"/>
          <w:bCs w:val="0"/>
          <w:color w:val="auto"/>
          <w:sz w:val="32"/>
          <w:szCs w:val="32"/>
          <w:highlight w:val="none"/>
          <w:shd w:val="clear" w:color="auto" w:fill="FFFFFF"/>
        </w:rPr>
        <w:t>4.结转结余情况。</w:t>
      </w:r>
      <w:r>
        <w:rPr>
          <w:rFonts w:hint="default" w:ascii="Times New Roman" w:hAnsi="Times New Roman" w:eastAsia="方正仿宋_GBK" w:cs="Times New Roman"/>
          <w:b w:val="0"/>
          <w:bCs w:val="0"/>
          <w:color w:val="auto"/>
          <w:sz w:val="32"/>
          <w:szCs w:val="32"/>
          <w:highlight w:val="none"/>
          <w:shd w:val="clear" w:color="auto" w:fill="FFFFFF"/>
        </w:rPr>
        <w:t>2023年度年末结转和结余</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万元，较上年决算数无增减，主要原因是</w:t>
      </w:r>
      <w:r>
        <w:rPr>
          <w:rFonts w:hint="default" w:ascii="Times New Roman" w:hAnsi="Times New Roman" w:eastAsia="方正仿宋_GBK" w:cs="Times New Roman"/>
          <w:b w:val="0"/>
          <w:bCs w:val="0"/>
          <w:color w:val="auto"/>
          <w:kern w:val="0"/>
          <w:sz w:val="32"/>
          <w:szCs w:val="32"/>
          <w:highlight w:val="none"/>
        </w:rPr>
        <w:t>年终</w:t>
      </w:r>
      <w:r>
        <w:rPr>
          <w:rFonts w:hint="eastAsia" w:ascii="方正仿宋_GBK" w:hAnsi="宋体" w:eastAsia="方正仿宋_GBK" w:cs="宋体"/>
          <w:b w:val="0"/>
          <w:bCs w:val="0"/>
          <w:color w:val="auto"/>
          <w:kern w:val="0"/>
          <w:sz w:val="32"/>
          <w:szCs w:val="32"/>
          <w:highlight w:val="none"/>
        </w:rPr>
        <w:t>无结转结余</w:t>
      </w:r>
      <w:r>
        <w:rPr>
          <w:rFonts w:hint="eastAsia" w:ascii="方正仿宋_GBK" w:eastAsia="方正仿宋_GBK" w:cs="宋体"/>
          <w:b w:val="0"/>
          <w:bCs w:val="0"/>
          <w:color w:val="auto"/>
          <w:kern w:val="0"/>
          <w:sz w:val="32"/>
          <w:szCs w:val="32"/>
          <w:highlight w:val="none"/>
          <w:lang w:eastAsia="zh-CN"/>
        </w:rPr>
        <w:t>。</w:t>
      </w:r>
    </w:p>
    <w:p w14:paraId="71E32036">
      <w:pPr>
        <w:pStyle w:val="7"/>
        <w:keepNext w:val="0"/>
        <w:keepLines w:val="0"/>
        <w:pageBreakBefore w:val="0"/>
        <w:widowControl w:val="0"/>
        <w:shd w:val="clear" w:color="auto"/>
        <w:kinsoku/>
        <w:wordWrap/>
        <w:overflowPunct/>
        <w:topLinePunct w:val="0"/>
        <w:autoSpaceDN/>
        <w:bidi w:val="0"/>
        <w:adjustRightInd/>
        <w:spacing w:beforeAutospacing="0" w:after="0" w:afterAutospacing="0" w:line="600" w:lineRule="exact"/>
        <w:ind w:firstLine="420"/>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rPr>
      </w:pPr>
      <w:r>
        <w:rPr>
          <w:rStyle w:val="11"/>
          <w:rFonts w:hint="eastAsia" w:ascii="方正楷体_GBK" w:hAnsi="方正楷体_GBK" w:eastAsia="方正楷体_GBK" w:cs="方正楷体_GBK"/>
          <w:b w:val="0"/>
          <w:bCs w:val="0"/>
          <w:color w:val="auto"/>
          <w:sz w:val="32"/>
          <w:szCs w:val="32"/>
          <w:highlight w:val="none"/>
          <w:shd w:val="clear" w:color="auto" w:fill="FFFFFF"/>
        </w:rPr>
        <w:t>（二）财政拨款收入支出决算总体情况说明</w:t>
      </w:r>
    </w:p>
    <w:p w14:paraId="05E7E652">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2023年度财政拨款收、支总计971.05万元。与2022年相比，财政拨款收、支总计各减少161.64万元，下降14.27%。主</w:t>
      </w:r>
      <w:r>
        <w:rPr>
          <w:rFonts w:ascii="方正仿宋_GBK" w:hAnsi="方正仿宋_GBK" w:eastAsia="方正仿宋_GBK" w:cs="方正仿宋_GBK"/>
          <w:b w:val="0"/>
          <w:bCs w:val="0"/>
          <w:color w:val="auto"/>
          <w:sz w:val="32"/>
          <w:szCs w:val="32"/>
          <w:highlight w:val="none"/>
          <w:shd w:val="clear" w:color="auto" w:fill="FFFFFF"/>
        </w:rPr>
        <w:t>要原因是</w:t>
      </w:r>
      <w:r>
        <w:rPr>
          <w:rFonts w:hint="eastAsia" w:ascii="方正仿宋_GBK" w:hAnsi="方正仿宋_GBK" w:eastAsia="方正仿宋_GBK" w:cs="方正仿宋_GBK"/>
          <w:b w:val="0"/>
          <w:bCs w:val="0"/>
          <w:color w:val="auto"/>
          <w:sz w:val="32"/>
          <w:szCs w:val="32"/>
          <w:highlight w:val="none"/>
          <w:shd w:val="clear" w:color="auto" w:fill="FFFFFF"/>
          <w:lang w:eastAsia="zh-CN"/>
        </w:rPr>
        <w:t>预算口径调整，</w:t>
      </w:r>
      <w:r>
        <w:rPr>
          <w:rFonts w:ascii="方正仿宋_GBK" w:hAnsi="方正仿宋_GBK" w:eastAsia="方正仿宋_GBK" w:cs="方正仿宋_GBK"/>
          <w:b w:val="0"/>
          <w:bCs w:val="0"/>
          <w:color w:val="auto"/>
          <w:sz w:val="32"/>
          <w:szCs w:val="32"/>
          <w:highlight w:val="none"/>
          <w:shd w:val="clear" w:color="auto" w:fill="FFFFFF"/>
        </w:rPr>
        <w:t>日常公用经费减少。</w:t>
      </w:r>
    </w:p>
    <w:p w14:paraId="2D9ABDF1">
      <w:pPr>
        <w:pStyle w:val="7"/>
        <w:keepNext w:val="0"/>
        <w:keepLines w:val="0"/>
        <w:pageBreakBefore w:val="0"/>
        <w:widowControl w:val="0"/>
        <w:shd w:val="clear" w:color="auto"/>
        <w:kinsoku/>
        <w:wordWrap/>
        <w:overflowPunct/>
        <w:topLinePunct w:val="0"/>
        <w:autoSpaceDE/>
        <w:autoSpaceDN/>
        <w:bidi w:val="0"/>
        <w:adjustRightInd/>
        <w:spacing w:beforeAutospacing="0" w:after="0" w:afterAutospacing="0" w:line="600" w:lineRule="exact"/>
        <w:ind w:firstLine="420"/>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rPr>
      </w:pPr>
      <w:r>
        <w:rPr>
          <w:rStyle w:val="11"/>
          <w:rFonts w:hint="eastAsia" w:ascii="方正楷体_GBK" w:hAnsi="方正楷体_GBK" w:eastAsia="方正楷体_GBK" w:cs="方正楷体_GBK"/>
          <w:b w:val="0"/>
          <w:bCs w:val="0"/>
          <w:color w:val="auto"/>
          <w:sz w:val="32"/>
          <w:szCs w:val="32"/>
          <w:highlight w:val="none"/>
          <w:shd w:val="clear" w:color="auto" w:fill="FFFFFF"/>
        </w:rPr>
        <w:t>（三）一般公共预算财政拨款收入支出决算情况说明</w:t>
      </w:r>
    </w:p>
    <w:p w14:paraId="73D83D36">
      <w:pPr>
        <w:pStyle w:val="7"/>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Style w:val="11"/>
          <w:rFonts w:hint="default" w:ascii="Times New Roman" w:hAnsi="Times New Roman" w:eastAsia="方正仿宋_GBK" w:cs="Times New Roman"/>
          <w:b w:val="0"/>
          <w:bCs w:val="0"/>
          <w:color w:val="auto"/>
          <w:sz w:val="32"/>
          <w:szCs w:val="32"/>
          <w:highlight w:val="none"/>
          <w:shd w:val="clear" w:color="auto" w:fill="FFFFFF"/>
        </w:rPr>
        <w:t>1.收入情况。</w:t>
      </w:r>
      <w:r>
        <w:rPr>
          <w:rFonts w:hint="default" w:ascii="Times New Roman" w:hAnsi="Times New Roman" w:eastAsia="方正仿宋_GBK" w:cs="Times New Roman"/>
          <w:b w:val="0"/>
          <w:bCs w:val="0"/>
          <w:color w:val="auto"/>
          <w:sz w:val="32"/>
          <w:szCs w:val="32"/>
          <w:highlight w:val="none"/>
          <w:shd w:val="clear" w:color="auto" w:fill="FFFFFF"/>
        </w:rPr>
        <w:t>2023年度一般公共预算财政拨款收入</w:t>
      </w:r>
      <w:r>
        <w:rPr>
          <w:rFonts w:hint="default" w:ascii="Times New Roman" w:hAnsi="Times New Roman" w:eastAsia="方正仿宋_GBK" w:cs="Times New Roman"/>
          <w:b w:val="0"/>
          <w:bCs w:val="0"/>
          <w:color w:val="auto"/>
          <w:sz w:val="32"/>
          <w:szCs w:val="32"/>
          <w:highlight w:val="none"/>
        </w:rPr>
        <w:t>971.05</w:t>
      </w:r>
      <w:r>
        <w:rPr>
          <w:rFonts w:hint="default" w:ascii="Times New Roman" w:hAnsi="Times New Roman" w:eastAsia="方正仿宋_GBK" w:cs="Times New Roman"/>
          <w:b w:val="0"/>
          <w:bCs w:val="0"/>
          <w:color w:val="auto"/>
          <w:sz w:val="32"/>
          <w:szCs w:val="32"/>
          <w:highlight w:val="none"/>
          <w:shd w:val="clear" w:color="auto" w:fill="FFFFFF"/>
        </w:rPr>
        <w:t>万元，较上年决算数减少161.64万元，下降14.27%。主要原因是</w:t>
      </w:r>
      <w:r>
        <w:rPr>
          <w:rFonts w:hint="default" w:ascii="Times New Roman" w:hAnsi="Times New Roman" w:eastAsia="方正仿宋_GBK" w:cs="Times New Roman"/>
          <w:b w:val="0"/>
          <w:bCs w:val="0"/>
          <w:color w:val="auto"/>
          <w:sz w:val="32"/>
          <w:szCs w:val="32"/>
          <w:highlight w:val="none"/>
          <w:shd w:val="clear" w:color="auto" w:fill="FFFFFF"/>
          <w:lang w:eastAsia="zh-CN"/>
        </w:rPr>
        <w:t>预算口径调整，</w:t>
      </w:r>
      <w:r>
        <w:rPr>
          <w:rFonts w:hint="default" w:ascii="Times New Roman" w:hAnsi="Times New Roman" w:eastAsia="方正仿宋_GBK" w:cs="Times New Roman"/>
          <w:b w:val="0"/>
          <w:bCs w:val="0"/>
          <w:color w:val="auto"/>
          <w:kern w:val="0"/>
          <w:sz w:val="32"/>
          <w:szCs w:val="32"/>
          <w:highlight w:val="none"/>
        </w:rPr>
        <w:t>经费减少较大。</w:t>
      </w:r>
      <w:r>
        <w:rPr>
          <w:rFonts w:hint="default" w:ascii="Times New Roman" w:hAnsi="Times New Roman" w:eastAsia="方正仿宋_GBK" w:cs="Times New Roman"/>
          <w:b w:val="0"/>
          <w:bCs w:val="0"/>
          <w:color w:val="auto"/>
          <w:sz w:val="32"/>
          <w:szCs w:val="32"/>
          <w:highlight w:val="none"/>
          <w:shd w:val="clear" w:color="auto" w:fill="FFFFFF"/>
        </w:rPr>
        <w:t>较年初预算数增加589.67万元，增长154.61%。主要原因是</w:t>
      </w:r>
      <w:r>
        <w:rPr>
          <w:rFonts w:hint="default" w:ascii="Times New Roman" w:hAnsi="Times New Roman" w:eastAsia="方正仿宋_GBK" w:cs="Times New Roman"/>
          <w:b w:val="0"/>
          <w:bCs w:val="0"/>
          <w:color w:val="auto"/>
          <w:kern w:val="0"/>
          <w:sz w:val="32"/>
          <w:szCs w:val="32"/>
          <w:highlight w:val="none"/>
        </w:rPr>
        <w:t>卫生健康支出增加</w:t>
      </w:r>
      <w:r>
        <w:rPr>
          <w:rFonts w:hint="default" w:ascii="Times New Roman" w:hAnsi="Times New Roman" w:eastAsia="方正仿宋_GBK" w:cs="Times New Roman"/>
          <w:b w:val="0"/>
          <w:bCs w:val="0"/>
          <w:color w:val="auto"/>
          <w:sz w:val="32"/>
          <w:szCs w:val="32"/>
          <w:highlight w:val="none"/>
          <w:shd w:val="clear" w:color="auto" w:fill="FFFFFF"/>
          <w:lang w:val="en-US" w:eastAsia="zh-CN"/>
        </w:rPr>
        <w:t>577.19</w:t>
      </w:r>
      <w:r>
        <w:rPr>
          <w:rFonts w:hint="default" w:ascii="Times New Roman" w:hAnsi="Times New Roman" w:eastAsia="方正仿宋_GBK" w:cs="Times New Roman"/>
          <w:b w:val="0"/>
          <w:bCs w:val="0"/>
          <w:color w:val="auto"/>
          <w:kern w:val="0"/>
          <w:sz w:val="32"/>
          <w:szCs w:val="32"/>
          <w:highlight w:val="none"/>
        </w:rPr>
        <w:t>万元，社会保障与就业支出增加</w:t>
      </w:r>
      <w:r>
        <w:rPr>
          <w:rFonts w:hint="default" w:ascii="Times New Roman" w:hAnsi="Times New Roman" w:eastAsia="方正仿宋_GBK" w:cs="Times New Roman"/>
          <w:b w:val="0"/>
          <w:bCs w:val="0"/>
          <w:color w:val="auto"/>
          <w:sz w:val="32"/>
          <w:szCs w:val="32"/>
          <w:highlight w:val="none"/>
          <w:shd w:val="clear" w:color="auto" w:fill="FFFFFF"/>
          <w:lang w:val="en-US" w:eastAsia="zh-CN"/>
        </w:rPr>
        <w:t>11.55</w:t>
      </w:r>
      <w:r>
        <w:rPr>
          <w:rFonts w:hint="default" w:ascii="Times New Roman" w:hAnsi="Times New Roman" w:eastAsia="方正仿宋_GBK" w:cs="Times New Roman"/>
          <w:b w:val="0"/>
          <w:bCs w:val="0"/>
          <w:color w:val="auto"/>
          <w:kern w:val="0"/>
          <w:sz w:val="32"/>
          <w:szCs w:val="32"/>
          <w:highlight w:val="none"/>
        </w:rPr>
        <w:t>万元</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住房保障支出增加</w:t>
      </w:r>
      <w:r>
        <w:rPr>
          <w:rFonts w:hint="default" w:ascii="Times New Roman" w:hAnsi="Times New Roman" w:eastAsia="方正仿宋_GBK" w:cs="Times New Roman"/>
          <w:b w:val="0"/>
          <w:bCs w:val="0"/>
          <w:color w:val="auto"/>
          <w:sz w:val="32"/>
          <w:szCs w:val="32"/>
          <w:highlight w:val="none"/>
          <w:shd w:val="clear" w:color="auto" w:fill="FFFFFF"/>
          <w:lang w:val="en-US" w:eastAsia="zh-CN"/>
        </w:rPr>
        <w:t>0.93</w:t>
      </w:r>
      <w:r>
        <w:rPr>
          <w:rFonts w:hint="default" w:ascii="Times New Roman" w:hAnsi="Times New Roman" w:eastAsia="方正仿宋_GBK" w:cs="Times New Roman"/>
          <w:b w:val="0"/>
          <w:bCs w:val="0"/>
          <w:color w:val="auto"/>
          <w:kern w:val="0"/>
          <w:sz w:val="32"/>
          <w:szCs w:val="32"/>
          <w:highlight w:val="none"/>
        </w:rPr>
        <w:t>万元。</w:t>
      </w:r>
      <w:r>
        <w:rPr>
          <w:rFonts w:hint="default" w:ascii="Times New Roman" w:hAnsi="Times New Roman" w:eastAsia="方正仿宋_GBK" w:cs="Times New Roman"/>
          <w:b w:val="0"/>
          <w:bCs w:val="0"/>
          <w:color w:val="auto"/>
          <w:sz w:val="32"/>
          <w:szCs w:val="32"/>
          <w:highlight w:val="none"/>
          <w:shd w:val="clear" w:color="auto" w:fill="FFFFFF"/>
        </w:rPr>
        <w:t>此外，年初财政拨款结转和结余</w:t>
      </w:r>
      <w:r>
        <w:rPr>
          <w:rFonts w:hint="default" w:ascii="Times New Roman" w:hAnsi="Times New Roman" w:eastAsia="方正仿宋_GBK" w:cs="Times New Roman"/>
          <w:b w:val="0"/>
          <w:bCs w:val="0"/>
          <w:color w:val="auto"/>
          <w:sz w:val="32"/>
          <w:szCs w:val="32"/>
          <w:highlight w:val="none"/>
          <w:shd w:val="clear" w:color="auto" w:fill="FFFFFF"/>
          <w:lang w:val="en-US" w:eastAsia="zh-CN"/>
        </w:rPr>
        <w:t>0</w:t>
      </w:r>
      <w:r>
        <w:rPr>
          <w:rFonts w:hint="default" w:ascii="Times New Roman" w:hAnsi="Times New Roman" w:eastAsia="方正仿宋_GBK" w:cs="Times New Roman"/>
          <w:b w:val="0"/>
          <w:bCs w:val="0"/>
          <w:color w:val="auto"/>
          <w:sz w:val="32"/>
          <w:szCs w:val="32"/>
          <w:highlight w:val="none"/>
          <w:shd w:val="clear" w:color="auto" w:fill="FFFFFF"/>
        </w:rPr>
        <w:t>万</w:t>
      </w:r>
      <w:r>
        <w:rPr>
          <w:rFonts w:ascii="方正仿宋_GBK" w:hAnsi="方正仿宋_GBK" w:eastAsia="方正仿宋_GBK" w:cs="方正仿宋_GBK"/>
          <w:b w:val="0"/>
          <w:bCs w:val="0"/>
          <w:color w:val="auto"/>
          <w:sz w:val="32"/>
          <w:szCs w:val="32"/>
          <w:highlight w:val="none"/>
          <w:shd w:val="clear" w:color="auto" w:fill="FFFFFF"/>
        </w:rPr>
        <w:t>元。</w:t>
      </w:r>
    </w:p>
    <w:p w14:paraId="0608C1A1">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rPr>
      </w:pPr>
      <w:r>
        <w:rPr>
          <w:rStyle w:val="11"/>
          <w:rFonts w:hint="default" w:ascii="Times New Roman" w:hAnsi="Times New Roman" w:eastAsia="方正仿宋_GBK" w:cs="Times New Roman"/>
          <w:b w:val="0"/>
          <w:bCs w:val="0"/>
          <w:color w:val="auto"/>
          <w:sz w:val="32"/>
          <w:szCs w:val="32"/>
          <w:highlight w:val="none"/>
          <w:shd w:val="clear" w:color="auto" w:fill="FFFFFF"/>
        </w:rPr>
        <w:t>2.支出情况。</w:t>
      </w:r>
      <w:r>
        <w:rPr>
          <w:rFonts w:hint="default" w:ascii="Times New Roman" w:hAnsi="Times New Roman" w:eastAsia="方正仿宋_GBK" w:cs="Times New Roman"/>
          <w:b w:val="0"/>
          <w:bCs w:val="0"/>
          <w:color w:val="auto"/>
          <w:sz w:val="32"/>
          <w:szCs w:val="32"/>
          <w:highlight w:val="none"/>
          <w:shd w:val="clear" w:color="auto" w:fill="FFFFFF"/>
        </w:rPr>
        <w:t>2023年度一般公共预算财政拨款支出</w:t>
      </w:r>
      <w:r>
        <w:rPr>
          <w:rFonts w:hint="default" w:ascii="Times New Roman" w:hAnsi="Times New Roman" w:eastAsia="方正仿宋_GBK" w:cs="Times New Roman"/>
          <w:b w:val="0"/>
          <w:bCs w:val="0"/>
          <w:color w:val="auto"/>
          <w:sz w:val="32"/>
          <w:szCs w:val="32"/>
          <w:highlight w:val="none"/>
        </w:rPr>
        <w:t>971.05</w:t>
      </w:r>
      <w:r>
        <w:rPr>
          <w:rFonts w:hint="default" w:ascii="Times New Roman" w:hAnsi="Times New Roman" w:eastAsia="方正仿宋_GBK" w:cs="Times New Roman"/>
          <w:b w:val="0"/>
          <w:bCs w:val="0"/>
          <w:color w:val="auto"/>
          <w:sz w:val="32"/>
          <w:szCs w:val="32"/>
          <w:highlight w:val="none"/>
          <w:shd w:val="clear" w:color="auto" w:fill="FFFFFF"/>
        </w:rPr>
        <w:t>万元，较上年决算数减少161.64万元，下降14.27%。主要原因是</w:t>
      </w:r>
      <w:r>
        <w:rPr>
          <w:rFonts w:hint="default" w:ascii="Times New Roman" w:hAnsi="Times New Roman" w:eastAsia="方正仿宋_GBK" w:cs="Times New Roman"/>
          <w:b w:val="0"/>
          <w:bCs w:val="0"/>
          <w:color w:val="auto"/>
          <w:sz w:val="32"/>
          <w:szCs w:val="32"/>
          <w:highlight w:val="none"/>
          <w:shd w:val="clear" w:color="auto" w:fill="FFFFFF"/>
          <w:lang w:eastAsia="zh-CN"/>
        </w:rPr>
        <w:t>预算口径调整，</w:t>
      </w:r>
      <w:r>
        <w:rPr>
          <w:rFonts w:hint="default" w:ascii="Times New Roman" w:hAnsi="Times New Roman" w:eastAsia="方正仿宋_GBK" w:cs="Times New Roman"/>
          <w:b w:val="0"/>
          <w:bCs w:val="0"/>
          <w:color w:val="auto"/>
          <w:kern w:val="0"/>
          <w:sz w:val="32"/>
          <w:szCs w:val="32"/>
          <w:highlight w:val="none"/>
        </w:rPr>
        <w:t>经费减少较大。</w:t>
      </w:r>
      <w:r>
        <w:rPr>
          <w:rFonts w:hint="default" w:ascii="Times New Roman" w:hAnsi="Times New Roman" w:eastAsia="方正仿宋_GBK" w:cs="Times New Roman"/>
          <w:b w:val="0"/>
          <w:bCs w:val="0"/>
          <w:color w:val="auto"/>
          <w:sz w:val="32"/>
          <w:szCs w:val="32"/>
          <w:highlight w:val="none"/>
          <w:shd w:val="clear" w:color="auto" w:fill="FFFFFF"/>
        </w:rPr>
        <w:t>较年初预算数增加589.67万元，增长154.61%。主要原因是</w:t>
      </w:r>
      <w:r>
        <w:rPr>
          <w:rFonts w:hint="default" w:ascii="Times New Roman" w:hAnsi="Times New Roman" w:eastAsia="方正仿宋_GBK" w:cs="Times New Roman"/>
          <w:b w:val="0"/>
          <w:bCs w:val="0"/>
          <w:color w:val="auto"/>
          <w:kern w:val="0"/>
          <w:sz w:val="32"/>
          <w:szCs w:val="32"/>
          <w:highlight w:val="none"/>
        </w:rPr>
        <w:t>卫生健康支出增加</w:t>
      </w:r>
      <w:r>
        <w:rPr>
          <w:rFonts w:hint="default" w:ascii="Times New Roman" w:hAnsi="Times New Roman" w:eastAsia="方正仿宋_GBK" w:cs="Times New Roman"/>
          <w:b w:val="0"/>
          <w:bCs w:val="0"/>
          <w:color w:val="auto"/>
          <w:sz w:val="32"/>
          <w:szCs w:val="32"/>
          <w:highlight w:val="none"/>
          <w:shd w:val="clear" w:color="auto" w:fill="FFFFFF"/>
          <w:lang w:val="en-US" w:eastAsia="zh-CN"/>
        </w:rPr>
        <w:t>577.19</w:t>
      </w:r>
      <w:r>
        <w:rPr>
          <w:rFonts w:hint="default" w:ascii="Times New Roman" w:hAnsi="Times New Roman" w:eastAsia="方正仿宋_GBK" w:cs="Times New Roman"/>
          <w:b w:val="0"/>
          <w:bCs w:val="0"/>
          <w:color w:val="auto"/>
          <w:kern w:val="0"/>
          <w:sz w:val="32"/>
          <w:szCs w:val="32"/>
          <w:highlight w:val="none"/>
        </w:rPr>
        <w:t>万元，社会保障与就业支出增加</w:t>
      </w:r>
      <w:r>
        <w:rPr>
          <w:rFonts w:hint="default" w:ascii="Times New Roman" w:hAnsi="Times New Roman" w:eastAsia="方正仿宋_GBK" w:cs="Times New Roman"/>
          <w:b w:val="0"/>
          <w:bCs w:val="0"/>
          <w:color w:val="auto"/>
          <w:sz w:val="32"/>
          <w:szCs w:val="32"/>
          <w:highlight w:val="none"/>
          <w:shd w:val="clear" w:color="auto" w:fill="FFFFFF"/>
          <w:lang w:val="en-US" w:eastAsia="zh-CN"/>
        </w:rPr>
        <w:t>11.55</w:t>
      </w:r>
      <w:r>
        <w:rPr>
          <w:rFonts w:hint="default" w:ascii="Times New Roman" w:hAnsi="Times New Roman" w:eastAsia="方正仿宋_GBK" w:cs="Times New Roman"/>
          <w:b w:val="0"/>
          <w:bCs w:val="0"/>
          <w:color w:val="auto"/>
          <w:kern w:val="0"/>
          <w:sz w:val="32"/>
          <w:szCs w:val="32"/>
          <w:highlight w:val="none"/>
        </w:rPr>
        <w:t>万元</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住房保障支出增加</w:t>
      </w:r>
      <w:r>
        <w:rPr>
          <w:rFonts w:hint="default" w:ascii="Times New Roman" w:hAnsi="Times New Roman" w:eastAsia="方正仿宋_GBK" w:cs="Times New Roman"/>
          <w:b w:val="0"/>
          <w:bCs w:val="0"/>
          <w:color w:val="auto"/>
          <w:sz w:val="32"/>
          <w:szCs w:val="32"/>
          <w:highlight w:val="none"/>
          <w:shd w:val="clear" w:color="auto" w:fill="FFFFFF"/>
          <w:lang w:val="en-US" w:eastAsia="zh-CN"/>
        </w:rPr>
        <w:t>0.93</w:t>
      </w:r>
      <w:r>
        <w:rPr>
          <w:rFonts w:hint="default" w:ascii="Times New Roman" w:hAnsi="Times New Roman" w:eastAsia="方正仿宋_GBK" w:cs="Times New Roman"/>
          <w:b w:val="0"/>
          <w:bCs w:val="0"/>
          <w:color w:val="auto"/>
          <w:kern w:val="0"/>
          <w:sz w:val="32"/>
          <w:szCs w:val="32"/>
          <w:highlight w:val="none"/>
        </w:rPr>
        <w:t>万元。</w:t>
      </w:r>
    </w:p>
    <w:p w14:paraId="79F8E048">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rPr>
      </w:pPr>
      <w:r>
        <w:rPr>
          <w:rStyle w:val="11"/>
          <w:rFonts w:hint="default" w:ascii="Times New Roman" w:hAnsi="Times New Roman" w:eastAsia="方正仿宋_GBK" w:cs="Times New Roman"/>
          <w:b w:val="0"/>
          <w:bCs w:val="0"/>
          <w:color w:val="auto"/>
          <w:sz w:val="32"/>
          <w:szCs w:val="32"/>
          <w:highlight w:val="none"/>
          <w:shd w:val="clear" w:color="auto" w:fill="FFFFFF"/>
        </w:rPr>
        <w:t>3.结转结余情况。</w:t>
      </w:r>
      <w:r>
        <w:rPr>
          <w:rFonts w:hint="default" w:ascii="Times New Roman" w:hAnsi="Times New Roman" w:eastAsia="方正仿宋_GBK" w:cs="Times New Roman"/>
          <w:b w:val="0"/>
          <w:bCs w:val="0"/>
          <w:color w:val="auto"/>
          <w:sz w:val="32"/>
          <w:szCs w:val="32"/>
          <w:highlight w:val="none"/>
          <w:shd w:val="clear" w:color="auto" w:fill="FFFFFF"/>
        </w:rPr>
        <w:t>2023年度年末一般公共预算财政拨款结转和结余</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万元，较上年决算数无增减，主要原因是</w:t>
      </w:r>
      <w:r>
        <w:rPr>
          <w:rFonts w:hint="default" w:ascii="Times New Roman" w:hAnsi="Times New Roman" w:eastAsia="方正仿宋_GBK" w:cs="Times New Roman"/>
          <w:b w:val="0"/>
          <w:bCs w:val="0"/>
          <w:color w:val="auto"/>
          <w:kern w:val="0"/>
          <w:sz w:val="32"/>
          <w:szCs w:val="32"/>
          <w:highlight w:val="none"/>
        </w:rPr>
        <w:t>年终无结转结余。</w:t>
      </w:r>
    </w:p>
    <w:p w14:paraId="51B253BD">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Style w:val="11"/>
          <w:rFonts w:hint="default" w:ascii="Times New Roman" w:hAnsi="Times New Roman" w:eastAsia="方正仿宋_GBK" w:cs="Times New Roman"/>
          <w:b w:val="0"/>
          <w:bCs w:val="0"/>
          <w:color w:val="auto"/>
          <w:sz w:val="32"/>
          <w:szCs w:val="32"/>
          <w:highlight w:val="none"/>
          <w:shd w:val="clear" w:color="auto" w:fill="FFFFFF"/>
        </w:rPr>
        <w:t>4.比较情况。</w:t>
      </w:r>
      <w:r>
        <w:rPr>
          <w:rFonts w:hint="default" w:ascii="Times New Roman" w:hAnsi="Times New Roman" w:eastAsia="方正仿宋_GBK" w:cs="Times New Roman"/>
          <w:b w:val="0"/>
          <w:bCs w:val="0"/>
          <w:color w:val="auto"/>
          <w:sz w:val="32"/>
          <w:szCs w:val="32"/>
          <w:highlight w:val="none"/>
          <w:shd w:val="clear" w:color="auto" w:fill="FFFFFF"/>
        </w:rPr>
        <w:t>本单位2023年度一般公共预算财政拨款支出主要用于以下几个方面：</w:t>
      </w:r>
    </w:p>
    <w:p w14:paraId="2347353D">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eastAsia="zh-CN"/>
        </w:rPr>
      </w:pPr>
      <w:r>
        <w:rPr>
          <w:rFonts w:hint="default" w:ascii="Times New Roman" w:hAnsi="Times New Roman" w:eastAsia="方正仿宋_GBK"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lang w:val="en-US" w:eastAsia="zh-CN"/>
        </w:rPr>
        <w:t>1</w:t>
      </w:r>
      <w:r>
        <w:rPr>
          <w:rFonts w:hint="default" w:ascii="Times New Roman" w:hAnsi="Times New Roman" w:eastAsia="方正仿宋_GBK" w:cs="Times New Roman"/>
          <w:b w:val="0"/>
          <w:bCs w:val="0"/>
          <w:color w:val="auto"/>
          <w:sz w:val="32"/>
          <w:szCs w:val="32"/>
          <w:highlight w:val="none"/>
          <w:shd w:val="clear" w:color="auto" w:fill="FFFFFF"/>
        </w:rPr>
        <w:t>）社会保障与就业支出</w:t>
      </w:r>
      <w:r>
        <w:rPr>
          <w:rFonts w:hint="default" w:ascii="Times New Roman" w:hAnsi="Times New Roman" w:eastAsia="方正仿宋_GBK" w:cs="Times New Roman"/>
          <w:b w:val="0"/>
          <w:bCs w:val="0"/>
          <w:color w:val="auto"/>
          <w:sz w:val="32"/>
          <w:szCs w:val="32"/>
          <w:highlight w:val="none"/>
        </w:rPr>
        <w:t>74.86</w:t>
      </w:r>
      <w:r>
        <w:rPr>
          <w:rFonts w:hint="default" w:ascii="Times New Roman" w:hAnsi="Times New Roman" w:eastAsia="方正仿宋_GBK" w:cs="Times New Roman"/>
          <w:b w:val="0"/>
          <w:bCs w:val="0"/>
          <w:color w:val="auto"/>
          <w:sz w:val="32"/>
          <w:szCs w:val="32"/>
          <w:highlight w:val="none"/>
          <w:shd w:val="clear" w:color="auto" w:fill="FFFFFF"/>
        </w:rPr>
        <w:t>万元，占</w:t>
      </w:r>
      <w:r>
        <w:rPr>
          <w:rFonts w:hint="default" w:ascii="Times New Roman" w:hAnsi="Times New Roman" w:eastAsia="方正仿宋_GBK" w:cs="Times New Roman"/>
          <w:b w:val="0"/>
          <w:bCs w:val="0"/>
          <w:color w:val="auto"/>
          <w:sz w:val="32"/>
          <w:szCs w:val="32"/>
          <w:highlight w:val="none"/>
        </w:rPr>
        <w:t>7.71</w:t>
      </w:r>
      <w:r>
        <w:rPr>
          <w:rFonts w:hint="default" w:ascii="Times New Roman" w:hAnsi="Times New Roman" w:eastAsia="方正仿宋_GBK" w:cs="Times New Roman"/>
          <w:b w:val="0"/>
          <w:bCs w:val="0"/>
          <w:color w:val="auto"/>
          <w:sz w:val="32"/>
          <w:szCs w:val="32"/>
          <w:highlight w:val="none"/>
          <w:shd w:val="clear" w:color="auto" w:fill="FFFFFF"/>
        </w:rPr>
        <w:t>%，较年初预算数增加11.55万元，增长18.24%，主要原因是</w:t>
      </w:r>
      <w:r>
        <w:rPr>
          <w:rFonts w:hint="default" w:ascii="Times New Roman" w:hAnsi="Times New Roman" w:eastAsia="方正仿宋_GBK" w:cs="Times New Roman"/>
          <w:b w:val="0"/>
          <w:bCs w:val="0"/>
          <w:color w:val="auto"/>
          <w:kern w:val="0"/>
          <w:sz w:val="32"/>
          <w:szCs w:val="32"/>
          <w:highlight w:val="none"/>
        </w:rPr>
        <w:t>单位社保基数调整</w:t>
      </w:r>
      <w:r>
        <w:rPr>
          <w:rFonts w:hint="default" w:ascii="Times New Roman" w:hAnsi="Times New Roman" w:eastAsia="方正仿宋_GBK" w:cs="Times New Roman"/>
          <w:b w:val="0"/>
          <w:bCs w:val="0"/>
          <w:color w:val="auto"/>
          <w:kern w:val="0"/>
          <w:sz w:val="32"/>
          <w:szCs w:val="32"/>
          <w:highlight w:val="none"/>
          <w:lang w:eastAsia="zh-CN"/>
        </w:rPr>
        <w:t>，</w:t>
      </w:r>
      <w:bookmarkStart w:id="0" w:name="OLE_LINK1"/>
      <w:r>
        <w:rPr>
          <w:rFonts w:hint="default" w:ascii="Times New Roman" w:hAnsi="Times New Roman" w:eastAsia="方正仿宋_GBK" w:cs="Times New Roman"/>
          <w:b w:val="0"/>
          <w:bCs w:val="0"/>
          <w:color w:val="auto"/>
          <w:kern w:val="0"/>
          <w:sz w:val="32"/>
          <w:szCs w:val="32"/>
          <w:highlight w:val="none"/>
          <w:lang w:val="en-US" w:eastAsia="zh-CN"/>
        </w:rPr>
        <w:t>年中追加预算</w:t>
      </w:r>
      <w:bookmarkEnd w:id="0"/>
      <w:r>
        <w:rPr>
          <w:rFonts w:hint="default" w:ascii="Times New Roman" w:hAnsi="Times New Roman" w:eastAsia="方正仿宋_GBK" w:cs="Times New Roman"/>
          <w:b w:val="0"/>
          <w:bCs w:val="0"/>
          <w:color w:val="auto"/>
          <w:kern w:val="0"/>
          <w:sz w:val="32"/>
          <w:szCs w:val="32"/>
          <w:highlight w:val="none"/>
          <w:lang w:eastAsia="zh-CN"/>
        </w:rPr>
        <w:t>。</w:t>
      </w:r>
    </w:p>
    <w:p w14:paraId="447B650D">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eastAsia="zh-CN"/>
        </w:rPr>
      </w:pPr>
      <w:r>
        <w:rPr>
          <w:rFonts w:hint="default" w:ascii="Times New Roman" w:hAnsi="Times New Roman" w:eastAsia="方正仿宋_GBK"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lang w:val="en-US" w:eastAsia="zh-CN"/>
        </w:rPr>
        <w:t>2</w:t>
      </w:r>
      <w:r>
        <w:rPr>
          <w:rFonts w:hint="default" w:ascii="Times New Roman" w:hAnsi="Times New Roman" w:eastAsia="方正仿宋_GBK" w:cs="Times New Roman"/>
          <w:b w:val="0"/>
          <w:bCs w:val="0"/>
          <w:color w:val="auto"/>
          <w:sz w:val="32"/>
          <w:szCs w:val="32"/>
          <w:highlight w:val="none"/>
          <w:shd w:val="clear" w:color="auto" w:fill="FFFFFF"/>
        </w:rPr>
        <w:t>）卫生健康支出</w:t>
      </w:r>
      <w:r>
        <w:rPr>
          <w:rFonts w:hint="default" w:ascii="Times New Roman" w:hAnsi="Times New Roman" w:eastAsia="方正仿宋_GBK" w:cs="Times New Roman"/>
          <w:b w:val="0"/>
          <w:bCs w:val="0"/>
          <w:color w:val="auto"/>
          <w:sz w:val="32"/>
          <w:szCs w:val="32"/>
          <w:highlight w:val="none"/>
        </w:rPr>
        <w:t>868.05</w:t>
      </w:r>
      <w:r>
        <w:rPr>
          <w:rFonts w:hint="default" w:ascii="Times New Roman" w:hAnsi="Times New Roman" w:eastAsia="方正仿宋_GBK" w:cs="Times New Roman"/>
          <w:b w:val="0"/>
          <w:bCs w:val="0"/>
          <w:color w:val="auto"/>
          <w:sz w:val="32"/>
          <w:szCs w:val="32"/>
          <w:highlight w:val="none"/>
          <w:shd w:val="clear" w:color="auto" w:fill="FFFFFF"/>
        </w:rPr>
        <w:t>万元，占</w:t>
      </w:r>
      <w:r>
        <w:rPr>
          <w:rFonts w:hint="default" w:ascii="Times New Roman" w:hAnsi="Times New Roman" w:eastAsia="方正仿宋_GBK" w:cs="Times New Roman"/>
          <w:b w:val="0"/>
          <w:bCs w:val="0"/>
          <w:color w:val="auto"/>
          <w:sz w:val="32"/>
          <w:szCs w:val="32"/>
          <w:highlight w:val="none"/>
        </w:rPr>
        <w:t>89.39</w:t>
      </w:r>
      <w:r>
        <w:rPr>
          <w:rFonts w:hint="default" w:ascii="Times New Roman" w:hAnsi="Times New Roman" w:eastAsia="方正仿宋_GBK" w:cs="Times New Roman"/>
          <w:b w:val="0"/>
          <w:bCs w:val="0"/>
          <w:color w:val="auto"/>
          <w:sz w:val="32"/>
          <w:szCs w:val="32"/>
          <w:highlight w:val="none"/>
          <w:shd w:val="clear" w:color="auto" w:fill="FFFFFF"/>
        </w:rPr>
        <w:t>%，较年初预算数增加577.</w:t>
      </w:r>
      <w:r>
        <w:rPr>
          <w:rFonts w:hint="default" w:ascii="Times New Roman" w:hAnsi="Times New Roman" w:eastAsia="方正仿宋_GBK" w:cs="Times New Roman"/>
          <w:b w:val="0"/>
          <w:bCs w:val="0"/>
          <w:color w:val="auto"/>
          <w:sz w:val="32"/>
          <w:szCs w:val="32"/>
          <w:highlight w:val="none"/>
          <w:shd w:val="clear" w:color="auto" w:fill="FFFFFF"/>
          <w:lang w:val="en-US" w:eastAsia="zh-CN"/>
        </w:rPr>
        <w:t>19</w:t>
      </w:r>
      <w:r>
        <w:rPr>
          <w:rFonts w:hint="default" w:ascii="Times New Roman" w:hAnsi="Times New Roman" w:eastAsia="方正仿宋_GBK" w:cs="Times New Roman"/>
          <w:b w:val="0"/>
          <w:bCs w:val="0"/>
          <w:color w:val="auto"/>
          <w:sz w:val="32"/>
          <w:szCs w:val="32"/>
          <w:highlight w:val="none"/>
          <w:shd w:val="clear" w:color="auto" w:fill="FFFFFF"/>
        </w:rPr>
        <w:t>万元，增长198.45%</w:t>
      </w:r>
      <w:r>
        <w:rPr>
          <w:rFonts w:ascii="方正仿宋_GBK" w:hAnsi="方正仿宋_GBK" w:eastAsia="方正仿宋_GBK" w:cs="方正仿宋_GBK"/>
          <w:b w:val="0"/>
          <w:bCs w:val="0"/>
          <w:color w:val="auto"/>
          <w:sz w:val="32"/>
          <w:szCs w:val="32"/>
          <w:highlight w:val="none"/>
          <w:shd w:val="clear" w:color="auto" w:fill="FFFFFF"/>
        </w:rPr>
        <w:t>，主要原因</w:t>
      </w:r>
      <w:r>
        <w:rPr>
          <w:rFonts w:hint="eastAsia" w:ascii="方正仿宋_GBK" w:hAnsi="方正仿宋_GBK" w:eastAsia="方正仿宋_GBK" w:cs="方正仿宋_GBK"/>
          <w:b w:val="0"/>
          <w:bCs w:val="0"/>
          <w:color w:val="auto"/>
          <w:sz w:val="32"/>
          <w:szCs w:val="32"/>
          <w:highlight w:val="none"/>
          <w:shd w:val="clear" w:color="auto" w:fill="FFFFFF"/>
        </w:rPr>
        <w:t>是年中预算追加基本公共卫生服务拨款</w:t>
      </w:r>
      <w:r>
        <w:rPr>
          <w:rFonts w:hint="eastAsia" w:ascii="Times New Roman" w:hAnsi="Times New Roman" w:eastAsia="方正仿宋_GBK" w:cs="Times New Roman"/>
          <w:b w:val="0"/>
          <w:bCs w:val="0"/>
          <w:color w:val="auto"/>
          <w:kern w:val="0"/>
          <w:sz w:val="32"/>
          <w:szCs w:val="32"/>
          <w:highlight w:val="none"/>
          <w:lang w:eastAsia="zh-CN"/>
        </w:rPr>
        <w:t>。</w:t>
      </w:r>
    </w:p>
    <w:p w14:paraId="7FA74C89">
      <w:pPr>
        <w:pStyle w:val="7"/>
        <w:keepNext w:val="0"/>
        <w:keepLines w:val="0"/>
        <w:pageBreakBefore w:val="0"/>
        <w:widowControl w:val="0"/>
        <w:shd w:val="clear" w:color="auto"/>
        <w:kinsoku/>
        <w:wordWrap/>
        <w:overflowPunct/>
        <w:topLinePunct w:val="0"/>
        <w:autoSpaceDN/>
        <w:bidi w:val="0"/>
        <w:adjustRightInd/>
        <w:spacing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rPr>
      </w:pPr>
      <w:r>
        <w:rPr>
          <w:rFonts w:hint="default" w:ascii="Times New Roman" w:hAnsi="Times New Roman" w:eastAsia="方正仿宋_GBK"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lang w:val="en-US" w:eastAsia="zh-CN"/>
        </w:rPr>
        <w:t>3</w:t>
      </w:r>
      <w:r>
        <w:rPr>
          <w:rFonts w:hint="default" w:ascii="Times New Roman" w:hAnsi="Times New Roman" w:eastAsia="方正仿宋_GBK" w:cs="Times New Roman"/>
          <w:b w:val="0"/>
          <w:bCs w:val="0"/>
          <w:color w:val="auto"/>
          <w:sz w:val="32"/>
          <w:szCs w:val="32"/>
          <w:highlight w:val="none"/>
          <w:shd w:val="clear" w:color="auto" w:fill="FFFFFF"/>
        </w:rPr>
        <w:t>）住房保障支出28.15万元，占2.9%，较年初预算数增加0.93万元，增长3.42%，</w:t>
      </w:r>
      <w:r>
        <w:rPr>
          <w:rFonts w:hint="default" w:ascii="Times New Roman" w:hAnsi="Times New Roman" w:eastAsia="方正仿宋_GBK" w:cs="Times New Roman"/>
          <w:b w:val="0"/>
          <w:bCs w:val="0"/>
          <w:color w:val="auto"/>
          <w:sz w:val="32"/>
          <w:szCs w:val="32"/>
          <w:highlight w:val="none"/>
          <w:shd w:val="clear" w:color="auto" w:fill="FFFFFF"/>
          <w:lang w:val="en-US" w:eastAsia="zh-CN"/>
        </w:rPr>
        <w:t>主要原因是住房公积金基数调整，年中预算追加住房公</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积金。</w:t>
      </w:r>
    </w:p>
    <w:p w14:paraId="2A4793C2">
      <w:pPr>
        <w:pStyle w:val="7"/>
        <w:keepNext w:val="0"/>
        <w:keepLines w:val="0"/>
        <w:pageBreakBefore w:val="0"/>
        <w:widowControl w:val="0"/>
        <w:shd w:val="clear" w:color="auto"/>
        <w:kinsoku/>
        <w:wordWrap/>
        <w:overflowPunct/>
        <w:topLinePunct w:val="0"/>
        <w:autoSpaceDN/>
        <w:bidi w:val="0"/>
        <w:adjustRightInd/>
        <w:spacing w:beforeAutospacing="0" w:after="0" w:afterAutospacing="0" w:line="600" w:lineRule="exact"/>
        <w:ind w:firstLine="640" w:firstLineChars="200"/>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rPr>
      </w:pPr>
      <w:r>
        <w:rPr>
          <w:rStyle w:val="11"/>
          <w:rFonts w:hint="eastAsia" w:ascii="方正楷体_GBK" w:hAnsi="方正楷体_GBK" w:eastAsia="方正楷体_GBK" w:cs="方正楷体_GBK"/>
          <w:b w:val="0"/>
          <w:bCs w:val="0"/>
          <w:color w:val="auto"/>
          <w:sz w:val="32"/>
          <w:szCs w:val="32"/>
          <w:highlight w:val="none"/>
          <w:shd w:val="clear" w:color="auto" w:fill="FFFFFF"/>
        </w:rPr>
        <w:t>（四）一般公共预算财政拨款基本支出决算情况说明</w:t>
      </w:r>
    </w:p>
    <w:p w14:paraId="2FFCC7E7">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 2023年度一般公共预算财政拨款基本支出</w:t>
      </w:r>
      <w:r>
        <w:rPr>
          <w:rFonts w:hint="default" w:ascii="Times New Roman" w:hAnsi="Times New Roman" w:eastAsia="方正仿宋_GBK" w:cs="Times New Roman"/>
          <w:b w:val="0"/>
          <w:bCs w:val="0"/>
          <w:color w:val="auto"/>
          <w:sz w:val="32"/>
          <w:szCs w:val="32"/>
          <w:highlight w:val="none"/>
        </w:rPr>
        <w:t>807.78</w:t>
      </w:r>
      <w:r>
        <w:rPr>
          <w:rFonts w:hint="default" w:ascii="Times New Roman" w:hAnsi="Times New Roman" w:eastAsia="方正仿宋_GBK" w:cs="Times New Roman"/>
          <w:b w:val="0"/>
          <w:bCs w:val="0"/>
          <w:color w:val="auto"/>
          <w:sz w:val="32"/>
          <w:szCs w:val="32"/>
          <w:highlight w:val="none"/>
          <w:shd w:val="clear" w:color="auto" w:fill="FFFFFF"/>
        </w:rPr>
        <w:t>万元。其中：人员经费</w:t>
      </w:r>
      <w:r>
        <w:rPr>
          <w:rFonts w:hint="default" w:ascii="Times New Roman" w:hAnsi="Times New Roman" w:eastAsia="方正仿宋_GBK" w:cs="Times New Roman"/>
          <w:b w:val="0"/>
          <w:bCs w:val="0"/>
          <w:color w:val="auto"/>
          <w:sz w:val="32"/>
          <w:szCs w:val="32"/>
          <w:highlight w:val="none"/>
        </w:rPr>
        <w:t>798.11</w:t>
      </w:r>
      <w:r>
        <w:rPr>
          <w:rFonts w:hint="default" w:ascii="Times New Roman" w:hAnsi="Times New Roman" w:eastAsia="方正仿宋_GBK" w:cs="Times New Roman"/>
          <w:b w:val="0"/>
          <w:bCs w:val="0"/>
          <w:color w:val="auto"/>
          <w:sz w:val="32"/>
          <w:szCs w:val="32"/>
          <w:highlight w:val="none"/>
          <w:shd w:val="clear" w:color="auto" w:fill="FFFFFF"/>
        </w:rPr>
        <w:t>万元，较上年决算数增加39.33万元，增长5.18%，</w:t>
      </w:r>
      <w:r>
        <w:rPr>
          <w:rFonts w:hint="eastAsia" w:ascii="Times New Roman" w:hAnsi="Times New Roman" w:eastAsia="方正仿宋_GBK" w:cs="Times New Roman"/>
          <w:b w:val="0"/>
          <w:bCs w:val="0"/>
          <w:color w:val="auto"/>
          <w:sz w:val="32"/>
          <w:szCs w:val="32"/>
          <w:highlight w:val="none"/>
          <w:shd w:val="clear" w:color="auto" w:fill="FFFFFF"/>
          <w:lang w:eastAsia="zh-CN"/>
        </w:rPr>
        <w:t>主要原因是</w:t>
      </w:r>
      <w:r>
        <w:rPr>
          <w:rFonts w:hint="default" w:ascii="Times New Roman" w:hAnsi="Times New Roman" w:eastAsia="方正仿宋_GBK" w:cs="Times New Roman"/>
          <w:b w:val="0"/>
          <w:bCs w:val="0"/>
          <w:color w:val="auto"/>
          <w:sz w:val="32"/>
          <w:szCs w:val="32"/>
          <w:highlight w:val="none"/>
          <w:shd w:val="clear" w:color="auto" w:fill="FFFFFF"/>
          <w:lang w:val="en-US" w:eastAsia="zh-CN"/>
        </w:rPr>
        <w:t>本年度医疗业务发展需要，新增人员，</w:t>
      </w:r>
      <w:r>
        <w:rPr>
          <w:rFonts w:hint="default" w:ascii="Times New Roman" w:hAnsi="Times New Roman" w:eastAsia="方正仿宋_GBK" w:cs="Times New Roman"/>
          <w:b w:val="0"/>
          <w:bCs w:val="0"/>
          <w:color w:val="auto"/>
          <w:kern w:val="0"/>
          <w:sz w:val="32"/>
          <w:szCs w:val="32"/>
          <w:highlight w:val="none"/>
        </w:rPr>
        <w:t>基本工资、津贴补贴、绩效工资等人员经费</w:t>
      </w:r>
      <w:r>
        <w:rPr>
          <w:rFonts w:hint="default" w:ascii="Times New Roman" w:hAnsi="Times New Roman" w:eastAsia="方正仿宋_GBK" w:cs="Times New Roman"/>
          <w:b w:val="0"/>
          <w:bCs w:val="0"/>
          <w:color w:val="auto"/>
          <w:sz w:val="32"/>
          <w:szCs w:val="32"/>
          <w:highlight w:val="none"/>
          <w:shd w:val="clear" w:color="auto" w:fill="FFFFFF"/>
        </w:rPr>
        <w:t>增加</w:t>
      </w:r>
      <w:r>
        <w:rPr>
          <w:rFonts w:hint="default" w:ascii="Times New Roman" w:hAnsi="Times New Roman" w:eastAsia="方正仿宋_GBK" w:cs="Times New Roman"/>
          <w:b w:val="0"/>
          <w:bCs w:val="0"/>
          <w:color w:val="auto"/>
          <w:kern w:val="0"/>
          <w:sz w:val="32"/>
          <w:szCs w:val="32"/>
          <w:highlight w:val="none"/>
        </w:rPr>
        <w:t>。人员经费用途主要包括基本工资、津贴补贴、绩效工资、机关事业单位基本养老保险缴费、职业年金缴费、职工基本医疗保险缴费、住房公积金、医疗费、其他工资福利支出、生活补助、医疗费补助、奖励金、其他对个人和家庭的补助。</w:t>
      </w:r>
      <w:r>
        <w:rPr>
          <w:rFonts w:hint="default" w:ascii="Times New Roman" w:hAnsi="Times New Roman" w:eastAsia="方正仿宋_GBK" w:cs="Times New Roman"/>
          <w:b w:val="0"/>
          <w:bCs w:val="0"/>
          <w:color w:val="auto"/>
          <w:sz w:val="32"/>
          <w:szCs w:val="32"/>
          <w:highlight w:val="none"/>
          <w:shd w:val="clear" w:color="auto" w:fill="FFFFFF"/>
        </w:rPr>
        <w:t>公用经费</w:t>
      </w:r>
      <w:r>
        <w:rPr>
          <w:rFonts w:hint="default" w:ascii="Times New Roman" w:hAnsi="Times New Roman" w:eastAsia="方正仿宋_GBK" w:cs="Times New Roman"/>
          <w:b w:val="0"/>
          <w:bCs w:val="0"/>
          <w:color w:val="auto"/>
          <w:sz w:val="32"/>
          <w:szCs w:val="32"/>
          <w:highlight w:val="none"/>
        </w:rPr>
        <w:t>9.67</w:t>
      </w:r>
      <w:r>
        <w:rPr>
          <w:rFonts w:hint="default" w:ascii="Times New Roman" w:hAnsi="Times New Roman" w:eastAsia="方正仿宋_GBK" w:cs="Times New Roman"/>
          <w:b w:val="0"/>
          <w:bCs w:val="0"/>
          <w:color w:val="auto"/>
          <w:sz w:val="32"/>
          <w:szCs w:val="32"/>
          <w:highlight w:val="none"/>
          <w:shd w:val="clear" w:color="auto" w:fill="FFFFFF"/>
        </w:rPr>
        <w:t>万元，较上年决算数减少364.24万元，下降97.41%</w:t>
      </w:r>
      <w:r>
        <w:rPr>
          <w:rFonts w:ascii="方正仿宋_GBK" w:hAnsi="方正仿宋_GBK" w:eastAsia="方正仿宋_GBK" w:cs="方正仿宋_GBK"/>
          <w:b w:val="0"/>
          <w:bCs w:val="0"/>
          <w:color w:val="auto"/>
          <w:sz w:val="32"/>
          <w:szCs w:val="32"/>
          <w:highlight w:val="none"/>
          <w:shd w:val="clear" w:color="auto" w:fill="FFFFFF"/>
        </w:rPr>
        <w:t>，主要原因</w:t>
      </w:r>
      <w:r>
        <w:rPr>
          <w:rFonts w:hint="eastAsia" w:ascii="方正仿宋_GBK" w:hAnsi="方正仿宋_GBK" w:eastAsia="方正仿宋_GBK" w:cs="方正仿宋_GBK"/>
          <w:b w:val="0"/>
          <w:bCs w:val="0"/>
          <w:color w:val="auto"/>
          <w:sz w:val="32"/>
          <w:szCs w:val="32"/>
          <w:highlight w:val="none"/>
          <w:shd w:val="clear" w:color="auto" w:fill="FFFFFF"/>
        </w:rPr>
        <w:t>是一般公共预算财政拨款公用经费预算减少</w:t>
      </w:r>
      <w:r>
        <w:rPr>
          <w:rFonts w:hint="eastAsia" w:ascii="方正仿宋_GBK" w:hAnsi="宋体" w:eastAsia="方正仿宋_GBK" w:cs="宋体"/>
          <w:b w:val="0"/>
          <w:bCs w:val="0"/>
          <w:color w:val="auto"/>
          <w:kern w:val="0"/>
          <w:sz w:val="32"/>
          <w:szCs w:val="32"/>
          <w:highlight w:val="none"/>
        </w:rPr>
        <w:t>。公用经费用途主要包括水费、电费、物管费、办公费及其他公用支出。</w:t>
      </w:r>
    </w:p>
    <w:p w14:paraId="2D75E2B6">
      <w:pPr>
        <w:pStyle w:val="7"/>
        <w:keepNext w:val="0"/>
        <w:keepLines w:val="0"/>
        <w:pageBreakBefore w:val="0"/>
        <w:widowControl w:val="0"/>
        <w:shd w:val="clear" w:color="auto"/>
        <w:kinsoku/>
        <w:wordWrap/>
        <w:overflowPunct/>
        <w:topLinePunct w:val="0"/>
        <w:autoSpaceDN/>
        <w:bidi w:val="0"/>
        <w:adjustRightInd/>
        <w:spacing w:beforeAutospacing="0" w:after="0" w:afterAutospacing="0" w:line="600" w:lineRule="exact"/>
        <w:ind w:firstLine="640" w:firstLineChars="200"/>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rPr>
      </w:pPr>
      <w:r>
        <w:rPr>
          <w:rStyle w:val="11"/>
          <w:rFonts w:hint="eastAsia" w:ascii="方正楷体_GBK" w:hAnsi="方正楷体_GBK" w:eastAsia="方正楷体_GBK" w:cs="方正楷体_GBK"/>
          <w:b w:val="0"/>
          <w:bCs w:val="0"/>
          <w:color w:val="auto"/>
          <w:sz w:val="32"/>
          <w:szCs w:val="32"/>
          <w:highlight w:val="none"/>
          <w:shd w:val="clear" w:color="auto" w:fill="FFFFFF"/>
        </w:rPr>
        <w:t>（五）政府性基金预算收支决算情况说明</w:t>
      </w:r>
    </w:p>
    <w:p w14:paraId="1DB9BDFA">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宋体" w:eastAsia="方正仿宋_GBK" w:cs="宋体"/>
          <w:b w:val="0"/>
          <w:bCs w:val="0"/>
          <w:color w:val="auto"/>
          <w:kern w:val="0"/>
          <w:sz w:val="32"/>
          <w:szCs w:val="32"/>
          <w:highlight w:val="none"/>
        </w:rPr>
      </w:pPr>
      <w:r>
        <w:rPr>
          <w:rFonts w:hint="eastAsia" w:ascii="方正仿宋_GBK" w:hAnsi="宋体" w:eastAsia="方正仿宋_GBK" w:cs="宋体"/>
          <w:b w:val="0"/>
          <w:bCs w:val="0"/>
          <w:color w:val="auto"/>
          <w:kern w:val="0"/>
          <w:sz w:val="32"/>
          <w:szCs w:val="32"/>
          <w:highlight w:val="none"/>
        </w:rPr>
        <w:t>本单</w:t>
      </w:r>
      <w:r>
        <w:rPr>
          <w:rFonts w:hint="default" w:ascii="Times New Roman" w:hAnsi="Times New Roman" w:eastAsia="方正仿宋_GBK" w:cs="Times New Roman"/>
          <w:b w:val="0"/>
          <w:bCs w:val="0"/>
          <w:color w:val="auto"/>
          <w:kern w:val="0"/>
          <w:sz w:val="32"/>
          <w:szCs w:val="32"/>
          <w:highlight w:val="none"/>
        </w:rPr>
        <w:t>位2023</w:t>
      </w:r>
      <w:r>
        <w:rPr>
          <w:rFonts w:hint="eastAsia" w:ascii="方正仿宋_GBK" w:hAnsi="宋体" w:eastAsia="方正仿宋_GBK" w:cs="宋体"/>
          <w:b w:val="0"/>
          <w:bCs w:val="0"/>
          <w:color w:val="auto"/>
          <w:kern w:val="0"/>
          <w:sz w:val="32"/>
          <w:szCs w:val="32"/>
          <w:highlight w:val="none"/>
        </w:rPr>
        <w:t>年度无政府性基金预算财政拨款收支。</w:t>
      </w:r>
    </w:p>
    <w:p w14:paraId="7E97F0AE">
      <w:pPr>
        <w:pStyle w:val="7"/>
        <w:keepNext w:val="0"/>
        <w:keepLines w:val="0"/>
        <w:pageBreakBefore w:val="0"/>
        <w:widowControl w:val="0"/>
        <w:shd w:val="clear" w:color="auto"/>
        <w:kinsoku/>
        <w:wordWrap/>
        <w:overflowPunct/>
        <w:topLinePunct w:val="0"/>
        <w:autoSpaceDN/>
        <w:bidi w:val="0"/>
        <w:adjustRightInd/>
        <w:spacing w:beforeAutospacing="0" w:after="0" w:afterAutospacing="0" w:line="600" w:lineRule="exact"/>
        <w:ind w:firstLine="640" w:firstLineChars="200"/>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rPr>
      </w:pPr>
      <w:r>
        <w:rPr>
          <w:rStyle w:val="11"/>
          <w:rFonts w:hint="eastAsia" w:ascii="方正楷体_GBK" w:hAnsi="方正楷体_GBK" w:eastAsia="方正楷体_GBK" w:cs="方正楷体_GBK"/>
          <w:b w:val="0"/>
          <w:bCs w:val="0"/>
          <w:color w:val="auto"/>
          <w:sz w:val="32"/>
          <w:szCs w:val="32"/>
          <w:highlight w:val="none"/>
          <w:shd w:val="clear" w:color="auto" w:fill="FFFFFF"/>
        </w:rPr>
        <w:t>（六）国有资本经营预算财政拨款支出决算情况说明</w:t>
      </w:r>
    </w:p>
    <w:p w14:paraId="40398428">
      <w:pPr>
        <w:keepNext w:val="0"/>
        <w:keepLines w:val="0"/>
        <w:pageBreakBefore w:val="0"/>
        <w:widowControl w:val="0"/>
        <w:shd w:val="clea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仿宋_GBK" w:hAnsi="宋体" w:eastAsia="方正仿宋_GBK" w:cs="宋体"/>
          <w:b w:val="0"/>
          <w:bCs w:val="0"/>
          <w:color w:val="auto"/>
          <w:kern w:val="0"/>
          <w:sz w:val="32"/>
          <w:szCs w:val="32"/>
          <w:highlight w:val="none"/>
        </w:rPr>
      </w:pPr>
      <w:r>
        <w:rPr>
          <w:rFonts w:hint="eastAsia" w:ascii="方正仿宋_GBK" w:hAnsi="宋体" w:eastAsia="方正仿宋_GBK" w:cs="宋体"/>
          <w:b w:val="0"/>
          <w:bCs w:val="0"/>
          <w:color w:val="auto"/>
          <w:kern w:val="0"/>
          <w:sz w:val="32"/>
          <w:szCs w:val="32"/>
          <w:highlight w:val="none"/>
        </w:rPr>
        <w:t>本单位</w:t>
      </w:r>
      <w:r>
        <w:rPr>
          <w:rFonts w:hint="default" w:ascii="Times New Roman" w:hAnsi="Times New Roman" w:eastAsia="方正仿宋_GBK" w:cs="Times New Roman"/>
          <w:b w:val="0"/>
          <w:bCs w:val="0"/>
          <w:color w:val="auto"/>
          <w:kern w:val="0"/>
          <w:sz w:val="32"/>
          <w:szCs w:val="32"/>
          <w:highlight w:val="none"/>
        </w:rPr>
        <w:t>2023</w:t>
      </w:r>
      <w:r>
        <w:rPr>
          <w:rFonts w:hint="eastAsia" w:ascii="方正仿宋_GBK" w:hAnsi="宋体" w:eastAsia="方正仿宋_GBK" w:cs="宋体"/>
          <w:b w:val="0"/>
          <w:bCs w:val="0"/>
          <w:color w:val="auto"/>
          <w:kern w:val="0"/>
          <w:sz w:val="32"/>
          <w:szCs w:val="32"/>
          <w:highlight w:val="none"/>
        </w:rPr>
        <w:t>年度无国有资本经营预算财政拨款支出。</w:t>
      </w:r>
    </w:p>
    <w:p w14:paraId="4EFAC4EC">
      <w:pPr>
        <w:pStyle w:val="7"/>
        <w:keepNext w:val="0"/>
        <w:keepLines w:val="0"/>
        <w:pageBreakBefore w:val="0"/>
        <w:widowControl w:val="0"/>
        <w:shd w:val="clear" w:color="auto"/>
        <w:kinsoku/>
        <w:wordWrap/>
        <w:overflowPunct/>
        <w:topLinePunct w:val="0"/>
        <w:autoSpaceDN/>
        <w:bidi w:val="0"/>
        <w:adjustRightInd/>
        <w:spacing w:beforeAutospacing="0" w:after="0" w:afterAutospacing="0" w:line="600" w:lineRule="exact"/>
        <w:ind w:firstLine="640" w:firstLineChars="200"/>
        <w:jc w:val="both"/>
        <w:textAlignment w:val="auto"/>
        <w:rPr>
          <w:rStyle w:val="11"/>
          <w:rFonts w:hint="eastAsia" w:ascii="方正黑体_GBK" w:hAnsi="方正黑体_GBK" w:eastAsia="方正黑体_GBK" w:cs="方正黑体_GBK"/>
          <w:b w:val="0"/>
          <w:bCs w:val="0"/>
          <w:color w:val="auto"/>
          <w:sz w:val="32"/>
          <w:szCs w:val="32"/>
          <w:highlight w:val="none"/>
          <w:shd w:val="clear" w:color="auto" w:fill="FFFFFF"/>
        </w:rPr>
      </w:pPr>
      <w:r>
        <w:rPr>
          <w:rStyle w:val="11"/>
          <w:rFonts w:hint="eastAsia" w:ascii="方正黑体_GBK" w:hAnsi="方正黑体_GBK" w:eastAsia="方正黑体_GBK" w:cs="方正黑体_GBK"/>
          <w:b w:val="0"/>
          <w:bCs w:val="0"/>
          <w:color w:val="auto"/>
          <w:sz w:val="32"/>
          <w:szCs w:val="32"/>
          <w:highlight w:val="none"/>
          <w:shd w:val="clear" w:color="auto" w:fill="FFFFFF"/>
        </w:rPr>
        <w:t>三、“三公”经费情况说明</w:t>
      </w:r>
    </w:p>
    <w:p w14:paraId="6273E52E">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Fonts w:hint="eastAsia" w:ascii="楷体" w:hAnsi="楷体" w:eastAsia="楷体" w:cs="楷体"/>
          <w:b w:val="0"/>
          <w:bCs w:val="0"/>
          <w:color w:val="auto"/>
          <w:sz w:val="32"/>
          <w:szCs w:val="32"/>
          <w:highlight w:val="none"/>
          <w:shd w:val="clear" w:color="auto" w:fill="FFFFFF"/>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（一）“三公”经费支出总体情况说明</w:t>
      </w:r>
    </w:p>
    <w:p w14:paraId="669AAB74">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2023年度</w:t>
      </w:r>
      <w:r>
        <w:rPr>
          <w:rFonts w:hint="eastAsia" w:ascii="方正仿宋_GBK" w:hAnsi="方正仿宋_GBK" w:eastAsia="方正仿宋_GBK" w:cs="方正仿宋_GBK"/>
          <w:b w:val="0"/>
          <w:bCs w:val="0"/>
          <w:color w:val="auto"/>
          <w:sz w:val="32"/>
          <w:szCs w:val="32"/>
          <w:highlight w:val="none"/>
          <w:shd w:val="clear" w:color="auto" w:fill="FFFFFF"/>
        </w:rPr>
        <w:t>“三公”</w:t>
      </w:r>
      <w:r>
        <w:rPr>
          <w:rFonts w:hint="default" w:ascii="Times New Roman" w:hAnsi="Times New Roman" w:eastAsia="方正仿宋_GBK" w:cs="Times New Roman"/>
          <w:b w:val="0"/>
          <w:bCs w:val="0"/>
          <w:color w:val="auto"/>
          <w:sz w:val="32"/>
          <w:szCs w:val="32"/>
          <w:highlight w:val="none"/>
          <w:shd w:val="clear" w:color="auto" w:fill="FFFFFF"/>
        </w:rPr>
        <w:t>经费支出共计</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万</w:t>
      </w:r>
      <w:r>
        <w:rPr>
          <w:rFonts w:ascii="方正仿宋_GBK" w:hAnsi="方正仿宋_GBK" w:eastAsia="方正仿宋_GBK" w:cs="方正仿宋_GBK"/>
          <w:b w:val="0"/>
          <w:bCs w:val="0"/>
          <w:color w:val="auto"/>
          <w:sz w:val="32"/>
          <w:szCs w:val="32"/>
          <w:highlight w:val="none"/>
          <w:shd w:val="clear" w:color="auto" w:fill="FFFFFF"/>
        </w:rPr>
        <w:t>元，较年初预算数无增减，</w:t>
      </w:r>
      <w:r>
        <w:rPr>
          <w:rFonts w:hint="eastAsia" w:ascii="Times New Roman" w:hAnsi="Times New Roman" w:eastAsia="方正仿宋_GBK" w:cs="Times New Roman"/>
          <w:color w:val="auto"/>
          <w:sz w:val="32"/>
          <w:szCs w:val="32"/>
          <w:highlight w:val="none"/>
          <w:shd w:val="clear" w:color="auto" w:fill="FFFFFF"/>
          <w:lang w:val="en-US" w:eastAsia="zh-CN"/>
        </w:rPr>
        <w:t>主要原因是2023年本单位未发生因公出国（境）、未购置公务用车、未发生公务接待，公务用车运行维护费由事业收入保障。</w:t>
      </w:r>
    </w:p>
    <w:p w14:paraId="7E9EC7EA">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（二）“三公”经费分项支出情况</w:t>
      </w:r>
    </w:p>
    <w:p w14:paraId="71B601A9">
      <w:pPr>
        <w:pStyle w:val="17"/>
        <w:keepNext w:val="0"/>
        <w:keepLines w:val="0"/>
        <w:pageBreakBefore w:val="0"/>
        <w:widowControl w:val="0"/>
        <w:shd w:val="clear"/>
        <w:tabs>
          <w:tab w:val="center" w:pos="4153"/>
          <w:tab w:val="left" w:pos="7275"/>
        </w:tab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lang w:val="en-US" w:eastAsia="zh-CN" w:bidi="ar-SA"/>
        </w:rPr>
      </w:pPr>
      <w:r>
        <w:rPr>
          <w:rFonts w:hint="default" w:ascii="Times New Roman" w:hAnsi="Times New Roman" w:eastAsia="方正仿宋_GBK" w:cs="Times New Roman"/>
          <w:color w:val="auto"/>
          <w:sz w:val="32"/>
          <w:szCs w:val="32"/>
          <w:highlight w:val="none"/>
          <w:shd w:val="clear" w:color="auto" w:fill="FFFFFF"/>
        </w:rPr>
        <w:t>2023年度本单位因公出国（境）费用</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万元，费用支出较年初预算数无增减</w:t>
      </w:r>
      <w:bookmarkStart w:id="1" w:name="OLE_LINK6"/>
      <w:r>
        <w:rPr>
          <w:rFonts w:hint="eastAsia"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较上年支出数无增减，</w:t>
      </w:r>
      <w:r>
        <w:rPr>
          <w:rFonts w:hint="default" w:ascii="Times New Roman" w:hAnsi="Times New Roman" w:eastAsia="方正仿宋_GBK" w:cs="Times New Roman"/>
          <w:color w:val="auto"/>
          <w:sz w:val="32"/>
          <w:szCs w:val="32"/>
          <w:highlight w:val="none"/>
          <w:shd w:val="clear" w:color="auto" w:fill="FFFFFF"/>
          <w:lang w:eastAsia="zh-CN"/>
        </w:rPr>
        <w:t>与上年持平</w:t>
      </w:r>
      <w:bookmarkEnd w:id="1"/>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bidi="ar"/>
        </w:rPr>
        <w:t>202</w:t>
      </w:r>
      <w:r>
        <w:rPr>
          <w:rFonts w:hint="default" w:ascii="Times New Roman" w:hAnsi="Times New Roman" w:eastAsia="方正仿宋_GBK" w:cs="Times New Roman"/>
          <w:color w:val="auto"/>
          <w:sz w:val="32"/>
          <w:szCs w:val="32"/>
          <w:highlight w:val="none"/>
          <w:shd w:val="clear" w:color="auto" w:fill="FFFFFF"/>
          <w:lang w:val="en-US" w:eastAsia="zh-CN" w:bidi="ar"/>
        </w:rPr>
        <w:t>3</w:t>
      </w:r>
      <w:r>
        <w:rPr>
          <w:rFonts w:hint="default" w:ascii="Times New Roman" w:hAnsi="Times New Roman" w:eastAsia="方正仿宋_GBK" w:cs="Times New Roman"/>
          <w:color w:val="auto"/>
          <w:sz w:val="32"/>
          <w:szCs w:val="32"/>
          <w:highlight w:val="none"/>
          <w:shd w:val="clear" w:color="auto" w:fill="FFFFFF"/>
          <w:lang w:bidi="ar"/>
        </w:rPr>
        <w:t>年度</w:t>
      </w:r>
      <w:r>
        <w:rPr>
          <w:rFonts w:hint="eastAsia" w:ascii="Times New Roman" w:hAnsi="Times New Roman" w:eastAsia="方正仿宋_GBK" w:cs="Times New Roman"/>
          <w:color w:val="auto"/>
          <w:sz w:val="32"/>
          <w:szCs w:val="32"/>
          <w:highlight w:val="none"/>
          <w:shd w:val="clear" w:color="auto" w:fill="FFFFFF"/>
          <w:lang w:val="en-US" w:eastAsia="zh-CN" w:bidi="ar"/>
        </w:rPr>
        <w:t>本</w:t>
      </w:r>
      <w:r>
        <w:rPr>
          <w:rFonts w:hint="default" w:ascii="Times New Roman" w:hAnsi="Times New Roman" w:eastAsia="方正仿宋_GBK" w:cs="Times New Roman"/>
          <w:color w:val="auto"/>
          <w:sz w:val="32"/>
          <w:szCs w:val="32"/>
          <w:highlight w:val="none"/>
          <w:shd w:val="clear" w:color="auto" w:fill="FFFFFF"/>
          <w:lang w:eastAsia="zh-CN" w:bidi="ar"/>
        </w:rPr>
        <w:t>单位</w:t>
      </w:r>
      <w:r>
        <w:rPr>
          <w:rFonts w:hint="default" w:ascii="Times New Roman" w:hAnsi="Times New Roman" w:eastAsia="方正仿宋_GBK" w:cs="Times New Roman"/>
          <w:color w:val="auto"/>
          <w:sz w:val="32"/>
          <w:szCs w:val="32"/>
          <w:highlight w:val="none"/>
          <w:shd w:val="clear" w:color="auto" w:fill="FFFFFF"/>
          <w:lang w:bidi="ar"/>
        </w:rPr>
        <w:t>未发生因公出国（境）费用。</w:t>
      </w:r>
    </w:p>
    <w:p w14:paraId="6953BE94">
      <w:pPr>
        <w:pStyle w:val="17"/>
        <w:keepNext w:val="0"/>
        <w:keepLines w:val="0"/>
        <w:pageBreakBefore w:val="0"/>
        <w:widowControl w:val="0"/>
        <w:shd w:val="clear"/>
        <w:tabs>
          <w:tab w:val="center" w:pos="4153"/>
          <w:tab w:val="left" w:pos="7275"/>
        </w:tab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bidi="ar-SA"/>
        </w:rPr>
      </w:pPr>
      <w:r>
        <w:rPr>
          <w:rFonts w:hint="default" w:ascii="Times New Roman" w:hAnsi="Times New Roman" w:eastAsia="方正仿宋_GBK" w:cs="Times New Roman"/>
          <w:color w:val="auto"/>
          <w:sz w:val="32"/>
          <w:szCs w:val="32"/>
          <w:highlight w:val="none"/>
          <w:shd w:val="clear" w:color="auto" w:fill="FFFFFF"/>
        </w:rPr>
        <w:t>公务车购置费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万元，费用支出较年初预算数无增减</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 较上年支出数无增减，</w:t>
      </w:r>
      <w:r>
        <w:rPr>
          <w:rFonts w:hint="default" w:ascii="Times New Roman" w:hAnsi="Times New Roman" w:eastAsia="方正仿宋_GBK" w:cs="Times New Roman"/>
          <w:color w:val="auto"/>
          <w:sz w:val="32"/>
          <w:szCs w:val="32"/>
          <w:highlight w:val="none"/>
          <w:shd w:val="clear" w:color="auto" w:fill="FFFFFF"/>
          <w:lang w:eastAsia="zh-CN"/>
        </w:rPr>
        <w:t>与上年持平，</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bidi="ar"/>
        </w:rPr>
        <w:t>202</w:t>
      </w:r>
      <w:r>
        <w:rPr>
          <w:rFonts w:hint="default" w:ascii="Times New Roman" w:hAnsi="Times New Roman" w:eastAsia="方正仿宋_GBK" w:cs="Times New Roman"/>
          <w:color w:val="auto"/>
          <w:sz w:val="32"/>
          <w:szCs w:val="32"/>
          <w:highlight w:val="none"/>
          <w:shd w:val="clear" w:color="auto" w:fill="FFFFFF"/>
          <w:lang w:val="en-US" w:eastAsia="zh-CN" w:bidi="ar"/>
        </w:rPr>
        <w:t>3</w:t>
      </w:r>
      <w:r>
        <w:rPr>
          <w:rFonts w:hint="default" w:ascii="Times New Roman" w:hAnsi="Times New Roman" w:eastAsia="方正仿宋_GBK" w:cs="Times New Roman"/>
          <w:color w:val="auto"/>
          <w:sz w:val="32"/>
          <w:szCs w:val="32"/>
          <w:highlight w:val="none"/>
          <w:shd w:val="clear" w:color="auto" w:fill="FFFFFF"/>
          <w:lang w:bidi="ar"/>
        </w:rPr>
        <w:t>年度</w:t>
      </w:r>
      <w:r>
        <w:rPr>
          <w:rFonts w:hint="eastAsia" w:ascii="Times New Roman" w:hAnsi="Times New Roman" w:eastAsia="方正仿宋_GBK" w:cs="Times New Roman"/>
          <w:color w:val="auto"/>
          <w:sz w:val="32"/>
          <w:szCs w:val="32"/>
          <w:highlight w:val="none"/>
          <w:shd w:val="clear" w:color="auto" w:fill="FFFFFF"/>
          <w:lang w:val="en-US" w:eastAsia="zh-CN" w:bidi="ar"/>
        </w:rPr>
        <w:t>本</w:t>
      </w:r>
      <w:r>
        <w:rPr>
          <w:rFonts w:hint="default" w:ascii="Times New Roman" w:hAnsi="Times New Roman" w:eastAsia="方正仿宋_GBK" w:cs="Times New Roman"/>
          <w:color w:val="auto"/>
          <w:sz w:val="32"/>
          <w:szCs w:val="32"/>
          <w:highlight w:val="none"/>
          <w:shd w:val="clear" w:color="auto" w:fill="FFFFFF"/>
          <w:lang w:eastAsia="zh-CN" w:bidi="ar"/>
        </w:rPr>
        <w:t>单位</w:t>
      </w:r>
      <w:r>
        <w:rPr>
          <w:rFonts w:hint="default" w:ascii="Times New Roman" w:hAnsi="Times New Roman" w:eastAsia="方正仿宋_GBK" w:cs="Times New Roman"/>
          <w:color w:val="auto"/>
          <w:sz w:val="32"/>
          <w:szCs w:val="32"/>
          <w:highlight w:val="none"/>
          <w:shd w:val="clear" w:color="auto" w:fill="FFFFFF"/>
          <w:lang w:bidi="ar"/>
        </w:rPr>
        <w:t>未发生公务车购置费用</w:t>
      </w:r>
      <w:r>
        <w:rPr>
          <w:rFonts w:hint="default" w:ascii="Times New Roman" w:hAnsi="Times New Roman" w:eastAsia="方正仿宋_GBK" w:cs="Times New Roman"/>
          <w:color w:val="auto"/>
          <w:sz w:val="32"/>
          <w:szCs w:val="32"/>
          <w:highlight w:val="none"/>
          <w:shd w:val="clear" w:color="auto" w:fill="FFFFFF"/>
          <w:lang w:eastAsia="zh-CN" w:bidi="ar"/>
        </w:rPr>
        <w:t>。</w:t>
      </w:r>
    </w:p>
    <w:p w14:paraId="069C6A8A">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rPr>
      </w:pPr>
      <w:r>
        <w:rPr>
          <w:rFonts w:ascii="方正仿宋_GBK" w:hAnsi="方正仿宋_GBK" w:eastAsia="方正仿宋_GBK" w:cs="方正仿宋_GBK"/>
          <w:b w:val="0"/>
          <w:bCs w:val="0"/>
          <w:color w:val="auto"/>
          <w:sz w:val="32"/>
          <w:szCs w:val="32"/>
          <w:highlight w:val="none"/>
          <w:shd w:val="clear" w:color="auto" w:fill="FFFFFF"/>
        </w:rPr>
        <w:t>公务车运行维</w:t>
      </w:r>
      <w:r>
        <w:rPr>
          <w:rFonts w:hint="default" w:ascii="Times New Roman" w:hAnsi="Times New Roman" w:eastAsia="方正仿宋_GBK" w:cs="Times New Roman"/>
          <w:b w:val="0"/>
          <w:bCs w:val="0"/>
          <w:color w:val="auto"/>
          <w:sz w:val="32"/>
          <w:szCs w:val="32"/>
          <w:highlight w:val="none"/>
          <w:shd w:val="clear" w:color="auto" w:fill="FFFFFF"/>
        </w:rPr>
        <w:t>护费</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万元</w:t>
      </w:r>
      <w:r>
        <w:rPr>
          <w:rFonts w:ascii="方正仿宋_GBK"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费用支出较年初预算数无增减</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eastAsia="zh-CN"/>
        </w:rPr>
        <w:t>与上年持平</w:t>
      </w:r>
      <w:r>
        <w:rPr>
          <w:rFonts w:hint="eastAsia" w:ascii="Times New Roman" w:hAnsi="Times New Roman" w:eastAsia="方正仿宋_GBK" w:cs="Times New Roman"/>
          <w:color w:val="auto"/>
          <w:sz w:val="32"/>
          <w:szCs w:val="32"/>
          <w:highlight w:val="none"/>
          <w:shd w:val="clear" w:color="auto" w:fill="FFFFFF"/>
          <w:lang w:eastAsia="zh-CN"/>
        </w:rPr>
        <w:t>，</w:t>
      </w:r>
      <w:bookmarkStart w:id="2" w:name="OLE_LINK19"/>
      <w:r>
        <w:rPr>
          <w:rFonts w:hint="default" w:ascii="Times New Roman" w:hAnsi="Times New Roman" w:eastAsia="方正仿宋_GBK" w:cs="Times New Roman"/>
          <w:color w:val="auto"/>
          <w:sz w:val="32"/>
          <w:szCs w:val="32"/>
          <w:highlight w:val="none"/>
          <w:shd w:val="clear" w:color="auto" w:fill="FFFFFF"/>
        </w:rPr>
        <w:t>主要原因是2023年度</w:t>
      </w:r>
      <w:r>
        <w:rPr>
          <w:rFonts w:hint="eastAsia" w:ascii="Times New Roman" w:hAnsi="Times New Roman" w:eastAsia="方正仿宋_GBK" w:cs="Times New Roman"/>
          <w:color w:val="auto"/>
          <w:sz w:val="32"/>
          <w:szCs w:val="32"/>
          <w:highlight w:val="none"/>
          <w:shd w:val="clear" w:color="auto" w:fill="FFFFFF"/>
          <w:lang w:val="en-US" w:eastAsia="zh-CN"/>
        </w:rPr>
        <w:t>本单位</w:t>
      </w:r>
      <w:r>
        <w:rPr>
          <w:rFonts w:hint="default" w:ascii="Times New Roman" w:hAnsi="Times New Roman" w:eastAsia="方正仿宋_GBK" w:cs="Times New Roman"/>
          <w:color w:val="auto"/>
          <w:sz w:val="32"/>
          <w:szCs w:val="32"/>
          <w:highlight w:val="none"/>
          <w:shd w:val="clear" w:color="auto" w:fill="FFFFFF"/>
        </w:rPr>
        <w:t>公务车运行维护费由事业收入保障。</w:t>
      </w:r>
    </w:p>
    <w:p w14:paraId="72CE0282">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公务接待费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万元，费用支出较年初预算数无增减</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rPr>
        <w:t>较上年支出数无增减，</w:t>
      </w:r>
      <w:r>
        <w:rPr>
          <w:rFonts w:hint="eastAsia" w:ascii="Times New Roman" w:hAnsi="Times New Roman" w:eastAsia="方正仿宋_GBK" w:cs="Times New Roman"/>
          <w:color w:val="auto"/>
          <w:sz w:val="32"/>
          <w:szCs w:val="32"/>
          <w:highlight w:val="none"/>
          <w:shd w:val="clear" w:color="auto" w:fill="FFFFFF"/>
          <w:lang w:val="en-US" w:eastAsia="zh-CN"/>
        </w:rPr>
        <w:t>与上年持平，</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bidi="ar"/>
        </w:rPr>
        <w:t>202</w:t>
      </w:r>
      <w:r>
        <w:rPr>
          <w:rFonts w:hint="default" w:ascii="Times New Roman" w:hAnsi="Times New Roman" w:eastAsia="方正仿宋_GBK" w:cs="Times New Roman"/>
          <w:color w:val="auto"/>
          <w:sz w:val="32"/>
          <w:szCs w:val="32"/>
          <w:highlight w:val="none"/>
          <w:shd w:val="clear" w:color="auto" w:fill="FFFFFF"/>
          <w:lang w:val="en-US" w:eastAsia="zh-CN" w:bidi="ar"/>
        </w:rPr>
        <w:t>3</w:t>
      </w:r>
      <w:r>
        <w:rPr>
          <w:rFonts w:hint="default" w:ascii="Times New Roman" w:hAnsi="Times New Roman" w:eastAsia="方正仿宋_GBK" w:cs="Times New Roman"/>
          <w:color w:val="auto"/>
          <w:sz w:val="32"/>
          <w:szCs w:val="32"/>
          <w:highlight w:val="none"/>
          <w:shd w:val="clear" w:color="auto" w:fill="FFFFFF"/>
          <w:lang w:bidi="ar"/>
        </w:rPr>
        <w:t>年度</w:t>
      </w:r>
      <w:r>
        <w:rPr>
          <w:rFonts w:hint="eastAsia" w:ascii="Times New Roman" w:hAnsi="Times New Roman" w:eastAsia="方正仿宋_GBK" w:cs="Times New Roman"/>
          <w:color w:val="auto"/>
          <w:sz w:val="32"/>
          <w:szCs w:val="32"/>
          <w:highlight w:val="none"/>
          <w:shd w:val="clear" w:color="auto" w:fill="FFFFFF"/>
          <w:lang w:val="en-US" w:eastAsia="zh-CN" w:bidi="ar"/>
        </w:rPr>
        <w:t>本</w:t>
      </w:r>
      <w:r>
        <w:rPr>
          <w:rFonts w:hint="default" w:ascii="Times New Roman" w:hAnsi="Times New Roman" w:eastAsia="方正仿宋_GBK" w:cs="Times New Roman"/>
          <w:color w:val="auto"/>
          <w:sz w:val="32"/>
          <w:szCs w:val="32"/>
          <w:highlight w:val="none"/>
          <w:shd w:val="clear" w:color="auto" w:fill="FFFFFF"/>
          <w:lang w:eastAsia="zh-CN" w:bidi="ar"/>
        </w:rPr>
        <w:t>单位</w:t>
      </w:r>
      <w:r>
        <w:rPr>
          <w:rFonts w:hint="default" w:ascii="Times New Roman" w:hAnsi="Times New Roman" w:eastAsia="方正仿宋_GBK" w:cs="Times New Roman"/>
          <w:color w:val="auto"/>
          <w:sz w:val="32"/>
          <w:szCs w:val="32"/>
          <w:highlight w:val="none"/>
          <w:shd w:val="clear" w:color="auto" w:fill="FFFFFF"/>
          <w:lang w:bidi="ar"/>
        </w:rPr>
        <w:t>未发生公务接待费</w:t>
      </w:r>
      <w:bookmarkEnd w:id="2"/>
      <w:r>
        <w:rPr>
          <w:rFonts w:hint="eastAsia" w:ascii="Times New Roman" w:hAnsi="Times New Roman" w:eastAsia="方正仿宋_GBK" w:cs="Times New Roman"/>
          <w:color w:val="auto"/>
          <w:sz w:val="32"/>
          <w:szCs w:val="32"/>
          <w:highlight w:val="none"/>
          <w:shd w:val="clear" w:color="auto" w:fill="FFFFFF"/>
          <w:lang w:eastAsia="zh-CN" w:bidi="ar"/>
        </w:rPr>
        <w:t>。</w:t>
      </w:r>
    </w:p>
    <w:p w14:paraId="67FF06F9">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（三）“三公”经费实物量情况</w:t>
      </w:r>
    </w:p>
    <w:p w14:paraId="5CE6F62C">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2023年度本单位因公出国（境）共计</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个团组，</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人；公务用车购置</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辆，公务车保有量为</w:t>
      </w:r>
      <w:r>
        <w:rPr>
          <w:rFonts w:hint="default" w:ascii="Times New Roman" w:hAnsi="Times New Roman"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shd w:val="clear" w:color="auto" w:fill="FFFFFF"/>
        </w:rPr>
        <w:t>辆；国内公务接待</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批次</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人，其中：国内外事接待</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批次，</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人；国（境）外公务接待</w:t>
      </w:r>
      <w:r>
        <w:rPr>
          <w:rFonts w:hint="default" w:ascii="Times New Roman" w:hAnsi="Times New Roman" w:eastAsia="方正仿宋_GBK" w:cs="Times New Roman"/>
          <w:b w:val="0"/>
          <w:bCs w:val="0"/>
          <w:color w:val="auto"/>
          <w:sz w:val="32"/>
          <w:szCs w:val="32"/>
          <w:highlight w:val="none"/>
        </w:rPr>
        <w:t>0</w:t>
      </w:r>
      <w:r>
        <w:rPr>
          <w:rFonts w:ascii="方正仿宋_GBK" w:hAnsi="方正仿宋_GBK" w:eastAsia="方正仿宋_GBK" w:cs="方正仿宋_GBK"/>
          <w:b w:val="0"/>
          <w:bCs w:val="0"/>
          <w:color w:val="auto"/>
          <w:sz w:val="32"/>
          <w:szCs w:val="32"/>
          <w:highlight w:val="none"/>
          <w:shd w:val="clear" w:color="auto" w:fill="FFFFFF"/>
        </w:rPr>
        <w:t>批次，</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人。2023年本单位人均接待费</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元，车均购置费</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万元，车均维护费</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万</w:t>
      </w:r>
      <w:r>
        <w:rPr>
          <w:rFonts w:ascii="方正仿宋_GBK" w:hAnsi="方正仿宋_GBK" w:eastAsia="方正仿宋_GBK" w:cs="方正仿宋_GBK"/>
          <w:b w:val="0"/>
          <w:bCs w:val="0"/>
          <w:color w:val="auto"/>
          <w:sz w:val="32"/>
          <w:szCs w:val="32"/>
          <w:highlight w:val="none"/>
          <w:shd w:val="clear" w:color="auto" w:fill="FFFFFF"/>
        </w:rPr>
        <w:t>元。</w:t>
      </w:r>
    </w:p>
    <w:p w14:paraId="67269F11">
      <w:pPr>
        <w:pStyle w:val="7"/>
        <w:keepNext w:val="0"/>
        <w:keepLines w:val="0"/>
        <w:pageBreakBefore w:val="0"/>
        <w:widowControl w:val="0"/>
        <w:shd w:val="clear" w:color="auto"/>
        <w:kinsoku/>
        <w:wordWrap/>
        <w:overflowPunct/>
        <w:topLinePunct w:val="0"/>
        <w:autoSpaceDN/>
        <w:bidi w:val="0"/>
        <w:adjustRightInd/>
        <w:spacing w:beforeAutospacing="0" w:after="0" w:afterAutospacing="0" w:line="600" w:lineRule="exact"/>
        <w:ind w:firstLine="640" w:firstLineChars="200"/>
        <w:jc w:val="both"/>
        <w:textAlignment w:val="auto"/>
        <w:rPr>
          <w:rStyle w:val="11"/>
          <w:rFonts w:hint="eastAsia" w:ascii="方正黑体_GBK" w:hAnsi="方正黑体_GBK" w:eastAsia="方正黑体_GBK" w:cs="方正黑体_GBK"/>
          <w:b w:val="0"/>
          <w:bCs w:val="0"/>
          <w:color w:val="auto"/>
          <w:sz w:val="32"/>
          <w:szCs w:val="32"/>
          <w:highlight w:val="none"/>
          <w:shd w:val="clear" w:color="auto" w:fill="FFFFFF"/>
        </w:rPr>
      </w:pPr>
      <w:r>
        <w:rPr>
          <w:rStyle w:val="11"/>
          <w:rFonts w:hint="eastAsia" w:ascii="方正黑体_GBK" w:hAnsi="方正黑体_GBK" w:eastAsia="方正黑体_GBK" w:cs="方正黑体_GBK"/>
          <w:b w:val="0"/>
          <w:bCs w:val="0"/>
          <w:color w:val="auto"/>
          <w:sz w:val="32"/>
          <w:szCs w:val="32"/>
          <w:highlight w:val="none"/>
          <w:shd w:val="clear" w:color="auto" w:fill="FFFFFF"/>
        </w:rPr>
        <w:t>四、其他需要说明的事项</w:t>
      </w:r>
    </w:p>
    <w:p w14:paraId="3D7E16BF">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Fonts w:hint="eastAsia" w:ascii="楷体" w:hAnsi="楷体" w:eastAsia="楷体" w:cs="楷体"/>
          <w:b w:val="0"/>
          <w:bCs w:val="0"/>
          <w:color w:val="auto"/>
          <w:sz w:val="32"/>
          <w:szCs w:val="32"/>
          <w:highlight w:val="none"/>
          <w:shd w:val="clear" w:color="auto" w:fill="FFFFFF"/>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（一）财政拨款会议费和培训费情况说明</w:t>
      </w:r>
    </w:p>
    <w:p w14:paraId="3A06381A">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本年度会</w:t>
      </w:r>
      <w:r>
        <w:rPr>
          <w:rFonts w:hint="default" w:ascii="Times New Roman" w:hAnsi="Times New Roman" w:eastAsia="方正仿宋_GBK" w:cs="Times New Roman"/>
          <w:b w:val="0"/>
          <w:bCs w:val="0"/>
          <w:color w:val="auto"/>
          <w:sz w:val="32"/>
          <w:szCs w:val="32"/>
          <w:highlight w:val="none"/>
          <w:shd w:val="clear" w:color="auto" w:fill="FFFFFF"/>
        </w:rPr>
        <w:t>议费支出</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万元，较上年决算数无增减，主要原因是</w:t>
      </w:r>
      <w:r>
        <w:rPr>
          <w:rFonts w:hint="default" w:ascii="Times New Roman" w:hAnsi="Times New Roman" w:eastAsia="方正仿宋_GBK" w:cs="Times New Roman"/>
          <w:b w:val="0"/>
          <w:bCs w:val="0"/>
          <w:color w:val="auto"/>
          <w:kern w:val="0"/>
          <w:sz w:val="32"/>
          <w:szCs w:val="32"/>
          <w:highlight w:val="none"/>
          <w:lang w:val="en-US" w:eastAsia="zh-CN" w:bidi="ar-SA"/>
        </w:rPr>
        <w:t>无会议费</w:t>
      </w:r>
      <w:r>
        <w:rPr>
          <w:rFonts w:hint="default" w:ascii="Times New Roman" w:hAnsi="Times New Roman" w:eastAsia="方正仿宋_GBK" w:cs="Times New Roman"/>
          <w:b w:val="0"/>
          <w:bCs w:val="0"/>
          <w:color w:val="auto"/>
          <w:sz w:val="32"/>
          <w:szCs w:val="32"/>
          <w:highlight w:val="none"/>
          <w:shd w:val="clear" w:color="auto" w:fill="FFFFFF"/>
        </w:rPr>
        <w:t>。本年度培训费支出</w:t>
      </w:r>
      <w:r>
        <w:rPr>
          <w:rFonts w:hint="default" w:ascii="Times New Roman" w:hAnsi="Times New Roman" w:eastAsia="方正仿宋_GBK" w:cs="Times New Roman"/>
          <w:b w:val="0"/>
          <w:bCs w:val="0"/>
          <w:color w:val="auto"/>
          <w:sz w:val="32"/>
          <w:szCs w:val="32"/>
          <w:highlight w:val="none"/>
        </w:rPr>
        <w:t>1.47</w:t>
      </w:r>
      <w:r>
        <w:rPr>
          <w:rFonts w:hint="default" w:ascii="Times New Roman" w:hAnsi="Times New Roman" w:eastAsia="方正仿宋_GBK" w:cs="Times New Roman"/>
          <w:b w:val="0"/>
          <w:bCs w:val="0"/>
          <w:color w:val="auto"/>
          <w:sz w:val="32"/>
          <w:szCs w:val="32"/>
          <w:highlight w:val="none"/>
          <w:shd w:val="clear" w:color="auto" w:fill="FFFFFF"/>
        </w:rPr>
        <w:t>万元，较上年决算数增加1.47万元，增长100%</w:t>
      </w:r>
      <w:r>
        <w:rPr>
          <w:rFonts w:ascii="方正仿宋_GBK" w:hAnsi="方正仿宋_GBK" w:eastAsia="方正仿宋_GBK" w:cs="方正仿宋_GBK"/>
          <w:b w:val="0"/>
          <w:bCs w:val="0"/>
          <w:color w:val="auto"/>
          <w:sz w:val="32"/>
          <w:szCs w:val="32"/>
          <w:highlight w:val="none"/>
          <w:shd w:val="clear" w:color="auto" w:fill="FFFFFF"/>
        </w:rPr>
        <w:t>，主要原因是</w:t>
      </w:r>
      <w:r>
        <w:rPr>
          <w:rFonts w:hint="eastAsia" w:ascii="方正仿宋_GBK" w:hAnsi="方正仿宋_GBK" w:eastAsia="方正仿宋_GBK" w:cs="方正仿宋_GBK"/>
          <w:b w:val="0"/>
          <w:bCs w:val="0"/>
          <w:color w:val="auto"/>
          <w:sz w:val="32"/>
          <w:szCs w:val="32"/>
          <w:highlight w:val="none"/>
          <w:shd w:val="clear" w:color="auto" w:fill="FFFFFF"/>
          <w:lang w:eastAsia="zh-CN"/>
        </w:rPr>
        <w:t>单位职工继续教育经费增加</w:t>
      </w:r>
      <w:r>
        <w:rPr>
          <w:rFonts w:ascii="方正仿宋_GBK" w:hAnsi="方正仿宋_GBK" w:eastAsia="方正仿宋_GBK" w:cs="方正仿宋_GBK"/>
          <w:b w:val="0"/>
          <w:bCs w:val="0"/>
          <w:color w:val="auto"/>
          <w:sz w:val="32"/>
          <w:szCs w:val="32"/>
          <w:highlight w:val="none"/>
          <w:shd w:val="clear" w:color="auto" w:fill="FFFFFF"/>
        </w:rPr>
        <w:t>。</w:t>
      </w:r>
    </w:p>
    <w:p w14:paraId="295CF713">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（二）机关运行经费情况说明</w:t>
      </w:r>
    </w:p>
    <w:p w14:paraId="2F5E7773">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shd w:val="clear" w:color="auto" w:fill="FFFFFF"/>
        </w:rPr>
      </w:pPr>
      <w:r>
        <w:rPr>
          <w:rFonts w:hint="eastAsia" w:ascii="方正仿宋_GBK" w:hAnsi="方正仿宋_GBK" w:eastAsia="方正仿宋_GBK" w:cs="方正仿宋_GBK"/>
          <w:b w:val="0"/>
          <w:bCs w:val="0"/>
          <w:color w:val="auto"/>
          <w:sz w:val="32"/>
          <w:szCs w:val="32"/>
          <w:highlight w:val="none"/>
          <w:shd w:val="clear" w:color="auto" w:fill="FFFFFF"/>
        </w:rPr>
        <w:t>按照部门决算列报口径，我单位不在机关运行经费统计范围之内。</w:t>
      </w:r>
    </w:p>
    <w:p w14:paraId="61158238">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（三）国有资产占用情况说明</w:t>
      </w:r>
    </w:p>
    <w:p w14:paraId="7E71B4F5">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Fonts w:ascii="方正仿宋_GBK" w:hAnsi="方正仿宋_GBK" w:eastAsia="方正仿宋_GBK" w:cs="方正仿宋_GBK"/>
          <w:b w:val="0"/>
          <w:bCs w:val="0"/>
          <w:color w:val="auto"/>
          <w:sz w:val="32"/>
          <w:szCs w:val="32"/>
          <w:highlight w:val="none"/>
        </w:rPr>
      </w:pPr>
      <w:r>
        <w:rPr>
          <w:rFonts w:ascii="方正仿宋_GBK" w:hAnsi="方正仿宋_GBK" w:eastAsia="方正仿宋_GBK" w:cs="方正仿宋_GBK"/>
          <w:b w:val="0"/>
          <w:bCs w:val="0"/>
          <w:color w:val="auto"/>
          <w:sz w:val="32"/>
          <w:szCs w:val="32"/>
          <w:highlight w:val="none"/>
          <w:shd w:val="clear" w:color="auto" w:fill="FFFFFF"/>
        </w:rPr>
        <w:t>截</w:t>
      </w:r>
      <w:r>
        <w:rPr>
          <w:rFonts w:hint="default" w:ascii="Times New Roman" w:hAnsi="Times New Roman" w:eastAsia="方正仿宋_GBK" w:cs="Times New Roman"/>
          <w:b w:val="0"/>
          <w:bCs w:val="0"/>
          <w:color w:val="auto"/>
          <w:sz w:val="32"/>
          <w:szCs w:val="32"/>
          <w:highlight w:val="none"/>
          <w:shd w:val="clear" w:color="auto" w:fill="FFFFFF"/>
        </w:rPr>
        <w:t>至2023年12月31日，本单位共有车辆</w:t>
      </w:r>
      <w:r>
        <w:rPr>
          <w:rFonts w:hint="default" w:ascii="Times New Roman" w:hAnsi="Times New Roman" w:eastAsia="方正仿宋_GBK" w:cs="Times New Roman"/>
          <w:b w:val="0"/>
          <w:bCs w:val="0"/>
          <w:color w:val="auto"/>
          <w:sz w:val="32"/>
          <w:szCs w:val="32"/>
          <w:highlight w:val="none"/>
        </w:rPr>
        <w:t>1</w:t>
      </w:r>
      <w:r>
        <w:rPr>
          <w:rFonts w:hint="default" w:ascii="Times New Roman" w:hAnsi="Times New Roman" w:eastAsia="方正仿宋_GBK" w:cs="Times New Roman"/>
          <w:b w:val="0"/>
          <w:bCs w:val="0"/>
          <w:color w:val="auto"/>
          <w:sz w:val="32"/>
          <w:szCs w:val="32"/>
          <w:highlight w:val="none"/>
          <w:shd w:val="clear" w:color="auto" w:fill="FFFFFF"/>
        </w:rPr>
        <w:t>辆，其中，副部（省）级及以上领导用车</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辆、主要负责人用车</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辆、机要通信用车</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辆、应急保障用车</w:t>
      </w:r>
      <w:r>
        <w:rPr>
          <w:rFonts w:hint="default" w:ascii="Times New Roman" w:hAnsi="Times New Roman" w:eastAsia="方正仿宋_GBK" w:cs="Times New Roman"/>
          <w:b w:val="0"/>
          <w:bCs w:val="0"/>
          <w:color w:val="auto"/>
          <w:sz w:val="32"/>
          <w:szCs w:val="32"/>
          <w:highlight w:val="none"/>
        </w:rPr>
        <w:t>1</w:t>
      </w:r>
      <w:r>
        <w:rPr>
          <w:rFonts w:hint="default" w:ascii="Times New Roman" w:hAnsi="Times New Roman" w:eastAsia="方正仿宋_GBK" w:cs="Times New Roman"/>
          <w:b w:val="0"/>
          <w:bCs w:val="0"/>
          <w:color w:val="auto"/>
          <w:sz w:val="32"/>
          <w:szCs w:val="32"/>
          <w:highlight w:val="none"/>
          <w:shd w:val="clear" w:color="auto" w:fill="FFFFFF"/>
        </w:rPr>
        <w:t>辆、执法执勤用车</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辆，特种专业技术用车</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辆，离退休干部用车</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辆。单价100万元（含）以上专用设备</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台</w:t>
      </w:r>
      <w:r>
        <w:rPr>
          <w:rFonts w:ascii="方正仿宋_GBK" w:hAnsi="方正仿宋_GBK" w:eastAsia="方正仿宋_GBK" w:cs="方正仿宋_GBK"/>
          <w:b w:val="0"/>
          <w:bCs w:val="0"/>
          <w:color w:val="auto"/>
          <w:sz w:val="32"/>
          <w:szCs w:val="32"/>
          <w:highlight w:val="none"/>
          <w:shd w:val="clear" w:color="auto" w:fill="FFFFFF"/>
        </w:rPr>
        <w:t>（套）。</w:t>
      </w:r>
    </w:p>
    <w:p w14:paraId="21606C73">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（四）政府采购支出情况说明</w:t>
      </w:r>
    </w:p>
    <w:p w14:paraId="242B50E7">
      <w:pPr>
        <w:pStyle w:val="7"/>
        <w:keepNext w:val="0"/>
        <w:keepLines w:val="0"/>
        <w:pageBreakBefore w:val="0"/>
        <w:widowControl w:val="0"/>
        <w:shd w:val="clear" w:color="auto"/>
        <w:kinsoku/>
        <w:wordWrap/>
        <w:overflowPunct/>
        <w:topLinePunct w:val="0"/>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2023年度本单位政府采购支出总额</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万元，其中：政府采购货物支出</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万元、政府采购工程支出</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万元、政府采购服务支出</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万元。授予中小企业合同金额</w:t>
      </w:r>
      <w:r>
        <w:rPr>
          <w:rFonts w:hint="default" w:ascii="Times New Roman" w:hAnsi="Times New Roman" w:eastAsia="方正仿宋_GBK" w:cs="Times New Roman"/>
          <w:color w:val="auto"/>
          <w:sz w:val="32"/>
          <w:szCs w:val="32"/>
          <w:highlight w:val="none"/>
        </w:rPr>
        <w:t>0万</w:t>
      </w:r>
      <w:r>
        <w:rPr>
          <w:rFonts w:hint="default" w:ascii="Times New Roman" w:hAnsi="Times New Roman" w:eastAsia="方正仿宋_GBK" w:cs="Times New Roman"/>
          <w:color w:val="auto"/>
          <w:sz w:val="32"/>
          <w:szCs w:val="32"/>
          <w:highlight w:val="none"/>
          <w:shd w:val="clear" w:color="auto" w:fill="FFFFFF"/>
        </w:rPr>
        <w:t>元，占政府采购支出总额的</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%，其中：授予小微企业合同金额</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万元，占政府采购支出总额的</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 xml:space="preserve"> %。2023年度我单位未发生政府采购事项，无相关经费支出。</w:t>
      </w:r>
    </w:p>
    <w:p w14:paraId="78D79C5B">
      <w:pPr>
        <w:pStyle w:val="7"/>
        <w:keepNext w:val="0"/>
        <w:keepLines w:val="0"/>
        <w:pageBreakBefore w:val="0"/>
        <w:widowControl w:val="0"/>
        <w:shd w:val="clear" w:color="auto"/>
        <w:kinsoku/>
        <w:wordWrap/>
        <w:overflowPunct/>
        <w:topLinePunct w:val="0"/>
        <w:autoSpaceDN/>
        <w:bidi w:val="0"/>
        <w:adjustRightInd/>
        <w:spacing w:beforeAutospacing="0" w:after="0" w:afterAutospacing="0" w:line="600" w:lineRule="exact"/>
        <w:ind w:firstLine="640" w:firstLineChars="200"/>
        <w:jc w:val="both"/>
        <w:textAlignment w:val="auto"/>
        <w:rPr>
          <w:rStyle w:val="11"/>
          <w:rFonts w:hint="eastAsia" w:ascii="方正黑体_GBK" w:hAnsi="方正黑体_GBK" w:eastAsia="方正黑体_GBK" w:cs="方正黑体_GBK"/>
          <w:b w:val="0"/>
          <w:bCs w:val="0"/>
          <w:color w:val="auto"/>
          <w:sz w:val="32"/>
          <w:szCs w:val="32"/>
          <w:highlight w:val="none"/>
          <w:shd w:val="clear" w:color="auto" w:fill="FFFFFF"/>
        </w:rPr>
      </w:pPr>
      <w:r>
        <w:rPr>
          <w:rStyle w:val="11"/>
          <w:rFonts w:hint="eastAsia" w:ascii="方正黑体_GBK" w:hAnsi="方正黑体_GBK" w:eastAsia="方正黑体_GBK" w:cs="方正黑体_GBK"/>
          <w:b w:val="0"/>
          <w:bCs w:val="0"/>
          <w:color w:val="auto"/>
          <w:sz w:val="32"/>
          <w:szCs w:val="32"/>
          <w:highlight w:val="none"/>
          <w:shd w:val="clear" w:color="auto" w:fill="FFFFFF"/>
          <w:lang w:val="en-US" w:eastAsia="zh-CN"/>
        </w:rPr>
        <w:t>五、</w:t>
      </w:r>
      <w:r>
        <w:rPr>
          <w:rStyle w:val="11"/>
          <w:rFonts w:hint="eastAsia" w:ascii="方正黑体_GBK" w:hAnsi="方正黑体_GBK" w:eastAsia="方正黑体_GBK" w:cs="方正黑体_GBK"/>
          <w:b w:val="0"/>
          <w:bCs w:val="0"/>
          <w:color w:val="auto"/>
          <w:sz w:val="32"/>
          <w:szCs w:val="32"/>
          <w:highlight w:val="none"/>
          <w:shd w:val="clear" w:color="auto" w:fill="FFFFFF"/>
        </w:rPr>
        <w:t>预算绩效管理情况说明</w:t>
      </w:r>
    </w:p>
    <w:p w14:paraId="33F8B144">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Fonts w:hint="eastAsia" w:ascii="楷体" w:hAnsi="楷体" w:eastAsia="楷体" w:cs="楷体"/>
          <w:b w:val="0"/>
          <w:bCs w:val="0"/>
          <w:color w:val="auto"/>
          <w:sz w:val="32"/>
          <w:szCs w:val="32"/>
          <w:highlight w:val="none"/>
          <w:shd w:val="clear" w:color="auto" w:fill="FFFFFF"/>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（一）单位自评情况</w:t>
      </w:r>
    </w:p>
    <w:p w14:paraId="141482C3">
      <w:pPr>
        <w:pStyle w:val="13"/>
        <w:keepNext w:val="0"/>
        <w:keepLines w:val="0"/>
        <w:pageBreakBefore w:val="0"/>
        <w:widowControl w:val="0"/>
        <w:shd w:val="clear"/>
        <w:kinsoku/>
        <w:wordWrap/>
        <w:overflowPunct/>
        <w:topLinePunct w:val="0"/>
        <w:autoSpaceDE w:val="0"/>
        <w:autoSpaceDN/>
        <w:bidi w:val="0"/>
        <w:adjustRightIn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shd w:val="clear" w:color="auto" w:fill="FFFFFF"/>
          <w:lang w:eastAsia="zh-CN"/>
        </w:rPr>
      </w:pPr>
      <w:r>
        <w:rPr>
          <w:rFonts w:hint="eastAsia" w:ascii="方正仿宋_GBK" w:hAnsi="方正仿宋_GBK" w:eastAsia="方正仿宋_GBK" w:cs="方正仿宋_GBK"/>
          <w:b w:val="0"/>
          <w:bCs w:val="0"/>
          <w:color w:val="auto"/>
          <w:sz w:val="32"/>
          <w:szCs w:val="32"/>
          <w:highlight w:val="none"/>
          <w:shd w:val="clear" w:color="auto" w:fill="FFFFFF"/>
        </w:rPr>
        <w:t>根据预算绩效管理要求，我单</w:t>
      </w:r>
      <w:r>
        <w:rPr>
          <w:rFonts w:hint="default" w:ascii="Times New Roman" w:hAnsi="Times New Roman" w:eastAsia="方正仿宋_GBK" w:cs="Times New Roman"/>
          <w:b w:val="0"/>
          <w:bCs w:val="0"/>
          <w:color w:val="auto"/>
          <w:sz w:val="32"/>
          <w:szCs w:val="32"/>
          <w:highlight w:val="none"/>
          <w:shd w:val="clear" w:color="auto" w:fill="FFFFFF"/>
        </w:rPr>
        <w:t>位对</w:t>
      </w:r>
      <w:r>
        <w:rPr>
          <w:rFonts w:hint="default" w:ascii="Times New Roman" w:hAnsi="Times New Roman" w:eastAsia="方正仿宋_GBK" w:cs="Times New Roman"/>
          <w:b w:val="0"/>
          <w:bCs w:val="0"/>
          <w:color w:val="auto"/>
          <w:sz w:val="32"/>
          <w:szCs w:val="32"/>
          <w:highlight w:val="none"/>
          <w:shd w:val="clear" w:color="auto" w:fill="FFFFFF"/>
          <w:lang w:val="en-US" w:eastAsia="zh-CN"/>
        </w:rPr>
        <w:t>7</w:t>
      </w:r>
      <w:r>
        <w:rPr>
          <w:rFonts w:hint="default" w:ascii="Times New Roman" w:hAnsi="Times New Roman" w:eastAsia="方正仿宋_GBK" w:cs="Times New Roman"/>
          <w:b w:val="0"/>
          <w:bCs w:val="0"/>
          <w:color w:val="auto"/>
          <w:sz w:val="32"/>
          <w:szCs w:val="32"/>
          <w:highlight w:val="none"/>
          <w:shd w:val="clear" w:color="auto" w:fill="FFFFFF"/>
        </w:rPr>
        <w:t>个二级项目开展了绩效自评，涉及财政拨款项目支出资金</w:t>
      </w:r>
      <w:r>
        <w:rPr>
          <w:rFonts w:hint="default" w:ascii="Times New Roman" w:hAnsi="Times New Roman" w:eastAsia="方正仿宋_GBK" w:cs="Times New Roman"/>
          <w:b w:val="0"/>
          <w:bCs w:val="0"/>
          <w:color w:val="auto"/>
          <w:sz w:val="32"/>
          <w:szCs w:val="32"/>
          <w:highlight w:val="none"/>
          <w:shd w:val="clear" w:color="auto" w:fill="FFFFFF"/>
          <w:lang w:val="en-US" w:eastAsia="zh-CN"/>
        </w:rPr>
        <w:t>163.27</w:t>
      </w:r>
      <w:r>
        <w:rPr>
          <w:rFonts w:hint="default" w:ascii="Times New Roman" w:hAnsi="Times New Roman" w:eastAsia="方正仿宋_GBK" w:cs="Times New Roman"/>
          <w:b w:val="0"/>
          <w:bCs w:val="0"/>
          <w:color w:val="auto"/>
          <w:sz w:val="32"/>
          <w:szCs w:val="32"/>
          <w:highlight w:val="none"/>
          <w:shd w:val="clear" w:color="auto" w:fill="FFFFFF"/>
        </w:rPr>
        <w:t>万</w:t>
      </w:r>
      <w:r>
        <w:rPr>
          <w:rFonts w:hint="eastAsia" w:ascii="方正仿宋_GBK" w:hAnsi="方正仿宋_GBK" w:eastAsia="方正仿宋_GBK" w:cs="方正仿宋_GBK"/>
          <w:b w:val="0"/>
          <w:bCs w:val="0"/>
          <w:color w:val="auto"/>
          <w:sz w:val="32"/>
          <w:szCs w:val="32"/>
          <w:highlight w:val="none"/>
          <w:shd w:val="clear" w:color="auto" w:fill="FFFFFF"/>
        </w:rPr>
        <w:t>元</w:t>
      </w:r>
      <w:r>
        <w:rPr>
          <w:rFonts w:hint="eastAsia" w:ascii="方正仿宋_GBK" w:hAnsi="方正仿宋_GBK" w:eastAsia="方正仿宋_GBK" w:cs="方正仿宋_GBK"/>
          <w:b w:val="0"/>
          <w:bCs w:val="0"/>
          <w:color w:val="auto"/>
          <w:sz w:val="32"/>
          <w:szCs w:val="32"/>
          <w:highlight w:val="none"/>
          <w:shd w:val="clear" w:color="auto" w:fill="FFFFFF"/>
          <w:lang w:eastAsia="zh-CN"/>
        </w:rPr>
        <w:t>。</w:t>
      </w:r>
    </w:p>
    <w:p w14:paraId="52D0D9E8">
      <w:pPr>
        <w:pStyle w:val="13"/>
        <w:keepNext w:val="0"/>
        <w:keepLines w:val="0"/>
        <w:pageBreakBefore w:val="0"/>
        <w:widowControl w:val="0"/>
        <w:shd w:val="clear"/>
        <w:kinsoku/>
        <w:wordWrap/>
        <w:overflowPunct/>
        <w:topLinePunct w:val="0"/>
        <w:autoSpaceDN/>
        <w:bidi w:val="0"/>
        <w:adjustRightInd/>
        <w:spacing w:before="0" w:beforeAutospacing="0" w:after="0" w:afterAutospacing="0" w:line="600" w:lineRule="exact"/>
        <w:jc w:val="center"/>
        <w:textAlignment w:val="auto"/>
        <w:rPr>
          <w:rStyle w:val="14"/>
          <w:rFonts w:hint="eastAsia" w:ascii="方正仿宋_GBK" w:hAnsi="方正仿宋_GBK" w:eastAsia="方正仿宋_GBK" w:cs="方正仿宋_GBK"/>
          <w:b w:val="0"/>
          <w:bCs w:val="0"/>
          <w:color w:val="auto"/>
          <w:sz w:val="32"/>
          <w:szCs w:val="32"/>
          <w:highlight w:val="none"/>
          <w:shd w:val="clear" w:color="auto" w:fill="FFFFFF"/>
          <w:lang w:eastAsia="zh-CN"/>
        </w:rPr>
      </w:pPr>
      <w:r>
        <w:rPr>
          <w:rFonts w:hint="eastAsia" w:ascii="方正仿宋_GBK" w:hAnsi="方正仿宋_GBK" w:eastAsia="方正仿宋_GBK" w:cs="方正仿宋_GBK"/>
          <w:b w:val="0"/>
          <w:bCs w:val="0"/>
          <w:color w:val="auto"/>
          <w:sz w:val="32"/>
          <w:szCs w:val="32"/>
          <w:highlight w:val="none"/>
          <w:shd w:val="clear" w:color="auto" w:fill="FFFFFF"/>
        </w:rPr>
        <w:t>项目支出绩效自评表（二级项目）</w:t>
      </w:r>
    </w:p>
    <w:p w14:paraId="4FCB8DA4">
      <w:pPr>
        <w:pStyle w:val="13"/>
        <w:keepNext w:val="0"/>
        <w:keepLines w:val="0"/>
        <w:pageBreakBefore w:val="0"/>
        <w:widowControl w:val="0"/>
        <w:shd w:val="clear"/>
        <w:kinsoku/>
        <w:wordWrap/>
        <w:overflowPunct/>
        <w:topLinePunct w:val="0"/>
        <w:autoSpaceDN/>
        <w:bidi w:val="0"/>
        <w:adjustRightInd/>
        <w:spacing w:before="0" w:beforeAutospacing="0" w:after="0" w:afterAutospacing="0" w:line="600" w:lineRule="exact"/>
        <w:jc w:val="both"/>
        <w:textAlignment w:val="auto"/>
        <w:rPr>
          <w:rStyle w:val="14"/>
          <w:rFonts w:hint="eastAsia" w:ascii="方正仿宋_GBK" w:hAnsi="方正仿宋_GBK" w:eastAsia="方正仿宋_GBK" w:cs="方正仿宋_GBK"/>
          <w:b w:val="0"/>
          <w:bCs w:val="0"/>
          <w:color w:val="auto"/>
          <w:sz w:val="32"/>
          <w:szCs w:val="32"/>
          <w:highlight w:val="none"/>
          <w:shd w:val="clear" w:color="auto" w:fill="FFFFFF"/>
          <w:lang w:eastAsia="zh-CN"/>
        </w:rPr>
      </w:pPr>
      <w:r>
        <w:rPr>
          <w:rStyle w:val="14"/>
          <w:rFonts w:hint="eastAsia" w:ascii="方正仿宋_GBK" w:hAnsi="方正仿宋_GBK" w:eastAsia="方正仿宋_GBK" w:cs="方正仿宋_GBK"/>
          <w:b w:val="0"/>
          <w:bCs w:val="0"/>
          <w:color w:val="auto"/>
          <w:sz w:val="32"/>
          <w:szCs w:val="32"/>
          <w:highlight w:val="none"/>
          <w:shd w:val="clear" w:color="auto" w:fill="FFFFFF"/>
          <w:lang w:eastAsia="zh-CN"/>
        </w:rPr>
        <w:drawing>
          <wp:anchor distT="0" distB="0" distL="114300" distR="114300" simplePos="0" relativeHeight="251659264" behindDoc="0" locked="0" layoutInCell="1" allowOverlap="1">
            <wp:simplePos x="0" y="0"/>
            <wp:positionH relativeFrom="column">
              <wp:posOffset>-38100</wp:posOffset>
            </wp:positionH>
            <wp:positionV relativeFrom="paragraph">
              <wp:posOffset>123825</wp:posOffset>
            </wp:positionV>
            <wp:extent cx="5276850" cy="2932430"/>
            <wp:effectExtent l="0" t="0" r="0" b="1270"/>
            <wp:wrapSquare wrapText="bothSides"/>
            <wp:docPr id="3" name="图片 3" descr="1728437225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8437225687"/>
                    <pic:cNvPicPr>
                      <a:picLocks noChangeAspect="1"/>
                    </pic:cNvPicPr>
                  </pic:nvPicPr>
                  <pic:blipFill>
                    <a:blip r:embed="rId7"/>
                    <a:stretch>
                      <a:fillRect/>
                    </a:stretch>
                  </pic:blipFill>
                  <pic:spPr>
                    <a:xfrm>
                      <a:off x="0" y="0"/>
                      <a:ext cx="5276850" cy="2932430"/>
                    </a:xfrm>
                    <a:prstGeom prst="rect">
                      <a:avLst/>
                    </a:prstGeom>
                  </pic:spPr>
                </pic:pic>
              </a:graphicData>
            </a:graphic>
          </wp:anchor>
        </w:drawing>
      </w:r>
    </w:p>
    <w:p w14:paraId="31D04595">
      <w:pPr>
        <w:pStyle w:val="13"/>
        <w:keepNext w:val="0"/>
        <w:keepLines w:val="0"/>
        <w:pageBreakBefore w:val="0"/>
        <w:widowControl w:val="0"/>
        <w:shd w:val="clear"/>
        <w:kinsoku/>
        <w:wordWrap/>
        <w:overflowPunct/>
        <w:topLinePunct w:val="0"/>
        <w:autoSpaceDN/>
        <w:bidi w:val="0"/>
        <w:adjustRightInd/>
        <w:spacing w:before="0" w:beforeAutospacing="0" w:after="0" w:afterAutospacing="0" w:line="600" w:lineRule="exact"/>
        <w:jc w:val="both"/>
        <w:textAlignment w:val="auto"/>
        <w:rPr>
          <w:rStyle w:val="14"/>
          <w:rFonts w:hint="eastAsia" w:ascii="方正仿宋_GBK" w:hAnsi="方正仿宋_GBK" w:eastAsia="方正仿宋_GBK" w:cs="方正仿宋_GBK"/>
          <w:b w:val="0"/>
          <w:bCs w:val="0"/>
          <w:color w:val="auto"/>
          <w:sz w:val="32"/>
          <w:szCs w:val="32"/>
          <w:highlight w:val="none"/>
          <w:shd w:val="clear" w:color="auto" w:fill="FFFFFF"/>
          <w:lang w:eastAsia="zh-CN"/>
        </w:rPr>
      </w:pPr>
      <w:r>
        <w:rPr>
          <w:rStyle w:val="14"/>
          <w:rFonts w:hint="eastAsia" w:ascii="方正仿宋_GBK" w:hAnsi="方正仿宋_GBK" w:eastAsia="方正仿宋_GBK" w:cs="方正仿宋_GBK"/>
          <w:b w:val="0"/>
          <w:bCs w:val="0"/>
          <w:color w:val="auto"/>
          <w:sz w:val="32"/>
          <w:szCs w:val="32"/>
          <w:highlight w:val="none"/>
          <w:shd w:val="clear" w:color="auto" w:fill="FFFFFF"/>
          <w:lang w:eastAsia="zh-CN"/>
        </w:rPr>
        <w:drawing>
          <wp:anchor distT="0" distB="0" distL="114300" distR="114300" simplePos="0" relativeHeight="251660288" behindDoc="0" locked="0" layoutInCell="1" allowOverlap="1">
            <wp:simplePos x="0" y="0"/>
            <wp:positionH relativeFrom="column">
              <wp:posOffset>-5382895</wp:posOffset>
            </wp:positionH>
            <wp:positionV relativeFrom="paragraph">
              <wp:posOffset>2743200</wp:posOffset>
            </wp:positionV>
            <wp:extent cx="5270500" cy="2813685"/>
            <wp:effectExtent l="0" t="0" r="6350" b="5715"/>
            <wp:wrapSquare wrapText="bothSides"/>
            <wp:docPr id="4" name="图片 4" descr="172843723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28437239400"/>
                    <pic:cNvPicPr>
                      <a:picLocks noChangeAspect="1"/>
                    </pic:cNvPicPr>
                  </pic:nvPicPr>
                  <pic:blipFill>
                    <a:blip r:embed="rId8"/>
                    <a:stretch>
                      <a:fillRect/>
                    </a:stretch>
                  </pic:blipFill>
                  <pic:spPr>
                    <a:xfrm>
                      <a:off x="0" y="0"/>
                      <a:ext cx="5270500" cy="2813685"/>
                    </a:xfrm>
                    <a:prstGeom prst="rect">
                      <a:avLst/>
                    </a:prstGeom>
                  </pic:spPr>
                </pic:pic>
              </a:graphicData>
            </a:graphic>
          </wp:anchor>
        </w:drawing>
      </w:r>
    </w:p>
    <w:p w14:paraId="1E4D62BD">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firstLine="643"/>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p>
    <w:p w14:paraId="004C0C1F">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firstLine="643"/>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p>
    <w:p w14:paraId="705A0D76">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firstLine="643"/>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p>
    <w:p w14:paraId="1708642F">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firstLine="643"/>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p>
    <w:p w14:paraId="2E599E4C">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firstLine="643"/>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p>
    <w:p w14:paraId="680FD15C">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firstLine="643"/>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p>
    <w:p w14:paraId="41F82A6B">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firstLine="643"/>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p>
    <w:p w14:paraId="68F51A35">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firstLine="643"/>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p>
    <w:p w14:paraId="502F213D">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firstLine="643"/>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p>
    <w:p w14:paraId="30959779">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firstLine="643"/>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p>
    <w:p w14:paraId="6C22DCBF">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firstLine="643"/>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p>
    <w:p w14:paraId="437FE8CC">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firstLine="643"/>
        <w:jc w:val="both"/>
        <w:textAlignment w:val="auto"/>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pPr>
    </w:p>
    <w:p w14:paraId="22E23FB1">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firstLine="643"/>
        <w:jc w:val="both"/>
        <w:textAlignment w:val="auto"/>
        <w:rPr>
          <w:rFonts w:hint="eastAsia" w:ascii="楷体" w:hAnsi="楷体" w:eastAsia="楷体" w:cs="楷体"/>
          <w:b w:val="0"/>
          <w:bCs w:val="0"/>
          <w:color w:val="auto"/>
          <w:sz w:val="32"/>
          <w:szCs w:val="32"/>
          <w:highlight w:val="none"/>
          <w:shd w:val="clear" w:color="auto" w:fill="FFFFFF"/>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（二）单位绩效评价情况（如有）</w:t>
      </w:r>
    </w:p>
    <w:p w14:paraId="6ACA8374">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bidi="ar-SA"/>
        </w:rPr>
      </w:pPr>
      <w:r>
        <w:rPr>
          <w:rFonts w:hint="eastAsia" w:ascii="方正仿宋_GBK" w:hAnsi="方正仿宋_GBK" w:eastAsia="方正仿宋_GBK" w:cs="方正仿宋_GBK"/>
          <w:b w:val="0"/>
          <w:bCs w:val="0"/>
          <w:color w:val="auto"/>
          <w:sz w:val="32"/>
          <w:szCs w:val="32"/>
          <w:highlight w:val="none"/>
          <w:shd w:val="clear" w:color="auto" w:fill="FFFFFF"/>
          <w:lang w:val="en-US" w:eastAsia="zh-CN" w:bidi="ar-SA"/>
        </w:rPr>
        <w:t>我单位未组织开展绩效评价。</w:t>
      </w:r>
    </w:p>
    <w:p w14:paraId="01EE7FF9">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firstLine="643"/>
        <w:jc w:val="both"/>
        <w:textAlignment w:val="auto"/>
        <w:rPr>
          <w:rFonts w:hint="eastAsia" w:ascii="楷体" w:hAnsi="楷体" w:eastAsia="楷体" w:cs="楷体"/>
          <w:b w:val="0"/>
          <w:bCs w:val="0"/>
          <w:color w:val="auto"/>
          <w:sz w:val="32"/>
          <w:szCs w:val="32"/>
          <w:highlight w:val="none"/>
          <w:shd w:val="clear" w:color="auto" w:fill="FFFFFF"/>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（三）财政绩效评价情况（如有）</w:t>
      </w:r>
    </w:p>
    <w:p w14:paraId="5D91413C">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firstLine="643"/>
        <w:jc w:val="both"/>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bidi="ar-SA"/>
        </w:rPr>
      </w:pPr>
      <w:r>
        <w:rPr>
          <w:rFonts w:hint="eastAsia" w:ascii="方正仿宋_GBK" w:hAnsi="方正仿宋_GBK" w:eastAsia="方正仿宋_GBK" w:cs="方正仿宋_GBK"/>
          <w:b w:val="0"/>
          <w:bCs w:val="0"/>
          <w:color w:val="auto"/>
          <w:sz w:val="32"/>
          <w:szCs w:val="32"/>
          <w:highlight w:val="none"/>
          <w:shd w:val="clear" w:color="auto" w:fill="FFFFFF"/>
          <w:lang w:val="en-US" w:eastAsia="zh-CN" w:bidi="ar-SA"/>
        </w:rPr>
        <w:t>重庆高新区财政局未委托第三方对我单位开展绩效评价。</w:t>
      </w:r>
    </w:p>
    <w:p w14:paraId="397111AA">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Style w:val="11"/>
          <w:rFonts w:ascii="方正仿宋_GBK" w:hAnsi="方正仿宋_GBK" w:eastAsia="方正仿宋_GBK" w:cs="方正仿宋_GBK"/>
          <w:b w:val="0"/>
          <w:bCs w:val="0"/>
          <w:color w:val="auto"/>
          <w:sz w:val="32"/>
          <w:szCs w:val="32"/>
          <w:highlight w:val="none"/>
          <w:shd w:val="clear" w:color="auto" w:fill="FFFFFF"/>
        </w:rPr>
      </w:pPr>
      <w:r>
        <w:rPr>
          <w:rStyle w:val="11"/>
          <w:rFonts w:hint="eastAsia" w:ascii="方正黑体_GBK" w:hAnsi="方正黑体_GBK" w:eastAsia="方正黑体_GBK" w:cs="方正黑体_GBK"/>
          <w:b w:val="0"/>
          <w:bCs w:val="0"/>
          <w:color w:val="auto"/>
          <w:sz w:val="32"/>
          <w:szCs w:val="32"/>
          <w:highlight w:val="none"/>
          <w:shd w:val="clear" w:color="auto" w:fill="FFFFFF"/>
        </w:rPr>
        <w:t>六、专业名词解释</w:t>
      </w:r>
    </w:p>
    <w:p w14:paraId="08AB8E3A">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（一）财政拨款收入：</w:t>
      </w:r>
      <w:r>
        <w:rPr>
          <w:rFonts w:ascii="方正仿宋_GBK" w:hAnsi="方正仿宋_GBK" w:eastAsia="方正仿宋_GBK" w:cs="方正仿宋_GBK"/>
          <w:b w:val="0"/>
          <w:bCs w:val="0"/>
          <w:color w:val="auto"/>
          <w:sz w:val="32"/>
          <w:szCs w:val="32"/>
          <w:highlight w:val="none"/>
          <w:shd w:val="clear" w:color="auto" w:fill="FFFFFF"/>
        </w:rPr>
        <w:t>指本年度从本级财政部门取得的财政拨款，包括一般公共预算财政拨款和政府性基金预算财政拨款。</w:t>
      </w:r>
    </w:p>
    <w:p w14:paraId="6E533EC2">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shd w:val="clear" w:color="auto" w:fill="FFFFFF"/>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（二）事业收入：</w:t>
      </w:r>
      <w:r>
        <w:rPr>
          <w:rFonts w:ascii="方正仿宋_GBK" w:hAnsi="方正仿宋_GBK" w:eastAsia="方正仿宋_GBK" w:cs="方正仿宋_GBK"/>
          <w:b w:val="0"/>
          <w:bCs w:val="0"/>
          <w:color w:val="auto"/>
          <w:sz w:val="32"/>
          <w:szCs w:val="32"/>
          <w:highlight w:val="none"/>
          <w:shd w:val="clear" w:color="auto" w:fill="FFFFFF"/>
        </w:rPr>
        <w:t>指事业单位开展专业业务活动及其辅助活动取得的现金流入；事业单位收到的财政专户实际核拨的教育收费等资金在此反映。</w:t>
      </w:r>
    </w:p>
    <w:p w14:paraId="30D8C5AE">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（三）经营收入：</w:t>
      </w:r>
      <w:r>
        <w:rPr>
          <w:rFonts w:ascii="方正仿宋_GBK" w:hAnsi="方正仿宋_GBK" w:eastAsia="方正仿宋_GBK" w:cs="方正仿宋_GBK"/>
          <w:b w:val="0"/>
          <w:bCs w:val="0"/>
          <w:color w:val="auto"/>
          <w:sz w:val="32"/>
          <w:szCs w:val="32"/>
          <w:highlight w:val="none"/>
          <w:shd w:val="clear" w:color="auto" w:fill="FFFFFF"/>
        </w:rPr>
        <w:t>指事业单位在专业业务活动及其辅助活动之外开展非独立核算经营活动取得的现金流入。</w:t>
      </w:r>
    </w:p>
    <w:p w14:paraId="1CE51CD5">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（四）其他收入：</w:t>
      </w:r>
      <w:r>
        <w:rPr>
          <w:rFonts w:ascii="方正仿宋_GBK" w:hAnsi="方正仿宋_GBK" w:eastAsia="方正仿宋_GBK" w:cs="方正仿宋_GBK"/>
          <w:b w:val="0"/>
          <w:bCs w:val="0"/>
          <w:color w:val="auto"/>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A0436F1">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（五）使用非财政拨款结余：</w:t>
      </w:r>
      <w:r>
        <w:rPr>
          <w:rFonts w:ascii="方正仿宋_GBK" w:hAnsi="方正仿宋_GBK" w:eastAsia="方正仿宋_GBK" w:cs="方正仿宋_GBK"/>
          <w:b w:val="0"/>
          <w:bCs w:val="0"/>
          <w:color w:val="auto"/>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14:paraId="55C593D9">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（六）年初结转和结余：</w:t>
      </w:r>
      <w:r>
        <w:rPr>
          <w:rFonts w:ascii="方正仿宋_GBK" w:hAnsi="方正仿宋_GBK" w:eastAsia="方正仿宋_GBK" w:cs="方正仿宋_GBK"/>
          <w:b w:val="0"/>
          <w:bCs w:val="0"/>
          <w:color w:val="auto"/>
          <w:sz w:val="32"/>
          <w:szCs w:val="32"/>
          <w:highlight w:val="none"/>
          <w:shd w:val="clear" w:color="auto" w:fill="FFFFFF"/>
        </w:rPr>
        <w:t>指单位上年结转本年使用的基本支出结转、项目支出结转和结余、经营结余。</w:t>
      </w:r>
    </w:p>
    <w:p w14:paraId="69B3CE5F">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（七）结余分配：</w:t>
      </w:r>
      <w:r>
        <w:rPr>
          <w:rFonts w:ascii="方正仿宋_GBK" w:hAnsi="方正仿宋_GBK" w:eastAsia="方正仿宋_GBK" w:cs="方正仿宋_GBK"/>
          <w:b w:val="0"/>
          <w:bCs w:val="0"/>
          <w:color w:val="auto"/>
          <w:sz w:val="32"/>
          <w:szCs w:val="32"/>
          <w:highlight w:val="none"/>
          <w:shd w:val="clear" w:color="auto" w:fill="FFFFFF"/>
        </w:rPr>
        <w:t>指单位按照国家有关规定，缴纳所得税、提取专用基金、转入非财政拨款结余等当年结余的分配情况。</w:t>
      </w:r>
    </w:p>
    <w:p w14:paraId="6D9D4F66">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（八）年末结转和结余：</w:t>
      </w:r>
      <w:r>
        <w:rPr>
          <w:rFonts w:ascii="方正仿宋_GBK" w:hAnsi="方正仿宋_GBK" w:eastAsia="方正仿宋_GBK" w:cs="方正仿宋_GBK"/>
          <w:b w:val="0"/>
          <w:bCs w:val="0"/>
          <w:color w:val="auto"/>
          <w:sz w:val="32"/>
          <w:szCs w:val="32"/>
          <w:highlight w:val="none"/>
          <w:shd w:val="clear" w:color="auto" w:fill="FFFFFF"/>
        </w:rPr>
        <w:t>指单位结转下年的基本支出结转、项目支出结转和结余、经营结余。</w:t>
      </w:r>
    </w:p>
    <w:p w14:paraId="09450942">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（九）基本支出：</w:t>
      </w:r>
      <w:r>
        <w:rPr>
          <w:rFonts w:ascii="方正仿宋_GBK" w:hAnsi="方正仿宋_GBK" w:eastAsia="方正仿宋_GBK" w:cs="方正仿宋_GBK"/>
          <w:b w:val="0"/>
          <w:bCs w:val="0"/>
          <w:color w:val="auto"/>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2C135F8">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（十）项目支出：</w:t>
      </w:r>
      <w:r>
        <w:rPr>
          <w:rFonts w:ascii="方正仿宋_GBK" w:hAnsi="方正仿宋_GBK" w:eastAsia="方正仿宋_GBK" w:cs="方正仿宋_GBK"/>
          <w:b w:val="0"/>
          <w:bCs w:val="0"/>
          <w:color w:val="auto"/>
          <w:sz w:val="32"/>
          <w:szCs w:val="32"/>
          <w:highlight w:val="none"/>
          <w:shd w:val="clear" w:color="auto" w:fill="FFFFFF"/>
        </w:rPr>
        <w:t>指在基本支出之外为完成特定行政任务和事业发展目标所发生的支出。</w:t>
      </w:r>
    </w:p>
    <w:p w14:paraId="7C2C37BB">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（十一）经营支出：</w:t>
      </w:r>
      <w:r>
        <w:rPr>
          <w:rFonts w:ascii="方正仿宋_GBK" w:hAnsi="方正仿宋_GBK" w:eastAsia="方正仿宋_GBK" w:cs="方正仿宋_GBK"/>
          <w:b w:val="0"/>
          <w:bCs w:val="0"/>
          <w:color w:val="auto"/>
          <w:sz w:val="32"/>
          <w:szCs w:val="32"/>
          <w:highlight w:val="none"/>
          <w:shd w:val="clear" w:color="auto" w:fill="FFFFFF"/>
        </w:rPr>
        <w:t>指事业单位在专业业务活动及其辅助活动之外开展非独立核算经营活动发生的支出。</w:t>
      </w:r>
    </w:p>
    <w:p w14:paraId="18569F56">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（十二）“三公”经费：</w:t>
      </w:r>
      <w:r>
        <w:rPr>
          <w:rFonts w:ascii="方正仿宋_GBK" w:hAnsi="方正仿宋_GBK" w:eastAsia="方正仿宋_GBK" w:cs="方正仿宋_GBK"/>
          <w:b w:val="0"/>
          <w:bCs w:val="0"/>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A5184E8">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（十三）机关运行经费：</w:t>
      </w:r>
      <w:r>
        <w:rPr>
          <w:rFonts w:ascii="方正仿宋_GBK" w:hAnsi="方正仿宋_GBK" w:eastAsia="方正仿宋_GBK" w:cs="方正仿宋_GBK"/>
          <w:b w:val="0"/>
          <w:bCs w:val="0"/>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8369D86">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（十四）工资福利支出（支出经济分类科目类级）：</w:t>
      </w:r>
      <w:r>
        <w:rPr>
          <w:rFonts w:ascii="方正仿宋_GBK" w:hAnsi="方正仿宋_GBK" w:eastAsia="方正仿宋_GBK" w:cs="方正仿宋_GBK"/>
          <w:b w:val="0"/>
          <w:bCs w:val="0"/>
          <w:color w:val="auto"/>
          <w:sz w:val="32"/>
          <w:szCs w:val="32"/>
          <w:highlight w:val="none"/>
          <w:shd w:val="clear" w:color="auto" w:fill="FFFFFF"/>
        </w:rPr>
        <w:t>反映单位开支的在职职工和编制外长期聘用人员的各类劳动报酬，以及为上述人员缴纳的各项社会保险费等。</w:t>
      </w:r>
    </w:p>
    <w:p w14:paraId="16521753">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（十五）商品和服务支出（支出经济分类科目类级）：</w:t>
      </w:r>
      <w:r>
        <w:rPr>
          <w:rFonts w:ascii="方正仿宋_GBK" w:hAnsi="方正仿宋_GBK" w:eastAsia="方正仿宋_GBK" w:cs="方正仿宋_GBK"/>
          <w:b w:val="0"/>
          <w:bCs w:val="0"/>
          <w:color w:val="auto"/>
          <w:sz w:val="32"/>
          <w:szCs w:val="32"/>
          <w:highlight w:val="none"/>
          <w:shd w:val="clear" w:color="auto" w:fill="FFFFFF"/>
        </w:rPr>
        <w:t>反映单位购买商品和服务的支出（不包括用于购置固定资产的支出、战略性和应急储备支出）。</w:t>
      </w:r>
    </w:p>
    <w:p w14:paraId="1CB45887">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（十六）对个人和家庭的补助（支出经济分类科目类级）：</w:t>
      </w:r>
      <w:r>
        <w:rPr>
          <w:rFonts w:ascii="方正仿宋_GBK" w:hAnsi="方正仿宋_GBK" w:eastAsia="方正仿宋_GBK" w:cs="方正仿宋_GBK"/>
          <w:b w:val="0"/>
          <w:bCs w:val="0"/>
          <w:color w:val="auto"/>
          <w:sz w:val="32"/>
          <w:szCs w:val="32"/>
          <w:highlight w:val="none"/>
          <w:shd w:val="clear" w:color="auto" w:fill="FFFFFF"/>
        </w:rPr>
        <w:t>反映用于对个人和家庭的补助支出。</w:t>
      </w:r>
    </w:p>
    <w:p w14:paraId="5CA596D5">
      <w:pPr>
        <w:pStyle w:val="7"/>
        <w:keepNext w:val="0"/>
        <w:keepLines w:val="0"/>
        <w:pageBreakBefore w:val="0"/>
        <w:widowControl w:val="0"/>
        <w:shd w:val="clea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rPr>
      </w:pPr>
      <w:r>
        <w:rPr>
          <w:rStyle w:val="11"/>
          <w:rFonts w:hint="eastAsia" w:ascii="方正楷体_GBK" w:hAnsi="方正楷体_GBK" w:eastAsia="方正楷体_GBK" w:cs="方正楷体_GBK"/>
          <w:b w:val="0"/>
          <w:bCs w:val="0"/>
          <w:color w:val="auto"/>
          <w:sz w:val="32"/>
          <w:szCs w:val="32"/>
          <w:highlight w:val="none"/>
          <w:shd w:val="clear" w:color="auto" w:fill="FFFFFF"/>
          <w:lang w:val="en-US" w:eastAsia="zh-CN" w:bidi="ar-SA"/>
        </w:rPr>
        <w:t>（十七）其他资本性支出（支出经济分类科目类级）：</w:t>
      </w:r>
      <w:r>
        <w:rPr>
          <w:rFonts w:ascii="方正仿宋_GBK" w:hAnsi="方正仿宋_GBK" w:eastAsia="方正仿宋_GBK" w:cs="方正仿宋_GBK"/>
          <w:b w:val="0"/>
          <w:bCs w:val="0"/>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3D9E6F7B">
      <w:pPr>
        <w:pStyle w:val="7"/>
        <w:keepNext w:val="0"/>
        <w:keepLines w:val="0"/>
        <w:pageBreakBefore w:val="0"/>
        <w:widowControl w:val="0"/>
        <w:shd w:val="clear" w:color="auto"/>
        <w:kinsoku/>
        <w:wordWrap/>
        <w:overflowPunct/>
        <w:topLinePunct w:val="0"/>
        <w:autoSpaceDN/>
        <w:bidi w:val="0"/>
        <w:adjustRightInd/>
        <w:spacing w:beforeAutospacing="0" w:after="0" w:afterAutospacing="0" w:line="600" w:lineRule="exact"/>
        <w:ind w:firstLine="640" w:firstLineChars="200"/>
        <w:jc w:val="both"/>
        <w:textAlignment w:val="auto"/>
        <w:rPr>
          <w:rStyle w:val="11"/>
          <w:rFonts w:hint="eastAsia" w:ascii="方正黑体_GBK" w:hAnsi="方正黑体_GBK" w:eastAsia="方正黑体_GBK" w:cs="方正黑体_GBK"/>
          <w:b w:val="0"/>
          <w:bCs w:val="0"/>
          <w:color w:val="auto"/>
          <w:sz w:val="32"/>
          <w:szCs w:val="32"/>
          <w:highlight w:val="none"/>
          <w:shd w:val="clear" w:color="auto" w:fill="FFFFFF"/>
        </w:rPr>
      </w:pPr>
      <w:r>
        <w:rPr>
          <w:rStyle w:val="11"/>
          <w:rFonts w:hint="eastAsia" w:ascii="方正黑体_GBK" w:hAnsi="方正黑体_GBK" w:eastAsia="方正黑体_GBK" w:cs="方正黑体_GBK"/>
          <w:b w:val="0"/>
          <w:bCs w:val="0"/>
          <w:color w:val="auto"/>
          <w:sz w:val="32"/>
          <w:szCs w:val="32"/>
          <w:highlight w:val="none"/>
          <w:shd w:val="clear" w:color="auto" w:fill="FFFFFF"/>
        </w:rPr>
        <w:t>七、决算公开联系方式及信息反馈渠道</w:t>
      </w:r>
    </w:p>
    <w:p w14:paraId="45E96D51">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firstLine="640" w:firstLineChars="200"/>
        <w:jc w:val="both"/>
        <w:textAlignment w:val="auto"/>
        <w:rPr>
          <w:rFonts w:ascii="方正仿宋_GBK" w:hAnsi="方正仿宋_GBK" w:eastAsia="方正仿宋_GBK" w:cs="方正仿宋_GBK"/>
          <w:b w:val="0"/>
          <w:bCs w:val="0"/>
          <w:color w:val="auto"/>
          <w:sz w:val="32"/>
          <w:szCs w:val="32"/>
          <w:highlight w:val="none"/>
          <w:shd w:val="clear" w:color="auto" w:fill="FFFFFF"/>
        </w:rPr>
      </w:pPr>
      <w:r>
        <w:rPr>
          <w:rFonts w:ascii="方正仿宋_GBK" w:hAnsi="方正仿宋_GBK" w:eastAsia="方正仿宋_GBK" w:cs="方正仿宋_GBK"/>
          <w:b w:val="0"/>
          <w:bCs w:val="0"/>
          <w:color w:val="auto"/>
          <w:sz w:val="32"/>
          <w:szCs w:val="32"/>
          <w:highlight w:val="none"/>
          <w:shd w:val="clear" w:color="auto" w:fill="FFFFFF"/>
        </w:rPr>
        <w:t>本单位决算公开信息反馈和联系方式：</w:t>
      </w:r>
    </w:p>
    <w:p w14:paraId="623E4C77">
      <w:pPr>
        <w:pStyle w:val="17"/>
        <w:keepNext w:val="0"/>
        <w:keepLines w:val="0"/>
        <w:pageBreakBefore w:val="0"/>
        <w:widowControl w:val="0"/>
        <w:shd w:val="clear"/>
        <w:tabs>
          <w:tab w:val="center" w:pos="4153"/>
          <w:tab w:val="left" w:pos="7275"/>
        </w:tabs>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ascii="方正仿宋_GBK" w:eastAsia="方正仿宋_GBK"/>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eastAsia="zh-CN"/>
        </w:rPr>
        <w:t>牟佳润</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rPr>
        <w:t>023-68521912</w:t>
      </w:r>
      <w:r>
        <w:rPr>
          <w:rFonts w:hint="eastAsia" w:ascii="方正仿宋_GBK" w:eastAsia="方正仿宋_GBK"/>
          <w:b w:val="0"/>
          <w:bCs w:val="0"/>
          <w:color w:val="auto"/>
          <w:sz w:val="32"/>
          <w:szCs w:val="32"/>
          <w:highlight w:val="none"/>
        </w:rPr>
        <w:t>。</w:t>
      </w:r>
    </w:p>
    <w:p w14:paraId="2296978D">
      <w:pPr>
        <w:pStyle w:val="12"/>
        <w:keepNext w:val="0"/>
        <w:keepLines w:val="0"/>
        <w:pageBreakBefore w:val="0"/>
        <w:widowControl w:val="0"/>
        <w:shd w:val="clear"/>
        <w:kinsoku/>
        <w:wordWrap/>
        <w:overflowPunct/>
        <w:topLinePunct w:val="0"/>
        <w:autoSpaceDE w:val="0"/>
        <w:autoSpaceDN/>
        <w:bidi w:val="0"/>
        <w:adjustRightInd/>
        <w:spacing w:beforeAutospacing="0" w:afterAutospacing="0" w:line="600" w:lineRule="exact"/>
        <w:ind w:firstLine="0" w:firstLineChars="0"/>
        <w:jc w:val="both"/>
        <w:textAlignment w:val="auto"/>
        <w:rPr>
          <w:rFonts w:hint="eastAsia" w:ascii="方正仿宋_GBK" w:hAnsi="方正仿宋_GBK" w:eastAsia="方正仿宋_GBK" w:cs="方正仿宋_GBK"/>
          <w:b w:val="0"/>
          <w:bCs w:val="0"/>
          <w:color w:val="auto"/>
          <w:sz w:val="32"/>
          <w:szCs w:val="32"/>
          <w:highlight w:val="none"/>
          <w:shd w:val="clear" w:color="auto" w:fill="FFFFFF"/>
        </w:rPr>
        <w:sectPr>
          <w:footerReference r:id="rId3" w:type="default"/>
          <w:pgSz w:w="11915" w:h="16840"/>
          <w:pgMar w:top="2098" w:right="1417" w:bottom="1984" w:left="1417" w:header="851" w:footer="992" w:gutter="0"/>
          <w:pgNumType w:fmt="numberInDash"/>
          <w:cols w:space="720" w:num="1"/>
          <w:docGrid w:type="lines" w:linePitch="312" w:charSpace="0"/>
        </w:sectPr>
      </w:pPr>
    </w:p>
    <w:p w14:paraId="4D757612">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14:paraId="2AB651F8">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1F55C3FA">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收入支出决算总表</w:t>
            </w:r>
          </w:p>
        </w:tc>
      </w:tr>
      <w:tr w14:paraId="311D9C1E">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21B7F1C5">
            <w:pPr>
              <w:keepNext w:val="0"/>
              <w:keepLines w:val="0"/>
              <w:pageBreakBefore w:val="0"/>
              <w:widowControl w:val="0"/>
              <w:shd w:val="clear"/>
              <w:kinsoku/>
              <w:wordWrap/>
              <w:overflowPunct/>
              <w:topLinePunct w:val="0"/>
              <w:autoSpaceDN/>
              <w:bidi w:val="0"/>
              <w:adjustRightInd/>
              <w:spacing w:afterAutospacing="0" w:line="600" w:lineRule="exact"/>
              <w:jc w:val="both"/>
              <w:rPr>
                <w:rFonts w:hint="default" w:ascii="Arial" w:hAnsi="Arial" w:cs="Arial"/>
                <w:b w:val="0"/>
                <w:bCs w:val="0"/>
                <w:color w:val="auto"/>
                <w:sz w:val="32"/>
                <w:szCs w:val="32"/>
                <w:highlight w:val="none"/>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5A8A633B">
            <w:pPr>
              <w:keepNext w:val="0"/>
              <w:keepLines w:val="0"/>
              <w:pageBreakBefore w:val="0"/>
              <w:widowControl w:val="0"/>
              <w:shd w:val="clear"/>
              <w:kinsoku/>
              <w:wordWrap/>
              <w:overflowPunct/>
              <w:topLinePunct w:val="0"/>
              <w:autoSpaceDN/>
              <w:bidi w:val="0"/>
              <w:adjustRightInd/>
              <w:spacing w:afterAutospacing="0" w:line="600" w:lineRule="exact"/>
              <w:jc w:val="both"/>
              <w:rPr>
                <w:rFonts w:hint="default" w:ascii="Arial" w:hAnsi="Arial" w:cs="Arial"/>
                <w:b w:val="0"/>
                <w:bCs w:val="0"/>
                <w:color w:val="auto"/>
                <w:sz w:val="32"/>
                <w:szCs w:val="32"/>
                <w:highlight w:val="none"/>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21E725C8">
            <w:pPr>
              <w:keepNext w:val="0"/>
              <w:keepLines w:val="0"/>
              <w:pageBreakBefore w:val="0"/>
              <w:widowControl w:val="0"/>
              <w:shd w:val="clear"/>
              <w:kinsoku/>
              <w:wordWrap/>
              <w:overflowPunct/>
              <w:topLinePunct w:val="0"/>
              <w:autoSpaceDN/>
              <w:bidi w:val="0"/>
              <w:adjustRightInd/>
              <w:spacing w:afterAutospacing="0" w:line="600" w:lineRule="exact"/>
              <w:jc w:val="both"/>
              <w:rPr>
                <w:rFonts w:hint="default" w:ascii="Arial" w:hAnsi="Arial" w:cs="Arial"/>
                <w:b w:val="0"/>
                <w:bCs w:val="0"/>
                <w:color w:val="auto"/>
                <w:sz w:val="32"/>
                <w:szCs w:val="32"/>
                <w:highlight w:val="none"/>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26FC4ACC">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公开01表</w:t>
            </w:r>
          </w:p>
        </w:tc>
      </w:tr>
      <w:tr w14:paraId="2E0BC80D">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7D71CD64">
            <w:pPr>
              <w:keepNext w:val="0"/>
              <w:keepLines w:val="0"/>
              <w:pageBreakBefore w:val="0"/>
              <w:widowControl w:val="0"/>
              <w:shd w:val="clear"/>
              <w:kinsoku/>
              <w:wordWrap/>
              <w:overflowPunct/>
              <w:topLinePunct w:val="0"/>
              <w:autoSpaceDN/>
              <w:bidi w:val="0"/>
              <w:adjustRightInd/>
              <w:spacing w:afterAutospacing="0" w:line="600" w:lineRule="exact"/>
              <w:jc w:val="both"/>
              <w:rPr>
                <w:rFonts w:hint="default" w:ascii="Arial" w:hAnsi="Arial" w:cs="Arial"/>
                <w:b w:val="0"/>
                <w:bCs w:val="0"/>
                <w:color w:val="auto"/>
                <w:sz w:val="32"/>
                <w:szCs w:val="32"/>
                <w:highlight w:val="none"/>
              </w:rPr>
            </w:pPr>
            <w:r>
              <w:rPr>
                <w:rFonts w:cs="宋体"/>
                <w:b w:val="0"/>
                <w:bCs w:val="0"/>
                <w:color w:val="auto"/>
                <w:sz w:val="32"/>
                <w:szCs w:val="32"/>
                <w:highlight w:val="none"/>
              </w:rPr>
              <w:t>公开单位：</w:t>
            </w:r>
            <w:r>
              <w:rPr>
                <w:b w:val="0"/>
                <w:bCs w:val="0"/>
                <w:color w:val="auto"/>
                <w:sz w:val="32"/>
                <w:szCs w:val="32"/>
                <w:highlight w:val="none"/>
                <w:u w:color="auto"/>
              </w:rPr>
              <w:t>重庆市九龙坡区石板镇卫生院</w:t>
            </w:r>
          </w:p>
        </w:tc>
        <w:tc>
          <w:tcPr>
            <w:tcW w:w="4809" w:type="dxa"/>
            <w:tcBorders>
              <w:top w:val="nil"/>
              <w:left w:val="nil"/>
              <w:bottom w:val="nil"/>
              <w:right w:val="nil"/>
            </w:tcBorders>
            <w:shd w:val="clear" w:color="auto" w:fill="auto"/>
            <w:noWrap/>
            <w:tcMar>
              <w:top w:w="15" w:type="dxa"/>
              <w:left w:w="15" w:type="dxa"/>
              <w:right w:w="15" w:type="dxa"/>
            </w:tcMar>
            <w:vAlign w:val="bottom"/>
          </w:tcPr>
          <w:p w14:paraId="04D02FE8">
            <w:pPr>
              <w:keepNext w:val="0"/>
              <w:keepLines w:val="0"/>
              <w:pageBreakBefore w:val="0"/>
              <w:widowControl w:val="0"/>
              <w:shd w:val="clear"/>
              <w:kinsoku/>
              <w:wordWrap/>
              <w:overflowPunct/>
              <w:topLinePunct w:val="0"/>
              <w:autoSpaceDN/>
              <w:bidi w:val="0"/>
              <w:adjustRightInd/>
              <w:spacing w:afterAutospacing="0" w:line="600" w:lineRule="exact"/>
              <w:jc w:val="both"/>
              <w:rPr>
                <w:rFonts w:hint="default" w:ascii="Arial" w:hAnsi="Arial" w:cs="Arial"/>
                <w:b w:val="0"/>
                <w:bCs w:val="0"/>
                <w:color w:val="auto"/>
                <w:sz w:val="32"/>
                <w:szCs w:val="32"/>
                <w:highlight w:val="none"/>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11B09451">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单位：万元</w:t>
            </w:r>
          </w:p>
        </w:tc>
      </w:tr>
      <w:tr w14:paraId="359D22F2">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E3E7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090A8D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支出</w:t>
            </w:r>
          </w:p>
        </w:tc>
      </w:tr>
      <w:tr w14:paraId="6BCC598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A71D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0FBD2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05508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03E76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决算数</w:t>
            </w:r>
          </w:p>
        </w:tc>
      </w:tr>
      <w:tr w14:paraId="5A42A8F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8808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3E2E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971.05</w:t>
            </w:r>
            <w:r>
              <w:rPr>
                <w:b w:val="0"/>
                <w:bCs w:val="0"/>
                <w:color w:val="auto"/>
                <w:sz w:val="32"/>
                <w:szCs w:val="32"/>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504D3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34D4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93144C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9242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0F25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E1EDC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E6C5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5DAB504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BB1A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B59C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025F3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81C4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554E1E1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098F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6A9B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B8818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533F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5636398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03AC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61C3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256.55</w:t>
            </w:r>
            <w:r>
              <w:rPr>
                <w:b w:val="0"/>
                <w:bCs w:val="0"/>
                <w:color w:val="auto"/>
                <w:sz w:val="32"/>
                <w:szCs w:val="32"/>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E1F21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0FC2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502178F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927C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262E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63E4F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80A1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5AB4F22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9DB9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5037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9BB2C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169D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4F3E42F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E6CF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556A35C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9028E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3393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74.86</w:t>
            </w:r>
            <w:r>
              <w:rPr>
                <w:b w:val="0"/>
                <w:bCs w:val="0"/>
                <w:color w:val="auto"/>
                <w:sz w:val="32"/>
                <w:szCs w:val="32"/>
                <w:highlight w:val="none"/>
                <w:u w:color="auto"/>
              </w:rPr>
              <w:t xml:space="preserve"> </w:t>
            </w:r>
          </w:p>
        </w:tc>
      </w:tr>
      <w:tr w14:paraId="56D3803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4949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6D23C8">
            <w:pPr>
              <w:keepNext w:val="0"/>
              <w:keepLines w:val="0"/>
              <w:pageBreakBefore w:val="0"/>
              <w:widowControl w:val="0"/>
              <w:shd w:val="clear"/>
              <w:kinsoku/>
              <w:wordWrap/>
              <w:overflowPunct/>
              <w:topLinePunct w:val="0"/>
              <w:autoSpaceDN/>
              <w:bidi w:val="0"/>
              <w:adjustRightInd/>
              <w:spacing w:afterAutospacing="0" w:line="600" w:lineRule="exact"/>
              <w:jc w:val="both"/>
              <w:rPr>
                <w:rFonts w:hint="default" w:ascii="Arial" w:hAnsi="Arial" w:cs="Arial"/>
                <w:b w:val="0"/>
                <w:bCs w:val="0"/>
                <w:color w:val="auto"/>
                <w:sz w:val="32"/>
                <w:szCs w:val="32"/>
                <w:highlight w:val="none"/>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59478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C88F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1,124.60</w:t>
            </w:r>
            <w:r>
              <w:rPr>
                <w:b w:val="0"/>
                <w:bCs w:val="0"/>
                <w:color w:val="auto"/>
                <w:sz w:val="32"/>
                <w:szCs w:val="32"/>
                <w:highlight w:val="none"/>
                <w:u w:color="auto"/>
              </w:rPr>
              <w:t xml:space="preserve"> </w:t>
            </w:r>
          </w:p>
        </w:tc>
      </w:tr>
      <w:tr w14:paraId="1426844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642D2">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6A0B22">
            <w:pPr>
              <w:keepNext w:val="0"/>
              <w:keepLines w:val="0"/>
              <w:pageBreakBefore w:val="0"/>
              <w:widowControl w:val="0"/>
              <w:shd w:val="clear"/>
              <w:kinsoku/>
              <w:wordWrap/>
              <w:overflowPunct/>
              <w:topLinePunct w:val="0"/>
              <w:autoSpaceDN/>
              <w:bidi w:val="0"/>
              <w:adjustRightInd/>
              <w:spacing w:afterAutospacing="0" w:line="600" w:lineRule="exact"/>
              <w:jc w:val="both"/>
              <w:rPr>
                <w:rFonts w:hint="default" w:ascii="Arial" w:hAnsi="Arial" w:cs="Arial"/>
                <w:b w:val="0"/>
                <w:bCs w:val="0"/>
                <w:color w:val="auto"/>
                <w:sz w:val="32"/>
                <w:szCs w:val="32"/>
                <w:highlight w:val="none"/>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0C058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C6C4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62B6EE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2225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F84723">
            <w:pPr>
              <w:keepNext w:val="0"/>
              <w:keepLines w:val="0"/>
              <w:pageBreakBefore w:val="0"/>
              <w:widowControl w:val="0"/>
              <w:shd w:val="clear"/>
              <w:kinsoku/>
              <w:wordWrap/>
              <w:overflowPunct/>
              <w:topLinePunct w:val="0"/>
              <w:autoSpaceDN/>
              <w:bidi w:val="0"/>
              <w:adjustRightInd/>
              <w:spacing w:afterAutospacing="0" w:line="600" w:lineRule="exact"/>
              <w:jc w:val="both"/>
              <w:rPr>
                <w:rFonts w:hint="default" w:ascii="Arial" w:hAnsi="Arial" w:cs="Arial"/>
                <w:b w:val="0"/>
                <w:bCs w:val="0"/>
                <w:color w:val="auto"/>
                <w:sz w:val="32"/>
                <w:szCs w:val="32"/>
                <w:highlight w:val="none"/>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8F7C5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4E8B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BDDE02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06D6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222C0C">
            <w:pPr>
              <w:keepNext w:val="0"/>
              <w:keepLines w:val="0"/>
              <w:pageBreakBefore w:val="0"/>
              <w:widowControl w:val="0"/>
              <w:shd w:val="clear"/>
              <w:kinsoku/>
              <w:wordWrap/>
              <w:overflowPunct/>
              <w:topLinePunct w:val="0"/>
              <w:autoSpaceDN/>
              <w:bidi w:val="0"/>
              <w:adjustRightInd/>
              <w:spacing w:afterAutospacing="0" w:line="600" w:lineRule="exact"/>
              <w:jc w:val="both"/>
              <w:rPr>
                <w:rFonts w:hint="default" w:ascii="Arial" w:hAnsi="Arial" w:cs="Arial"/>
                <w:b w:val="0"/>
                <w:bCs w:val="0"/>
                <w:color w:val="auto"/>
                <w:sz w:val="32"/>
                <w:szCs w:val="32"/>
                <w:highlight w:val="none"/>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D1F96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4E81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B89614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E0560">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E67A">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CBC05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89A5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7BF74A0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1309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A1BA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4C1A6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3A35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144A5D7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FCA78">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4489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4E854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A9C2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3F5CC15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059A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CE84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C629E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E380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7BCAAA4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7320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18125">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262A6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0171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2BE00C5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B3B6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069B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5D6A2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4116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719FE5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BFA1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9C9DA">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32C17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18A1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r>
      <w:tr w14:paraId="4CCAA0B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92E9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3A24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942C0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BFC9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5C2AF2C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DB44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7F0C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D6918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0461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5F128AA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7C3C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9233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F6C5F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FCEF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BBBF71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0790A">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20D6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9AB09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E024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70AE2D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EAE08">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4FFE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8B399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0E66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39FF948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433E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4DE7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1329A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A46E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8425A0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E367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697D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E4CA9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4FA1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6D7BC72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52D2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BECE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1,227.61</w:t>
            </w:r>
            <w:r>
              <w:rPr>
                <w:b w:val="0"/>
                <w:bCs w:val="0"/>
                <w:color w:val="auto"/>
                <w:sz w:val="32"/>
                <w:szCs w:val="32"/>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72F28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62C8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1,227.61</w:t>
            </w:r>
            <w:r>
              <w:rPr>
                <w:b w:val="0"/>
                <w:bCs w:val="0"/>
                <w:color w:val="auto"/>
                <w:sz w:val="32"/>
                <w:szCs w:val="32"/>
                <w:highlight w:val="none"/>
                <w:u w:color="auto"/>
              </w:rPr>
              <w:t xml:space="preserve"> </w:t>
            </w:r>
          </w:p>
        </w:tc>
      </w:tr>
      <w:tr w14:paraId="6FD1723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65D6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A173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A2EF6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D4E8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814453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8024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90D1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14BA6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4839DC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3C25F4F5">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63E0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4FB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1,227.61</w:t>
            </w:r>
            <w:r>
              <w:rPr>
                <w:b w:val="0"/>
                <w:bCs w:val="0"/>
                <w:color w:val="auto"/>
                <w:sz w:val="32"/>
                <w:szCs w:val="32"/>
                <w:highlight w:val="none"/>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BA7820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DE61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1,227.61</w:t>
            </w:r>
            <w:r>
              <w:rPr>
                <w:b w:val="0"/>
                <w:bCs w:val="0"/>
                <w:color w:val="auto"/>
                <w:sz w:val="32"/>
                <w:szCs w:val="32"/>
                <w:highlight w:val="none"/>
                <w:u w:color="auto"/>
              </w:rPr>
              <w:t xml:space="preserve"> </w:t>
            </w:r>
          </w:p>
        </w:tc>
      </w:tr>
    </w:tbl>
    <w:p w14:paraId="592F08CA">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r>
        <w:rPr>
          <w:rFonts w:cs="宋体"/>
          <w:b w:val="0"/>
          <w:bCs w:val="0"/>
          <w:color w:val="auto"/>
          <w:sz w:val="32"/>
          <w:szCs w:val="32"/>
          <w:highlight w:val="none"/>
        </w:rPr>
        <w:t>备注：1.本表反映单位本年度的总收支和年末结转结余情况。</w:t>
      </w:r>
      <w:r>
        <w:rPr>
          <w:rFonts w:cs="宋体"/>
          <w:b w:val="0"/>
          <w:bCs w:val="0"/>
          <w:color w:val="auto"/>
          <w:sz w:val="32"/>
          <w:szCs w:val="32"/>
          <w:highlight w:val="none"/>
        </w:rPr>
        <w:br w:type="textWrapping"/>
      </w:r>
      <w:r>
        <w:rPr>
          <w:rFonts w:cs="宋体"/>
          <w:b w:val="0"/>
          <w:bCs w:val="0"/>
          <w:color w:val="auto"/>
          <w:sz w:val="32"/>
          <w:szCs w:val="32"/>
          <w:highlight w:val="none"/>
        </w:rPr>
        <w:t xml:space="preserve">      2.本套报表金额单位转换时可能存在尾数误差。</w:t>
      </w:r>
      <w:r>
        <w:rPr>
          <w:rFonts w:cs="宋体"/>
          <w:b w:val="0"/>
          <w:bCs w:val="0"/>
          <w:color w:val="auto"/>
          <w:sz w:val="32"/>
          <w:szCs w:val="32"/>
          <w:highlight w:val="none"/>
        </w:rPr>
        <w:br w:type="textWrapping"/>
      </w:r>
      <w:r>
        <w:rPr>
          <w:rFonts w:cs="宋体"/>
          <w:b w:val="0"/>
          <w:bCs w:val="0"/>
          <w:color w:val="auto"/>
          <w:sz w:val="32"/>
          <w:szCs w:val="32"/>
          <w:highlight w:val="none"/>
        </w:rPr>
        <w:br w:type="textWrapping"/>
      </w: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EB16458">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18AF05E5">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收入决算表</w:t>
            </w:r>
          </w:p>
        </w:tc>
      </w:tr>
      <w:tr w14:paraId="5C77CD7D">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4148054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r>
              <w:rPr>
                <w:rFonts w:cs="宋体"/>
                <w:b w:val="0"/>
                <w:bCs w:val="0"/>
                <w:color w:val="auto"/>
                <w:sz w:val="32"/>
                <w:szCs w:val="32"/>
                <w:highlight w:val="none"/>
              </w:rPr>
              <w:t>公开单位：</w:t>
            </w:r>
            <w:r>
              <w:rPr>
                <w:b w:val="0"/>
                <w:bCs w:val="0"/>
                <w:color w:val="auto"/>
                <w:sz w:val="32"/>
                <w:szCs w:val="32"/>
                <w:highlight w:val="none"/>
                <w:u w:color="auto"/>
              </w:rPr>
              <w:t>重庆市九龙坡区石板镇卫生院</w:t>
            </w:r>
          </w:p>
        </w:tc>
        <w:tc>
          <w:tcPr>
            <w:tcW w:w="1233" w:type="dxa"/>
            <w:tcBorders>
              <w:top w:val="nil"/>
              <w:left w:val="nil"/>
              <w:bottom w:val="nil"/>
              <w:right w:val="nil"/>
            </w:tcBorders>
            <w:shd w:val="clear" w:color="auto" w:fill="auto"/>
            <w:noWrap/>
            <w:tcMar>
              <w:top w:w="15" w:type="dxa"/>
              <w:left w:w="15" w:type="dxa"/>
              <w:right w:w="15" w:type="dxa"/>
            </w:tcMar>
            <w:vAlign w:val="bottom"/>
          </w:tcPr>
          <w:p w14:paraId="0EB6C8A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792FC8B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19C1E01C">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1AB3B5B8">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0EC255F0">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39FE99B8">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16ED0348">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公开02表</w:t>
            </w:r>
          </w:p>
        </w:tc>
      </w:tr>
      <w:tr w14:paraId="239CC784">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2504D055">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9BB470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BE6D6C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7EA57B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56D3F0B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4CE666D5">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673F9620">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32A646D6">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单位：万元</w:t>
            </w:r>
          </w:p>
        </w:tc>
      </w:tr>
      <w:tr w14:paraId="19E043D4">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28FF488">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A5E3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9AD0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C7E5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65F49C">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8182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3DC1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20D6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其他收入</w:t>
            </w:r>
          </w:p>
        </w:tc>
      </w:tr>
      <w:tr w14:paraId="3A1FB951">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9777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4CBF0C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5002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3CAB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7EDD2">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477F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F9A7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8BC72">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5C38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D50F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75ED5B39">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230B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4C8BC3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57C14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196E2">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E799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C00125">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A13F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39030">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E6D262">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5577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25C42940">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14F9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C58DD7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93B3C">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0DE2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B396A">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665D0">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0E66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0FFB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468A8">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9B1D8">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3D28D275">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6B7F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0D4EB00">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F467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FE8E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251F5">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52878">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3D37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C59D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3591A">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011F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297F339A">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3B26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42DC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1,227.61</w:t>
            </w:r>
            <w:r>
              <w:rPr>
                <w:b w:val="0"/>
                <w:bCs w:val="0"/>
                <w:color w:val="auto"/>
                <w:sz w:val="32"/>
                <w:szCs w:val="32"/>
                <w:highlight w:val="none"/>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0E27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971.05</w:t>
            </w:r>
            <w:r>
              <w:rPr>
                <w:b w:val="0"/>
                <w:bCs w:val="0"/>
                <w:color w:val="auto"/>
                <w:sz w:val="32"/>
                <w:szCs w:val="32"/>
                <w:highlight w:val="none"/>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669C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D8D5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256.55</w:t>
            </w:r>
            <w:r>
              <w:rPr>
                <w:b w:val="0"/>
                <w:bCs w:val="0"/>
                <w:color w:val="auto"/>
                <w:sz w:val="32"/>
                <w:szCs w:val="32"/>
                <w:highlight w:val="none"/>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0CEF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04BF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12E0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2729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6F44776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C60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E595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372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74.86</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4FE9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74.86</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6E4D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C2A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CFCC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123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911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A34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7949616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932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7F1D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07D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68.78</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CB9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68.78</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A42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8DF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735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8B16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D0A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91A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57458B7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3F4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345D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A1D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36.77</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75B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36.77</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37A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9557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324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36DB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809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1A63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42CAF98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09FD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4CA2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99C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18.39</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7FB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18.39</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2A2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BD9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BDD0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A72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A904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21F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7D5A546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DFC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7521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7E4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13.62</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D41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13.62</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18C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20A5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C21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2BC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7B5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DE0B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400464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F859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5C92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5EC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6.08</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64A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6.08</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FF98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DD1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83B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8830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32D1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700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B67637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AA2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0CE5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85B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6.08</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D22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6.08</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B6D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366F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8EF0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55B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1CA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827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3B2FE49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B52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6570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1C96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1,124.60</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7EED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868.05</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B051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0FE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256.55</w:t>
            </w:r>
            <w:r>
              <w:rPr>
                <w:b w:val="0"/>
                <w:bCs w:val="0"/>
                <w:color w:val="auto"/>
                <w:sz w:val="32"/>
                <w:szCs w:val="32"/>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E5D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941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ACA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656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4ACFF90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8FDC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E426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基层医疗卫生机构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F50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956.14</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3B06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699.59</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7AF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42F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256.55</w:t>
            </w:r>
            <w:r>
              <w:rPr>
                <w:b w:val="0"/>
                <w:bCs w:val="0"/>
                <w:color w:val="auto"/>
                <w:sz w:val="32"/>
                <w:szCs w:val="32"/>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648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74F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453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1D5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BF7FD4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049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2100302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2E71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乡镇卫生院</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B12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935.76</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16D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679.21</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37A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D58E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256.55</w:t>
            </w:r>
            <w:r>
              <w:rPr>
                <w:b w:val="0"/>
                <w:bCs w:val="0"/>
                <w:color w:val="auto"/>
                <w:sz w:val="32"/>
                <w:szCs w:val="32"/>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D6CB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1BF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DB1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EBA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5D45320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05CD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D962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其他基层医疗卫生机构支出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678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20.38</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E1E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20.38</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83A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531C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3DC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411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78A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939E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6C59E19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8C6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308F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6DB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141.27</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69E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141.27</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20A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411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025D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933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7E1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32C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BC5508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0C5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2100408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0CB1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基本公共卫生服务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1C4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141.27</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5D0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141.27</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35F3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89B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F4B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5FB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AC3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2BBE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5B72DA5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DF7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AE0F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667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27.19</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A557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27.19</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5F0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CA0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1CB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363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A6B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991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5338627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F39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0F92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40C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23.76</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F1B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23.76</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1C8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111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85E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5F2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DE9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9D4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84E14D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1B1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5571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ABC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3.43</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85E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3.43</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8272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5E7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6CF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F30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B5D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526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889AA9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A973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5C50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C46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44D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14B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B23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5C3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7C3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D501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6C2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25514DE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A9D3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9F28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99CC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5973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C86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98A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52C1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B33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AA5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56E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118CD56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03D4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9217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2BD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20C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D7F8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C0D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857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8436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80E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59B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bl>
    <w:p w14:paraId="60CC0EF8">
      <w:pPr>
        <w:keepNext w:val="0"/>
        <w:keepLines w:val="0"/>
        <w:pageBreakBefore w:val="0"/>
        <w:widowControl w:val="0"/>
        <w:shd w:val="clear"/>
        <w:kinsoku/>
        <w:wordWrap/>
        <w:overflowPunct/>
        <w:topLinePunct w:val="0"/>
        <w:autoSpaceDN/>
        <w:bidi w:val="0"/>
        <w:adjustRightInd/>
        <w:spacing w:afterAutospacing="0" w:line="600" w:lineRule="exact"/>
        <w:ind w:left="600" w:hanging="960" w:hangingChars="300"/>
        <w:jc w:val="both"/>
        <w:rPr>
          <w:rFonts w:cs="宋体"/>
          <w:b w:val="0"/>
          <w:bCs w:val="0"/>
          <w:color w:val="auto"/>
          <w:sz w:val="32"/>
          <w:szCs w:val="32"/>
          <w:highlight w:val="none"/>
        </w:rPr>
      </w:pPr>
      <w:r>
        <w:rPr>
          <w:rFonts w:cs="宋体"/>
          <w:b w:val="0"/>
          <w:bCs w:val="0"/>
          <w:color w:val="auto"/>
          <w:sz w:val="32"/>
          <w:szCs w:val="32"/>
          <w:highlight w:val="none"/>
        </w:rPr>
        <w:t>备注：1.本表反映单位本年度取得的各项收入情况。</w:t>
      </w:r>
      <w:r>
        <w:rPr>
          <w:rFonts w:cs="宋体"/>
          <w:b w:val="0"/>
          <w:bCs w:val="0"/>
          <w:color w:val="auto"/>
          <w:sz w:val="32"/>
          <w:szCs w:val="32"/>
          <w:highlight w:val="none"/>
        </w:rPr>
        <w:br w:type="textWrapping"/>
      </w:r>
      <w:r>
        <w:rPr>
          <w:rFonts w:cs="宋体"/>
          <w:b w:val="0"/>
          <w:bCs w:val="0"/>
          <w:color w:val="auto"/>
          <w:sz w:val="32"/>
          <w:szCs w:val="32"/>
          <w:highlight w:val="none"/>
        </w:rPr>
        <w:t>2.本套报表金额单位转换时可能存在尾数误差。</w:t>
      </w:r>
      <w:r>
        <w:rPr>
          <w:rFonts w:cs="宋体"/>
          <w:b w:val="0"/>
          <w:bCs w:val="0"/>
          <w:color w:val="auto"/>
          <w:sz w:val="32"/>
          <w:szCs w:val="32"/>
          <w:highlight w:val="none"/>
        </w:rPr>
        <w:br w:type="textWrapping"/>
      </w:r>
      <w:r>
        <w:rPr>
          <w:rFonts w:cs="宋体"/>
          <w:b w:val="0"/>
          <w:bCs w:val="0"/>
          <w:color w:val="auto"/>
          <w:sz w:val="32"/>
          <w:szCs w:val="32"/>
          <w:highlight w:val="none"/>
        </w:rPr>
        <w:br w:type="textWrapping"/>
      </w:r>
    </w:p>
    <w:p w14:paraId="0E7D7AD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r>
        <w:rPr>
          <w:rFonts w:cs="宋体"/>
          <w:b w:val="0"/>
          <w:bCs w:val="0"/>
          <w:color w:val="auto"/>
          <w:sz w:val="32"/>
          <w:szCs w:val="32"/>
          <w:highlight w:val="none"/>
        </w:rPr>
        <w:br w:type="page"/>
      </w:r>
    </w:p>
    <w:tbl>
      <w:tblPr>
        <w:tblStyle w:val="8"/>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14:paraId="32A25F3C">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168D7781">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支出决算表</w:t>
            </w:r>
          </w:p>
        </w:tc>
      </w:tr>
      <w:tr w14:paraId="61EF7754">
        <w:tblPrEx>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14:paraId="146C8D8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r>
              <w:rPr>
                <w:rFonts w:cs="宋体"/>
                <w:b w:val="0"/>
                <w:bCs w:val="0"/>
                <w:color w:val="auto"/>
                <w:sz w:val="32"/>
                <w:szCs w:val="32"/>
                <w:highlight w:val="none"/>
              </w:rPr>
              <w:t xml:space="preserve">公开单位： </w:t>
            </w:r>
            <w:r>
              <w:rPr>
                <w:b w:val="0"/>
                <w:bCs w:val="0"/>
                <w:color w:val="auto"/>
                <w:sz w:val="32"/>
                <w:szCs w:val="32"/>
                <w:highlight w:val="none"/>
                <w:u w:color="auto"/>
              </w:rPr>
              <w:t xml:space="preserve">重庆市九龙坡区石板镇卫生院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4670305A">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249E32C">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7DCF75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6A39DCF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48" w:type="dxa"/>
            <w:tcBorders>
              <w:top w:val="nil"/>
              <w:left w:val="nil"/>
              <w:bottom w:val="nil"/>
              <w:right w:val="nil"/>
            </w:tcBorders>
            <w:shd w:val="clear" w:color="auto" w:fill="auto"/>
            <w:noWrap/>
            <w:tcMar>
              <w:top w:w="15" w:type="dxa"/>
              <w:left w:w="15" w:type="dxa"/>
              <w:right w:w="15" w:type="dxa"/>
            </w:tcMar>
            <w:vAlign w:val="bottom"/>
          </w:tcPr>
          <w:p w14:paraId="07F939FA">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公开03表</w:t>
            </w:r>
          </w:p>
        </w:tc>
      </w:tr>
      <w:tr w14:paraId="091C97A9">
        <w:tblPrEx>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14:paraId="57B4EB6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18CCD7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1CABFC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54D90FA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1DC59180">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48" w:type="dxa"/>
            <w:tcBorders>
              <w:top w:val="nil"/>
              <w:left w:val="nil"/>
              <w:bottom w:val="nil"/>
              <w:right w:val="nil"/>
            </w:tcBorders>
            <w:shd w:val="clear" w:color="auto" w:fill="auto"/>
            <w:noWrap/>
            <w:tcMar>
              <w:top w:w="15" w:type="dxa"/>
              <w:left w:w="15" w:type="dxa"/>
              <w:right w:w="15" w:type="dxa"/>
            </w:tcMar>
            <w:vAlign w:val="bottom"/>
          </w:tcPr>
          <w:p w14:paraId="06FA95F1">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单位：万元</w:t>
            </w:r>
          </w:p>
        </w:tc>
      </w:tr>
      <w:tr w14:paraId="1F4831C9">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E90DC04">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CA91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7115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8E7B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6B16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87F3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2CE2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对附属单位补助支出</w:t>
            </w:r>
          </w:p>
        </w:tc>
      </w:tr>
      <w:tr w14:paraId="16314BDC">
        <w:tblPrEx>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F171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7BB63D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5DDE0">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BE28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3024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78C42">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E48A5">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9E9F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64A4D104">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2E5A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C23B4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1910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659D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34532">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D859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D704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C307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4F6A954F">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AE2C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8A338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DE65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7134A">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A00E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95A7A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6E17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B0B3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4A723590">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D0D2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527B25A">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3918C">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530A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25B5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2DB3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E31FA">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6E88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1DEB2EA1">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3FF7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2CDB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1,227.61</w:t>
            </w:r>
            <w:r>
              <w:rPr>
                <w:b w:val="0"/>
                <w:bCs w:val="0"/>
                <w:color w:val="auto"/>
                <w:sz w:val="32"/>
                <w:szCs w:val="32"/>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1A2A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1,061.13</w:t>
            </w:r>
            <w:r>
              <w:rPr>
                <w:b w:val="0"/>
                <w:bCs w:val="0"/>
                <w:color w:val="auto"/>
                <w:sz w:val="32"/>
                <w:szCs w:val="32"/>
                <w:highlight w:val="none"/>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6A9A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166.48</w:t>
            </w:r>
            <w:r>
              <w:rPr>
                <w:b w:val="0"/>
                <w:bCs w:val="0"/>
                <w:color w:val="auto"/>
                <w:sz w:val="32"/>
                <w:szCs w:val="32"/>
                <w:highlight w:val="none"/>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B01B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12D9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9808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430D0E2B">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4BC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0447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7DB7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74.86</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7558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74.86</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455E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46E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9F9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0DB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2B2EEB8C">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238C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857F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08B0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68.78</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038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68.78</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4FB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46C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3F76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F82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5207CDDD">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E07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D77A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B0E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36.77</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FCE3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36.77</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E77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EAA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5C46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212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6BC4E4A0">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A6D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1DA8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A7A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18.39</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3E3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18.39</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F63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132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824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F65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71833369">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18C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611F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3191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13.62</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AD4F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13.62</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87D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810A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F38C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6641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61A456F5">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FA4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1B7F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577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6.08</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593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6.08</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0AB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C6D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AFDE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46A0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2B6B9C8A">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B3B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2C00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D3D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6.08</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BDE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6.08</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3C8D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634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9476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CBA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C7546F7">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111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CCD2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579D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1,124.60</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99B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958.12</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D3B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166.48</w:t>
            </w: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E0B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0621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A29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1C100A1B">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149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573C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基层医疗卫生机构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29C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956.14</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3E6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930.93</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56F0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25.21</w:t>
            </w: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D5F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303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DC1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4D3A84AC">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806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2100302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ECC1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乡镇卫生院</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90F5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935.76</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DE7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930.93</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0C8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4.83</w:t>
            </w: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60C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643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AC8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137DB209">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589F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8C29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其他基层医疗卫生机构支出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C4C6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20.38</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C1B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B18E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20.38</w:t>
            </w: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9BE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538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1C1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670B7EC">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1DD9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FF5D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FFC1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141.27</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E4D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A749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141.27</w:t>
            </w: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73E5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9D5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7C9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43AC396D">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6E1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2100408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1E34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基本公共卫生服务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075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141.27</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D5D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5B6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141.27</w:t>
            </w: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EF5B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0AA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026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3B5CC4E2">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D7C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1B09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4279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27.19</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A9C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27.19</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52FD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87A4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07F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D52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74F183B0">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C777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4859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13C3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23.76</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8F3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23.76</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992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585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F17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2DB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3055397">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53C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BD5B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1BA0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3.43</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BF6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3.43</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50A6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D45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051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81D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3E55E6BF">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0798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6FF6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307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C517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02C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310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91B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6D2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13E5BBBC">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C614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21F2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091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B4E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7D2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7398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8AD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ABBC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28E24A6C">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25E1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96B0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24B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CB3B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551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B57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5CD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8E8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bl>
    <w:p w14:paraId="514D974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r>
        <w:rPr>
          <w:rFonts w:cs="宋体"/>
          <w:b w:val="0"/>
          <w:bCs w:val="0"/>
          <w:color w:val="auto"/>
          <w:sz w:val="32"/>
          <w:szCs w:val="32"/>
          <w:highlight w:val="none"/>
        </w:rPr>
        <w:t>备注：1.本表反映单位本年度各项支出情况。</w:t>
      </w:r>
      <w:r>
        <w:rPr>
          <w:rFonts w:cs="宋体"/>
          <w:b w:val="0"/>
          <w:bCs w:val="0"/>
          <w:color w:val="auto"/>
          <w:sz w:val="32"/>
          <w:szCs w:val="32"/>
          <w:highlight w:val="none"/>
        </w:rPr>
        <w:br w:type="textWrapping"/>
      </w:r>
      <w:r>
        <w:rPr>
          <w:rFonts w:cs="宋体"/>
          <w:b w:val="0"/>
          <w:bCs w:val="0"/>
          <w:color w:val="auto"/>
          <w:sz w:val="32"/>
          <w:szCs w:val="32"/>
          <w:highlight w:val="none"/>
        </w:rPr>
        <w:t xml:space="preserve">      2.本套报表金额单位转换时可能存在尾数误差。</w:t>
      </w:r>
      <w:r>
        <w:rPr>
          <w:rFonts w:cs="宋体"/>
          <w:b w:val="0"/>
          <w:bCs w:val="0"/>
          <w:color w:val="auto"/>
          <w:sz w:val="32"/>
          <w:szCs w:val="32"/>
          <w:highlight w:val="none"/>
        </w:rPr>
        <w:br w:type="textWrapping"/>
      </w:r>
      <w:r>
        <w:rPr>
          <w:rFonts w:cs="宋体"/>
          <w:b w:val="0"/>
          <w:bCs w:val="0"/>
          <w:color w:val="auto"/>
          <w:sz w:val="32"/>
          <w:szCs w:val="32"/>
          <w:highlight w:val="none"/>
        </w:rPr>
        <w:br w:type="textWrapping"/>
      </w:r>
    </w:p>
    <w:p w14:paraId="61223B6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r>
        <w:rPr>
          <w:rFonts w:cs="宋体"/>
          <w:b w:val="0"/>
          <w:bCs w:val="0"/>
          <w:color w:val="auto"/>
          <w:sz w:val="32"/>
          <w:szCs w:val="32"/>
          <w:highlight w:val="none"/>
        </w:rPr>
        <w:br w:type="page"/>
      </w:r>
    </w:p>
    <w:p w14:paraId="2EE0467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40A8C2C4">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4285F108">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财政拨款收入支出决算总表</w:t>
            </w:r>
          </w:p>
        </w:tc>
      </w:tr>
      <w:tr w14:paraId="374054EF">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366467E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r>
              <w:rPr>
                <w:rFonts w:cs="宋体"/>
                <w:b w:val="0"/>
                <w:bCs w:val="0"/>
                <w:color w:val="auto"/>
                <w:sz w:val="32"/>
                <w:szCs w:val="32"/>
                <w:highlight w:val="none"/>
              </w:rPr>
              <w:t xml:space="preserve">公开单位： </w:t>
            </w:r>
            <w:r>
              <w:rPr>
                <w:b w:val="0"/>
                <w:bCs w:val="0"/>
                <w:color w:val="auto"/>
                <w:sz w:val="32"/>
                <w:szCs w:val="32"/>
                <w:highlight w:val="none"/>
                <w:u w:color="auto"/>
              </w:rPr>
              <w:t>重庆市九龙坡区石板镇卫生院</w:t>
            </w:r>
          </w:p>
        </w:tc>
        <w:tc>
          <w:tcPr>
            <w:tcW w:w="1700" w:type="dxa"/>
            <w:tcBorders>
              <w:top w:val="nil"/>
              <w:left w:val="nil"/>
              <w:bottom w:val="nil"/>
              <w:right w:val="nil"/>
            </w:tcBorders>
            <w:shd w:val="clear" w:color="auto" w:fill="auto"/>
            <w:noWrap/>
            <w:tcMar>
              <w:top w:w="15" w:type="dxa"/>
              <w:left w:w="15" w:type="dxa"/>
              <w:right w:w="15" w:type="dxa"/>
            </w:tcMar>
            <w:vAlign w:val="bottom"/>
          </w:tcPr>
          <w:p w14:paraId="67C7410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72CCA6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BA10CB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14BCFA45">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公开04表</w:t>
            </w:r>
          </w:p>
        </w:tc>
      </w:tr>
      <w:tr w14:paraId="3F5DBC7E">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71D3031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209F04C">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693A62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E389ED0">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46389101">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单位：万元</w:t>
            </w:r>
          </w:p>
        </w:tc>
      </w:tr>
      <w:tr w14:paraId="1BB1802F">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9FD3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3040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支     出</w:t>
            </w:r>
          </w:p>
        </w:tc>
      </w:tr>
      <w:tr w14:paraId="0B91BE59">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A32A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9AAF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A6F39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9B25E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决算数</w:t>
            </w:r>
          </w:p>
        </w:tc>
      </w:tr>
      <w:tr w14:paraId="7218F29F">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72E0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28F08">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5A8C0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7E30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E8C0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F9EA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6E19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国有资本经营预算财政拨款</w:t>
            </w:r>
          </w:p>
        </w:tc>
      </w:tr>
      <w:tr w14:paraId="4F3DE86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ED40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30A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971.05</w:t>
            </w:r>
            <w:r>
              <w:rPr>
                <w:b w:val="0"/>
                <w:bCs w:val="0"/>
                <w:color w:val="auto"/>
                <w:sz w:val="32"/>
                <w:szCs w:val="32"/>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E35F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8F7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0D8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CE0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ADC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3E8E6C8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211B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73D7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C418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85A5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558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CD5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C498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190DEE6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F501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4B3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3A88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0BC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BC1D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DC3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01BD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3A0F7BD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0010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5216B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081A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438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444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D3A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C511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2E91EE2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CBAB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3B0C9A">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38D6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839E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2B1C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9E95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762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6097DE8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B778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B5B27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0CB2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338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D0B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190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1E9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47F09A2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8DD6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1BC31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C7E4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770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75E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BF2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F2F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7E05BA2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D346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C89062">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BD9F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602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74.86</w:t>
            </w: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B85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74.86</w:t>
            </w: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218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E86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1989C39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0FE1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44D39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FAC6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604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868.05</w:t>
            </w: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471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868.05</w:t>
            </w: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424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F75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2A453DE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42272">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CD27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73BD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D91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28D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3BF4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3B92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14CB73E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74FE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5B4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9CF6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6DD4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50E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C7C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622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2759B01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9F3A8">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DF8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38E4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8E7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315F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4C1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8E3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47B140F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34638">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A697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0662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5D6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7A25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22C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6D48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713CAED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5AED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C74C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5670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3BF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94D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481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B40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1C0740B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3EA4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817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F8C9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36D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646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5B5E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C8D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5C90468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4311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7EE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56A4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A8D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DF3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0F22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314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2A3F4F3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0FE1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8225">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C382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759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952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D5D7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1FD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260D32C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E985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DDC2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74BE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B78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4D0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E7ED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E30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34036DC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5CB82">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C6F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6999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79D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0CA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4DA8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5DD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5B17BBC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81DE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941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23D1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FB55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CA4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923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F7C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2AFDF3A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FD2E0">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F1A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19A3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B7B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64E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F23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47ED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4E7E404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346C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AC6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5826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F0E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A37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DEB9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854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78CF911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A95D5">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EA72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37EE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E8A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2E3F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303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3C6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9B7E18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480E8C">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3BC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1BC6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CF5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BC23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6EF3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58A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4C938AF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E9A9D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198C">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011D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8058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B539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682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7CE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30D949C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6A699B5">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53F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2EA1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347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05B3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66E5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8CA3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79583F9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2948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EC3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971.05</w:t>
            </w:r>
            <w:r>
              <w:rPr>
                <w:b w:val="0"/>
                <w:bCs w:val="0"/>
                <w:color w:val="auto"/>
                <w:sz w:val="32"/>
                <w:szCs w:val="32"/>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65C1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E49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971.05</w:t>
            </w: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721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971.05</w:t>
            </w: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75F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A01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50D21F5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9CDF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8906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8A1B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EE0B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8DB5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A4C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92BE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389E477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5778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49A8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1DE94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3D2B5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32D94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37DB7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8186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571FF54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A5EE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407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6023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B6415">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89E5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A892">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1FBC">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0E6F43F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1808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01EB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4BDF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BC83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9A52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CFF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CCD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3086DA1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DF98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68E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971.05</w:t>
            </w:r>
            <w:r>
              <w:rPr>
                <w:b w:val="0"/>
                <w:bCs w:val="0"/>
                <w:color w:val="auto"/>
                <w:sz w:val="32"/>
                <w:szCs w:val="32"/>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59AF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22E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971.05</w:t>
            </w: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9B63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971.05</w:t>
            </w:r>
            <w:r>
              <w:rPr>
                <w:b w:val="0"/>
                <w:bCs w:val="0"/>
                <w:color w:val="auto"/>
                <w:sz w:val="32"/>
                <w:szCs w:val="32"/>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86D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0A1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bl>
    <w:p w14:paraId="1DF55975">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r>
        <w:rPr>
          <w:rFonts w:cs="宋体"/>
          <w:b w:val="0"/>
          <w:bCs w:val="0"/>
          <w:color w:val="auto"/>
          <w:sz w:val="32"/>
          <w:szCs w:val="32"/>
          <w:highlight w:val="none"/>
        </w:rPr>
        <w:t>备注：1.本表反映单位本年度一般公共预算财政拨款、政府性基金预算财政拨款及国有资本经营预算财政拨款的总收支和年末结转结余情况。</w:t>
      </w:r>
      <w:r>
        <w:rPr>
          <w:rFonts w:cs="宋体"/>
          <w:b w:val="0"/>
          <w:bCs w:val="0"/>
          <w:color w:val="auto"/>
          <w:sz w:val="32"/>
          <w:szCs w:val="32"/>
          <w:highlight w:val="none"/>
        </w:rPr>
        <w:br w:type="textWrapping"/>
      </w:r>
      <w:r>
        <w:rPr>
          <w:rFonts w:cs="宋体"/>
          <w:b w:val="0"/>
          <w:bCs w:val="0"/>
          <w:color w:val="auto"/>
          <w:sz w:val="32"/>
          <w:szCs w:val="32"/>
          <w:highlight w:val="none"/>
        </w:rPr>
        <w:t xml:space="preserve">      2.本套报表金额单位转换时可能存在尾数误差。</w:t>
      </w:r>
      <w:r>
        <w:rPr>
          <w:rFonts w:cs="宋体"/>
          <w:b w:val="0"/>
          <w:bCs w:val="0"/>
          <w:color w:val="auto"/>
          <w:sz w:val="32"/>
          <w:szCs w:val="32"/>
          <w:highlight w:val="none"/>
        </w:rPr>
        <w:br w:type="textWrapping"/>
      </w:r>
      <w:r>
        <w:rPr>
          <w:rFonts w:cs="宋体"/>
          <w:b w:val="0"/>
          <w:bCs w:val="0"/>
          <w:color w:val="auto"/>
          <w:sz w:val="32"/>
          <w:szCs w:val="32"/>
          <w:highlight w:val="none"/>
        </w:rPr>
        <w:br w:type="textWrapping"/>
      </w:r>
      <w:r>
        <w:rPr>
          <w:rFonts w:cs="宋体"/>
          <w:b w:val="0"/>
          <w:bCs w:val="0"/>
          <w:color w:val="auto"/>
          <w:sz w:val="32"/>
          <w:szCs w:val="32"/>
          <w:highlight w:val="none"/>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3E50C6B3">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0B3B40D2">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一般公共预算财政拨款支出决算表</w:t>
            </w:r>
          </w:p>
        </w:tc>
      </w:tr>
      <w:tr w14:paraId="70385ADB">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126F3D6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r>
              <w:rPr>
                <w:rFonts w:cs="宋体"/>
                <w:b w:val="0"/>
                <w:bCs w:val="0"/>
                <w:color w:val="auto"/>
                <w:sz w:val="32"/>
                <w:szCs w:val="32"/>
                <w:highlight w:val="none"/>
              </w:rPr>
              <w:t xml:space="preserve">公开单位： </w:t>
            </w:r>
            <w:r>
              <w:rPr>
                <w:b w:val="0"/>
                <w:bCs w:val="0"/>
                <w:color w:val="auto"/>
                <w:sz w:val="32"/>
                <w:szCs w:val="32"/>
                <w:highlight w:val="none"/>
                <w:u w:color="auto"/>
              </w:rPr>
              <w:t>重庆市九龙坡区石板镇卫生院</w:t>
            </w:r>
          </w:p>
        </w:tc>
        <w:tc>
          <w:tcPr>
            <w:tcW w:w="3319" w:type="dxa"/>
            <w:tcBorders>
              <w:top w:val="nil"/>
              <w:left w:val="nil"/>
              <w:bottom w:val="nil"/>
              <w:right w:val="nil"/>
            </w:tcBorders>
            <w:shd w:val="clear" w:color="auto" w:fill="auto"/>
            <w:noWrap/>
            <w:tcMar>
              <w:top w:w="15" w:type="dxa"/>
              <w:left w:w="15" w:type="dxa"/>
              <w:right w:w="15" w:type="dxa"/>
            </w:tcMar>
            <w:vAlign w:val="bottom"/>
          </w:tcPr>
          <w:p w14:paraId="470A14F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5D70F0FE">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公开05表</w:t>
            </w:r>
          </w:p>
        </w:tc>
      </w:tr>
      <w:tr w14:paraId="02ED271D">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31F02E5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418017D8">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13A56DA2">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单位：万元</w:t>
            </w:r>
          </w:p>
        </w:tc>
      </w:tr>
      <w:tr w14:paraId="798CE249">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31F4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551F2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本年支出</w:t>
            </w:r>
          </w:p>
        </w:tc>
      </w:tr>
      <w:tr w14:paraId="15770873">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2FA8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97992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0DC13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8E06A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AD593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项目支出</w:t>
            </w:r>
          </w:p>
        </w:tc>
      </w:tr>
      <w:tr w14:paraId="227C031D">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A552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6D83E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B09635">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3C7E7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07661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60E9A0AA">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CF432">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B541C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0B8AD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3201D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D7E00C">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5C4BED9E">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3A77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5D88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971.05</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3E25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807.78</w:t>
            </w: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388C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163.27</w:t>
            </w:r>
            <w:r>
              <w:rPr>
                <w:b w:val="0"/>
                <w:bCs w:val="0"/>
                <w:color w:val="auto"/>
                <w:sz w:val="32"/>
                <w:szCs w:val="32"/>
                <w:highlight w:val="none"/>
                <w:u w:color="auto"/>
              </w:rPr>
              <w:t xml:space="preserve"> </w:t>
            </w:r>
          </w:p>
        </w:tc>
      </w:tr>
      <w:tr w14:paraId="3B945AB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C8C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99E2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EB6B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74.86</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B8AA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74.86</w:t>
            </w: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88FF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7EC6DA4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56D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D0FF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C506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68.78</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5866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68.78</w:t>
            </w: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DF8B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2CC267A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309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6F5E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047E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36.77</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0BDE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36.77</w:t>
            </w: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8D10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23459B1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991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E264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C34C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18.39</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214D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18.39</w:t>
            </w: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C0AE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62E93F5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C46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6C52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B233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13.62</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440D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13.62</w:t>
            </w: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F3D5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1BF687C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911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2677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C4DF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6.08</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4BE0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6.08</w:t>
            </w: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F99A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74BA165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7D9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6730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36DF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6.08</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63CB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6.08</w:t>
            </w: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A14D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2E5F605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452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0230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B0DD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868.05</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5549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704.78</w:t>
            </w: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74ED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163.27</w:t>
            </w:r>
            <w:r>
              <w:rPr>
                <w:b w:val="0"/>
                <w:bCs w:val="0"/>
                <w:color w:val="auto"/>
                <w:sz w:val="32"/>
                <w:szCs w:val="32"/>
                <w:highlight w:val="none"/>
                <w:u w:color="auto"/>
              </w:rPr>
              <w:t xml:space="preserve"> </w:t>
            </w:r>
          </w:p>
        </w:tc>
      </w:tr>
      <w:tr w14:paraId="2372186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3A4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A66F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基层医疗卫生机构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B0FE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699.59</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6F23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677.59</w:t>
            </w: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43B9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22.00</w:t>
            </w:r>
            <w:r>
              <w:rPr>
                <w:b w:val="0"/>
                <w:bCs w:val="0"/>
                <w:color w:val="auto"/>
                <w:sz w:val="32"/>
                <w:szCs w:val="32"/>
                <w:highlight w:val="none"/>
                <w:u w:color="auto"/>
              </w:rPr>
              <w:t xml:space="preserve"> </w:t>
            </w:r>
          </w:p>
        </w:tc>
      </w:tr>
      <w:tr w14:paraId="63AB7C6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81DA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2100302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3FA5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乡镇卫生院</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3397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679.21</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D6FF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677.59</w:t>
            </w: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9323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1.62</w:t>
            </w:r>
            <w:r>
              <w:rPr>
                <w:b w:val="0"/>
                <w:bCs w:val="0"/>
                <w:color w:val="auto"/>
                <w:sz w:val="32"/>
                <w:szCs w:val="32"/>
                <w:highlight w:val="none"/>
                <w:u w:color="auto"/>
              </w:rPr>
              <w:t xml:space="preserve"> </w:t>
            </w:r>
          </w:p>
        </w:tc>
      </w:tr>
      <w:tr w14:paraId="708C9A1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12C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AD15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其他基层医疗卫生机构支出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0D05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20.38</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3C07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CF50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20.38</w:t>
            </w:r>
            <w:r>
              <w:rPr>
                <w:b w:val="0"/>
                <w:bCs w:val="0"/>
                <w:color w:val="auto"/>
                <w:sz w:val="32"/>
                <w:szCs w:val="32"/>
                <w:highlight w:val="none"/>
                <w:u w:color="auto"/>
              </w:rPr>
              <w:t xml:space="preserve"> </w:t>
            </w:r>
          </w:p>
        </w:tc>
      </w:tr>
      <w:tr w14:paraId="53ED6F5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9976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F1AA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1699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141.27</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EE07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02C8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141.27</w:t>
            </w:r>
            <w:r>
              <w:rPr>
                <w:b w:val="0"/>
                <w:bCs w:val="0"/>
                <w:color w:val="auto"/>
                <w:sz w:val="32"/>
                <w:szCs w:val="32"/>
                <w:highlight w:val="none"/>
                <w:u w:color="auto"/>
              </w:rPr>
              <w:t xml:space="preserve"> </w:t>
            </w:r>
          </w:p>
        </w:tc>
      </w:tr>
      <w:tr w14:paraId="24288C8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851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2100408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316C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2C7A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141.27</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DA8B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20CD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141.27</w:t>
            </w:r>
            <w:r>
              <w:rPr>
                <w:b w:val="0"/>
                <w:bCs w:val="0"/>
                <w:color w:val="auto"/>
                <w:sz w:val="32"/>
                <w:szCs w:val="32"/>
                <w:highlight w:val="none"/>
                <w:u w:color="auto"/>
              </w:rPr>
              <w:t xml:space="preserve"> </w:t>
            </w:r>
          </w:p>
        </w:tc>
      </w:tr>
      <w:tr w14:paraId="02EC6F9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0A9B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AD6F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9A1A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27.19</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9533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27.19</w:t>
            </w: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EA26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68D8659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9EB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51E9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99CD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23.76</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838E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23.76</w:t>
            </w: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36DC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FC6554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D46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C943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3CB2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3.43</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8EA8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3.43</w:t>
            </w: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6A7B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415D598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727A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A124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F904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4F5D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883F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6C0D1C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3ED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D335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0545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C984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9028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449F74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9F3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99FA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A24D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7F11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A207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bl>
    <w:p w14:paraId="2AF373CC">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r>
        <w:rPr>
          <w:rFonts w:cs="宋体"/>
          <w:b w:val="0"/>
          <w:bCs w:val="0"/>
          <w:color w:val="auto"/>
          <w:sz w:val="32"/>
          <w:szCs w:val="32"/>
          <w:highlight w:val="none"/>
        </w:rPr>
        <w:t>备注：1.本表反映单位本年度一般公共预算财政拨款支出情况。</w:t>
      </w:r>
      <w:r>
        <w:rPr>
          <w:rFonts w:cs="宋体"/>
          <w:b w:val="0"/>
          <w:bCs w:val="0"/>
          <w:color w:val="auto"/>
          <w:sz w:val="32"/>
          <w:szCs w:val="32"/>
          <w:highlight w:val="none"/>
        </w:rPr>
        <w:br w:type="textWrapping"/>
      </w:r>
      <w:r>
        <w:rPr>
          <w:rFonts w:cs="宋体"/>
          <w:b w:val="0"/>
          <w:bCs w:val="0"/>
          <w:color w:val="auto"/>
          <w:sz w:val="32"/>
          <w:szCs w:val="32"/>
          <w:highlight w:val="none"/>
        </w:rPr>
        <w:t xml:space="preserve">      2.本套报表金额单位转换时可能存在尾数误差。</w:t>
      </w:r>
      <w:r>
        <w:rPr>
          <w:rFonts w:cs="宋体"/>
          <w:b w:val="0"/>
          <w:bCs w:val="0"/>
          <w:color w:val="auto"/>
          <w:sz w:val="32"/>
          <w:szCs w:val="32"/>
          <w:highlight w:val="none"/>
        </w:rPr>
        <w:br w:type="textWrapping"/>
      </w:r>
      <w:r>
        <w:rPr>
          <w:rFonts w:cs="宋体"/>
          <w:b w:val="0"/>
          <w:bCs w:val="0"/>
          <w:color w:val="auto"/>
          <w:sz w:val="32"/>
          <w:szCs w:val="32"/>
          <w:highlight w:val="none"/>
        </w:rPr>
        <w:br w:type="textWrapping"/>
      </w:r>
    </w:p>
    <w:p w14:paraId="57079950">
      <w:pPr>
        <w:keepNext w:val="0"/>
        <w:keepLines w:val="0"/>
        <w:pageBreakBefore w:val="0"/>
        <w:widowControl w:val="0"/>
        <w:shd w:val="clear"/>
        <w:kinsoku/>
        <w:wordWrap/>
        <w:overflowPunct/>
        <w:topLinePunct w:val="0"/>
        <w:autoSpaceDN/>
        <w:bidi w:val="0"/>
        <w:adjustRightInd/>
        <w:spacing w:afterAutospacing="0" w:line="600" w:lineRule="exact"/>
        <w:ind w:firstLine="960" w:firstLineChars="300"/>
        <w:jc w:val="both"/>
        <w:rPr>
          <w:rFonts w:cs="宋体"/>
          <w:b w:val="0"/>
          <w:bCs w:val="0"/>
          <w:color w:val="auto"/>
          <w:sz w:val="32"/>
          <w:szCs w:val="32"/>
          <w:highlight w:val="none"/>
        </w:rPr>
      </w:pPr>
      <w:r>
        <w:rPr>
          <w:rFonts w:cs="宋体"/>
          <w:b w:val="0"/>
          <w:bCs w:val="0"/>
          <w:color w:val="auto"/>
          <w:sz w:val="32"/>
          <w:szCs w:val="32"/>
          <w:highlight w:val="none"/>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D7ABF41">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1ED9CC40">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一般公共预算财政拨款基本支出决算表</w:t>
            </w:r>
          </w:p>
        </w:tc>
      </w:tr>
      <w:tr w14:paraId="2224E817">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7DBB660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r>
              <w:rPr>
                <w:rFonts w:cs="宋体"/>
                <w:b w:val="0"/>
                <w:bCs w:val="0"/>
                <w:color w:val="auto"/>
                <w:sz w:val="32"/>
                <w:szCs w:val="32"/>
                <w:highlight w:val="none"/>
              </w:rPr>
              <w:t xml:space="preserve">公开单位： </w:t>
            </w:r>
            <w:r>
              <w:rPr>
                <w:b w:val="0"/>
                <w:bCs w:val="0"/>
                <w:color w:val="auto"/>
                <w:sz w:val="32"/>
                <w:szCs w:val="32"/>
                <w:highlight w:val="none"/>
                <w:u w:color="auto"/>
              </w:rPr>
              <w:t>重庆市九龙坡区石板镇卫生院</w:t>
            </w:r>
          </w:p>
        </w:tc>
        <w:tc>
          <w:tcPr>
            <w:tcW w:w="1923" w:type="dxa"/>
            <w:tcBorders>
              <w:top w:val="nil"/>
              <w:left w:val="nil"/>
              <w:bottom w:val="nil"/>
              <w:right w:val="nil"/>
            </w:tcBorders>
            <w:shd w:val="clear" w:color="auto" w:fill="auto"/>
            <w:noWrap/>
            <w:tcMar>
              <w:top w:w="15" w:type="dxa"/>
              <w:left w:w="15" w:type="dxa"/>
              <w:right w:w="15" w:type="dxa"/>
            </w:tcMar>
            <w:vAlign w:val="bottom"/>
          </w:tcPr>
          <w:p w14:paraId="0ED9CBB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30589E0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7C5E82E8">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43209CA5">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28D2DB7B">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公开06表</w:t>
            </w:r>
          </w:p>
        </w:tc>
      </w:tr>
      <w:tr w14:paraId="24A9BB07">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740D138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27819AB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2FD45802">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1E58CC6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083EC948">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3291BEE1">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单位：万元</w:t>
            </w:r>
          </w:p>
        </w:tc>
      </w:tr>
      <w:tr w14:paraId="346E32DE">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1D87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FB5B39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公用经费</w:t>
            </w:r>
          </w:p>
        </w:tc>
      </w:tr>
      <w:tr w14:paraId="0A3ECFA8">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F7FD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2E94E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DBA3B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70C4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70A7F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4CC06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27E2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C12AA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67D72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金额</w:t>
            </w:r>
          </w:p>
        </w:tc>
      </w:tr>
      <w:tr w14:paraId="382C5D5C">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5D01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2948A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D5BBD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23EA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DBE375">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A12E0">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6F28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0E4F5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B5640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1F4C403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2639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B2AB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3B4B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778.42</w:t>
            </w: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82C0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44B5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B5D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9.67</w:t>
            </w: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8C02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98E9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7AA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52C42EC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16C1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1343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D24E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108.72</w:t>
            </w: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3FF8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A63E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D81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3029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85F2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3DEE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13470CF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F9BA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980E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22B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19.83</w:t>
            </w: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6FA8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7F0F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7778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DEA4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977B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093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329BFD9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9CFB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22A9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9E6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600A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01A7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F41E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DDC6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3D28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13B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67118DF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09A7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842E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0BD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EC6E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DD5C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AEC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5A3A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C22B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08E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5F03F86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E27A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87BB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7F9A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499.28</w:t>
            </w: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59D3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A94B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81D0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4E27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BCC9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1445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544032A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9572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9A82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6D60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36.77</w:t>
            </w: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A70C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6393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6CF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1508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4048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DB6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47E29ED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D639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3459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451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18.39</w:t>
            </w: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392E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D3EF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137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0CFA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E0DF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F39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3DBE98F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3F6A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B27B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27F3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19.44</w:t>
            </w: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96EA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30B8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9EC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3C4C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2610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5506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1A7C620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0888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13DD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189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2382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752E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CD76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BA73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DBA1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951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4FC5B9C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E802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9946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017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5.25</w:t>
            </w: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3823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8033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F43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A1BF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9100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8FF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5C262C9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251F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FC6D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912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28.15</w:t>
            </w: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7EA0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E3B2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322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C626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AA2C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756E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179EB17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3E6A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1EAE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BA3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8.37</w:t>
            </w: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F237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9CDD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56F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9C3C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6FAD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E50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354812E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7024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473B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1EF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34.22</w:t>
            </w: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4630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E25B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B4EB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11E9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E9F4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B9E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6F0EB4E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C0D9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B182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E4C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19.70</w:t>
            </w: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FB99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73B1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6CBF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4905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3840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BCE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70449C1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A491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CB11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6F2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9537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07D8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691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1.47</w:t>
            </w: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4437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420F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686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61B73EA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8EA7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AC76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2AD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FC64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1762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513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3264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9B23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9DB9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26600E1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8DD4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9BCD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B4A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01D0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DCB2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58E3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61D3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9A24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BED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11F28EE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6510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2FE3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66F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6.08</w:t>
            </w: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3EDC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8273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484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7B77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F786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B0E9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4FA70DE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57CF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DC57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98A6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13.02</w:t>
            </w: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5254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A155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F13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F6F9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0905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3EC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484EFB9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BB68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A515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3910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5608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0C1D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3F80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8BBA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BDDD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94E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7F40D54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5AF9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D760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B93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0.60</w:t>
            </w: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2F0D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5449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B21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0.20</w:t>
            </w: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D728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C87E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E54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223CFA5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D149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0E3F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E17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E279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F8C1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283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4.65</w:t>
            </w: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89F5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B1ED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AEB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14B29B7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8B4B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E49A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5E8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7892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CC73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DF71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3.35</w:t>
            </w: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D1EA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D2E2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A90F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3344CB2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B64F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767F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D1E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8C83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F0F0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349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E16F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77B3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407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7B6607C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5B44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B67D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101B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2E07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855D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DC3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191E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9429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1A4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795488B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BC8E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5896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4A7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A0C0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087E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167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8662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8EF9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7095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0C5367C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F9D5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C9225">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1739E8">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ECD6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EA16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8C6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59DC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54AB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1E1A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23FA37D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20B7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3169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09C07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2E27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1E2B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A2E6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B612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0A60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2BE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r w14:paraId="71B7EB0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D4AAC">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C466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D1A2C2">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1839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82A9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49E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9B89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95210">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7F8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685D8B2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6268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C0FE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657BC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8868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E80A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BEE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D6A9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8F49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210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18DB4F3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F6122">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85E6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73F940">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70E6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E74D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0C76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E07D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39EC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9BF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49B6FBC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04A1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78E3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891E4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4D19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7495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0F5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7E03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77F9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2BB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525A7076">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A81B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F7BA53">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798.11</w:t>
            </w:r>
            <w:r>
              <w:rPr>
                <w:b w:val="0"/>
                <w:bCs w:val="0"/>
                <w:color w:val="auto"/>
                <w:sz w:val="32"/>
                <w:szCs w:val="32"/>
                <w:highlight w:val="none"/>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6B63E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5884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9.67</w:t>
            </w:r>
            <w:r>
              <w:rPr>
                <w:b w:val="0"/>
                <w:bCs w:val="0"/>
                <w:color w:val="auto"/>
                <w:sz w:val="32"/>
                <w:szCs w:val="32"/>
                <w:highlight w:val="none"/>
                <w:u w:color="auto"/>
              </w:rPr>
              <w:t xml:space="preserve"> </w:t>
            </w:r>
          </w:p>
        </w:tc>
      </w:tr>
    </w:tbl>
    <w:p w14:paraId="14C34D18">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r>
        <w:rPr>
          <w:rFonts w:cs="宋体"/>
          <w:b w:val="0"/>
          <w:bCs w:val="0"/>
          <w:color w:val="auto"/>
          <w:sz w:val="32"/>
          <w:szCs w:val="32"/>
          <w:highlight w:val="none"/>
        </w:rPr>
        <w:t>备注：1.本表反映单位本年度一般公共预算财政拨款基本支出明细情况。</w:t>
      </w:r>
      <w:r>
        <w:rPr>
          <w:rFonts w:cs="宋体"/>
          <w:b w:val="0"/>
          <w:bCs w:val="0"/>
          <w:color w:val="auto"/>
          <w:sz w:val="32"/>
          <w:szCs w:val="32"/>
          <w:highlight w:val="none"/>
        </w:rPr>
        <w:br w:type="textWrapping"/>
      </w:r>
      <w:r>
        <w:rPr>
          <w:rFonts w:cs="宋体"/>
          <w:b w:val="0"/>
          <w:bCs w:val="0"/>
          <w:color w:val="auto"/>
          <w:sz w:val="32"/>
          <w:szCs w:val="32"/>
          <w:highlight w:val="none"/>
        </w:rPr>
        <w:t xml:space="preserve">      2.本套报表金额单位转换时可能存在尾数误差。</w:t>
      </w:r>
      <w:r>
        <w:rPr>
          <w:rFonts w:cs="宋体"/>
          <w:b w:val="0"/>
          <w:bCs w:val="0"/>
          <w:color w:val="auto"/>
          <w:sz w:val="32"/>
          <w:szCs w:val="32"/>
          <w:highlight w:val="none"/>
        </w:rPr>
        <w:br w:type="textWrapping"/>
      </w:r>
      <w:r>
        <w:rPr>
          <w:rFonts w:cs="宋体"/>
          <w:b w:val="0"/>
          <w:bCs w:val="0"/>
          <w:color w:val="auto"/>
          <w:sz w:val="32"/>
          <w:szCs w:val="32"/>
          <w:highlight w:val="none"/>
        </w:rPr>
        <w:br w:type="textWrapping"/>
      </w:r>
      <w:r>
        <w:rPr>
          <w:rFonts w:cs="宋体"/>
          <w:b w:val="0"/>
          <w:bCs w:val="0"/>
          <w:color w:val="auto"/>
          <w:sz w:val="32"/>
          <w:szCs w:val="32"/>
          <w:highlight w:val="none"/>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40375F67">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12701500">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政府性基金预算财政拨款收入支出决算表</w:t>
            </w:r>
          </w:p>
        </w:tc>
      </w:tr>
      <w:tr w14:paraId="66226DC4">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55C2FB7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r>
              <w:rPr>
                <w:rFonts w:cs="宋体"/>
                <w:b w:val="0"/>
                <w:bCs w:val="0"/>
                <w:color w:val="auto"/>
                <w:sz w:val="32"/>
                <w:szCs w:val="32"/>
                <w:highlight w:val="none"/>
              </w:rPr>
              <w:t xml:space="preserve">公开单位： </w:t>
            </w:r>
            <w:r>
              <w:rPr>
                <w:b w:val="0"/>
                <w:bCs w:val="0"/>
                <w:color w:val="auto"/>
                <w:sz w:val="32"/>
                <w:szCs w:val="32"/>
                <w:highlight w:val="none"/>
                <w:u w:color="auto"/>
              </w:rPr>
              <w:t>重庆市九龙坡区石板镇卫生院</w:t>
            </w:r>
          </w:p>
        </w:tc>
        <w:tc>
          <w:tcPr>
            <w:tcW w:w="1707" w:type="dxa"/>
            <w:tcBorders>
              <w:top w:val="nil"/>
              <w:left w:val="nil"/>
              <w:bottom w:val="nil"/>
              <w:right w:val="nil"/>
            </w:tcBorders>
            <w:shd w:val="clear" w:color="auto" w:fill="auto"/>
            <w:noWrap/>
            <w:tcMar>
              <w:top w:w="15" w:type="dxa"/>
              <w:left w:w="15" w:type="dxa"/>
              <w:right w:w="15" w:type="dxa"/>
            </w:tcMar>
            <w:vAlign w:val="bottom"/>
          </w:tcPr>
          <w:p w14:paraId="668B7DD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CF08C0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913B42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633E8578">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244DD488">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公开07表</w:t>
            </w:r>
          </w:p>
        </w:tc>
      </w:tr>
      <w:tr w14:paraId="3DE125EE">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040D9B0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E9B084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A1BFA5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E0D147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1F05566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2413C370">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单位：万元</w:t>
            </w:r>
          </w:p>
        </w:tc>
      </w:tr>
      <w:tr w14:paraId="16F0A2A5">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685D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33F49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13D9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F2814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C8B2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年末结转和结余</w:t>
            </w:r>
          </w:p>
        </w:tc>
      </w:tr>
      <w:tr w14:paraId="5DAEB6C6">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9BB3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E627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7057DD8">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02DD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35C7B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12747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29DA3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C6D1A">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034795A8">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A6880">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C47C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D48CF0">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62B62">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6F2C2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DC88C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09733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266D3">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4FFE16B9">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80D7A">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07D5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B1F1C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9623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CB1A0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EC5E8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6A866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CD24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034B6F4C">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33B8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CAB5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71CE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F208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F630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E280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74C8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bl>
    <w:p w14:paraId="38A4BFF0">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r>
        <w:rPr>
          <w:rFonts w:cs="宋体"/>
          <w:b w:val="0"/>
          <w:bCs w:val="0"/>
          <w:color w:val="auto"/>
          <w:sz w:val="32"/>
          <w:szCs w:val="32"/>
          <w:highlight w:val="none"/>
        </w:rPr>
        <w:t>备注：本表反映单位本年度政府性基金预算财政拨款收入支出及结转和结余情况。本单位无政府性基金收支，故本表无数据。</w:t>
      </w:r>
      <w:r>
        <w:rPr>
          <w:rFonts w:cs="宋体"/>
          <w:b w:val="0"/>
          <w:bCs w:val="0"/>
          <w:color w:val="auto"/>
          <w:sz w:val="32"/>
          <w:szCs w:val="32"/>
          <w:highlight w:val="none"/>
        </w:rPr>
        <w:br w:type="textWrapping"/>
      </w:r>
      <w:r>
        <w:rPr>
          <w:rFonts w:cs="宋体"/>
          <w:b w:val="0"/>
          <w:bCs w:val="0"/>
          <w:color w:val="auto"/>
          <w:sz w:val="32"/>
          <w:szCs w:val="32"/>
          <w:highlight w:val="none"/>
        </w:rPr>
        <w:br w:type="textWrapping"/>
      </w:r>
    </w:p>
    <w:p w14:paraId="61411185">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r>
        <w:rPr>
          <w:rFonts w:cs="宋体"/>
          <w:b w:val="0"/>
          <w:bCs w:val="0"/>
          <w:color w:val="auto"/>
          <w:sz w:val="32"/>
          <w:szCs w:val="32"/>
          <w:highlight w:val="none"/>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57229706">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25AD42D9">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国有资本经营预算财政拨款支出决算表</w:t>
            </w:r>
          </w:p>
        </w:tc>
      </w:tr>
      <w:tr w14:paraId="5117C990">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5088A6AD">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r>
              <w:rPr>
                <w:rFonts w:cs="宋体"/>
                <w:b w:val="0"/>
                <w:bCs w:val="0"/>
                <w:color w:val="auto"/>
                <w:sz w:val="32"/>
                <w:szCs w:val="32"/>
                <w:highlight w:val="none"/>
              </w:rPr>
              <w:t xml:space="preserve">公开单位： </w:t>
            </w:r>
            <w:r>
              <w:rPr>
                <w:b w:val="0"/>
                <w:bCs w:val="0"/>
                <w:color w:val="auto"/>
                <w:sz w:val="32"/>
                <w:szCs w:val="32"/>
                <w:highlight w:val="none"/>
                <w:u w:color="auto"/>
              </w:rPr>
              <w:t>重庆市九龙坡区石板镇卫生院</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12116AF2">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1FD5E5D1">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公开08表</w:t>
            </w:r>
          </w:p>
        </w:tc>
      </w:tr>
      <w:tr w14:paraId="0F9D9ACF">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751DD91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7078D92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09F7A8FD">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单位：万元</w:t>
            </w:r>
          </w:p>
        </w:tc>
      </w:tr>
      <w:tr w14:paraId="519AC0F4">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4EB6C6A">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03CD0B9">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本年支出</w:t>
            </w:r>
          </w:p>
        </w:tc>
      </w:tr>
      <w:tr w14:paraId="7334EFCC">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6F45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9A48D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E84A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58DF3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C30E2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项目支出</w:t>
            </w:r>
          </w:p>
        </w:tc>
      </w:tr>
      <w:tr w14:paraId="4646AFE1">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4156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22FDEF">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48C2A">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A252B2">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368580">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76555BAC">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F412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8BE0DC">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8A19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E4DB8B">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9C969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456F1E7F">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D9165">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53D0C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3F01E">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0B921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E99C81">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3C6BC16A">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49CF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39DD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3D6F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4EE4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b w:val="0"/>
                <w:bCs w:val="0"/>
                <w:color w:val="auto"/>
                <w:sz w:val="32"/>
                <w:szCs w:val="32"/>
                <w:highlight w:val="none"/>
                <w:u w:color="auto"/>
              </w:rPr>
              <w:t xml:space="preserve"> </w:t>
            </w:r>
          </w:p>
        </w:tc>
      </w:tr>
    </w:tbl>
    <w:p w14:paraId="34ADF965">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r>
        <w:rPr>
          <w:rFonts w:cs="宋体"/>
          <w:b w:val="0"/>
          <w:bCs w:val="0"/>
          <w:color w:val="auto"/>
          <w:sz w:val="32"/>
          <w:szCs w:val="32"/>
          <w:highlight w:val="none"/>
        </w:rPr>
        <w:t>备注：本表反映单位本年度国有资本经营预算财政拨款支出情况。本单位无国有资本经营收支，故本表无数据。</w:t>
      </w:r>
      <w:r>
        <w:rPr>
          <w:rFonts w:cs="宋体"/>
          <w:b w:val="0"/>
          <w:bCs w:val="0"/>
          <w:color w:val="auto"/>
          <w:sz w:val="32"/>
          <w:szCs w:val="32"/>
          <w:highlight w:val="none"/>
        </w:rPr>
        <w:br w:type="textWrapping"/>
      </w:r>
      <w:r>
        <w:rPr>
          <w:rFonts w:cs="宋体"/>
          <w:b w:val="0"/>
          <w:bCs w:val="0"/>
          <w:color w:val="auto"/>
          <w:sz w:val="32"/>
          <w:szCs w:val="32"/>
          <w:highlight w:val="none"/>
        </w:rPr>
        <w:br w:type="textWrapping"/>
      </w:r>
      <w:r>
        <w:rPr>
          <w:rFonts w:hint="default" w:cs="宋体"/>
          <w:b w:val="0"/>
          <w:bCs w:val="0"/>
          <w:color w:val="auto"/>
          <w:sz w:val="32"/>
          <w:szCs w:val="32"/>
          <w:highlight w:val="none"/>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5D635BE7">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06C78403">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机构运行信息表</w:t>
            </w:r>
          </w:p>
        </w:tc>
      </w:tr>
      <w:tr w14:paraId="364A885B">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27DF71A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40519B08">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61EFE3E9">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0C6394FA">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0D0EA98A">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公开09表</w:t>
            </w:r>
          </w:p>
        </w:tc>
      </w:tr>
      <w:tr w14:paraId="69B62376">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38C4B7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r>
              <w:rPr>
                <w:rFonts w:cs="宋体"/>
                <w:b w:val="0"/>
                <w:bCs w:val="0"/>
                <w:color w:val="auto"/>
                <w:sz w:val="32"/>
                <w:szCs w:val="32"/>
                <w:highlight w:val="none"/>
              </w:rPr>
              <w:t xml:space="preserve">公开单位： </w:t>
            </w:r>
            <w:r>
              <w:rPr>
                <w:b w:val="0"/>
                <w:bCs w:val="0"/>
                <w:color w:val="auto"/>
                <w:sz w:val="32"/>
                <w:szCs w:val="32"/>
                <w:highlight w:val="none"/>
                <w:u w:color="auto"/>
              </w:rPr>
              <w:t>重庆市九龙坡区石板镇卫生院</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29AA4730">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31D24905">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4F277264">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单位：万元</w:t>
            </w:r>
          </w:p>
        </w:tc>
      </w:tr>
      <w:tr w14:paraId="4A57B457">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D135B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3B157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6A5A4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5DA03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56D0D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决算数</w:t>
            </w:r>
          </w:p>
        </w:tc>
      </w:tr>
      <w:tr w14:paraId="04D11258">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C2BBD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CA07E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FBD7F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C3CC9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789E8D">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r>
      <w:tr w14:paraId="0C2C2A0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BBC0B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FB3C66">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670FC3">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390885">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FB7415">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r>
      <w:tr w14:paraId="4F018E0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5E3D2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35DAA1">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8B149A">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CFBA1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276A93">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r>
      <w:tr w14:paraId="66F0E6A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345FD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AF50C8">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96C7C1">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DD1C7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2579F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r>
      <w:tr w14:paraId="7E37350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F9C31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B33EE2">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EC7D2E">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B953C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2E9A39">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 xml:space="preserve">1   </w:t>
            </w:r>
          </w:p>
        </w:tc>
      </w:tr>
      <w:tr w14:paraId="652EB51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6FB2A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85CB14">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AEA2DF">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6EB31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51181F">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r>
      <w:tr w14:paraId="556A6EF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30173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C11020">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C55FBA">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A5298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AA8EA6">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r>
      <w:tr w14:paraId="68CB2FE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8440A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5A818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7D3D94">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84F05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A1E9C3">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r>
      <w:tr w14:paraId="68C8238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BC62D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AAA3E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7C44EE">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9D5D0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8B0217">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1</w:t>
            </w:r>
            <w:r>
              <w:rPr>
                <w:b w:val="0"/>
                <w:bCs w:val="0"/>
                <w:color w:val="auto"/>
                <w:sz w:val="32"/>
                <w:szCs w:val="32"/>
                <w:highlight w:val="none"/>
                <w:u w:color="auto"/>
              </w:rPr>
              <w:t xml:space="preserve"> </w:t>
            </w:r>
          </w:p>
        </w:tc>
      </w:tr>
      <w:tr w14:paraId="5661AB2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33EC7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4DD2E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F3F1EB">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EBC53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426F4C">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r>
      <w:tr w14:paraId="545235B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FEE34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331CF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17BA5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BFA7A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8D1267">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r>
      <w:tr w14:paraId="795AE5C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F1836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574171">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5BB281">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DF666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BAC062">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r>
      <w:tr w14:paraId="1C2F475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39E5F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FA28B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25AE24">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25948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E8630A">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r>
      <w:tr w14:paraId="4423C0A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620B6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0853AA">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391151">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33E6F0">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8A57E6">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r>
      <w:tr w14:paraId="5C1F912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2CCD1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7BBDC8">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461079">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7EEF8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C006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r>
      <w:tr w14:paraId="6DFF908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9ECF7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72152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2533E7">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25F25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1DCCFA">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r>
      <w:tr w14:paraId="681DFA0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AC4AD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2CC5DF">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CB42500">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3782AC">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07CADD">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r>
      <w:tr w14:paraId="10C561C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AF8249">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A57D1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BD9C34">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445532">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89798A">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r>
      <w:tr w14:paraId="1B1FFC8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2C77B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51958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877BA4">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DD33B6">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ACD1EE">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r>
      <w:tr w14:paraId="56CA807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D5278B">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EEA9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1C6915">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A5EDF7">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44AD9E">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r>
      <w:tr w14:paraId="5DB680C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EBBC43">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2DA5D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5B8BD4">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6E941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E06B14">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r>
      <w:tr w14:paraId="4B9F1A5A">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2CACB4">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BB910D">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3F6DA1">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55F0E7">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D99490">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r w14:paraId="6CA56E84">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D5E60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F5A0CE">
            <w:pPr>
              <w:keepNext w:val="0"/>
              <w:keepLines w:val="0"/>
              <w:pageBreakBefore w:val="0"/>
              <w:widowControl w:val="0"/>
              <w:shd w:val="clear"/>
              <w:kinsoku/>
              <w:wordWrap/>
              <w:overflowPunct/>
              <w:topLinePunct w:val="0"/>
              <w:autoSpaceDN/>
              <w:bidi w:val="0"/>
              <w:adjustRightInd/>
              <w:spacing w:afterAutospacing="0" w:line="600" w:lineRule="exact"/>
              <w:jc w:val="both"/>
              <w:textAlignment w:val="center"/>
              <w:rPr>
                <w:rFonts w:cs="宋体"/>
                <w:b w:val="0"/>
                <w:bCs w:val="0"/>
                <w:color w:val="auto"/>
                <w:sz w:val="32"/>
                <w:szCs w:val="32"/>
                <w:highlight w:val="none"/>
              </w:rPr>
            </w:pPr>
            <w:r>
              <w:rPr>
                <w:rFonts w:cs="宋体"/>
                <w:b w:val="0"/>
                <w:bCs w:val="0"/>
                <w:color w:val="auto"/>
                <w:sz w:val="32"/>
                <w:szCs w:val="32"/>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709443">
            <w:pPr>
              <w:keepNext w:val="0"/>
              <w:keepLines w:val="0"/>
              <w:pageBreakBefore w:val="0"/>
              <w:widowControl w:val="0"/>
              <w:shd w:val="clear"/>
              <w:kinsoku/>
              <w:wordWrap/>
              <w:overflowPunct/>
              <w:topLinePunct w:val="0"/>
              <w:autoSpaceDN/>
              <w:bidi w:val="0"/>
              <w:adjustRightInd/>
              <w:spacing w:afterAutospacing="0" w:line="600" w:lineRule="exact"/>
              <w:jc w:val="both"/>
              <w:textAlignment w:val="bottom"/>
              <w:rPr>
                <w:rFonts w:cs="宋体"/>
                <w:b w:val="0"/>
                <w:bCs w:val="0"/>
                <w:color w:val="auto"/>
                <w:sz w:val="32"/>
                <w:szCs w:val="32"/>
                <w:highlight w:val="none"/>
              </w:rPr>
            </w:pPr>
            <w:r>
              <w:rPr>
                <w:rFonts w:cs="宋体"/>
                <w:b w:val="0"/>
                <w:bCs w:val="0"/>
                <w:color w:val="auto"/>
                <w:sz w:val="32"/>
                <w:szCs w:val="32"/>
                <w:highlight w:val="none"/>
              </w:rPr>
              <w:t>1.47</w:t>
            </w:r>
            <w:r>
              <w:rPr>
                <w:b w:val="0"/>
                <w:bCs w:val="0"/>
                <w:color w:val="auto"/>
                <w:sz w:val="32"/>
                <w:szCs w:val="32"/>
                <w:highlight w:val="none"/>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F77918">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163974">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p>
        </w:tc>
      </w:tr>
    </w:tbl>
    <w:p w14:paraId="277FACC6">
      <w:pPr>
        <w:keepNext w:val="0"/>
        <w:keepLines w:val="0"/>
        <w:pageBreakBefore w:val="0"/>
        <w:widowControl w:val="0"/>
        <w:shd w:val="clear"/>
        <w:kinsoku/>
        <w:wordWrap/>
        <w:overflowPunct/>
        <w:topLinePunct w:val="0"/>
        <w:autoSpaceDN/>
        <w:bidi w:val="0"/>
        <w:adjustRightInd/>
        <w:spacing w:afterAutospacing="0" w:line="600" w:lineRule="exact"/>
        <w:jc w:val="both"/>
        <w:rPr>
          <w:rFonts w:cs="宋体"/>
          <w:b w:val="0"/>
          <w:bCs w:val="0"/>
          <w:color w:val="auto"/>
          <w:sz w:val="32"/>
          <w:szCs w:val="32"/>
          <w:highlight w:val="none"/>
        </w:rPr>
      </w:pPr>
      <w:r>
        <w:rPr>
          <w:rFonts w:cs="宋体"/>
          <w:b w:val="0"/>
          <w:bCs w:val="0"/>
          <w:color w:val="auto"/>
          <w:sz w:val="32"/>
          <w:szCs w:val="32"/>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b w:val="0"/>
          <w:bCs w:val="0"/>
          <w:color w:val="auto"/>
          <w:sz w:val="32"/>
          <w:szCs w:val="32"/>
          <w:highlight w:val="none"/>
        </w:rPr>
        <w:br w:type="textWrapping"/>
      </w:r>
      <w:r>
        <w:rPr>
          <w:rFonts w:cs="宋体"/>
          <w:b w:val="0"/>
          <w:bCs w:val="0"/>
          <w:color w:val="auto"/>
          <w:sz w:val="32"/>
          <w:szCs w:val="32"/>
          <w:highlight w:val="none"/>
        </w:rPr>
        <w:t xml:space="preserve">      2.本套报表金额单位转换时可能存在尾数误差。</w:t>
      </w:r>
      <w:r>
        <w:rPr>
          <w:rFonts w:cs="宋体"/>
          <w:b w:val="0"/>
          <w:bCs w:val="0"/>
          <w:color w:val="auto"/>
          <w:sz w:val="32"/>
          <w:szCs w:val="32"/>
          <w:highlight w:val="none"/>
        </w:rPr>
        <w:br w:type="textWrapping"/>
      </w:r>
      <w:r>
        <w:rPr>
          <w:rFonts w:cs="宋体"/>
          <w:b w:val="0"/>
          <w:bCs w:val="0"/>
          <w:color w:val="auto"/>
          <w:sz w:val="32"/>
          <w:szCs w:val="32"/>
          <w:highlight w:val="none"/>
        </w:rPr>
        <w:br w:type="textWrapping"/>
      </w:r>
    </w:p>
    <w:sectPr>
      <w:headerReference r:id="rId4" w:type="default"/>
      <w:footerReference r:id="rId5" w:type="default"/>
      <w:pgSz w:w="16839" w:h="11907" w:orient="landscape"/>
      <w:pgMar w:top="2098" w:right="1417" w:bottom="1984" w:left="141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F54DE14-EBF7-4DC3-A2DB-F8FFB497F1D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C8E9D6E3-0ACB-4BB3-AB33-9F6A79B2D7A6}"/>
  </w:font>
  <w:font w:name="方正黑体_GBK">
    <w:altName w:val="微软雅黑"/>
    <w:panose1 w:val="03000509000000000000"/>
    <w:charset w:val="86"/>
    <w:family w:val="auto"/>
    <w:pitch w:val="default"/>
    <w:sig w:usb0="00000000" w:usb1="00000000" w:usb2="00000000" w:usb3="00000000" w:csb0="00040000" w:csb1="00000000"/>
    <w:embedRegular r:id="rId3" w:fontKey="{9C52EA94-4041-4FD8-8AD0-B4931C33546A}"/>
  </w:font>
  <w:font w:name="方正楷体_GBK">
    <w:panose1 w:val="02000000000000000000"/>
    <w:charset w:val="86"/>
    <w:family w:val="auto"/>
    <w:pitch w:val="default"/>
    <w:sig w:usb0="800002BF" w:usb1="38CF7CFA" w:usb2="00000016" w:usb3="00000000" w:csb0="00040000" w:csb1="00000000"/>
    <w:embedRegular r:id="rId4" w:fontKey="{201A0E6C-6B83-4FFC-8E6F-28A73DF3D701}"/>
  </w:font>
  <w:font w:name="方正仿宋_GBK">
    <w:panose1 w:val="03000509000000000000"/>
    <w:charset w:val="86"/>
    <w:family w:val="script"/>
    <w:pitch w:val="default"/>
    <w:sig w:usb0="00000001" w:usb1="080E0000" w:usb2="00000000" w:usb3="00000000" w:csb0="00040000" w:csb1="00000000"/>
    <w:embedRegular r:id="rId5" w:fontKey="{0663263A-BD50-4DB9-9ABE-C331FD639FB4}"/>
  </w:font>
  <w:font w:name="楷体">
    <w:panose1 w:val="02010609060101010101"/>
    <w:charset w:val="86"/>
    <w:family w:val="modern"/>
    <w:pitch w:val="default"/>
    <w:sig w:usb0="800002BF" w:usb1="38CF7CFA" w:usb2="00000016" w:usb3="00000000" w:csb0="00040001" w:csb1="00000000"/>
    <w:embedRegular r:id="rId6" w:fontKey="{F76943A7-B163-4E55-95E2-96709AD068B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8C09A">
    <w:pPr>
      <w:pStyle w:val="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D8A4B5">
                          <w:pPr>
                            <w:pStyle w:val="4"/>
                          </w:pPr>
                          <w:r>
                            <w:fldChar w:fldCharType="begin"/>
                          </w:r>
                          <w:r>
                            <w:instrText xml:space="preserve"> PAGE  \* MERGEFORMAT </w:instrText>
                          </w:r>
                          <w:r>
                            <w:fldChar w:fldCharType="separate"/>
                          </w:r>
                          <w:r>
                            <w:rPr>
                              <w:rFonts w:hint="default"/>
                            </w:rP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3D8A4B5">
                    <w:pPr>
                      <w:pStyle w:val="4"/>
                    </w:pPr>
                    <w:r>
                      <w:fldChar w:fldCharType="begin"/>
                    </w:r>
                    <w:r>
                      <w:instrText xml:space="preserve"> PAGE  \* MERGEFORMAT </w:instrText>
                    </w:r>
                    <w:r>
                      <w:fldChar w:fldCharType="separate"/>
                    </w:r>
                    <w:r>
                      <w:rPr>
                        <w:rFonts w:hint="default"/>
                      </w:rPr>
                      <w:t>- 25 -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53AAF">
    <w:pPr>
      <w:pStyle w:val="4"/>
      <w:jc w:val="both"/>
    </w:pPr>
    <w:r>
      <mc:AlternateContent>
        <mc:Choice Requires="wps">
          <w:drawing>
            <wp:anchor distT="0" distB="0" distL="114300" distR="114300" simplePos="0" relativeHeight="251662336"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24CE5F">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924CE5F">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BC4CD2E">
                          <w:pPr>
                            <w:pStyle w:val="4"/>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BC4CD2E">
                    <w:pPr>
                      <w:pStyle w:val="4"/>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94889">
    <w:pPr>
      <w:pStyle w:val="5"/>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MmMwOTM5NmMyNTllYmU3MTY4ODg3MDgzOWZmYjEifQ=="/>
  </w:docVars>
  <w:rsids>
    <w:rsidRoot w:val="00B03CCD"/>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E81785"/>
    <w:rsid w:val="00F73F90"/>
    <w:rsid w:val="00FA00E5"/>
    <w:rsid w:val="00FB08E1"/>
    <w:rsid w:val="01474EBF"/>
    <w:rsid w:val="01F3521E"/>
    <w:rsid w:val="03B37E16"/>
    <w:rsid w:val="03B87EA0"/>
    <w:rsid w:val="03E3214F"/>
    <w:rsid w:val="044C50BA"/>
    <w:rsid w:val="05420BDD"/>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CD21ED4"/>
    <w:rsid w:val="0D673E11"/>
    <w:rsid w:val="0DDA54E4"/>
    <w:rsid w:val="0E3A5F83"/>
    <w:rsid w:val="0F836721"/>
    <w:rsid w:val="0F946CB2"/>
    <w:rsid w:val="0FA25D96"/>
    <w:rsid w:val="0FB81855"/>
    <w:rsid w:val="107B59E5"/>
    <w:rsid w:val="10EC0126"/>
    <w:rsid w:val="10F70B9A"/>
    <w:rsid w:val="111445C7"/>
    <w:rsid w:val="114278C6"/>
    <w:rsid w:val="1158083A"/>
    <w:rsid w:val="11643A4B"/>
    <w:rsid w:val="11ED0F98"/>
    <w:rsid w:val="11F03528"/>
    <w:rsid w:val="121C16DF"/>
    <w:rsid w:val="12C921C4"/>
    <w:rsid w:val="13871C70"/>
    <w:rsid w:val="13A71CB4"/>
    <w:rsid w:val="13AF1D43"/>
    <w:rsid w:val="13CE1647"/>
    <w:rsid w:val="13FD55AB"/>
    <w:rsid w:val="14200702"/>
    <w:rsid w:val="163A6CEE"/>
    <w:rsid w:val="16806E74"/>
    <w:rsid w:val="171C2C69"/>
    <w:rsid w:val="173708E3"/>
    <w:rsid w:val="178F6D4E"/>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897558"/>
    <w:rsid w:val="1FBB35CD"/>
    <w:rsid w:val="1FCD26AF"/>
    <w:rsid w:val="20461F18"/>
    <w:rsid w:val="20642787"/>
    <w:rsid w:val="21556F04"/>
    <w:rsid w:val="22403BD3"/>
    <w:rsid w:val="24826773"/>
    <w:rsid w:val="24B92327"/>
    <w:rsid w:val="24C14514"/>
    <w:rsid w:val="2533755C"/>
    <w:rsid w:val="25791755"/>
    <w:rsid w:val="25E22D30"/>
    <w:rsid w:val="26396DF4"/>
    <w:rsid w:val="27167136"/>
    <w:rsid w:val="271B442C"/>
    <w:rsid w:val="27B23302"/>
    <w:rsid w:val="291144F8"/>
    <w:rsid w:val="29310A5F"/>
    <w:rsid w:val="29C37A35"/>
    <w:rsid w:val="2A076083"/>
    <w:rsid w:val="2A73162E"/>
    <w:rsid w:val="2B167953"/>
    <w:rsid w:val="2B200583"/>
    <w:rsid w:val="2B8209DE"/>
    <w:rsid w:val="2C636760"/>
    <w:rsid w:val="2C6762A3"/>
    <w:rsid w:val="2C9A4365"/>
    <w:rsid w:val="2FA173C3"/>
    <w:rsid w:val="2FCA4B37"/>
    <w:rsid w:val="2FE029D7"/>
    <w:rsid w:val="2FF06E00"/>
    <w:rsid w:val="30586FEC"/>
    <w:rsid w:val="315F0B22"/>
    <w:rsid w:val="31D84415"/>
    <w:rsid w:val="31F50D8F"/>
    <w:rsid w:val="32285F6F"/>
    <w:rsid w:val="32770556"/>
    <w:rsid w:val="329C0913"/>
    <w:rsid w:val="32AA0460"/>
    <w:rsid w:val="3337290D"/>
    <w:rsid w:val="33E31118"/>
    <w:rsid w:val="33EF7674"/>
    <w:rsid w:val="342D7BC6"/>
    <w:rsid w:val="352930DB"/>
    <w:rsid w:val="354216FB"/>
    <w:rsid w:val="35573069"/>
    <w:rsid w:val="355F6038"/>
    <w:rsid w:val="358C217E"/>
    <w:rsid w:val="36C9128A"/>
    <w:rsid w:val="375F7C86"/>
    <w:rsid w:val="37841E99"/>
    <w:rsid w:val="37BF1123"/>
    <w:rsid w:val="382E422D"/>
    <w:rsid w:val="383C3F15"/>
    <w:rsid w:val="38BE4696"/>
    <w:rsid w:val="3939115E"/>
    <w:rsid w:val="39B82A39"/>
    <w:rsid w:val="39C42CA8"/>
    <w:rsid w:val="39DC4FD6"/>
    <w:rsid w:val="39F03D7A"/>
    <w:rsid w:val="39F33306"/>
    <w:rsid w:val="3A2C1C67"/>
    <w:rsid w:val="3ADD7F09"/>
    <w:rsid w:val="3AF46E82"/>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370B8"/>
    <w:rsid w:val="3FCD675E"/>
    <w:rsid w:val="4004000C"/>
    <w:rsid w:val="40BD5482"/>
    <w:rsid w:val="411B6CE5"/>
    <w:rsid w:val="412070D7"/>
    <w:rsid w:val="41314E40"/>
    <w:rsid w:val="419E1DAA"/>
    <w:rsid w:val="41E0734B"/>
    <w:rsid w:val="42111151"/>
    <w:rsid w:val="426C1EA8"/>
    <w:rsid w:val="42736402"/>
    <w:rsid w:val="42E86A87"/>
    <w:rsid w:val="43307B09"/>
    <w:rsid w:val="43880F63"/>
    <w:rsid w:val="439A3EB9"/>
    <w:rsid w:val="43BB152F"/>
    <w:rsid w:val="44C37687"/>
    <w:rsid w:val="45CB699A"/>
    <w:rsid w:val="465B470D"/>
    <w:rsid w:val="469D6AD4"/>
    <w:rsid w:val="471E6C84"/>
    <w:rsid w:val="4748792B"/>
    <w:rsid w:val="475D719D"/>
    <w:rsid w:val="47674801"/>
    <w:rsid w:val="48225EF7"/>
    <w:rsid w:val="486B710B"/>
    <w:rsid w:val="488F422B"/>
    <w:rsid w:val="48E36915"/>
    <w:rsid w:val="48EB6572"/>
    <w:rsid w:val="495C4A24"/>
    <w:rsid w:val="496038EF"/>
    <w:rsid w:val="496F11F5"/>
    <w:rsid w:val="497135DF"/>
    <w:rsid w:val="49CF63E5"/>
    <w:rsid w:val="4A1963EE"/>
    <w:rsid w:val="4A263DF2"/>
    <w:rsid w:val="4A6F6675"/>
    <w:rsid w:val="4B135857"/>
    <w:rsid w:val="4B7951CB"/>
    <w:rsid w:val="4B7C315C"/>
    <w:rsid w:val="4DAC4ACA"/>
    <w:rsid w:val="4DBE01D2"/>
    <w:rsid w:val="4E4E713E"/>
    <w:rsid w:val="4F0C6BA3"/>
    <w:rsid w:val="4F186D58"/>
    <w:rsid w:val="4F591FFC"/>
    <w:rsid w:val="50092C3B"/>
    <w:rsid w:val="50F06B6E"/>
    <w:rsid w:val="51777C80"/>
    <w:rsid w:val="51D21804"/>
    <w:rsid w:val="52234D33"/>
    <w:rsid w:val="522F6E0C"/>
    <w:rsid w:val="52463BA1"/>
    <w:rsid w:val="52F163D4"/>
    <w:rsid w:val="531A2DB4"/>
    <w:rsid w:val="53C0244D"/>
    <w:rsid w:val="53DD4D4E"/>
    <w:rsid w:val="53E578CE"/>
    <w:rsid w:val="541330F0"/>
    <w:rsid w:val="54272666"/>
    <w:rsid w:val="543B029D"/>
    <w:rsid w:val="54861779"/>
    <w:rsid w:val="550E03F1"/>
    <w:rsid w:val="552256E1"/>
    <w:rsid w:val="554E5773"/>
    <w:rsid w:val="555829E0"/>
    <w:rsid w:val="555A3CBC"/>
    <w:rsid w:val="5582012B"/>
    <w:rsid w:val="558C192B"/>
    <w:rsid w:val="558E4E05"/>
    <w:rsid w:val="559A5E2C"/>
    <w:rsid w:val="55BE2E85"/>
    <w:rsid w:val="56530F5D"/>
    <w:rsid w:val="567700D3"/>
    <w:rsid w:val="56FF7E9E"/>
    <w:rsid w:val="578867FC"/>
    <w:rsid w:val="5842572D"/>
    <w:rsid w:val="5A3B59D6"/>
    <w:rsid w:val="5A403211"/>
    <w:rsid w:val="5AD134D8"/>
    <w:rsid w:val="5C263CE4"/>
    <w:rsid w:val="5C5D2777"/>
    <w:rsid w:val="5CF66BF3"/>
    <w:rsid w:val="5D290C69"/>
    <w:rsid w:val="5E6E5728"/>
    <w:rsid w:val="5F2D4A41"/>
    <w:rsid w:val="60C74F6C"/>
    <w:rsid w:val="61025A59"/>
    <w:rsid w:val="613D5BBC"/>
    <w:rsid w:val="61536C39"/>
    <w:rsid w:val="62944DD7"/>
    <w:rsid w:val="63082894"/>
    <w:rsid w:val="6319381F"/>
    <w:rsid w:val="63C25DC5"/>
    <w:rsid w:val="63C62057"/>
    <w:rsid w:val="64571EF5"/>
    <w:rsid w:val="64F14F2D"/>
    <w:rsid w:val="64FB113D"/>
    <w:rsid w:val="656152C6"/>
    <w:rsid w:val="6587477F"/>
    <w:rsid w:val="658C3A08"/>
    <w:rsid w:val="65C031CA"/>
    <w:rsid w:val="65CE6852"/>
    <w:rsid w:val="66152334"/>
    <w:rsid w:val="66267C04"/>
    <w:rsid w:val="663F505A"/>
    <w:rsid w:val="66EE5541"/>
    <w:rsid w:val="6727175A"/>
    <w:rsid w:val="676A6106"/>
    <w:rsid w:val="67784CC7"/>
    <w:rsid w:val="67924660"/>
    <w:rsid w:val="68407834"/>
    <w:rsid w:val="6883293E"/>
    <w:rsid w:val="688412AD"/>
    <w:rsid w:val="68EB1B71"/>
    <w:rsid w:val="69B813AB"/>
    <w:rsid w:val="6A6C7940"/>
    <w:rsid w:val="6AAD2300"/>
    <w:rsid w:val="6B474EF5"/>
    <w:rsid w:val="6C0A5AC5"/>
    <w:rsid w:val="6C560CAE"/>
    <w:rsid w:val="6C576495"/>
    <w:rsid w:val="6CEE2077"/>
    <w:rsid w:val="6D903FF5"/>
    <w:rsid w:val="6DA955B8"/>
    <w:rsid w:val="6DE346AB"/>
    <w:rsid w:val="6DE5391A"/>
    <w:rsid w:val="6ED22F0F"/>
    <w:rsid w:val="6EFD1324"/>
    <w:rsid w:val="6F5A53AC"/>
    <w:rsid w:val="6FAC003D"/>
    <w:rsid w:val="6FE55E12"/>
    <w:rsid w:val="6FFB2E76"/>
    <w:rsid w:val="708F6F7F"/>
    <w:rsid w:val="70D94BD3"/>
    <w:rsid w:val="71C34D91"/>
    <w:rsid w:val="71CF357D"/>
    <w:rsid w:val="72DB435C"/>
    <w:rsid w:val="72E2613A"/>
    <w:rsid w:val="72F771F4"/>
    <w:rsid w:val="73934AD2"/>
    <w:rsid w:val="750837F0"/>
    <w:rsid w:val="754758CF"/>
    <w:rsid w:val="764F62AB"/>
    <w:rsid w:val="765C45EC"/>
    <w:rsid w:val="768A7619"/>
    <w:rsid w:val="772E1EBA"/>
    <w:rsid w:val="774A4354"/>
    <w:rsid w:val="77767EA9"/>
    <w:rsid w:val="781926BC"/>
    <w:rsid w:val="796C361F"/>
    <w:rsid w:val="796D60A4"/>
    <w:rsid w:val="79A031D5"/>
    <w:rsid w:val="7A1525F7"/>
    <w:rsid w:val="7B420052"/>
    <w:rsid w:val="7BD06A28"/>
    <w:rsid w:val="7C3A7C0B"/>
    <w:rsid w:val="7C5248E4"/>
    <w:rsid w:val="7C566698"/>
    <w:rsid w:val="7C5866A3"/>
    <w:rsid w:val="7C780E84"/>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beforeAutospacing="0" w:after="0" w:afterAutospacing="0"/>
      <w:ind w:left="0" w:leftChars="100" w:right="0" w:rightChars="100"/>
      <w:jc w:val="left"/>
    </w:pPr>
    <w:rPr>
      <w:rFonts w:hint="eastAsia" w:ascii="Calibri" w:hAnsi="Calibri" w:eastAsia="宋体" w:cs="Times New Roman"/>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7840</Words>
  <Characters>9644</Characters>
  <Lines>191</Lines>
  <Paragraphs>53</Paragraphs>
  <TotalTime>11</TotalTime>
  <ScaleCrop>false</ScaleCrop>
  <LinksUpToDate>false</LinksUpToDate>
  <CharactersWithSpaces>10642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cp:lastPrinted>2024-09-26T07:20:00Z</cp:lastPrinted>
  <dcterms:modified xsi:type="dcterms:W3CDTF">2024-11-15T03:17:24Z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66216EE6B62C47918C884177DC56C6A9_13</vt:lpwstr>
  </property>
</Properties>
</file>