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_GBK" w:cs="Times New Roman"/>
          <w:spacing w:val="5"/>
          <w:sz w:val="44"/>
          <w:szCs w:val="44"/>
          <w:lang w:val="en-US" w:eastAsia="zh-CN"/>
        </w:rPr>
      </w:pPr>
      <w:r>
        <w:rPr>
          <w:rFonts w:hint="default" w:ascii="Times New Roman" w:hAnsi="Times New Roman" w:eastAsia="方正小标宋_GBK" w:cs="Times New Roman"/>
          <w:spacing w:val="10"/>
          <w:sz w:val="44"/>
          <w:szCs w:val="44"/>
        </w:rPr>
        <w:t>重</w:t>
      </w:r>
      <w:r>
        <w:rPr>
          <w:rFonts w:hint="default" w:ascii="Times New Roman" w:hAnsi="Times New Roman" w:eastAsia="方正小标宋_GBK" w:cs="Times New Roman"/>
          <w:spacing w:val="5"/>
          <w:sz w:val="44"/>
          <w:szCs w:val="44"/>
        </w:rPr>
        <w:t>庆科学城明远未来</w:t>
      </w:r>
      <w:r>
        <w:rPr>
          <w:rFonts w:hint="default" w:ascii="Times New Roman" w:hAnsi="Times New Roman" w:eastAsia="方正小标宋_GBK" w:cs="Times New Roman"/>
          <w:spacing w:val="5"/>
          <w:sz w:val="44"/>
          <w:szCs w:val="44"/>
          <w:lang w:val="en-US" w:eastAsia="zh-CN"/>
        </w:rPr>
        <w:t>中</w:t>
      </w:r>
      <w:r>
        <w:rPr>
          <w:rFonts w:hint="default" w:ascii="Times New Roman" w:hAnsi="Times New Roman" w:eastAsia="方正小标宋_GBK" w:cs="Times New Roman"/>
          <w:spacing w:val="5"/>
          <w:sz w:val="44"/>
          <w:szCs w:val="44"/>
        </w:rPr>
        <w:t>学</w:t>
      </w:r>
      <w:r>
        <w:rPr>
          <w:rFonts w:hint="default" w:ascii="Times New Roman" w:hAnsi="Times New Roman" w:eastAsia="方正小标宋_GBK" w:cs="Times New Roman"/>
          <w:spacing w:val="5"/>
          <w:sz w:val="44"/>
          <w:szCs w:val="44"/>
          <w:lang w:val="en-US" w:eastAsia="zh-CN"/>
        </w:rPr>
        <w:t>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_GBK" w:cs="Times New Roman"/>
          <w:spacing w:val="5"/>
          <w:sz w:val="44"/>
          <w:szCs w:val="44"/>
        </w:rPr>
      </w:pPr>
      <w:r>
        <w:rPr>
          <w:rFonts w:hint="default" w:ascii="Times New Roman" w:hAnsi="Times New Roman" w:eastAsia="方正小标宋_GBK" w:cs="Times New Roman"/>
          <w:spacing w:val="5"/>
          <w:sz w:val="44"/>
          <w:szCs w:val="44"/>
        </w:rPr>
        <w:t>2023年度决算公开说明</w:t>
      </w:r>
    </w:p>
    <w:p>
      <w:pPr>
        <w:keepNext w:val="0"/>
        <w:keepLines w:val="0"/>
        <w:pageBreakBefore w:val="0"/>
        <w:kinsoku/>
        <w:wordWrap/>
        <w:overflowPunct/>
        <w:topLinePunct w:val="0"/>
        <w:autoSpaceDN/>
        <w:bidi w:val="0"/>
        <w:adjustRightInd/>
        <w:spacing w:beforeAutospacing="0" w:afterAutospacing="0" w:line="600" w:lineRule="exact"/>
        <w:textAlignment w:val="auto"/>
        <w:rPr>
          <w:rFonts w:hint="default" w:ascii="Times New Roman" w:hAnsi="Times New Roman" w:eastAsia="方正仿宋_GBK" w:cs="Times New Roman"/>
          <w:sz w:val="32"/>
          <w:szCs w:val="32"/>
        </w:rPr>
      </w:pP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jc w:val="both"/>
        <w:textAlignment w:val="auto"/>
        <w:rPr>
          <w:rFonts w:hint="default" w:ascii="Times New Roman" w:hAnsi="Times New Roman" w:eastAsia="黑体" w:cs="Times New Roman"/>
          <w:b/>
          <w:bCs w:val="0"/>
          <w:sz w:val="32"/>
          <w:szCs w:val="32"/>
        </w:rPr>
      </w:pPr>
      <w:r>
        <w:rPr>
          <w:rStyle w:val="9"/>
          <w:rFonts w:hint="default" w:ascii="Times New Roman" w:hAnsi="Times New Roman" w:eastAsia="方正黑体_GBK" w:cs="Times New Roman"/>
          <w:b/>
          <w:bCs w:val="0"/>
          <w:sz w:val="32"/>
          <w:szCs w:val="32"/>
          <w:shd w:val="clear" w:color="auto" w:fill="FFFFFF"/>
        </w:rPr>
        <w:t>一、单位基本情况</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b/>
          <w:bCs/>
          <w:color w:val="000000"/>
          <w:kern w:val="2"/>
          <w:sz w:val="32"/>
          <w:szCs w:val="24"/>
          <w:lang w:val="en-US" w:eastAsia="zh-CN" w:bidi="ar-SA"/>
        </w:rPr>
      </w:pPr>
      <w:r>
        <w:rPr>
          <w:rFonts w:hint="default" w:ascii="Times New Roman" w:hAnsi="Times New Roman" w:eastAsia="方正楷体_GBK" w:cs="Times New Roman"/>
          <w:b/>
          <w:bCs/>
          <w:color w:val="000000"/>
          <w:kern w:val="2"/>
          <w:sz w:val="32"/>
          <w:szCs w:val="24"/>
          <w:lang w:val="en-US" w:eastAsia="zh-CN" w:bidi="ar-SA"/>
        </w:rPr>
        <w:t>（一）职能职责</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000000"/>
          <w:kern w:val="2"/>
          <w:sz w:val="32"/>
          <w:szCs w:val="24"/>
          <w:lang w:val="en-US" w:eastAsia="zh-CN" w:bidi="ar-SA"/>
        </w:rPr>
        <w:t>实施普通初中义务教育，促进学生全面发展。开展教育教学工作；开展学校德育工作；开展学校教育教学工作；开展学校体育、卫生、艺术工作；负责学校行政管理工作；开展对外交流工作；维护校园安全，提供后勤保障服务。</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b/>
          <w:bCs/>
          <w:color w:val="000000"/>
          <w:kern w:val="2"/>
          <w:sz w:val="32"/>
          <w:szCs w:val="24"/>
          <w:lang w:val="en-US" w:eastAsia="zh-CN" w:bidi="ar-SA"/>
        </w:rPr>
      </w:pPr>
      <w:r>
        <w:rPr>
          <w:rFonts w:hint="default" w:ascii="Times New Roman" w:hAnsi="Times New Roman" w:eastAsia="方正楷体_GBK" w:cs="Times New Roman"/>
          <w:b/>
          <w:bCs/>
          <w:color w:val="000000"/>
          <w:kern w:val="2"/>
          <w:sz w:val="32"/>
          <w:szCs w:val="24"/>
          <w:lang w:val="en-US" w:eastAsia="zh-CN" w:bidi="ar-SA"/>
        </w:rPr>
        <w:t>（二）机构设置</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学校内设机构7个，分别为党政办、总务处、德育处、教务处、教科处、团委、工会。</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b/>
          <w:bCs w:val="0"/>
          <w:sz w:val="32"/>
          <w:szCs w:val="32"/>
          <w:shd w:val="clear" w:color="auto" w:fill="FFFFFF"/>
        </w:rPr>
      </w:pPr>
      <w:r>
        <w:rPr>
          <w:rStyle w:val="9"/>
          <w:rFonts w:hint="default" w:ascii="Times New Roman" w:hAnsi="Times New Roman" w:eastAsia="方正黑体_GBK" w:cs="Times New Roman"/>
          <w:b/>
          <w:bCs w:val="0"/>
          <w:sz w:val="32"/>
          <w:szCs w:val="32"/>
          <w:shd w:val="clear" w:color="auto" w:fill="FFFFFF"/>
        </w:rPr>
        <w:t>二、单位决算情况说明</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b/>
          <w:bCs/>
          <w:color w:val="000000"/>
          <w:kern w:val="2"/>
          <w:sz w:val="32"/>
          <w:szCs w:val="24"/>
          <w:lang w:val="en-US" w:eastAsia="zh-CN" w:bidi="ar-SA"/>
        </w:rPr>
      </w:pPr>
      <w:r>
        <w:rPr>
          <w:rFonts w:hint="default" w:ascii="Times New Roman" w:hAnsi="Times New Roman" w:eastAsia="方正楷体_GBK" w:cs="Times New Roman"/>
          <w:b/>
          <w:bCs/>
          <w:color w:val="000000"/>
          <w:kern w:val="2"/>
          <w:sz w:val="32"/>
          <w:szCs w:val="24"/>
          <w:lang w:val="en-US" w:eastAsia="zh-CN" w:bidi="ar-SA"/>
        </w:rPr>
        <w:t>（一）收入支出决算总体情况说明。</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2023年度收入总计753.80万元，支出总计</w:t>
      </w:r>
      <w:r>
        <w:rPr>
          <w:rFonts w:hint="default" w:ascii="Times New Roman" w:hAnsi="Times New Roman" w:eastAsia="方正仿宋_GBK" w:cs="Times New Roman"/>
          <w:sz w:val="32"/>
          <w:szCs w:val="32"/>
        </w:rPr>
        <w:t>753.80</w:t>
      </w:r>
      <w:r>
        <w:rPr>
          <w:rFonts w:hint="default" w:ascii="Times New Roman" w:hAnsi="Times New Roman" w:eastAsia="方正仿宋_GBK" w:cs="Times New Roman"/>
          <w:sz w:val="32"/>
          <w:szCs w:val="32"/>
          <w:shd w:val="clear" w:color="auto" w:fill="FFFFFF"/>
        </w:rPr>
        <w:t>万元。收支较上年决算数增加753.80万元，增长100.00%，主要原因是</w:t>
      </w:r>
      <w:r>
        <w:rPr>
          <w:rFonts w:hint="default" w:ascii="Times New Roman" w:hAnsi="Times New Roman" w:eastAsia="方正仿宋_GBK" w:cs="Times New Roman"/>
          <w:sz w:val="32"/>
          <w:szCs w:val="32"/>
          <w:shd w:val="clear" w:color="auto" w:fill="FFFFFF"/>
          <w:lang w:val="en-US" w:eastAsia="zh-CN"/>
        </w:rPr>
        <w:t>学校2022年9月建校初期未独立核算，无决算数，因此增长100%。</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2023年度收入合计753.80万元，较上年决算数增加753.80万元，增长100.00%，主要原因是</w:t>
      </w:r>
      <w:r>
        <w:rPr>
          <w:rFonts w:hint="default" w:ascii="Times New Roman" w:hAnsi="Times New Roman" w:eastAsia="方正仿宋_GBK" w:cs="Times New Roman"/>
          <w:sz w:val="32"/>
          <w:szCs w:val="32"/>
          <w:shd w:val="clear" w:color="auto" w:fill="FFFFFF"/>
          <w:lang w:val="en-US" w:eastAsia="zh-CN"/>
        </w:rPr>
        <w:t>学校2022年9月建校初期未独立核算，无决算数，因此增长100%。</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753.80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753.80</w:t>
      </w:r>
      <w:r>
        <w:rPr>
          <w:rFonts w:hint="default" w:ascii="Times New Roman" w:hAnsi="Times New Roman" w:eastAsia="方正仿宋_GBK" w:cs="Times New Roman"/>
          <w:sz w:val="32"/>
          <w:szCs w:val="32"/>
          <w:shd w:val="clear" w:color="auto" w:fill="FFFFFF"/>
        </w:rPr>
        <w:t>万元，较上年决算数增加753.80万元，增长100.00%，主要原因是</w:t>
      </w:r>
      <w:r>
        <w:rPr>
          <w:rFonts w:hint="default" w:ascii="Times New Roman" w:hAnsi="Times New Roman" w:eastAsia="方正仿宋_GBK" w:cs="Times New Roman"/>
          <w:sz w:val="32"/>
          <w:szCs w:val="32"/>
          <w:shd w:val="clear" w:color="auto" w:fill="FFFFFF"/>
          <w:lang w:val="en-US" w:eastAsia="zh-CN"/>
        </w:rPr>
        <w:t>学校2022年9月建校初期未独立核算，无决算数，因此增长100%。</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674.86</w:t>
      </w:r>
      <w:r>
        <w:rPr>
          <w:rFonts w:hint="default" w:ascii="Times New Roman" w:hAnsi="Times New Roman" w:eastAsia="方正仿宋_GBK" w:cs="Times New Roman"/>
          <w:sz w:val="32"/>
          <w:szCs w:val="32"/>
          <w:shd w:val="clear" w:color="auto" w:fill="FFFFFF"/>
        </w:rPr>
        <w:t>万元，占89.53%；项目支出</w:t>
      </w:r>
      <w:r>
        <w:rPr>
          <w:rFonts w:hint="default" w:ascii="Times New Roman" w:hAnsi="Times New Roman" w:eastAsia="方正仿宋_GBK" w:cs="Times New Roman"/>
          <w:sz w:val="32"/>
          <w:szCs w:val="32"/>
        </w:rPr>
        <w:t>78.94</w:t>
      </w:r>
      <w:r>
        <w:rPr>
          <w:rFonts w:hint="default" w:ascii="Times New Roman" w:hAnsi="Times New Roman" w:eastAsia="方正仿宋_GBK" w:cs="Times New Roman"/>
          <w:sz w:val="32"/>
          <w:szCs w:val="32"/>
          <w:shd w:val="clear" w:color="auto" w:fill="FFFFFF"/>
        </w:rPr>
        <w:t>万元，占10.47%；经营支出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val="en-US" w:eastAsia="zh-CN"/>
        </w:rPr>
        <w:t>。</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b/>
          <w:bCs/>
          <w:color w:val="000000"/>
          <w:kern w:val="2"/>
          <w:sz w:val="32"/>
          <w:szCs w:val="24"/>
          <w:lang w:val="en-US" w:eastAsia="zh-CN" w:bidi="ar-SA"/>
        </w:rPr>
      </w:pPr>
      <w:r>
        <w:rPr>
          <w:rFonts w:hint="default" w:ascii="Times New Roman" w:hAnsi="Times New Roman" w:eastAsia="方正楷体_GBK" w:cs="Times New Roman"/>
          <w:b/>
          <w:bCs/>
          <w:color w:val="000000"/>
          <w:kern w:val="2"/>
          <w:sz w:val="32"/>
          <w:szCs w:val="24"/>
          <w:lang w:val="en-US" w:eastAsia="zh-CN" w:bidi="ar-SA"/>
        </w:rPr>
        <w:t>（二）财政拨款收入支出决算总体情况说明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2023年度财政拨款收、支总计753.80万元。与2022年相比，财政拨款收、支总计各增加753.80万元，增长100.00%。主要原因是</w:t>
      </w:r>
      <w:r>
        <w:rPr>
          <w:rFonts w:hint="default" w:ascii="Times New Roman" w:hAnsi="Times New Roman" w:eastAsia="方正仿宋_GBK" w:cs="Times New Roman"/>
          <w:sz w:val="32"/>
          <w:szCs w:val="32"/>
          <w:shd w:val="clear" w:color="auto" w:fill="FFFFFF"/>
          <w:lang w:val="en-US" w:eastAsia="zh-CN"/>
        </w:rPr>
        <w:t>学校2022年9月建校初期未独立核算，无决算数，因此增长100%。</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b/>
          <w:bCs/>
          <w:color w:val="000000"/>
          <w:kern w:val="2"/>
          <w:sz w:val="32"/>
          <w:szCs w:val="24"/>
          <w:lang w:val="en-US" w:eastAsia="zh-CN" w:bidi="ar-SA"/>
        </w:rPr>
      </w:pPr>
      <w:r>
        <w:rPr>
          <w:rFonts w:hint="default" w:ascii="Times New Roman" w:hAnsi="Times New Roman" w:eastAsia="方正楷体_GBK" w:cs="Times New Roman"/>
          <w:b/>
          <w:bCs/>
          <w:color w:val="000000"/>
          <w:kern w:val="2"/>
          <w:sz w:val="32"/>
          <w:szCs w:val="24"/>
          <w:lang w:val="en-US" w:eastAsia="zh-CN" w:bidi="ar-SA"/>
        </w:rPr>
        <w:t>（三）一般公共预算财政拨款收入支出决算情况说明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753.80</w:t>
      </w:r>
      <w:r>
        <w:rPr>
          <w:rFonts w:hint="default" w:ascii="Times New Roman" w:hAnsi="Times New Roman" w:eastAsia="方正仿宋_GBK" w:cs="Times New Roman"/>
          <w:sz w:val="32"/>
          <w:szCs w:val="32"/>
          <w:shd w:val="clear" w:color="auto" w:fill="FFFFFF"/>
        </w:rPr>
        <w:t>万元，较上年决算数增加753.80万元，增长100.00%。主要原因是学校2022年9月建校初期未独立核算，</w:t>
      </w:r>
      <w:r>
        <w:rPr>
          <w:rFonts w:hint="default" w:ascii="Times New Roman" w:hAnsi="Times New Roman" w:eastAsia="方正仿宋_GBK" w:cs="Times New Roman"/>
          <w:sz w:val="32"/>
          <w:szCs w:val="32"/>
          <w:shd w:val="clear" w:color="auto" w:fill="FFFFFF"/>
          <w:lang w:val="en-US" w:eastAsia="zh-CN"/>
        </w:rPr>
        <w:t>无决算数，因此增长100%。</w:t>
      </w:r>
      <w:r>
        <w:rPr>
          <w:rFonts w:hint="default" w:ascii="Times New Roman" w:hAnsi="Times New Roman" w:eastAsia="方正仿宋_GBK" w:cs="Times New Roman"/>
          <w:sz w:val="32"/>
          <w:szCs w:val="32"/>
          <w:shd w:val="clear" w:color="auto" w:fill="FFFFFF"/>
        </w:rPr>
        <w:t>较年初预算数增加619.20万元，增长460.03%。主要原因是</w:t>
      </w:r>
      <w:r>
        <w:rPr>
          <w:rFonts w:hint="default" w:ascii="Times New Roman" w:hAnsi="Times New Roman" w:eastAsia="方正仿宋_GBK" w:cs="Times New Roman"/>
          <w:sz w:val="32"/>
          <w:szCs w:val="32"/>
          <w:shd w:val="clear" w:color="auto" w:fill="FFFFFF"/>
          <w:lang w:val="en-US" w:eastAsia="zh-CN"/>
        </w:rPr>
        <w:t>年中上级资金追加</w:t>
      </w:r>
      <w:bookmarkStart w:id="0" w:name="OLE_LINK1"/>
      <w:r>
        <w:rPr>
          <w:rFonts w:hint="default" w:ascii="Times New Roman" w:hAnsi="Times New Roman" w:eastAsia="方正仿宋_GBK" w:cs="Times New Roman"/>
          <w:sz w:val="32"/>
          <w:szCs w:val="32"/>
          <w:shd w:val="clear" w:color="auto" w:fill="FFFFFF"/>
          <w:lang w:val="en-US" w:eastAsia="zh-CN"/>
        </w:rPr>
        <w:t>及新增学校设备购置费</w:t>
      </w:r>
      <w:bookmarkEnd w:id="0"/>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753.80</w:t>
      </w:r>
      <w:r>
        <w:rPr>
          <w:rFonts w:hint="default" w:ascii="Times New Roman" w:hAnsi="Times New Roman" w:eastAsia="方正仿宋_GBK" w:cs="Times New Roman"/>
          <w:sz w:val="32"/>
          <w:szCs w:val="32"/>
          <w:shd w:val="clear" w:color="auto" w:fill="FFFFFF"/>
        </w:rPr>
        <w:t>万元，较上年决算数增加753.80万元，增长100.00%。主要原因是</w:t>
      </w:r>
      <w:r>
        <w:rPr>
          <w:rFonts w:hint="default" w:ascii="Times New Roman" w:hAnsi="Times New Roman" w:eastAsia="方正仿宋_GBK" w:cs="Times New Roman"/>
          <w:sz w:val="32"/>
          <w:szCs w:val="32"/>
          <w:shd w:val="clear" w:color="auto" w:fill="FFFFFF"/>
          <w:lang w:val="en-US" w:eastAsia="zh-CN"/>
        </w:rPr>
        <w:t>学校2022年9月建校初期未独立核算，无决算数，因此增长100%。</w:t>
      </w:r>
      <w:r>
        <w:rPr>
          <w:rFonts w:hint="default" w:ascii="Times New Roman" w:hAnsi="Times New Roman" w:eastAsia="方正仿宋_GBK" w:cs="Times New Roman"/>
          <w:sz w:val="32"/>
          <w:szCs w:val="32"/>
          <w:shd w:val="clear" w:color="auto" w:fill="FFFFFF"/>
        </w:rPr>
        <w:t>较年初预算数增加619.20万元，增长460.03%</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年中上级资金追加及新增学校设备购置费。</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本单位2023年度一般公共预算财政拨款支出主要用于以下方面：</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753.80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%，较年初预算数增加619.20万元，增长460.03%，主要原因是</w:t>
      </w:r>
      <w:r>
        <w:rPr>
          <w:rFonts w:hint="default" w:ascii="Times New Roman" w:hAnsi="Times New Roman" w:eastAsia="方正仿宋_GBK" w:cs="Times New Roman"/>
          <w:color w:val="auto"/>
          <w:sz w:val="32"/>
          <w:szCs w:val="32"/>
          <w:shd w:val="clear" w:color="auto" w:fill="FFFFFF"/>
        </w:rPr>
        <w:t>年中上级资金追加及2023年秋季学生人数增加</w:t>
      </w:r>
      <w:r>
        <w:rPr>
          <w:rFonts w:hint="default" w:ascii="Times New Roman" w:hAnsi="Times New Roman" w:eastAsia="方正仿宋_GBK" w:cs="Times New Roman"/>
          <w:color w:val="auto"/>
          <w:sz w:val="32"/>
          <w:szCs w:val="32"/>
          <w:shd w:val="clear" w:color="auto" w:fill="FFFFFF"/>
          <w:lang w:eastAsia="zh-CN"/>
        </w:rPr>
        <w:t>。</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b/>
          <w:bCs/>
          <w:color w:val="000000"/>
          <w:kern w:val="2"/>
          <w:sz w:val="32"/>
          <w:szCs w:val="24"/>
          <w:lang w:val="en-US" w:eastAsia="zh-CN" w:bidi="ar-SA"/>
        </w:rPr>
      </w:pPr>
      <w:r>
        <w:rPr>
          <w:rFonts w:hint="default" w:ascii="Times New Roman" w:hAnsi="Times New Roman" w:eastAsia="方正楷体_GBK" w:cs="Times New Roman"/>
          <w:b/>
          <w:bCs/>
          <w:color w:val="000000"/>
          <w:kern w:val="2"/>
          <w:sz w:val="32"/>
          <w:szCs w:val="24"/>
          <w:lang w:val="en-US" w:eastAsia="zh-CN" w:bidi="ar-SA"/>
        </w:rPr>
        <w:t>（四）一般公共预算财政拨款基本支出决算情况说明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2023年度一般公共预算财政拨款基本支出</w:t>
      </w:r>
      <w:r>
        <w:rPr>
          <w:rFonts w:hint="default" w:ascii="Times New Roman" w:hAnsi="Times New Roman" w:eastAsia="方正仿宋_GBK" w:cs="Times New Roman"/>
          <w:sz w:val="32"/>
          <w:szCs w:val="32"/>
        </w:rPr>
        <w:t>674.86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127.73</w:t>
      </w:r>
      <w:r>
        <w:rPr>
          <w:rFonts w:hint="default" w:ascii="Times New Roman" w:hAnsi="Times New Roman" w:eastAsia="方正仿宋_GBK" w:cs="Times New Roman"/>
          <w:sz w:val="32"/>
          <w:szCs w:val="32"/>
          <w:shd w:val="clear" w:color="auto" w:fill="FFFFFF"/>
        </w:rPr>
        <w:t>万元，较上年决算数增加127.73万元，增长100.00%，主要原因是</w:t>
      </w:r>
      <w:r>
        <w:rPr>
          <w:rFonts w:hint="default" w:ascii="Times New Roman" w:hAnsi="Times New Roman" w:eastAsia="方正仿宋_GBK" w:cs="Times New Roman"/>
          <w:sz w:val="32"/>
          <w:szCs w:val="32"/>
          <w:shd w:val="clear" w:color="auto" w:fill="FFFFFF"/>
          <w:lang w:val="en-US" w:eastAsia="zh-CN"/>
        </w:rPr>
        <w:t>学校2022年9月建校初期未独立核算，无决算数，因此增长100%。</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rPr>
        <w:t>教职工的基本工资、津贴补贴、绩效工资、社保费及住房公积金等方面的支出。</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547.13</w:t>
      </w:r>
      <w:r>
        <w:rPr>
          <w:rFonts w:hint="default" w:ascii="Times New Roman" w:hAnsi="Times New Roman" w:eastAsia="方正仿宋_GBK" w:cs="Times New Roman"/>
          <w:sz w:val="32"/>
          <w:szCs w:val="32"/>
          <w:shd w:val="clear" w:color="auto" w:fill="FFFFFF"/>
        </w:rPr>
        <w:t>万元，较上年决算数增加547.13万元，增长100.00%，主要原因是</w:t>
      </w:r>
      <w:r>
        <w:rPr>
          <w:rFonts w:hint="default" w:ascii="Times New Roman" w:hAnsi="Times New Roman" w:eastAsia="方正仿宋_GBK" w:cs="Times New Roman"/>
          <w:color w:val="auto"/>
          <w:sz w:val="32"/>
          <w:szCs w:val="32"/>
          <w:shd w:val="clear" w:color="auto" w:fill="FFFFFF"/>
        </w:rPr>
        <w:t>学校2022年9月建校初期未独立核算，无决算数，因此增长100%。</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rPr>
        <w:t>办公费、水费、电费、维修（护）费、劳务费、办公设备购置等。</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b/>
          <w:bCs/>
          <w:color w:val="000000"/>
          <w:kern w:val="2"/>
          <w:sz w:val="32"/>
          <w:szCs w:val="24"/>
          <w:lang w:val="en-US" w:eastAsia="zh-CN" w:bidi="ar-SA"/>
        </w:rPr>
      </w:pPr>
      <w:r>
        <w:rPr>
          <w:rFonts w:hint="default" w:ascii="Times New Roman" w:hAnsi="Times New Roman" w:eastAsia="方正楷体_GBK" w:cs="Times New Roman"/>
          <w:b/>
          <w:bCs/>
          <w:color w:val="000000"/>
          <w:kern w:val="2"/>
          <w:sz w:val="32"/>
          <w:szCs w:val="24"/>
          <w:lang w:val="en-US" w:eastAsia="zh-CN" w:bidi="ar-SA"/>
        </w:rPr>
        <w:t>（五）政府性基金预算收支决算情况说明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本</w:t>
      </w:r>
      <w:r>
        <w:rPr>
          <w:rFonts w:hint="default" w:ascii="Times New Roman" w:hAnsi="Times New Roman" w:eastAsia="方正仿宋_GBK" w:cs="Times New Roman"/>
          <w:color w:val="auto"/>
          <w:sz w:val="32"/>
          <w:szCs w:val="32"/>
          <w:shd w:val="clear" w:color="auto" w:fill="FFFFFF"/>
        </w:rPr>
        <w:t>单位2023年度无政府性基金预算财政拨款收支。</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b/>
          <w:bCs/>
          <w:color w:val="000000"/>
          <w:kern w:val="2"/>
          <w:sz w:val="32"/>
          <w:szCs w:val="24"/>
          <w:lang w:val="en-US" w:eastAsia="zh-CN" w:bidi="ar-SA"/>
        </w:rPr>
      </w:pPr>
      <w:r>
        <w:rPr>
          <w:rFonts w:hint="default" w:ascii="Times New Roman" w:hAnsi="Times New Roman" w:eastAsia="方正楷体_GBK" w:cs="Times New Roman"/>
          <w:b/>
          <w:bCs/>
          <w:color w:val="000000"/>
          <w:kern w:val="2"/>
          <w:sz w:val="32"/>
          <w:szCs w:val="24"/>
          <w:lang w:val="en-US" w:eastAsia="zh-CN" w:bidi="ar-SA"/>
        </w:rPr>
        <w:t>（六）国有资本经营预算财政拨款支出决算情况说明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本单位2023年度无国有资本经营预算财政拨款支出。</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b/>
          <w:bCs w:val="0"/>
          <w:sz w:val="32"/>
          <w:szCs w:val="32"/>
          <w:shd w:val="clear" w:color="auto" w:fill="FFFFFF"/>
        </w:rPr>
      </w:pPr>
      <w:r>
        <w:rPr>
          <w:rStyle w:val="9"/>
          <w:rFonts w:hint="default" w:ascii="Times New Roman" w:hAnsi="Times New Roman" w:eastAsia="方正黑体_GBK" w:cs="Times New Roman"/>
          <w:b/>
          <w:bCs w:val="0"/>
          <w:sz w:val="32"/>
          <w:szCs w:val="32"/>
          <w:shd w:val="clear" w:color="auto" w:fill="FFFFFF"/>
          <w:lang w:val="en-US" w:eastAsia="zh-CN"/>
        </w:rPr>
        <w:t>三、</w:t>
      </w:r>
      <w:r>
        <w:rPr>
          <w:rStyle w:val="9"/>
          <w:rFonts w:hint="default" w:ascii="Times New Roman" w:hAnsi="Times New Roman" w:eastAsia="方正黑体_GBK" w:cs="Times New Roman"/>
          <w:b/>
          <w:bCs w:val="0"/>
          <w:sz w:val="32"/>
          <w:szCs w:val="32"/>
          <w:shd w:val="clear" w:color="auto" w:fill="FFFFFF"/>
        </w:rPr>
        <w:t>“三公”经费情况说明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我单位属于全额拨款事业单位，财政未保障我单位“三公”经费。</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b/>
          <w:bCs w:val="0"/>
          <w:sz w:val="32"/>
          <w:szCs w:val="32"/>
          <w:shd w:val="clear" w:color="auto" w:fill="FFFFFF"/>
        </w:rPr>
      </w:pPr>
      <w:r>
        <w:rPr>
          <w:rStyle w:val="9"/>
          <w:rFonts w:hint="default" w:ascii="Times New Roman" w:hAnsi="Times New Roman" w:eastAsia="方正黑体_GBK" w:cs="Times New Roman"/>
          <w:b/>
          <w:bCs w:val="0"/>
          <w:sz w:val="32"/>
          <w:szCs w:val="32"/>
          <w:shd w:val="clear" w:color="auto" w:fill="FFFFFF"/>
        </w:rPr>
        <w:t>四、其他需要说明的事项</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b/>
          <w:bCs/>
          <w:color w:val="000000"/>
          <w:kern w:val="2"/>
          <w:sz w:val="32"/>
          <w:szCs w:val="24"/>
          <w:lang w:val="en-US" w:eastAsia="zh-CN" w:bidi="ar-SA"/>
        </w:rPr>
      </w:pPr>
      <w:r>
        <w:rPr>
          <w:rFonts w:hint="default" w:ascii="Times New Roman" w:hAnsi="Times New Roman" w:eastAsia="方正楷体_GBK" w:cs="Times New Roman"/>
          <w:b/>
          <w:bCs/>
          <w:color w:val="000000"/>
          <w:kern w:val="2"/>
          <w:sz w:val="32"/>
          <w:szCs w:val="24"/>
          <w:lang w:val="en-US" w:eastAsia="zh-CN" w:bidi="ar-SA"/>
        </w:rPr>
        <w:t>（一）财政拨款会议费和培训费情况说明</w:t>
      </w:r>
    </w:p>
    <w:p>
      <w:pPr>
        <w:pStyle w:val="12"/>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万元，较上年决算数无增减。本年度培训费支出</w:t>
      </w:r>
      <w:r>
        <w:rPr>
          <w:rFonts w:hint="default" w:ascii="Times New Roman" w:hAnsi="Times New Roman" w:eastAsia="方正仿宋_GBK" w:cs="Times New Roman"/>
          <w:sz w:val="32"/>
          <w:szCs w:val="32"/>
        </w:rPr>
        <w:t>1.68</w:t>
      </w:r>
      <w:r>
        <w:rPr>
          <w:rFonts w:hint="default" w:ascii="Times New Roman" w:hAnsi="Times New Roman" w:eastAsia="方正仿宋_GBK" w:cs="Times New Roman"/>
          <w:sz w:val="32"/>
          <w:szCs w:val="32"/>
          <w:shd w:val="clear" w:color="auto" w:fill="FFFFFF"/>
        </w:rPr>
        <w:t>万元，较上年决算数增加1.68万元，增长100.00%，主要原因是学校2022年9月建校初期未独立核算，无决算数，因此增长100%。</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b/>
          <w:bCs/>
          <w:color w:val="000000"/>
          <w:kern w:val="2"/>
          <w:sz w:val="32"/>
          <w:szCs w:val="24"/>
          <w:lang w:val="en-US" w:eastAsia="zh-CN" w:bidi="ar-SA"/>
        </w:rPr>
      </w:pPr>
      <w:r>
        <w:rPr>
          <w:rFonts w:hint="default" w:ascii="Times New Roman" w:hAnsi="Times New Roman" w:eastAsia="方正楷体_GBK" w:cs="Times New Roman"/>
          <w:b/>
          <w:bCs/>
          <w:color w:val="000000"/>
          <w:kern w:val="2"/>
          <w:sz w:val="32"/>
          <w:szCs w:val="24"/>
          <w:lang w:val="en-US" w:eastAsia="zh-CN" w:bidi="ar-SA"/>
        </w:rPr>
        <w:t>（二）机关运行经费情况说明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shd w:val="clear" w:color="auto" w:fill="FFFFFF"/>
        </w:rPr>
        <w:t>按照部门决算列报口径，我单位不在机关运行经费统计范围之内</w:t>
      </w:r>
      <w:r>
        <w:rPr>
          <w:rFonts w:hint="default" w:ascii="Times New Roman" w:hAnsi="Times New Roman" w:eastAsia="方正仿宋_GBK" w:cs="Times New Roman"/>
          <w:color w:val="auto"/>
          <w:sz w:val="32"/>
          <w:szCs w:val="32"/>
          <w:shd w:val="clear" w:color="auto" w:fill="FFFFFF"/>
          <w:lang w:eastAsia="zh-CN"/>
        </w:rPr>
        <w:t>。</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b/>
          <w:bCs/>
          <w:color w:val="000000"/>
          <w:kern w:val="2"/>
          <w:sz w:val="32"/>
          <w:szCs w:val="24"/>
          <w:lang w:val="en-US" w:eastAsia="zh-CN" w:bidi="ar-SA"/>
        </w:rPr>
      </w:pPr>
      <w:r>
        <w:rPr>
          <w:rFonts w:hint="default" w:ascii="Times New Roman" w:hAnsi="Times New Roman" w:eastAsia="方正楷体_GBK" w:cs="Times New Roman"/>
          <w:b/>
          <w:bCs/>
          <w:color w:val="000000"/>
          <w:kern w:val="2"/>
          <w:sz w:val="32"/>
          <w:szCs w:val="24"/>
          <w:lang w:val="en-US" w:eastAsia="zh-CN" w:bidi="ar-SA"/>
        </w:rPr>
        <w:t>（三）国有资产占用情况说明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b/>
          <w:bCs/>
          <w:color w:val="000000"/>
          <w:kern w:val="2"/>
          <w:sz w:val="32"/>
          <w:szCs w:val="24"/>
          <w:lang w:val="en-US" w:eastAsia="zh-CN" w:bidi="ar-SA"/>
        </w:rPr>
      </w:pPr>
      <w:r>
        <w:rPr>
          <w:rFonts w:hint="default" w:ascii="Times New Roman" w:hAnsi="Times New Roman" w:eastAsia="方正楷体_GBK" w:cs="Times New Roman"/>
          <w:b/>
          <w:bCs/>
          <w:color w:val="000000"/>
          <w:kern w:val="2"/>
          <w:sz w:val="32"/>
          <w:szCs w:val="24"/>
          <w:lang w:val="en-US" w:eastAsia="zh-CN" w:bidi="ar-SA"/>
        </w:rPr>
        <w:t>（四）政府采购支出情况说明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b/>
          <w:bCs w:val="0"/>
          <w:sz w:val="32"/>
          <w:szCs w:val="32"/>
          <w:shd w:val="clear" w:color="auto" w:fill="FFFFFF"/>
        </w:rPr>
      </w:pPr>
      <w:r>
        <w:rPr>
          <w:rStyle w:val="9"/>
          <w:rFonts w:hint="default" w:ascii="Times New Roman" w:hAnsi="Times New Roman" w:eastAsia="方正黑体_GBK" w:cs="Times New Roman"/>
          <w:b/>
          <w:bCs w:val="0"/>
          <w:sz w:val="32"/>
          <w:szCs w:val="32"/>
          <w:shd w:val="clear" w:color="auto" w:fill="FFFFFF"/>
          <w:lang w:val="en-US" w:eastAsia="zh-CN"/>
        </w:rPr>
        <w:t>五、</w:t>
      </w:r>
      <w:r>
        <w:rPr>
          <w:rStyle w:val="9"/>
          <w:rFonts w:hint="default" w:ascii="Times New Roman" w:hAnsi="Times New Roman" w:eastAsia="方正黑体_GBK" w:cs="Times New Roman"/>
          <w:b/>
          <w:bCs w:val="0"/>
          <w:sz w:val="32"/>
          <w:szCs w:val="32"/>
          <w:shd w:val="clear" w:color="auto" w:fill="FFFFFF"/>
        </w:rPr>
        <w:t>预算绩效管理情况说明</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b/>
          <w:bCs/>
          <w:color w:val="000000"/>
          <w:kern w:val="2"/>
          <w:sz w:val="32"/>
          <w:szCs w:val="24"/>
          <w:lang w:val="en-US" w:eastAsia="zh-CN" w:bidi="ar-SA"/>
        </w:rPr>
      </w:pPr>
      <w:r>
        <w:rPr>
          <w:rFonts w:hint="default" w:ascii="Times New Roman" w:hAnsi="Times New Roman" w:eastAsia="方正楷体_GBK" w:cs="Times New Roman"/>
          <w:b/>
          <w:bCs/>
          <w:color w:val="000000"/>
          <w:kern w:val="2"/>
          <w:sz w:val="32"/>
          <w:szCs w:val="24"/>
          <w:lang w:val="en-US" w:eastAsia="zh-CN" w:bidi="ar-SA"/>
        </w:rPr>
        <w:t>（一）单位自评情况</w:t>
      </w:r>
    </w:p>
    <w:p>
      <w:pPr>
        <w:pStyle w:val="13"/>
        <w:keepNext w:val="0"/>
        <w:keepLines w:val="0"/>
        <w:pageBreakBefore w:val="0"/>
        <w:kinsoku/>
        <w:wordWrap/>
        <w:overflowPunct/>
        <w:topLinePunct w:val="0"/>
        <w:autoSpaceDE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根据预算绩效管理要求，我单位对6个二级项目开展了绩效自评，涉及财政拨款项目支出资金78.94万元,项目支出绩效自评表详见附表。</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b/>
          <w:bCs/>
          <w:color w:val="000000"/>
          <w:kern w:val="2"/>
          <w:sz w:val="32"/>
          <w:szCs w:val="24"/>
          <w:lang w:val="en-US" w:eastAsia="zh-CN" w:bidi="ar-SA"/>
        </w:rPr>
      </w:pPr>
      <w:r>
        <w:rPr>
          <w:rFonts w:hint="default" w:ascii="Times New Roman" w:hAnsi="Times New Roman" w:eastAsia="方正楷体_GBK" w:cs="Times New Roman"/>
          <w:b/>
          <w:bCs/>
          <w:color w:val="000000"/>
          <w:kern w:val="2"/>
          <w:sz w:val="32"/>
          <w:szCs w:val="24"/>
          <w:lang w:val="en-US" w:eastAsia="zh-CN" w:bidi="ar-SA"/>
        </w:rPr>
        <w:t>（二）单位绩效评价情况</w:t>
      </w:r>
    </w:p>
    <w:p>
      <w:pPr>
        <w:pStyle w:val="12"/>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b/>
          <w:bCs/>
          <w:color w:val="000000"/>
          <w:kern w:val="2"/>
          <w:sz w:val="32"/>
          <w:szCs w:val="24"/>
          <w:lang w:val="en-US" w:eastAsia="zh-CN" w:bidi="ar-SA"/>
        </w:rPr>
      </w:pPr>
      <w:r>
        <w:rPr>
          <w:rFonts w:hint="default" w:ascii="Times New Roman" w:hAnsi="Times New Roman" w:eastAsia="方正楷体_GBK" w:cs="Times New Roman"/>
          <w:b/>
          <w:bCs/>
          <w:color w:val="000000"/>
          <w:kern w:val="2"/>
          <w:sz w:val="32"/>
          <w:szCs w:val="24"/>
          <w:lang w:val="en-US" w:eastAsia="zh-CN" w:bidi="ar-SA"/>
        </w:rPr>
        <w:t>（三）财政绩效评价情况</w:t>
      </w:r>
    </w:p>
    <w:p>
      <w:pPr>
        <w:pStyle w:val="12"/>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重庆高新区财政局未委托第三方对我单位开展绩效评价。</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b/>
          <w:bCs w:val="0"/>
          <w:sz w:val="32"/>
          <w:szCs w:val="32"/>
          <w:shd w:val="clear" w:color="auto" w:fill="FFFFFF"/>
        </w:rPr>
      </w:pPr>
      <w:r>
        <w:rPr>
          <w:rStyle w:val="9"/>
          <w:rFonts w:hint="default" w:ascii="Times New Roman" w:hAnsi="Times New Roman" w:eastAsia="方正黑体_GBK" w:cs="Times New Roman"/>
          <w:b/>
          <w:bCs w:val="0"/>
          <w:sz w:val="32"/>
          <w:szCs w:val="32"/>
          <w:shd w:val="clear" w:color="auto" w:fill="FFFFFF"/>
          <w:lang w:val="en-US" w:eastAsia="zh-CN"/>
        </w:rPr>
        <w:t>六、</w:t>
      </w:r>
      <w:r>
        <w:rPr>
          <w:rStyle w:val="9"/>
          <w:rFonts w:hint="default" w:ascii="Times New Roman" w:hAnsi="Times New Roman" w:eastAsia="方正黑体_GBK" w:cs="Times New Roman"/>
          <w:b/>
          <w:bCs w:val="0"/>
          <w:sz w:val="32"/>
          <w:szCs w:val="32"/>
          <w:shd w:val="clear" w:color="auto" w:fill="FFFFFF"/>
        </w:rPr>
        <w:t>专业名词解释</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color w:val="000000"/>
          <w:kern w:val="2"/>
          <w:sz w:val="32"/>
          <w:szCs w:val="24"/>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color w:val="000000"/>
          <w:kern w:val="2"/>
          <w:sz w:val="32"/>
          <w:szCs w:val="24"/>
          <w:lang w:val="en-US" w:eastAsia="zh-CN" w:bidi="ar-SA"/>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color w:val="000000"/>
          <w:kern w:val="2"/>
          <w:sz w:val="32"/>
          <w:szCs w:val="24"/>
          <w:lang w:val="en-US" w:eastAsia="zh-CN" w:bidi="ar-SA"/>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color w:val="000000"/>
          <w:kern w:val="2"/>
          <w:sz w:val="32"/>
          <w:szCs w:val="24"/>
          <w:lang w:val="en-US" w:eastAsia="zh-CN" w:bidi="ar-SA"/>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color w:val="000000"/>
          <w:kern w:val="2"/>
          <w:sz w:val="32"/>
          <w:szCs w:val="24"/>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color w:val="000000"/>
          <w:kern w:val="2"/>
          <w:sz w:val="32"/>
          <w:szCs w:val="24"/>
          <w:lang w:val="en-US" w:eastAsia="zh-CN" w:bidi="ar-SA"/>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color w:val="000000"/>
          <w:kern w:val="2"/>
          <w:sz w:val="32"/>
          <w:szCs w:val="24"/>
          <w:lang w:val="en-US" w:eastAsia="zh-CN" w:bidi="ar-SA"/>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color w:val="000000"/>
          <w:kern w:val="2"/>
          <w:sz w:val="32"/>
          <w:szCs w:val="24"/>
          <w:lang w:val="en-US" w:eastAsia="zh-CN" w:bidi="ar-SA"/>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color w:val="000000"/>
          <w:kern w:val="2"/>
          <w:sz w:val="32"/>
          <w:szCs w:val="24"/>
          <w:lang w:val="en-US" w:eastAsia="zh-CN" w:bidi="ar-SA"/>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color w:val="000000"/>
          <w:kern w:val="2"/>
          <w:sz w:val="32"/>
          <w:szCs w:val="24"/>
          <w:lang w:val="en-US" w:eastAsia="zh-CN" w:bidi="ar-SA"/>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color w:val="000000"/>
          <w:kern w:val="2"/>
          <w:sz w:val="32"/>
          <w:szCs w:val="24"/>
          <w:lang w:val="en-US" w:eastAsia="zh-CN" w:bidi="ar-SA"/>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color w:val="000000"/>
          <w:kern w:val="2"/>
          <w:sz w:val="32"/>
          <w:szCs w:val="24"/>
          <w:lang w:val="en-US" w:eastAsia="zh-CN" w:bidi="ar-SA"/>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color w:val="000000"/>
          <w:kern w:val="2"/>
          <w:sz w:val="32"/>
          <w:szCs w:val="24"/>
          <w:lang w:val="en-US" w:eastAsia="zh-CN" w:bidi="ar-SA"/>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color w:val="000000"/>
          <w:kern w:val="2"/>
          <w:sz w:val="32"/>
          <w:szCs w:val="24"/>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color w:val="000000"/>
          <w:kern w:val="2"/>
          <w:sz w:val="32"/>
          <w:szCs w:val="24"/>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color w:val="000000"/>
          <w:kern w:val="2"/>
          <w:sz w:val="32"/>
          <w:szCs w:val="24"/>
          <w:lang w:val="en-US" w:eastAsia="zh-CN" w:bidi="ar-SA"/>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color w:val="000000"/>
          <w:kern w:val="2"/>
          <w:sz w:val="32"/>
          <w:szCs w:val="24"/>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b/>
          <w:bCs w:val="0"/>
          <w:sz w:val="32"/>
          <w:szCs w:val="32"/>
          <w:shd w:val="clear" w:color="auto" w:fill="FFFFFF"/>
        </w:rPr>
      </w:pPr>
      <w:r>
        <w:rPr>
          <w:rStyle w:val="9"/>
          <w:rFonts w:hint="default" w:ascii="Times New Roman" w:hAnsi="Times New Roman" w:eastAsia="方正黑体_GBK" w:cs="Times New Roman"/>
          <w:b/>
          <w:bCs w:val="0"/>
          <w:sz w:val="32"/>
          <w:szCs w:val="32"/>
          <w:shd w:val="clear" w:color="auto" w:fill="FFFFFF"/>
        </w:rPr>
        <w:t>七、决算公开联系方式及信息反馈渠道</w:t>
      </w:r>
    </w:p>
    <w:p>
      <w:pPr>
        <w:keepNext w:val="0"/>
        <w:keepLines w:val="0"/>
        <w:pageBreakBefore w:val="0"/>
        <w:widowControl w:val="0"/>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02365393609</w:t>
      </w:r>
    </w:p>
    <w:p>
      <w:pPr>
        <w:keepNext w:val="0"/>
        <w:keepLines w:val="0"/>
        <w:pageBreakBefore w:val="0"/>
        <w:widowControl w:val="0"/>
        <w:kinsoku/>
        <w:wordWrap/>
        <w:overflowPunct/>
        <w:topLinePunct w:val="0"/>
        <w:autoSpaceDN/>
        <w:bidi w:val="0"/>
        <w:adjustRightInd/>
        <w:spacing w:beforeAutospacing="0" w:afterAutospacing="0" w:line="600" w:lineRule="exact"/>
        <w:ind w:firstLine="640" w:firstLineChars="200"/>
        <w:jc w:val="both"/>
        <w:textAlignment w:val="auto"/>
        <w:rPr>
          <w:rFonts w:hint="default" w:ascii="方正仿宋_GBK" w:hAnsi="方正仿宋_GBK" w:eastAsia="方正仿宋_GBK" w:cs="方正仿宋_GBK"/>
          <w:color w:val="000000"/>
          <w:sz w:val="32"/>
          <w:szCs w:val="24"/>
          <w:lang w:val="en-US" w:eastAsia="zh-CN"/>
        </w:rPr>
      </w:pPr>
    </w:p>
    <w:p>
      <w:pPr>
        <w:keepNext w:val="0"/>
        <w:keepLines w:val="0"/>
        <w:pageBreakBefore w:val="0"/>
        <w:widowControl w:val="0"/>
        <w:kinsoku/>
        <w:wordWrap/>
        <w:overflowPunct/>
        <w:topLinePunct w:val="0"/>
        <w:autoSpaceDN/>
        <w:bidi w:val="0"/>
        <w:adjustRightInd/>
        <w:spacing w:beforeAutospacing="0" w:afterAutospacing="0" w:line="600" w:lineRule="exact"/>
        <w:ind w:firstLine="640" w:firstLineChars="200"/>
        <w:textAlignment w:val="auto"/>
        <w:rPr>
          <w:rFonts w:hint="default" w:ascii="方正仿宋_GBK" w:hAnsi="方正仿宋_GBK" w:eastAsia="方正仿宋_GBK" w:cs="方正仿宋_GBK"/>
          <w:color w:val="000000"/>
          <w:sz w:val="32"/>
          <w:szCs w:val="24"/>
          <w:lang w:val="en-US" w:eastAsia="zh-CN"/>
        </w:rPr>
      </w:pPr>
    </w:p>
    <w:p>
      <w:pPr>
        <w:keepNext w:val="0"/>
        <w:keepLines w:val="0"/>
        <w:pageBreakBefore w:val="0"/>
        <w:widowControl w:val="0"/>
        <w:kinsoku/>
        <w:wordWrap/>
        <w:overflowPunct/>
        <w:topLinePunct w:val="0"/>
        <w:autoSpaceDN/>
        <w:bidi w:val="0"/>
        <w:adjustRightInd/>
        <w:spacing w:beforeAutospacing="0" w:afterAutospacing="0" w:line="600" w:lineRule="exact"/>
        <w:ind w:firstLine="640" w:firstLineChars="200"/>
        <w:textAlignment w:val="auto"/>
        <w:rPr>
          <w:rFonts w:hint="default" w:ascii="方正仿宋_GBK" w:hAnsi="方正仿宋_GBK" w:eastAsia="方正仿宋_GBK" w:cs="方正仿宋_GBK"/>
          <w:color w:val="000000"/>
          <w:sz w:val="32"/>
          <w:szCs w:val="24"/>
          <w:lang w:val="en-US" w:eastAsia="zh-CN"/>
        </w:rPr>
      </w:pPr>
    </w:p>
    <w:p>
      <w:pPr>
        <w:pStyle w:val="12"/>
        <w:autoSpaceDE w:val="0"/>
        <w:ind w:firstLine="0" w:firstLineChars="0"/>
        <w:rPr>
          <w:rStyle w:val="9"/>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2098" w:right="1531" w:bottom="1984" w:left="1531" w:header="851" w:footer="992" w:gutter="0"/>
          <w:pgNumType w:fmt="numberInDash"/>
          <w:cols w:space="0" w:num="1"/>
          <w:rtlGutter w:val="0"/>
          <w:docGrid w:type="lines" w:linePitch="327" w:charSpace="0"/>
        </w:sectPr>
      </w:pPr>
    </w:p>
    <w:p>
      <w:pPr>
        <w:rPr>
          <w:rFonts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重庆科学城明远未来中学校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753.80</w:t>
            </w:r>
            <w:bookmarkStart w:id="1" w:name="_GoBack"/>
            <w:r>
              <w:rPr>
                <w:color w:val="000000"/>
                <w:sz w:val="20"/>
                <w:u w:color="auto"/>
              </w:rPr>
              <w:t xml:space="preserve"> </w:t>
            </w:r>
            <w:bookmarkEnd w:id="1"/>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753.80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753.80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753.80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753.80</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753.80</w:t>
            </w:r>
            <w:r>
              <w:rPr>
                <w:color w:val="000000"/>
                <w:sz w:val="20"/>
                <w:u w:color="auto"/>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sz w:val="20"/>
                <w:u w:color="auto"/>
              </w:rPr>
              <w:t>重庆科学城明远未来中学校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753.80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753.80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753.80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753.80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753.80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753.80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753.80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753.80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重庆科学城明远未来中学校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753.80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674.86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78.94</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753.80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674.86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78.94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753.80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674.86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78.94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753.80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674.86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78.94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p>
      <w:pPr>
        <w:rPr>
          <w:rFonts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重庆科学城明远未来中学校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753.80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753.80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753.80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753.80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753.80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753.80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753.80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753.80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753.80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bl>
    <w:p>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重庆科学城明远未来中学校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753.80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674.86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78.94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753.80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674.86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78.94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753.80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674.86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78.94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753.80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674.86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78.94</w:t>
            </w:r>
            <w:r>
              <w:rPr>
                <w:color w:val="000000"/>
                <w:sz w:val="20"/>
                <w:u w:color="auto"/>
              </w:rPr>
              <w:t xml:space="preserve"> </w:t>
            </w:r>
          </w:p>
        </w:tc>
      </w:tr>
    </w:tbl>
    <w:p>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重庆科学城明远未来中学校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126.19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64.83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482.30</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34.27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1.06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1.70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1.77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482.30</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90.22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3.01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8.94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0.49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1.97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0.08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0.67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1.54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0.27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12.72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1.54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18.19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13.63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1.20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0.38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0.45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cs="宋体"/>
                <w:color w:val="000000"/>
                <w:sz w:val="18"/>
                <w:szCs w:val="18"/>
              </w:rPr>
            </w:pPr>
            <w:r>
              <w:rPr>
                <w:rFonts w:cs="宋体"/>
                <w:color w:val="000000"/>
                <w:sz w:val="18"/>
                <w:szCs w:val="18"/>
              </w:rPr>
              <w:t>127.73</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547.13</w:t>
            </w:r>
            <w:r>
              <w:rPr>
                <w:color w:val="000000"/>
                <w:sz w:val="18"/>
                <w:u w:color="auto"/>
              </w:rPr>
              <w:t xml:space="preserve"> </w:t>
            </w:r>
          </w:p>
        </w:tc>
      </w:tr>
    </w:tbl>
    <w:p>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重庆科学城明远未来中学校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bl>
    <w:p>
      <w:pPr>
        <w:rPr>
          <w:rFonts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重庆科学城明远未来中学校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bl>
    <w:p>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重庆科学城明远未来中学校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1.68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cs="宋体"/>
                <w:color w:val="000000"/>
                <w:sz w:val="16"/>
                <w:szCs w:val="16"/>
              </w:rPr>
            </w:pPr>
          </w:p>
        </w:tc>
      </w:tr>
    </w:tbl>
    <w:p>
      <w:pPr>
        <w:spacing w:line="240" w:lineRule="auto"/>
        <w:jc w:val="both"/>
        <w:rPr>
          <w:rFonts w:ascii="Times New Roman" w:hAnsi="Times New Roman" w:eastAsia="方正仿宋_GBK"/>
          <w:sz w:val="32"/>
          <w:szCs w:val="32"/>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rPr>
                    <w:rFonts w:hint="default"/>
                  </w:rPr>
                  <w:t>- 25 -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w:r>
    <w: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Q5NTJjMmViOTI4ZThkZTYxNWMzMTEwYmE2MDhkYzQifQ=="/>
  </w:docVars>
  <w:rsids>
    <w:rsidRoot w:val="00B03CCD"/>
    <w:rsid w:val="00197E13"/>
    <w:rsid w:val="001D3BB7"/>
    <w:rsid w:val="001F6980"/>
    <w:rsid w:val="00200D15"/>
    <w:rsid w:val="0022556A"/>
    <w:rsid w:val="00297D08"/>
    <w:rsid w:val="002B254B"/>
    <w:rsid w:val="00466C9B"/>
    <w:rsid w:val="00550ABE"/>
    <w:rsid w:val="005C209D"/>
    <w:rsid w:val="0066321D"/>
    <w:rsid w:val="006B2AEC"/>
    <w:rsid w:val="006B6518"/>
    <w:rsid w:val="00710956"/>
    <w:rsid w:val="00770383"/>
    <w:rsid w:val="007819D4"/>
    <w:rsid w:val="007B419D"/>
    <w:rsid w:val="007B7C4B"/>
    <w:rsid w:val="007D3D39"/>
    <w:rsid w:val="00836A93"/>
    <w:rsid w:val="00841D51"/>
    <w:rsid w:val="00994AF7"/>
    <w:rsid w:val="009B67B8"/>
    <w:rsid w:val="009D2B67"/>
    <w:rsid w:val="00A566F9"/>
    <w:rsid w:val="00A665FC"/>
    <w:rsid w:val="00AF2751"/>
    <w:rsid w:val="00B03CCD"/>
    <w:rsid w:val="00B12389"/>
    <w:rsid w:val="00B460C0"/>
    <w:rsid w:val="00BE2B89"/>
    <w:rsid w:val="00C04A56"/>
    <w:rsid w:val="00C10E9E"/>
    <w:rsid w:val="00C20C3E"/>
    <w:rsid w:val="00E81785"/>
    <w:rsid w:val="00F73F90"/>
    <w:rsid w:val="00FA00E5"/>
    <w:rsid w:val="00FB08E1"/>
    <w:rsid w:val="01474EBF"/>
    <w:rsid w:val="01F3521E"/>
    <w:rsid w:val="03B87EA0"/>
    <w:rsid w:val="03E3214F"/>
    <w:rsid w:val="044C50BA"/>
    <w:rsid w:val="05BC6D49"/>
    <w:rsid w:val="06194FF1"/>
    <w:rsid w:val="06A2550B"/>
    <w:rsid w:val="06F80EE2"/>
    <w:rsid w:val="07001CCA"/>
    <w:rsid w:val="072E6D1F"/>
    <w:rsid w:val="075678DB"/>
    <w:rsid w:val="079D7CC7"/>
    <w:rsid w:val="08051BCA"/>
    <w:rsid w:val="086C12F4"/>
    <w:rsid w:val="08705944"/>
    <w:rsid w:val="08BA052C"/>
    <w:rsid w:val="08DB07BA"/>
    <w:rsid w:val="0969353F"/>
    <w:rsid w:val="098305D0"/>
    <w:rsid w:val="0A3317EA"/>
    <w:rsid w:val="0A5C4B69"/>
    <w:rsid w:val="0A86124A"/>
    <w:rsid w:val="0A997806"/>
    <w:rsid w:val="0AB54CC0"/>
    <w:rsid w:val="0B9335CE"/>
    <w:rsid w:val="0BF2311A"/>
    <w:rsid w:val="0C7927C4"/>
    <w:rsid w:val="0C9B098C"/>
    <w:rsid w:val="0D673E11"/>
    <w:rsid w:val="0DDA54E4"/>
    <w:rsid w:val="0E3A5F83"/>
    <w:rsid w:val="0EDA5D96"/>
    <w:rsid w:val="0F836721"/>
    <w:rsid w:val="0FA25D96"/>
    <w:rsid w:val="107B59E5"/>
    <w:rsid w:val="10EC0126"/>
    <w:rsid w:val="10F70B9A"/>
    <w:rsid w:val="111445C7"/>
    <w:rsid w:val="114278C6"/>
    <w:rsid w:val="11471555"/>
    <w:rsid w:val="1158083A"/>
    <w:rsid w:val="11643A4B"/>
    <w:rsid w:val="11ED0F98"/>
    <w:rsid w:val="11F03528"/>
    <w:rsid w:val="12710C5A"/>
    <w:rsid w:val="12C921C4"/>
    <w:rsid w:val="13335758"/>
    <w:rsid w:val="13871C70"/>
    <w:rsid w:val="13A71CB4"/>
    <w:rsid w:val="13AF1D43"/>
    <w:rsid w:val="13CE1647"/>
    <w:rsid w:val="13DA264B"/>
    <w:rsid w:val="13E35C35"/>
    <w:rsid w:val="13FD55AB"/>
    <w:rsid w:val="14200702"/>
    <w:rsid w:val="14CB1C36"/>
    <w:rsid w:val="153E6968"/>
    <w:rsid w:val="163A6CEE"/>
    <w:rsid w:val="173708E3"/>
    <w:rsid w:val="17C374FC"/>
    <w:rsid w:val="17D55151"/>
    <w:rsid w:val="182E4AB6"/>
    <w:rsid w:val="187E7F88"/>
    <w:rsid w:val="189079DC"/>
    <w:rsid w:val="18930411"/>
    <w:rsid w:val="189B0D0B"/>
    <w:rsid w:val="18B43F7C"/>
    <w:rsid w:val="194A1770"/>
    <w:rsid w:val="19B906A4"/>
    <w:rsid w:val="1B6F15B6"/>
    <w:rsid w:val="1BAA2EDC"/>
    <w:rsid w:val="1CA55E64"/>
    <w:rsid w:val="1D014A01"/>
    <w:rsid w:val="1D022362"/>
    <w:rsid w:val="1D1B04B0"/>
    <w:rsid w:val="1D8E3FE2"/>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FE1EA2"/>
    <w:rsid w:val="24B92327"/>
    <w:rsid w:val="24C14514"/>
    <w:rsid w:val="2533755C"/>
    <w:rsid w:val="25791755"/>
    <w:rsid w:val="26396DF4"/>
    <w:rsid w:val="27167136"/>
    <w:rsid w:val="271B442C"/>
    <w:rsid w:val="27362AC1"/>
    <w:rsid w:val="27B23302"/>
    <w:rsid w:val="28DC2346"/>
    <w:rsid w:val="29310A5F"/>
    <w:rsid w:val="298D52F9"/>
    <w:rsid w:val="29C10DD4"/>
    <w:rsid w:val="29C37A35"/>
    <w:rsid w:val="29F249F9"/>
    <w:rsid w:val="2A076083"/>
    <w:rsid w:val="2A73162E"/>
    <w:rsid w:val="2B167953"/>
    <w:rsid w:val="2B200583"/>
    <w:rsid w:val="2B8209DE"/>
    <w:rsid w:val="2C636760"/>
    <w:rsid w:val="2C6762A3"/>
    <w:rsid w:val="2EC65B66"/>
    <w:rsid w:val="2FCA4B37"/>
    <w:rsid w:val="2FE029D7"/>
    <w:rsid w:val="2FF06E00"/>
    <w:rsid w:val="30586FEC"/>
    <w:rsid w:val="315F0B22"/>
    <w:rsid w:val="31BC6A4A"/>
    <w:rsid w:val="31D84415"/>
    <w:rsid w:val="32285F6F"/>
    <w:rsid w:val="32770556"/>
    <w:rsid w:val="329C0913"/>
    <w:rsid w:val="32AA0460"/>
    <w:rsid w:val="3337290D"/>
    <w:rsid w:val="33E31118"/>
    <w:rsid w:val="33EF7674"/>
    <w:rsid w:val="342D7BC6"/>
    <w:rsid w:val="3450735E"/>
    <w:rsid w:val="352930DB"/>
    <w:rsid w:val="35573069"/>
    <w:rsid w:val="355F6038"/>
    <w:rsid w:val="358C217E"/>
    <w:rsid w:val="36C9128A"/>
    <w:rsid w:val="36F770CC"/>
    <w:rsid w:val="37841E99"/>
    <w:rsid w:val="37BF1123"/>
    <w:rsid w:val="383C3F15"/>
    <w:rsid w:val="38BE4696"/>
    <w:rsid w:val="3939115E"/>
    <w:rsid w:val="39B82A39"/>
    <w:rsid w:val="39C42CA8"/>
    <w:rsid w:val="39DC4FD6"/>
    <w:rsid w:val="39F03D7A"/>
    <w:rsid w:val="39F33306"/>
    <w:rsid w:val="3A2C1C67"/>
    <w:rsid w:val="3A343711"/>
    <w:rsid w:val="3AA734B7"/>
    <w:rsid w:val="3ADD7F09"/>
    <w:rsid w:val="3B1705E5"/>
    <w:rsid w:val="3B18334B"/>
    <w:rsid w:val="3B36794F"/>
    <w:rsid w:val="3B6F6EE0"/>
    <w:rsid w:val="3C566AD6"/>
    <w:rsid w:val="3C594871"/>
    <w:rsid w:val="3C6A5B02"/>
    <w:rsid w:val="3CEF24AB"/>
    <w:rsid w:val="3D2757A1"/>
    <w:rsid w:val="3D3D4FC4"/>
    <w:rsid w:val="3DDF3AB1"/>
    <w:rsid w:val="3E1D0952"/>
    <w:rsid w:val="3E42660A"/>
    <w:rsid w:val="3E7555B1"/>
    <w:rsid w:val="3E787ED9"/>
    <w:rsid w:val="3EA34D79"/>
    <w:rsid w:val="3F032E93"/>
    <w:rsid w:val="3F0527E5"/>
    <w:rsid w:val="3F694D83"/>
    <w:rsid w:val="3F885DCC"/>
    <w:rsid w:val="3FCD675E"/>
    <w:rsid w:val="4004000C"/>
    <w:rsid w:val="40BD5482"/>
    <w:rsid w:val="411B6CE5"/>
    <w:rsid w:val="412070D7"/>
    <w:rsid w:val="41314E40"/>
    <w:rsid w:val="41E0734B"/>
    <w:rsid w:val="4239758A"/>
    <w:rsid w:val="426C1EA8"/>
    <w:rsid w:val="42736402"/>
    <w:rsid w:val="428D12B8"/>
    <w:rsid w:val="42E86A87"/>
    <w:rsid w:val="43307B09"/>
    <w:rsid w:val="438A0837"/>
    <w:rsid w:val="439A3EB9"/>
    <w:rsid w:val="43BB152F"/>
    <w:rsid w:val="43BC3542"/>
    <w:rsid w:val="44C37687"/>
    <w:rsid w:val="45CB699A"/>
    <w:rsid w:val="465B470D"/>
    <w:rsid w:val="469D6AD4"/>
    <w:rsid w:val="46AB2654"/>
    <w:rsid w:val="471E6C84"/>
    <w:rsid w:val="4748792B"/>
    <w:rsid w:val="475D719D"/>
    <w:rsid w:val="47674801"/>
    <w:rsid w:val="48225EF7"/>
    <w:rsid w:val="488F422B"/>
    <w:rsid w:val="48E36915"/>
    <w:rsid w:val="48EB6572"/>
    <w:rsid w:val="495C4A24"/>
    <w:rsid w:val="497135DF"/>
    <w:rsid w:val="4A263DF2"/>
    <w:rsid w:val="4A327B01"/>
    <w:rsid w:val="4A6F6675"/>
    <w:rsid w:val="4B135857"/>
    <w:rsid w:val="4B7951CB"/>
    <w:rsid w:val="4B7C315C"/>
    <w:rsid w:val="4DAC4ACA"/>
    <w:rsid w:val="4DBE01D2"/>
    <w:rsid w:val="4DCD608C"/>
    <w:rsid w:val="4F0C6BA3"/>
    <w:rsid w:val="4F186D58"/>
    <w:rsid w:val="50F06B6E"/>
    <w:rsid w:val="51687B76"/>
    <w:rsid w:val="51D21804"/>
    <w:rsid w:val="52234D33"/>
    <w:rsid w:val="522F6E0C"/>
    <w:rsid w:val="52463BA1"/>
    <w:rsid w:val="52F163D4"/>
    <w:rsid w:val="531A2DB4"/>
    <w:rsid w:val="53C0244D"/>
    <w:rsid w:val="53DD4D4E"/>
    <w:rsid w:val="53E578CE"/>
    <w:rsid w:val="541330F0"/>
    <w:rsid w:val="54272666"/>
    <w:rsid w:val="543B029D"/>
    <w:rsid w:val="54426F70"/>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4B5215"/>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2049B4"/>
    <w:rsid w:val="6B474EF5"/>
    <w:rsid w:val="6C0A5AC5"/>
    <w:rsid w:val="6C560CAE"/>
    <w:rsid w:val="6C576495"/>
    <w:rsid w:val="6D8E3B95"/>
    <w:rsid w:val="6D903FF5"/>
    <w:rsid w:val="6DA955B8"/>
    <w:rsid w:val="6DE346AB"/>
    <w:rsid w:val="6DE5391A"/>
    <w:rsid w:val="6EFD1324"/>
    <w:rsid w:val="6F5A53AC"/>
    <w:rsid w:val="6FA65D1A"/>
    <w:rsid w:val="6FAC003D"/>
    <w:rsid w:val="6FE55E12"/>
    <w:rsid w:val="6FFB2E76"/>
    <w:rsid w:val="708F6F7F"/>
    <w:rsid w:val="70D94BD3"/>
    <w:rsid w:val="71C34D91"/>
    <w:rsid w:val="72DB435C"/>
    <w:rsid w:val="72E2613A"/>
    <w:rsid w:val="72F771F4"/>
    <w:rsid w:val="73934AD2"/>
    <w:rsid w:val="750837F0"/>
    <w:rsid w:val="752E5726"/>
    <w:rsid w:val="754758CF"/>
    <w:rsid w:val="764F62AB"/>
    <w:rsid w:val="765C45EC"/>
    <w:rsid w:val="768A7619"/>
    <w:rsid w:val="772E1EBA"/>
    <w:rsid w:val="781926BC"/>
    <w:rsid w:val="789E0306"/>
    <w:rsid w:val="78D5562E"/>
    <w:rsid w:val="794C4270"/>
    <w:rsid w:val="796D60A4"/>
    <w:rsid w:val="79A031D5"/>
    <w:rsid w:val="7A1525F7"/>
    <w:rsid w:val="7B420052"/>
    <w:rsid w:val="7BD06A28"/>
    <w:rsid w:val="7C3A7C0B"/>
    <w:rsid w:val="7C5248E4"/>
    <w:rsid w:val="7C566698"/>
    <w:rsid w:val="7C5866A3"/>
    <w:rsid w:val="7D7406BB"/>
    <w:rsid w:val="7D942933"/>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next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6807</Words>
  <Characters>7956</Characters>
  <Lines>191</Lines>
  <Paragraphs>53</Paragraphs>
  <TotalTime>7</TotalTime>
  <ScaleCrop>false</ScaleCrop>
  <LinksUpToDate>false</LinksUpToDate>
  <CharactersWithSpaces>8817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2024-10-12T04:20:00Z</cp:lastPrinted>
  <dcterms:modified xsi:type="dcterms:W3CDTF">2024-10-16T07:04:40Z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