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jc w:val="center"/>
        <w:textAlignment w:val="auto"/>
        <w:rPr>
          <w:rFonts w:hint="eastAsia" w:ascii="Times New Roman" w:hAnsi="Times New Roman" w:eastAsia="方正小标宋_GBK" w:cs="方正小标宋_GBK"/>
          <w:sz w:val="44"/>
          <w:szCs w:val="44"/>
        </w:rPr>
      </w:pPr>
      <w:r>
        <w:rPr>
          <w:rFonts w:hint="eastAsia" w:ascii="方正小标宋_GBK" w:hAnsi="方正小标宋_GBK" w:eastAsia="方正小标宋_GBK" w:cs="方正小标宋_GBK"/>
          <w:sz w:val="44"/>
          <w:szCs w:val="44"/>
        </w:rPr>
        <w:t>重庆科</w:t>
      </w:r>
      <w:r>
        <w:rPr>
          <w:rFonts w:hint="eastAsia" w:ascii="Times New Roman" w:hAnsi="Times New Roman" w:eastAsia="方正小标宋_GBK" w:cs="方正小标宋_GBK"/>
          <w:sz w:val="44"/>
          <w:szCs w:val="44"/>
        </w:rPr>
        <w:t>学城康居西城小学校</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jc w:val="center"/>
        <w:textAlignment w:val="auto"/>
        <w:rPr>
          <w:rFonts w:hint="default" w:ascii="Times New Roman" w:hAnsi="Times New Roman" w:eastAsia="方正小标宋_GBK" w:cs="Times New Roman"/>
          <w:sz w:val="36"/>
          <w:szCs w:val="36"/>
          <w:shd w:val="clear" w:color="auto" w:fill="FFFFFF"/>
        </w:rPr>
      </w:pPr>
      <w:r>
        <w:rPr>
          <w:rFonts w:hint="eastAsia" w:ascii="Times New Roman" w:hAnsi="Times New Roman" w:eastAsia="方正小标宋_GBK" w:cs="方正小标宋_GBK"/>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Fonts w:hint="eastAsia" w:ascii="Times New Roman" w:hAnsi="Times New Roman" w:eastAsia="方正黑体_GBK" w:cs="方正黑体_GBK"/>
          <w:sz w:val="32"/>
          <w:szCs w:val="32"/>
        </w:rPr>
      </w:pPr>
      <w:r>
        <w:rPr>
          <w:rStyle w:val="9"/>
          <w:rFonts w:hint="eastAsia" w:ascii="Times New Roman" w:hAnsi="Times New Roman" w:eastAsia="方正黑体_GBK" w:cs="方正黑体_GBK"/>
          <w:sz w:val="32"/>
          <w:szCs w:val="32"/>
          <w:shd w:val="clear" w:color="auto" w:fill="FFFFFF"/>
        </w:rPr>
        <w:t>一、单位基本情况</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240" w:leftChars="-100" w:firstLine="643" w:firstLineChars="200"/>
        <w:jc w:val="both"/>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shd w:val="clear" w:color="auto" w:fill="FFFFFF"/>
        </w:rPr>
        <w:t>（一）</w:t>
      </w:r>
      <w:r>
        <w:rPr>
          <w:rFonts w:hint="eastAsia" w:ascii="Times New Roman" w:hAnsi="Times New Roman" w:eastAsia="方正楷体_GBK" w:cs="方正楷体_GBK"/>
          <w:b/>
          <w:bCs/>
          <w:sz w:val="32"/>
          <w:szCs w:val="32"/>
        </w:rPr>
        <w:t>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40" w:leftChars="-10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实施小学学历（义务）教育，为学生提供相关社会服务。</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240" w:leftChars="-10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w:t>
      </w:r>
      <w:r>
        <w:rPr>
          <w:rFonts w:hint="eastAsia" w:ascii="Times New Roman" w:hAnsi="Times New Roman" w:eastAsia="方正楷体_GBK" w:cs="方正楷体_GBK"/>
          <w:b/>
          <w:bCs/>
          <w:sz w:val="32"/>
          <w:szCs w:val="32"/>
          <w:shd w:val="clear" w:color="auto" w:fill="FFFFFF"/>
          <w:lang w:eastAsia="zh-CN"/>
        </w:rPr>
        <w:t>二</w:t>
      </w:r>
      <w:r>
        <w:rPr>
          <w:rFonts w:hint="default" w:ascii="Times New Roman" w:hAnsi="Times New Roman" w:eastAsia="方正楷体_GBK" w:cs="方正楷体_GBK"/>
          <w:b/>
          <w:bCs/>
          <w:sz w:val="32"/>
          <w:szCs w:val="32"/>
          <w:shd w:val="clear" w:color="auto" w:fill="FFFFFF"/>
        </w:rPr>
        <w:t>）机构设置。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240" w:leftChars="-10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为独立办学的事业单位，纳入本单位决算汇编范围的独立核算单位共1个。从预算单位构成看，无纳入本单位2023年度决算编制的下级预算单位。本单位为全额拨款事业单位，内设机构7个，分别是党政办、教导处、教科室、学生发展中心、后勤服务中心、人事处、工会。</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黑体_GBK" w:cs="方正黑体_GBK"/>
          <w:sz w:val="32"/>
          <w:szCs w:val="32"/>
          <w:shd w:val="clear" w:color="auto" w:fill="FFFFFF"/>
        </w:rPr>
      </w:pPr>
      <w:r>
        <w:rPr>
          <w:rStyle w:val="9"/>
          <w:rFonts w:hint="default" w:ascii="Times New Roman" w:hAnsi="Times New Roman" w:eastAsia="方正黑体_GBK" w:cs="方正黑体_GBK"/>
          <w:sz w:val="32"/>
          <w:szCs w:val="32"/>
          <w:shd w:val="clear" w:color="auto" w:fill="FFFFFF"/>
        </w:rPr>
        <w:t>二、单位决算情况说明</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rPr>
        <w:t>2023年度收入总计4743.28万元，支出总计4743.28万元。收支较上年决算数减少258.50万元，下降5.17%，主要原因是2023年较上年信息化建设费用等减少，导致支出减少。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rPr>
        <w:t>2023年度收入合计4743.28万元，较上年决算数减少258.50万元，下降5.17%，主要原因是2023年较上年信息化建设费用等减少，导致收入减少。其中：财政拨款收入4743.28万元，占100.00%。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rPr>
        <w:t>2023年度支出合计4743.28万元，较上年决算数减少258.50万元，下降5.17%，主要原因是2023年较上年信息化建设费用等减少，导致支出减少。其中：基本支出4595.58万元，占96.89%；项目支出147.70万元，占3.11%。</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rPr>
        <w:t>2023年度年末结转和结余0.00万元，与上年持平。</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2023年度财政拨款收、支总计4743.28万元。与2022年相比，财政拨款收、支总计各减少258.50万元，下降5.17%。主要原因是2023年较上年信息化建设费用等减少，导致收、支减少。</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（三）一般公共预算财政拨款收入支出决算情况说明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方正仿宋_GBK"/>
          <w:sz w:val="32"/>
          <w:szCs w:val="32"/>
          <w:shd w:val="clear" w:color="auto" w:fill="FFFFFF"/>
        </w:rPr>
        <w:t>1.收入情况。</w:t>
      </w:r>
      <w:r>
        <w:rPr>
          <w:rFonts w:hint="default" w:ascii="Times New Roman" w:hAnsi="Times New Roman" w:eastAsia="方正仿宋_GBK" w:cs="Times New Roman"/>
          <w:sz w:val="32"/>
          <w:szCs w:val="32"/>
        </w:rPr>
        <w:t>2023年度一般公共预算财政拨款收入4726.28万元，较上年决算数减少273.50万元，下降5.47%。主要原因是2023年较上年信息化建设费用等减少，导致收入减少。较年初预算数增加2246.25万元，增长90.57%。主要原因是年中获得上级补助资金预算，导致年末决算数大于年初预算数。此外，年初财政拨款结转和结余0.00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方正仿宋_GBK"/>
          <w:sz w:val="32"/>
          <w:szCs w:val="32"/>
          <w:shd w:val="clear" w:color="auto" w:fill="FFFFFF"/>
        </w:rPr>
        <w:t>2.支出情况。</w:t>
      </w:r>
      <w:r>
        <w:rPr>
          <w:rFonts w:hint="default" w:ascii="Times New Roman" w:hAnsi="Times New Roman" w:eastAsia="方正仿宋_GBK" w:cs="Times New Roman"/>
          <w:sz w:val="32"/>
          <w:szCs w:val="32"/>
        </w:rPr>
        <w:t>2023年度一般公共预算财政拨款支出4726.28万元，较上年决算数减少273.50万元，下降5.47%。主要原因是2023年较上年信息化建设费用等减少，导致支出减少。较年初预算数增加2246.25万元，增长90.57%。主要原因是年中获得上级补助资金预算，导致年末决算数大于年初预算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rPr>
        <w:t>2023年度年末一般公共预算财政拨款结转和结余0.00万元，与上年持平。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仿宋_GBK" w:cs="Times New Roman"/>
          <w:sz w:val="32"/>
          <w:szCs w:val="32"/>
        </w:rPr>
      </w:pPr>
      <w:r>
        <w:rPr>
          <w:rStyle w:val="9"/>
          <w:rFonts w:hint="eastAsia" w:ascii="Times New Roman" w:hAnsi="Times New Roman" w:eastAsia="方正仿宋_GBK" w:cs="方正仿宋_GBK"/>
          <w:sz w:val="32"/>
          <w:szCs w:val="32"/>
          <w:shd w:val="clear" w:color="auto" w:fill="FFFFFF"/>
        </w:rPr>
        <w:t>4.比较情况。</w:t>
      </w:r>
      <w:r>
        <w:rPr>
          <w:rFonts w:hint="default" w:ascii="Times New Roman" w:hAnsi="Times New Roman" w:eastAsia="方正仿宋_GBK" w:cs="Times New Roman"/>
          <w:sz w:val="32"/>
          <w:szCs w:val="32"/>
        </w:rPr>
        <w:t>本单位2023年度一般公共预算财政拨款支出主要用于以下几个方面：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（1）教育支出4131.47万元，占87.41%，较年初预算数增加2243.31万元，增长118.81%，主要原因是年中获得上级补助资金预算，导致年末决算数大于年初预算数。</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（2）文化旅游体育与传媒支出10.00万元，占0.21%，较年初预算数增加10.00万元，增长100.00%，主要原因是年中预算调整，增加了开展竞技体育和体教融合发展专项经费。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（3）社会保障与就业支出292.82万元，占6.20%，较年初预算数减少3.88万元，下降1.31%，主要原因是公积金缴费基数预算与实际存在差异。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（4）卫生健康支出145.69万元，占3.08%，较年初预算数减少1.13万元，下降0.77%，主要原因是社保缴费基数预算与实际存在差异。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（5）住房保障支出146.31万元，占3.10%，较年初预算数减少2.04万元，下降1.38%，主要原因是社保缴费基数预算与实际存在差异。</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4595.58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3929.12</w:t>
      </w:r>
      <w:r>
        <w:rPr>
          <w:rFonts w:hint="default" w:ascii="Times New Roman" w:hAnsi="Times New Roman" w:eastAsia="方正仿宋_GBK" w:cs="Times New Roman"/>
          <w:sz w:val="32"/>
          <w:szCs w:val="32"/>
          <w:shd w:val="clear" w:color="auto" w:fill="FFFFFF"/>
        </w:rPr>
        <w:t>万元，较上年决算数减少36.72万元，下降0.93%，主要原因是</w:t>
      </w:r>
      <w:r>
        <w:rPr>
          <w:rFonts w:hint="default" w:ascii="Times New Roman" w:hAnsi="Times New Roman" w:eastAsia="方正仿宋_GBK" w:cs="Times New Roman"/>
          <w:sz w:val="32"/>
          <w:szCs w:val="32"/>
        </w:rPr>
        <w:t>学校考核等次降低等减少了人员支出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人员经费用途主要包括教师工资、基础性绩效、超额绩效、学生资助等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666.46</w:t>
      </w:r>
      <w:r>
        <w:rPr>
          <w:rFonts w:hint="default" w:ascii="Times New Roman" w:hAnsi="Times New Roman" w:eastAsia="方正仿宋_GBK" w:cs="Times New Roman"/>
          <w:sz w:val="32"/>
          <w:szCs w:val="32"/>
          <w:shd w:val="clear" w:color="auto" w:fill="FFFFFF"/>
        </w:rPr>
        <w:t>万元，较上年决算数减少139.59万元，下降17.32%，主要原因是2023年较上年信息化建设费用等减少。</w:t>
      </w:r>
      <w:r>
        <w:rPr>
          <w:rFonts w:hint="default" w:ascii="Times New Roman" w:hAnsi="Times New Roman" w:eastAsia="方正仿宋_GBK" w:cs="Times New Roman"/>
          <w:sz w:val="32"/>
          <w:szCs w:val="32"/>
        </w:rPr>
        <w:t>公用经费用途主要包括办公费、印刷费、水费、电费、劳务费、培训费、委托业务费、设备购置费等</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17.00万元，较上年决算数增加15.00万元，增长750.00%，主要原因是重庆市乡村少年宫办公室考核经费确定本年我校运转经费17.00万元。本年支出17.00万元，较上年决算数增加15.00万元，增长750.00%，主要原因是重庆市乡村少年宫办公室考核经费确定本年我校运转经费17.00万元。</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6"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黑体_GBK" w:cs="方正黑体_GBK"/>
          <w:sz w:val="32"/>
          <w:szCs w:val="32"/>
          <w:shd w:val="clear" w:color="auto" w:fill="FFFFFF"/>
        </w:rPr>
      </w:pPr>
      <w:r>
        <w:rPr>
          <w:rStyle w:val="9"/>
          <w:rFonts w:hint="default" w:ascii="Times New Roman" w:hAnsi="Times New Roman" w:eastAsia="方正黑体_GBK" w:cs="方正黑体_GBK"/>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snapToGrid/>
        <w:spacing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我单位2023年度无“三公”经费年初预算和支出。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黑体_GBK" w:cs="方正黑体_GBK"/>
          <w:sz w:val="32"/>
          <w:szCs w:val="32"/>
          <w:shd w:val="clear" w:color="auto" w:fill="FFFFFF"/>
        </w:rPr>
      </w:pPr>
      <w:r>
        <w:rPr>
          <w:rStyle w:val="9"/>
          <w:rFonts w:hint="default" w:ascii="Times New Roman" w:hAnsi="Times New Roman" w:eastAsia="方正黑体_GBK" w:cs="方正黑体_GBK"/>
          <w:sz w:val="32"/>
          <w:szCs w:val="32"/>
          <w:shd w:val="clear" w:color="auto" w:fill="FFFFFF"/>
        </w:rPr>
        <w:t>四、其他需要说明的事项</w:t>
      </w:r>
    </w:p>
    <w:p>
      <w:pPr>
        <w:pStyle w:val="7"/>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本年度会议费支出0.00万元，较上年决算数无增减。本年度培训费支出34.01万元，较上年决算数增加4.16万元，增长13.94%，主要原因是本年为提高教学质量，加大了教师教育教学方面的培训支出。</w:t>
      </w:r>
    </w:p>
    <w:p>
      <w:pPr>
        <w:pStyle w:val="7"/>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7"/>
        <w:keepNext w:val="0"/>
        <w:keepLines w:val="0"/>
        <w:pageBreakBefore w:val="0"/>
        <w:widowControl/>
        <w:numPr>
          <w:ilvl w:val="0"/>
          <w:numId w:val="0"/>
        </w:numPr>
        <w:kinsoku/>
        <w:wordWrap/>
        <w:overflowPunct/>
        <w:topLinePunct w:val="0"/>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截至2023年12月31日，我单位共有车辆0辆，单价100万元（含）以上专用设备0台（套）。</w:t>
      </w:r>
    </w:p>
    <w:p>
      <w:pPr>
        <w:pStyle w:val="12"/>
        <w:keepNext w:val="0"/>
        <w:keepLines w:val="0"/>
        <w:pageBreakBefore w:val="0"/>
        <w:widowControl/>
        <w:kinsoku/>
        <w:wordWrap/>
        <w:overflowPunct/>
        <w:topLinePunct w:val="0"/>
        <w:autoSpaceDE w:val="0"/>
        <w:autoSpaceDN/>
        <w:bidi w:val="0"/>
        <w:adjustRightInd/>
        <w:snapToGrid/>
        <w:spacing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lang w:val="en-US" w:eastAsia="zh-CN" w:bidi="ar-SA"/>
        </w:rPr>
      </w:pPr>
      <w:r>
        <w:rPr>
          <w:rFonts w:hint="default" w:ascii="Times New Roman" w:hAnsi="Times New Roman" w:eastAsia="方正楷体_GBK" w:cs="方正楷体_GBK"/>
          <w:b/>
          <w:bCs/>
          <w:sz w:val="32"/>
          <w:szCs w:val="32"/>
          <w:shd w:val="clear" w:color="auto" w:fill="FFFFFF"/>
        </w:rPr>
        <w:t>（</w:t>
      </w:r>
      <w:r>
        <w:rPr>
          <w:rFonts w:hint="eastAsia" w:ascii="Times New Roman" w:hAnsi="Times New Roman" w:eastAsia="方正楷体_GBK" w:cs="方正楷体_GBK"/>
          <w:b/>
          <w:bCs/>
          <w:sz w:val="32"/>
          <w:szCs w:val="32"/>
          <w:shd w:val="clear" w:color="auto" w:fill="FFFFFF"/>
          <w:lang w:eastAsia="zh-CN"/>
        </w:rPr>
        <w:t>四</w:t>
      </w:r>
      <w:r>
        <w:rPr>
          <w:rFonts w:hint="default" w:ascii="Times New Roman" w:hAnsi="Times New Roman" w:eastAsia="方正楷体_GBK" w:cs="方正楷体_GBK"/>
          <w:b/>
          <w:bCs/>
          <w:sz w:val="32"/>
          <w:szCs w:val="32"/>
          <w:shd w:val="clear" w:color="auto" w:fill="FFFFFF"/>
        </w:rPr>
        <w:t>）</w:t>
      </w:r>
      <w:r>
        <w:rPr>
          <w:rFonts w:hint="default" w:ascii="Times New Roman" w:hAnsi="Times New Roman" w:eastAsia="方正楷体_GBK" w:cs="方正楷体_GBK"/>
          <w:b/>
          <w:bCs/>
          <w:sz w:val="32"/>
          <w:szCs w:val="32"/>
          <w:shd w:val="clear" w:color="auto" w:fill="FFFFFF"/>
          <w:lang w:val="en-US" w:eastAsia="zh-CN" w:bidi="ar-SA"/>
        </w:rPr>
        <w:t>政府采购支出情况说明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我单位2023年未发生政府采购事项，无相关经费支出。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黑体_GBK" w:cs="方正黑体_GBK"/>
          <w:sz w:val="32"/>
          <w:szCs w:val="32"/>
          <w:shd w:val="clear" w:color="auto" w:fill="FFFFFF"/>
        </w:rPr>
      </w:pPr>
      <w:r>
        <w:rPr>
          <w:rStyle w:val="9"/>
          <w:rFonts w:hint="eastAsia" w:ascii="Times New Roman" w:hAnsi="Times New Roman" w:eastAsia="方正黑体_GBK" w:cs="方正黑体_GBK"/>
          <w:sz w:val="32"/>
          <w:szCs w:val="32"/>
          <w:shd w:val="clear" w:color="auto" w:fill="FFFFFF"/>
          <w:lang w:eastAsia="zh-CN"/>
        </w:rPr>
        <w:t>五、</w:t>
      </w:r>
      <w:r>
        <w:rPr>
          <w:rStyle w:val="9"/>
          <w:rFonts w:hint="default" w:ascii="Times New Roman" w:hAnsi="Times New Roman" w:eastAsia="方正黑体_GBK" w:cs="方正黑体_GBK"/>
          <w:sz w:val="32"/>
          <w:szCs w:val="32"/>
          <w:shd w:val="clear" w:color="auto" w:fill="FFFFFF"/>
        </w:rPr>
        <w:t>预算绩效管理情况说明</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w:t>
      </w:r>
      <w:r>
        <w:rPr>
          <w:rFonts w:hint="eastAsia" w:ascii="Times New Roman" w:hAnsi="Times New Roman" w:eastAsia="方正楷体_GBK" w:cs="方正楷体_GBK"/>
          <w:b/>
          <w:bCs/>
          <w:sz w:val="32"/>
          <w:szCs w:val="32"/>
          <w:shd w:val="clear" w:color="auto" w:fill="FFFFFF"/>
          <w:lang w:eastAsia="zh-CN"/>
        </w:rPr>
        <w:t>一</w:t>
      </w:r>
      <w:r>
        <w:rPr>
          <w:rFonts w:hint="default" w:ascii="Times New Roman" w:hAnsi="Times New Roman" w:eastAsia="方正楷体_GBK" w:cs="方正楷体_GBK"/>
          <w:b/>
          <w:bCs/>
          <w:sz w:val="32"/>
          <w:szCs w:val="32"/>
          <w:shd w:val="clear" w:color="auto" w:fill="FFFFFF"/>
        </w:rPr>
        <w:t>）单位自评情况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根据预算绩效管理要求，我单位对8个二级项目开展了绩效自评，涉及财政拨款项目支出资金147.7万元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项目支出绩效自评表详见附表。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（二）单位绩效评价情况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default" w:ascii="Times New Roman" w:hAnsi="Times New Roman" w:eastAsia="方正楷体_GBK" w:cs="方正楷体_GBK"/>
          <w:b/>
          <w:bCs/>
          <w:sz w:val="32"/>
          <w:szCs w:val="32"/>
          <w:shd w:val="clear" w:color="auto" w:fill="FFFFFF"/>
        </w:rPr>
      </w:pPr>
      <w:r>
        <w:rPr>
          <w:rFonts w:hint="default" w:ascii="Times New Roman" w:hAnsi="Times New Roman" w:eastAsia="方正楷体_GBK" w:cs="方正楷体_GBK"/>
          <w:b/>
          <w:bCs/>
          <w:sz w:val="32"/>
          <w:szCs w:val="32"/>
          <w:shd w:val="clear" w:color="auto" w:fill="FFFFFF"/>
        </w:rPr>
        <w:t>（三）财政绩效评价情况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黑体_GBK" w:cs="方正黑体_GBK"/>
          <w:sz w:val="32"/>
          <w:szCs w:val="32"/>
          <w:shd w:val="clear" w:color="auto" w:fill="FFFFFF"/>
          <w:lang w:eastAsia="zh-CN"/>
        </w:rPr>
      </w:pPr>
      <w:r>
        <w:rPr>
          <w:rStyle w:val="9"/>
          <w:rFonts w:hint="default" w:ascii="Times New Roman" w:hAnsi="Times New Roman" w:eastAsia="方正黑体_GBK" w:cs="方正黑体_GBK"/>
          <w:sz w:val="32"/>
          <w:szCs w:val="32"/>
          <w:shd w:val="clear" w:color="auto" w:fill="FFFFFF"/>
          <w:lang w:eastAsia="zh-CN"/>
        </w:rPr>
        <w:t>六、专业名词解释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b/>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方正楷体_GBK"/>
          <w:b/>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黑体_GBK" w:cs="方正黑体_GBK"/>
          <w:sz w:val="32"/>
          <w:szCs w:val="32"/>
          <w:shd w:val="clear" w:color="auto" w:fill="FFFFFF"/>
          <w:lang w:eastAsia="zh-CN"/>
        </w:rPr>
        <w:t> 七、决算公开联系方式及信息反馈渠道</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本单位决算公开信息反馈和联系方式：023-61691886</w:t>
      </w:r>
    </w:p>
    <w:p>
      <w:pPr>
        <w:pStyle w:val="12"/>
        <w:autoSpaceDE w:val="0"/>
        <w:ind w:firstLine="0" w:firstLineChars="0"/>
        <w:rPr>
          <w:rFonts w:hint="default" w:ascii="Times New Roman" w:hAnsi="Times New Roman" w:eastAsia="方正仿宋_GBK" w:cs="Times New Roman"/>
          <w:sz w:val="32"/>
          <w:szCs w:val="32"/>
          <w:shd w:val="clear" w:color="auto" w:fill="FFFF00"/>
        </w:rPr>
      </w:pPr>
    </w:p>
    <w:p>
      <w:pPr>
        <w:pStyle w:val="12"/>
        <w:autoSpaceDE w:val="0"/>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重庆科学城康居西城小学校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4,726.28</w:t>
            </w:r>
            <w:bookmarkStart w:id="0" w:name="_GoBack"/>
            <w:r>
              <w:rPr>
                <w:sz w:val="20"/>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17.00</w:t>
            </w: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4,131.47</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10.00</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292.82</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145.69</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146.31</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17.00</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4,743.28</w:t>
            </w: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4,743.28</w:t>
            </w: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4,743.28</w:t>
            </w:r>
            <w:r>
              <w:rPr>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4,743.28</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重庆科学城康居西城小学校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4,743.28</w:t>
            </w: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4,743.28</w:t>
            </w: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108.77</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108.77</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4,019.12</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4,019.12</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2070399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195.21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195.21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97.61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97.61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127.39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127.39</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18.30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18.30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146.31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146.31</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17.00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17.00</w:t>
            </w: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重庆科学城康居西城小学校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4,743.28</w:t>
            </w:r>
            <w:r>
              <w:rPr>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4,595.58</w:t>
            </w:r>
            <w:r>
              <w:rPr>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147.70</w:t>
            </w:r>
            <w:r>
              <w:rPr>
                <w:b/>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4,010.77</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120.70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4,131.47</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4,010.77</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120.70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108.77</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108.77</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4,019.12</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3,898.42</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120.70</w:t>
            </w: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3.59</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10.00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2070399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10.00</w:t>
            </w: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292.82</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195.21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195.21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97.61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97.61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145.69</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127.39</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127.39</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18.30</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18.30</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146.31</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146.31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146.31</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17.00</w:t>
            </w:r>
            <w:r>
              <w:rPr>
                <w:b/>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17.00</w:t>
            </w: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17.00</w:t>
            </w: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重庆科学城康居西城小学校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4,726.28</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17.00</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4,131.47</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4,131.47</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10.00</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10.00</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292.82</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292.82</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145.69</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145.69</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146.31</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146.31</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17.00</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17.00</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4,743.28</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4,743.28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4,726.28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17.00</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4,743.28</w:t>
            </w:r>
            <w:r>
              <w:rPr>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4,743.28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4,726.28</w:t>
            </w:r>
            <w:r>
              <w:rPr>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17.00</w:t>
            </w:r>
            <w:r>
              <w:rPr>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重庆科学城康居西城小学校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4,726.28</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4,595.58</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130.70</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4,131.47</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4,010.77</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120.70</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4,131.47</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4,010.77</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120.70</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108.77</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108.77</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4,019.12</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3,898.42</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120.70</w:t>
            </w: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3.59</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3.59</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10.00</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10.00</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10.00</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10.00</w:t>
            </w:r>
            <w:r>
              <w:rPr>
                <w:b/>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2070399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其他体育支出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10.00</w:t>
            </w: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292.82</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292.82</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292.82</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292.82</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195.21</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195.21</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97.61</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97.61</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145.69</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145.69</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145.69</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145.69</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127.39</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127.39</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18.30</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18.30</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146.31</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146.31</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146.31</w:t>
            </w:r>
            <w:r>
              <w:rPr>
                <w:b/>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146.31</w:t>
            </w:r>
            <w:r>
              <w:rPr>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146.31</w:t>
            </w:r>
            <w:r>
              <w:rPr>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146.31</w:t>
            </w:r>
            <w:r>
              <w:rPr>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重庆科学城康居西城小学校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3,784.01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644.36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22.09</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591.21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77.61</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23.31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33.97</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20.09</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1.15</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2,549.07</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4.03</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195.21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16.84</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2.00</w:t>
            </w: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97.61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1.22</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103.71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18.35</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31.71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1.99</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146.31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45.88</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88.88</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0.41</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145.11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31.73</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17.76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145.11</w:t>
            </w: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147.69</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8.26</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69.50</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17.74</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0.41</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0.05</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106.78</w:t>
            </w: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3,929.12</w:t>
            </w:r>
            <w:r>
              <w:rPr>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666.46</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重庆科学城康居西城小学校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17.00</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17.00</w:t>
            </w:r>
            <w:r>
              <w:rPr>
                <w:b/>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17.00</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17.00</w:t>
            </w:r>
            <w:r>
              <w:rPr>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17.00</w:t>
            </w:r>
            <w:r>
              <w:rPr>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重庆科学城康居西城小学校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重庆科学城康居西城小学校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34.01</w:t>
            </w:r>
            <w:r>
              <w:rPr>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5563C"/>
    <w:rsid w:val="00062E9D"/>
    <w:rsid w:val="00100149"/>
    <w:rsid w:val="0018793A"/>
    <w:rsid w:val="00197E13"/>
    <w:rsid w:val="001D0DBA"/>
    <w:rsid w:val="001D3BB7"/>
    <w:rsid w:val="001F6980"/>
    <w:rsid w:val="00200D15"/>
    <w:rsid w:val="0022556A"/>
    <w:rsid w:val="00297D08"/>
    <w:rsid w:val="002B254B"/>
    <w:rsid w:val="00311E78"/>
    <w:rsid w:val="0033349E"/>
    <w:rsid w:val="00351FA2"/>
    <w:rsid w:val="003677F5"/>
    <w:rsid w:val="0037480C"/>
    <w:rsid w:val="003C7419"/>
    <w:rsid w:val="003E20D4"/>
    <w:rsid w:val="0041486A"/>
    <w:rsid w:val="00456132"/>
    <w:rsid w:val="00466C9B"/>
    <w:rsid w:val="004B5C38"/>
    <w:rsid w:val="00550ABE"/>
    <w:rsid w:val="005C209D"/>
    <w:rsid w:val="00612BA9"/>
    <w:rsid w:val="00617A35"/>
    <w:rsid w:val="006240AF"/>
    <w:rsid w:val="0066321D"/>
    <w:rsid w:val="006B2AEC"/>
    <w:rsid w:val="006B6518"/>
    <w:rsid w:val="006D546A"/>
    <w:rsid w:val="006F7B84"/>
    <w:rsid w:val="00710956"/>
    <w:rsid w:val="00770383"/>
    <w:rsid w:val="007819D4"/>
    <w:rsid w:val="007B419D"/>
    <w:rsid w:val="007B7C4B"/>
    <w:rsid w:val="007C075F"/>
    <w:rsid w:val="007D3D39"/>
    <w:rsid w:val="00826F5E"/>
    <w:rsid w:val="00836A93"/>
    <w:rsid w:val="00841D51"/>
    <w:rsid w:val="00860552"/>
    <w:rsid w:val="00994AF7"/>
    <w:rsid w:val="009B67B8"/>
    <w:rsid w:val="009B6916"/>
    <w:rsid w:val="009B722C"/>
    <w:rsid w:val="009D2B67"/>
    <w:rsid w:val="00A20A8C"/>
    <w:rsid w:val="00A4225F"/>
    <w:rsid w:val="00A566F9"/>
    <w:rsid w:val="00A665FC"/>
    <w:rsid w:val="00A93104"/>
    <w:rsid w:val="00AB33EE"/>
    <w:rsid w:val="00AF2751"/>
    <w:rsid w:val="00B03CCD"/>
    <w:rsid w:val="00B12389"/>
    <w:rsid w:val="00B131AD"/>
    <w:rsid w:val="00B460C0"/>
    <w:rsid w:val="00B87F0D"/>
    <w:rsid w:val="00BE2B89"/>
    <w:rsid w:val="00BE42C6"/>
    <w:rsid w:val="00C04A56"/>
    <w:rsid w:val="00C10E9E"/>
    <w:rsid w:val="00C1733C"/>
    <w:rsid w:val="00C20C3E"/>
    <w:rsid w:val="00CB2815"/>
    <w:rsid w:val="00CF153A"/>
    <w:rsid w:val="00D767F8"/>
    <w:rsid w:val="00DE1E9B"/>
    <w:rsid w:val="00E270E1"/>
    <w:rsid w:val="00E352DD"/>
    <w:rsid w:val="00E81785"/>
    <w:rsid w:val="00EE662B"/>
    <w:rsid w:val="00F135D8"/>
    <w:rsid w:val="00F33055"/>
    <w:rsid w:val="00F73F90"/>
    <w:rsid w:val="00FA00E5"/>
    <w:rsid w:val="00FB08E1"/>
    <w:rsid w:val="01474EBF"/>
    <w:rsid w:val="01F3521E"/>
    <w:rsid w:val="03B87EA0"/>
    <w:rsid w:val="03E3214F"/>
    <w:rsid w:val="044C50BA"/>
    <w:rsid w:val="05BC6D49"/>
    <w:rsid w:val="06194FF1"/>
    <w:rsid w:val="06A2550B"/>
    <w:rsid w:val="06F80EE2"/>
    <w:rsid w:val="06FD0721"/>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26DD0"/>
    <w:rsid w:val="0B9335CE"/>
    <w:rsid w:val="0BF2311A"/>
    <w:rsid w:val="0C7927C4"/>
    <w:rsid w:val="0C9B098C"/>
    <w:rsid w:val="0D673E11"/>
    <w:rsid w:val="0DDA54E4"/>
    <w:rsid w:val="0E3A5F83"/>
    <w:rsid w:val="0F836721"/>
    <w:rsid w:val="0FA25D96"/>
    <w:rsid w:val="1028497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C1651"/>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244F16"/>
    <w:rsid w:val="29310A5F"/>
    <w:rsid w:val="29C37A35"/>
    <w:rsid w:val="2A076083"/>
    <w:rsid w:val="2A73162E"/>
    <w:rsid w:val="2B167953"/>
    <w:rsid w:val="2B200583"/>
    <w:rsid w:val="2B8209DE"/>
    <w:rsid w:val="2C636760"/>
    <w:rsid w:val="2C6762A3"/>
    <w:rsid w:val="2CA811A6"/>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F4FBC"/>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B6B3B"/>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FE315D"/>
    <w:rsid w:val="60C74F6C"/>
    <w:rsid w:val="61025A59"/>
    <w:rsid w:val="613D5BBC"/>
    <w:rsid w:val="61536C39"/>
    <w:rsid w:val="62944DD7"/>
    <w:rsid w:val="6319381F"/>
    <w:rsid w:val="63C25DC5"/>
    <w:rsid w:val="63C62057"/>
    <w:rsid w:val="64571EF5"/>
    <w:rsid w:val="64FB113D"/>
    <w:rsid w:val="656152C6"/>
    <w:rsid w:val="6587477F"/>
    <w:rsid w:val="658C3A08"/>
    <w:rsid w:val="65981D90"/>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DB67BF"/>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1917</Words>
  <Characters>10927</Characters>
  <Lines>91</Lines>
  <Paragraphs>25</Paragraphs>
  <TotalTime>3</TotalTime>
  <ScaleCrop>false</ScaleCrop>
  <LinksUpToDate>false</LinksUpToDate>
  <CharactersWithSpaces>12819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2024-10-16T07:26:07Z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