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重庆科学城西永中学校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黑体_GBK" w:cs="Times New Roman"/>
          <w:sz w:val="32"/>
          <w:szCs w:val="32"/>
        </w:rPr>
      </w:pPr>
      <w:r>
        <w:rPr>
          <w:rStyle w:val="9"/>
          <w:rFonts w:hint="default" w:ascii="Times New Roman" w:hAnsi="Times New Roman" w:eastAsia="方正黑体_GBK" w:cs="Times New Roman"/>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sz w:val="32"/>
          <w:szCs w:val="32"/>
        </w:rPr>
      </w:pPr>
      <w:r>
        <w:rPr>
          <w:rStyle w:val="9"/>
          <w:rFonts w:hint="default" w:ascii="Times New Roman" w:hAnsi="Times New Roman" w:eastAsia="方正楷体_GBK" w:cs="Times New Roman"/>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Fonts w:hint="default" w:ascii="Times New Roman" w:hAnsi="Times New Roman" w:eastAsia="方正仿宋_GBK" w:cs="Times New Roman"/>
          <w:color w:val="000000" w:themeColor="text1"/>
          <w:sz w:val="32"/>
          <w:szCs w:val="32"/>
          <w:shd w:val="clear" w:color="auto" w:fill="FFFFFF"/>
          <w:lang w:val="en-US" w:eastAsia="zh-CN"/>
        </w:rPr>
        <w:t>实施初中义务教育，促进基础教育发展，为学生提供相关社会服务。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（二）机构设置</w:t>
      </w:r>
    </w:p>
    <w:p>
      <w:pPr>
        <w:pStyle w:val="13"/>
        <w:keepNext w:val="0"/>
        <w:keepLines w:val="0"/>
        <w:pageBreakBefore w:val="0"/>
        <w:widowControl w:val="0"/>
        <w:kinsoku/>
        <w:wordWrap/>
        <w:overflowPunct/>
        <w:topLinePunct w:val="0"/>
        <w:autoSpaceDE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lang w:val="en-US" w:eastAsia="zh-CN" w:bidi="ar-SA"/>
        </w:rPr>
        <w:t>本部门为全额拨款事业单位，内设机构7个，分别是党政办、教导处、教科室、德育处、后勤处、人事处、工会。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二、单位决算情况说明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（一）收入支出决算总体情况说明。</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color w:val="000000" w:themeColor="text1"/>
          <w:sz w:val="32"/>
          <w:szCs w:val="32"/>
          <w:shd w:val="clear" w:color="auto" w:fill="FFFFFF"/>
          <w:lang w:val="en-US" w:eastAsia="zh-CN"/>
        </w:rPr>
        <w:t>2023年度收入总计1768.06万元，支出总计1768.06万元。收支较上年决算数增加86.13万元，增长5.12%，主要原因是优质发展学校，上级加大了对学校的投入，公用经费增加。</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color w:val="000000" w:themeColor="text1"/>
          <w:sz w:val="32"/>
          <w:szCs w:val="32"/>
          <w:shd w:val="clear" w:color="auto" w:fill="FFFFFF"/>
          <w:lang w:val="en-US" w:eastAsia="zh-CN"/>
        </w:rPr>
        <w:t>2023年度收入合计1768.06万元，较上年决算数增加86.13万元，增长5.12%，主要原因是优质发展学校，上级加大了对学校的投入，公用经费增加。其中：财政拨款收入1768.06万元，占100.00%；事业收入0.00万元，占0.00%；经营收入0.00万元，占0.00%；其他收入0.00万元，占0.00%。此外，使用非财政拨款结余和专用结余0.00万元，年初结转和结余0.00万元。</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color w:val="000000" w:themeColor="text1"/>
          <w:sz w:val="32"/>
          <w:szCs w:val="32"/>
          <w:shd w:val="clear" w:color="auto" w:fill="FFFFFF"/>
          <w:lang w:val="en-US" w:eastAsia="zh-CN"/>
        </w:rPr>
        <w:t>2023年度支出合计1768.06万元，较上年决算数增加86.13万元，增长5.12%，主要原因是优质发展学校，上级加大了对学校的投入，公用经费增加。其中：基本支出1636.69万元，占92.57%；项目支出131.37万元，占7.43%；经营支出0.00万元，占0.00%。此外，结余分配0.00万元。</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color w:val="000000" w:themeColor="text1"/>
          <w:sz w:val="32"/>
          <w:szCs w:val="32"/>
          <w:shd w:val="clear" w:color="auto" w:fill="FFFFFF"/>
          <w:lang w:val="en-US" w:eastAsia="zh-CN"/>
        </w:rPr>
        <w:t>2023年度年末结转和结余0.00万元，较上年决算数无增减，主要原因是2023年度年末结转和结余0.00万元，与上年持平。</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（二）财政拨款收入支出决算总体情况说明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Fonts w:hint="default" w:ascii="Times New Roman" w:hAnsi="Times New Roman" w:eastAsia="方正仿宋_GBK" w:cs="Times New Roman"/>
          <w:color w:val="000000" w:themeColor="text1"/>
          <w:sz w:val="32"/>
          <w:szCs w:val="32"/>
          <w:shd w:val="clear" w:color="auto" w:fill="FFFFFF"/>
          <w:lang w:val="en-US" w:eastAsia="zh-CN"/>
        </w:rPr>
        <w:t>2023年度财政拨款收、支总计1768.06万元。与2022年相比，财政拨款收、支总计各增加86.13万元，增长5.12%。主要原因是优质发展学校，上级加大了对学校的投入，公用经费增加。</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color w:val="000000" w:themeColor="text1"/>
          <w:sz w:val="32"/>
          <w:szCs w:val="32"/>
          <w:shd w:val="clear" w:color="auto" w:fill="FFFFFF"/>
          <w:lang w:val="en-US" w:eastAsia="zh-CN"/>
        </w:rPr>
        <w:t>2023年度一般公共预算财政拨款收入1768.06万元，较上年决算数增加86.13万元，增长5.12%。主要原因是优质发展学校，上级加大了对学校的投入，公用经费增加。较年初预算数增加825.41万元，增长87.56%。主要原因是优质发展学校，上级加大了对学校的投入，公用经费增加。此外，年初财政拨款结转和结余0.00万元。</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color w:val="000000" w:themeColor="text1"/>
          <w:sz w:val="32"/>
          <w:szCs w:val="32"/>
          <w:shd w:val="clear" w:color="auto" w:fill="FFFFFF"/>
          <w:lang w:val="en-US" w:eastAsia="zh-CN"/>
        </w:rPr>
        <w:t>2023年度一般公共预算财政拨款支出1768.06万元，较上年决算数增加86.13万元，增长5.12%。主要原因是优质发展学校，上级加大了对学校的投入，公用经费增加。较年初预算数增加825.41万元，增长87.56%。主要原因是优质发展学校，上级加大了对学校的投入，公用经费增加</w:t>
      </w:r>
      <w:r>
        <w:rPr>
          <w:rFonts w:hint="default" w:ascii="Times New Roman" w:hAnsi="Times New Roman" w:eastAsia="方正仿宋_GBK" w:cs="Times New Roman"/>
          <w:sz w:val="32"/>
          <w:szCs w:val="32"/>
          <w:shd w:val="clear" w:color="auto" w:fill="FFFFFF"/>
          <w:lang w:eastAsia="zh-CN"/>
        </w:rPr>
        <w:t>。</w:t>
      </w:r>
    </w:p>
    <w:p>
      <w:pPr>
        <w:pStyle w:val="13"/>
        <w:keepNext w:val="0"/>
        <w:keepLines w:val="0"/>
        <w:pageBreakBefore w:val="0"/>
        <w:widowControl w:val="0"/>
        <w:kinsoku/>
        <w:wordWrap/>
        <w:overflowPunct/>
        <w:topLinePunct w:val="0"/>
        <w:autoSpaceDE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bidi="ar-SA"/>
        </w:rPr>
      </w:pPr>
      <w:r>
        <w:rPr>
          <w:rStyle w:val="9"/>
          <w:rFonts w:hint="default" w:ascii="Times New Roman" w:hAnsi="Times New Roman" w:eastAsia="方正仿宋_GBK" w:cs="Times New Roman"/>
          <w:sz w:val="32"/>
          <w:szCs w:val="32"/>
          <w:shd w:val="clear" w:color="auto" w:fill="FFFFFF"/>
          <w:lang w:val="en-US" w:eastAsia="zh-CN" w:bidi="ar-SA"/>
        </w:rPr>
        <w:t>3.结转结余情况。</w:t>
      </w:r>
      <w:r>
        <w:rPr>
          <w:rFonts w:hint="default" w:ascii="Times New Roman" w:hAnsi="Times New Roman" w:eastAsia="方正仿宋_GBK" w:cs="Times New Roman"/>
          <w:color w:val="000000" w:themeColor="text1"/>
          <w:sz w:val="32"/>
          <w:szCs w:val="32"/>
          <w:shd w:val="clear" w:color="auto" w:fill="FFFFFF"/>
          <w:lang w:val="en-US" w:eastAsia="zh-CN" w:bidi="ar-SA"/>
        </w:rPr>
        <w:t>2023年度年末一般公共预算财政拨款结转和结余0.00万元，较上年决算数无增减，主要原因是2023年度年末结转和结余0.00万元，与上年持平。</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color w:val="000000" w:themeColor="text1"/>
          <w:sz w:val="32"/>
          <w:szCs w:val="32"/>
          <w:shd w:val="clear" w:color="auto" w:fill="FFFFFF"/>
          <w:lang w:val="en-US" w:eastAsia="zh-CN"/>
        </w:rPr>
        <w:t>本单位2023年度一般公共预算财政拨款支出主要用于以下几个方面：</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Fonts w:hint="default" w:ascii="Times New Roman" w:hAnsi="Times New Roman" w:eastAsia="方正仿宋_GBK" w:cs="Times New Roman"/>
          <w:color w:val="000000" w:themeColor="text1"/>
          <w:sz w:val="32"/>
          <w:szCs w:val="32"/>
          <w:shd w:val="clear" w:color="auto" w:fill="FFFFFF"/>
          <w:lang w:val="en-US" w:eastAsia="zh-CN"/>
        </w:rPr>
        <w:t>（1）教育支出1472.30万元，占83.27%，较年初预算数增加815.98万元，增长124.33%，主要原因是外聘教师人数增加，使得人员与公用经费相应增加。另增加了部分项目经费，因此总支出较上年有所增加。</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Fonts w:hint="default" w:ascii="Times New Roman" w:hAnsi="Times New Roman" w:eastAsia="方正仿宋_GBK" w:cs="Times New Roman"/>
          <w:color w:val="000000" w:themeColor="text1"/>
          <w:sz w:val="32"/>
          <w:szCs w:val="32"/>
          <w:shd w:val="clear" w:color="auto" w:fill="FFFFFF"/>
          <w:lang w:val="en-US" w:eastAsia="zh-CN"/>
        </w:rPr>
        <w:t>（2）社会保障与就业支出185.71万元，占10.50%，较年初预算数增加10.96万元，增长6.27%，主要原因是2023年社保基数调整。</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Fonts w:hint="default" w:ascii="Times New Roman" w:hAnsi="Times New Roman" w:eastAsia="方正仿宋_GBK" w:cs="Times New Roman"/>
          <w:color w:val="000000" w:themeColor="text1"/>
          <w:sz w:val="32"/>
          <w:szCs w:val="32"/>
          <w:shd w:val="clear" w:color="auto" w:fill="FFFFFF"/>
          <w:lang w:val="en-US" w:eastAsia="zh-CN"/>
        </w:rPr>
        <w:t>（3）卫生健康支出56.46万元，占3.19%，较年初预算数减少1.53万元，下降2.64%，主要原因是2023年社保基数调整。</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Fonts w:hint="default" w:ascii="Times New Roman" w:hAnsi="Times New Roman" w:eastAsia="方正仿宋_GBK" w:cs="Times New Roman"/>
          <w:color w:val="000000" w:themeColor="text1"/>
          <w:sz w:val="32"/>
          <w:szCs w:val="32"/>
          <w:shd w:val="clear" w:color="auto" w:fill="FFFFFF"/>
          <w:lang w:val="en-US" w:eastAsia="zh-CN"/>
        </w:rPr>
        <w:t>（4）住房保障支出53.59万元，占3.03%，较年初预算数无增减，主要原因是2023年缴费基数无变化。</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（四）一般公共预算财政拨款基本支出决算情况说明</w:t>
      </w:r>
    </w:p>
    <w:p>
      <w:pPr>
        <w:pStyle w:val="13"/>
        <w:keepNext w:val="0"/>
        <w:keepLines w:val="0"/>
        <w:pageBreakBefore w:val="0"/>
        <w:widowControl w:val="0"/>
        <w:kinsoku/>
        <w:wordWrap/>
        <w:overflowPunct/>
        <w:topLinePunct w:val="0"/>
        <w:autoSpaceDE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shd w:val="clear" w:color="auto" w:fill="FFFFFF"/>
          <w:lang w:val="en-US" w:eastAsia="zh-CN" w:bidi="ar-SA"/>
        </w:rPr>
        <w:t> 2023年度一般公共预算财政拨款基本支出1636.69万元。其中：人员经费1303.32万元，较上年决算数减少48.62万元，下降3.60%，主要原因是2023年减少机关事业单位的超额绩效。人员经费用途主要包括基本工资、津贴补贴、绩效工资、机关事业单位基本养老保险缴费、职业年金缴费、职工基本医疗保险缴费、公务员医疗补助缴费、其他社会保障缴费、住房公积金、医疗费。公用经费333.36万元，较上年决算数增加154.78万元，增长86.67%，主要原因是上级资金补助增加使得公用经费增加。公用经费用途主要包括办公费、印刷费、咨询费、手续费、水费、电费、邮电费、物业管理费、差旅费、维修（护）费等。</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（五）政府性基金预算收支决算情况说明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Fonts w:hint="default" w:ascii="Times New Roman" w:hAnsi="Times New Roman" w:eastAsia="方正仿宋_GBK" w:cs="Times New Roman"/>
          <w:color w:val="000000" w:themeColor="text1"/>
          <w:sz w:val="32"/>
          <w:szCs w:val="32"/>
          <w:shd w:val="clear" w:color="auto" w:fill="FFFFFF"/>
          <w:lang w:val="en-US" w:eastAsia="zh-CN"/>
        </w:rPr>
        <w:t>本单位2023年度无政府性基金预算财政拨款收支。</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（六）国有资本经营预算财政拨款支出决算情况说明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Fonts w:hint="default" w:ascii="Times New Roman" w:hAnsi="Times New Roman" w:eastAsia="方正仿宋_GBK" w:cs="Times New Roman"/>
          <w:color w:val="000000" w:themeColor="text1"/>
          <w:sz w:val="32"/>
          <w:szCs w:val="32"/>
          <w:shd w:val="clear" w:color="auto" w:fill="FFFFFF"/>
          <w:lang w:val="en-US" w:eastAsia="zh-CN"/>
        </w:rPr>
        <w:t>本单位2023年度无国有资本经营预算财政拨款支出。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三、“三公”经费情况说明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（一）“三公”经费支出总体情况说明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Fonts w:hint="default" w:ascii="Times New Roman" w:hAnsi="Times New Roman" w:eastAsia="方正仿宋_GBK" w:cs="Times New Roman"/>
          <w:color w:val="000000" w:themeColor="text1"/>
          <w:sz w:val="32"/>
          <w:szCs w:val="32"/>
          <w:shd w:val="clear" w:color="auto" w:fill="FFFFFF"/>
          <w:lang w:val="en-US" w:eastAsia="zh-CN"/>
        </w:rPr>
        <w:t>2023年度“三公”经费支出共计0.00万元，较年初预算数无增减。</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（二）“三公”经费分项支出情况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Fonts w:hint="default" w:ascii="Times New Roman" w:hAnsi="Times New Roman" w:eastAsia="方正仿宋_GBK" w:cs="Times New Roman"/>
          <w:color w:val="000000" w:themeColor="text1"/>
          <w:sz w:val="32"/>
          <w:szCs w:val="32"/>
          <w:shd w:val="clear" w:color="auto" w:fill="FFFFFF"/>
          <w:lang w:val="en-US" w:eastAsia="zh-CN"/>
        </w:rPr>
        <w:t>2023年度本单位因公出国（境）费用0.00万元， 公务车购置费0.00万元， 公务车运行维护费0.00万元， 公务接待费0.00万元。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（三）“三公”经费实物量情况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Fonts w:hint="default" w:ascii="Times New Roman" w:hAnsi="Times New Roman" w:eastAsia="方正仿宋_GBK" w:cs="Times New Roman"/>
          <w:color w:val="000000" w:themeColor="text1"/>
          <w:sz w:val="32"/>
          <w:szCs w:val="32"/>
          <w:shd w:val="clear" w:color="auto"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四、其他需要说明的事项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（一）财政拨款会议费和培训费情况说明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Fonts w:hint="default" w:ascii="Times New Roman" w:hAnsi="Times New Roman" w:eastAsia="方正仿宋_GBK" w:cs="Times New Roman"/>
          <w:color w:val="000000" w:themeColor="text1"/>
          <w:sz w:val="32"/>
          <w:szCs w:val="32"/>
          <w:shd w:val="clear" w:color="auto" w:fill="FFFFFF"/>
          <w:lang w:val="en-US" w:eastAsia="zh-CN"/>
        </w:rPr>
        <w:t>本年度会议费支出0.00万元，较上年决算数无增减，。本年度培训费支出12.47万元，较上年决算数增加2.05万元，增长19.67%，主要原因是教师线下培训增多，学校对培训重视度加强，给教师增加了培训机会及培训平台。</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（二）机关运行经费情况说明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Fonts w:hint="default" w:ascii="Times New Roman" w:hAnsi="Times New Roman" w:eastAsia="方正仿宋_GBK" w:cs="Times New Roman"/>
          <w:color w:val="000000" w:themeColor="text1"/>
          <w:sz w:val="32"/>
          <w:szCs w:val="32"/>
          <w:shd w:val="clear" w:color="auto" w:fill="FFFFFF"/>
          <w:lang w:val="en-US" w:eastAsia="zh-CN"/>
        </w:rPr>
        <w:t>按照部门决算列报口径，我单位不在机关运行经费统计范围之内。</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（三）国有资产占用情况说明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Fonts w:hint="default" w:ascii="Times New Roman" w:hAnsi="Times New Roman" w:eastAsia="方正仿宋_GBK" w:cs="Times New Roman"/>
          <w:color w:val="000000" w:themeColor="text1"/>
          <w:sz w:val="32"/>
          <w:szCs w:val="32"/>
          <w:shd w:val="clear" w:color="auto"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（四）政府采购支出情况说明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lang w:val="en-US" w:eastAsia="zh-CN"/>
        </w:rPr>
        <w:t>2023年度我单位未发生政府采购事项，无相关经费支出。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lang w:eastAsia="zh-CN"/>
        </w:rPr>
        <w:t>五、</w:t>
      </w:r>
      <w:r>
        <w:rPr>
          <w:rStyle w:val="9"/>
          <w:rFonts w:hint="default" w:ascii="Times New Roman" w:hAnsi="Times New Roman" w:eastAsia="方正黑体_GBK" w:cs="Times New Roman"/>
          <w:sz w:val="32"/>
          <w:szCs w:val="32"/>
          <w:shd w:val="clear" w:color="auto" w:fill="FFFFFF"/>
        </w:rPr>
        <w:t>预算绩效管理情况说明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（一）单位自评情况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Fonts w:hint="default" w:ascii="Times New Roman" w:hAnsi="Times New Roman" w:eastAsia="方正仿宋_GBK" w:cs="Times New Roman"/>
          <w:color w:val="000000" w:themeColor="text1"/>
          <w:sz w:val="32"/>
          <w:szCs w:val="32"/>
          <w:shd w:val="clear" w:color="auto" w:fill="FFFFFF"/>
          <w:lang w:val="en-US" w:eastAsia="zh-CN"/>
        </w:rPr>
        <w:t>根据预算绩效管理要求，我单位对</w:t>
      </w:r>
      <w:r>
        <w:rPr>
          <w:rFonts w:hint="eastAsia" w:ascii="Times New Roman" w:hAnsi="Times New Roman" w:eastAsia="方正仿宋_GBK" w:cs="Times New Roman"/>
          <w:color w:val="000000" w:themeColor="text1"/>
          <w:sz w:val="32"/>
          <w:szCs w:val="32"/>
          <w:shd w:val="clear" w:color="auto" w:fill="FFFFFF"/>
          <w:lang w:val="en-US" w:eastAsia="zh-CN"/>
        </w:rPr>
        <w:t>9</w:t>
      </w:r>
      <w:r>
        <w:rPr>
          <w:rFonts w:hint="default" w:ascii="Times New Roman" w:hAnsi="Times New Roman" w:eastAsia="方正仿宋_GBK" w:cs="Times New Roman"/>
          <w:color w:val="000000" w:themeColor="text1"/>
          <w:sz w:val="32"/>
          <w:szCs w:val="32"/>
          <w:shd w:val="clear" w:color="auto" w:fill="FFFFFF"/>
          <w:lang w:val="en-US" w:eastAsia="zh-CN"/>
        </w:rPr>
        <w:t>个二级项目开展了绩效自评，涉及财政拨款项目支出资金</w:t>
      </w:r>
      <w:r>
        <w:rPr>
          <w:rFonts w:hint="eastAsia" w:ascii="Times New Roman" w:hAnsi="Times New Roman" w:eastAsia="方正仿宋_GBK" w:cs="Times New Roman"/>
          <w:color w:val="000000" w:themeColor="text1"/>
          <w:sz w:val="32"/>
          <w:szCs w:val="32"/>
          <w:shd w:val="clear" w:color="auto" w:fill="FFFFFF"/>
          <w:lang w:val="en-US" w:eastAsia="zh-CN"/>
        </w:rPr>
        <w:t>131.37</w:t>
      </w:r>
      <w:r>
        <w:rPr>
          <w:rFonts w:hint="default" w:ascii="Times New Roman" w:hAnsi="Times New Roman" w:eastAsia="方正仿宋_GBK" w:cs="Times New Roman"/>
          <w:color w:val="000000" w:themeColor="text1"/>
          <w:sz w:val="32"/>
          <w:szCs w:val="32"/>
          <w:shd w:val="clear" w:color="auto" w:fill="FFFFFF"/>
          <w:lang w:val="en-US" w:eastAsia="zh-CN"/>
        </w:rPr>
        <w:t>万元，项目支出绩效自评表详见附表。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（二）单位绩效评价情况</w:t>
      </w:r>
      <w:bookmarkStart w:id="0" w:name="_GoBack"/>
      <w:bookmarkEnd w:id="0"/>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Fonts w:hint="default" w:ascii="Times New Roman" w:hAnsi="Times New Roman" w:eastAsia="方正仿宋_GBK" w:cs="Times New Roman"/>
          <w:color w:val="000000" w:themeColor="text1"/>
          <w:sz w:val="32"/>
          <w:szCs w:val="32"/>
          <w:shd w:val="clear" w:color="auto" w:fill="FFFFFF"/>
          <w:lang w:val="en-US" w:eastAsia="zh-CN"/>
        </w:rPr>
        <w:t>我单位未组织开展绩效评价。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（三）财政绩效评价情况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9"/>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lang w:val="en-US" w:eastAsia="zh-CN"/>
        </w:rPr>
        <w:t>重庆高新区财政局未委托第三方对我单位开展绩效评价。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六、专业名词解释</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color w:val="000000" w:themeColor="text1"/>
          <w:sz w:val="32"/>
          <w:szCs w:val="32"/>
          <w:shd w:val="clear" w:color="auto" w:fill="FFFFFF"/>
          <w:lang w:val="en-US" w:eastAsia="zh-CN"/>
        </w:rPr>
        <w:t>指本年度从本级财政部门取得的财政拨款，包括一般公共预算财政拨款和政府性基金预算财政拨款。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color w:val="000000" w:themeColor="text1"/>
          <w:sz w:val="32"/>
          <w:szCs w:val="32"/>
          <w:shd w:val="clear" w:color="auto" w:fill="FFFFFF"/>
          <w:lang w:val="en-US" w:eastAsia="zh-CN"/>
        </w:rPr>
        <w:t>指事业单位开展专业业务活动及其辅助活动取得的现金流入；事业单位收到的财政专户实际核拨的教育收费等资金在此反映。</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方正仿宋_GBK" w:cs="Times New Roman"/>
          <w:color w:val="000000" w:themeColor="text1"/>
          <w:sz w:val="32"/>
          <w:szCs w:val="32"/>
          <w:shd w:val="clear" w:color="auto" w:fill="FFFFFF"/>
          <w:lang w:val="en-US" w:eastAsia="zh-CN"/>
        </w:rPr>
        <w:t>指事业单位在专业业务活动及其辅助活动之外开展非独立核算经营活动取得的现金流入。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仿宋_GBK" w:cs="Times New Roman"/>
          <w:color w:val="000000" w:themeColor="text1"/>
          <w:sz w:val="32"/>
          <w:szCs w:val="32"/>
          <w:shd w:val="clear" w:color="auto" w:fill="FFFFFF"/>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仿宋_GBK" w:cs="Times New Roman"/>
          <w:color w:val="000000" w:themeColor="text1"/>
          <w:sz w:val="32"/>
          <w:szCs w:val="32"/>
          <w:shd w:val="clear" w:color="auto" w:fill="FFFFFF"/>
          <w:lang w:val="en-US" w:eastAsia="zh-CN"/>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方正仿宋_GBK" w:cs="Times New Roman"/>
          <w:color w:val="000000" w:themeColor="text1"/>
          <w:sz w:val="32"/>
          <w:szCs w:val="32"/>
          <w:shd w:val="clear" w:color="auto" w:fill="FFFFFF"/>
          <w:lang w:val="en-US" w:eastAsia="zh-CN"/>
        </w:rPr>
        <w:t>指单位上年结转本年使用的基本支出结转、项目支出结转和结余、经营结余。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方正仿宋_GBK" w:cs="Times New Roman"/>
          <w:color w:val="000000" w:themeColor="text1"/>
          <w:sz w:val="32"/>
          <w:szCs w:val="32"/>
          <w:shd w:val="clear" w:color="auto" w:fill="FFFFFF"/>
          <w:lang w:val="en-US" w:eastAsia="zh-CN"/>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方正仿宋_GBK" w:cs="Times New Roman"/>
          <w:color w:val="000000" w:themeColor="text1"/>
          <w:sz w:val="32"/>
          <w:szCs w:val="32"/>
          <w:shd w:val="clear" w:color="auto" w:fill="FFFFFF"/>
          <w:lang w:val="en-US" w:eastAsia="zh-CN"/>
        </w:rPr>
        <w:t>指单位结转下年的基本支出结转、项目支出结转和结余、经营结余。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方正仿宋_GBK" w:cs="Times New Roman"/>
          <w:color w:val="000000" w:themeColor="text1"/>
          <w:sz w:val="32"/>
          <w:szCs w:val="32"/>
          <w:shd w:val="clear" w:color="auto" w:fill="FFFFFF"/>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仿宋_GBK" w:cs="Times New Roman"/>
          <w:color w:val="000000" w:themeColor="text1"/>
          <w:sz w:val="32"/>
          <w:szCs w:val="32"/>
          <w:shd w:val="clear" w:color="auto" w:fill="FFFFFF"/>
          <w:lang w:val="en-US" w:eastAsia="zh-CN"/>
        </w:rPr>
        <w:t>指在基本支出之外为完成特定行政任务和事业发展目标所发生的支出。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楷体_GBK" w:cs="Times New Roman"/>
          <w:sz w:val="32"/>
          <w:szCs w:val="32"/>
          <w:shd w:val="clear" w:color="auto" w:fill="FFFFFF"/>
        </w:rPr>
        <w:t>（十一）经营支出：</w:t>
      </w:r>
      <w:r>
        <w:rPr>
          <w:rFonts w:hint="default" w:ascii="Times New Roman" w:hAnsi="Times New Roman" w:eastAsia="方正仿宋_GBK" w:cs="Times New Roman"/>
          <w:color w:val="000000" w:themeColor="text1"/>
          <w:sz w:val="32"/>
          <w:szCs w:val="32"/>
          <w:shd w:val="clear" w:color="auto" w:fill="FFFFFF"/>
          <w:lang w:val="en-US" w:eastAsia="zh-CN"/>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方正仿宋_GBK" w:cs="Times New Roman"/>
          <w:color w:val="000000" w:themeColor="text1"/>
          <w:sz w:val="32"/>
          <w:szCs w:val="32"/>
          <w:shd w:val="clear" w:color="auto" w:fill="FFFFFF"/>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仿宋_GBK" w:cs="Times New Roman"/>
          <w:color w:val="000000" w:themeColor="text1"/>
          <w:sz w:val="32"/>
          <w:szCs w:val="32"/>
          <w:shd w:val="clear" w:color="auto" w:fill="FFFFFF"/>
          <w:lang w:val="en-US"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color w:val="000000" w:themeColor="text1"/>
          <w:sz w:val="32"/>
          <w:szCs w:val="32"/>
          <w:shd w:val="clear" w:color="auto" w:fill="FFFFFF"/>
          <w:lang w:val="en-US" w:eastAsia="zh-CN"/>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楷体_GBK" w:cs="Times New Roman"/>
          <w:sz w:val="32"/>
          <w:szCs w:val="32"/>
          <w:shd w:val="clear" w:color="auto" w:fill="FFFFFF"/>
        </w:rPr>
        <w:t> （十五）商品和服务支出（支出经济分类科目类级）：</w:t>
      </w:r>
      <w:r>
        <w:rPr>
          <w:rFonts w:hint="default" w:ascii="Times New Roman" w:hAnsi="Times New Roman" w:eastAsia="方正仿宋_GBK" w:cs="Times New Roman"/>
          <w:color w:val="000000" w:themeColor="text1"/>
          <w:sz w:val="32"/>
          <w:szCs w:val="32"/>
          <w:shd w:val="clear" w:color="auto" w:fill="FFFFFF"/>
          <w:lang w:val="en-US" w:eastAsia="zh-CN"/>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color w:val="000000" w:themeColor="text1"/>
          <w:sz w:val="32"/>
          <w:szCs w:val="32"/>
          <w:shd w:val="clear" w:color="auto" w:fill="FFFFFF"/>
          <w:lang w:val="en-US" w:eastAsia="zh-CN"/>
        </w:rPr>
        <w:t>反映用于对个人和家庭的补助支出。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Style w:val="9"/>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color w:val="000000" w:themeColor="text1"/>
          <w:sz w:val="32"/>
          <w:szCs w:val="32"/>
          <w:shd w:val="clear" w:color="auto" w:fill="FFFFFF"/>
          <w:lang w:val="en-US" w:eastAsia="zh-CN"/>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七、决算公开联系方式及信息反馈渠道</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Fonts w:hint="default" w:ascii="Times New Roman" w:hAnsi="Times New Roman" w:eastAsia="方正仿宋_GBK" w:cs="Times New Roman"/>
          <w:color w:val="000000" w:themeColor="text1"/>
          <w:sz w:val="32"/>
          <w:szCs w:val="32"/>
          <w:shd w:val="clear" w:color="auto" w:fill="FFFFFF"/>
          <w:lang w:val="en-US" w:eastAsia="zh-CN"/>
        </w:rPr>
        <w:t>本单位决算公开信息反馈和联系方式：023-65660007</w:t>
      </w:r>
    </w:p>
    <w:p>
      <w:pPr>
        <w:pStyle w:val="12"/>
        <w:autoSpaceDE w:val="0"/>
        <w:ind w:firstLine="0" w:firstLineChars="0"/>
        <w:rPr>
          <w:rFonts w:hint="default" w:ascii="Times New Roman" w:hAnsi="Times New Roman" w:eastAsia="方正仿宋_GBK" w:cs="Times New Roman"/>
          <w:sz w:val="32"/>
          <w:szCs w:val="32"/>
          <w:shd w:val="clear" w:color="auto" w:fill="FFFFFF"/>
          <w:lang w:val="en-US" w:eastAsia="zh-CN" w:bidi="ar-SA"/>
        </w:rPr>
        <w:sectPr>
          <w:footerReference r:id="rId3" w:type="default"/>
          <w:pgSz w:w="11915" w:h="16840"/>
          <w:pgMar w:top="2098" w:right="1531" w:bottom="1984" w:left="1531" w:header="851" w:footer="992" w:gutter="0"/>
          <w:pgNumType w:fmt="numberInDash"/>
          <w:cols w:space="0" w:num="1"/>
          <w:rtlGutter w:val="0"/>
          <w:docGrid w:type="lines" w:linePitch="327" w:charSpace="0"/>
        </w:sectPr>
      </w:pPr>
      <w:r>
        <w:rPr>
          <w:rFonts w:hint="default" w:ascii="Times New Roman" w:hAnsi="Times New Roman" w:eastAsia="方正仿宋_GBK" w:cs="Times New Roman"/>
          <w:sz w:val="32"/>
          <w:szCs w:val="32"/>
          <w:shd w:val="clear" w:color="auto" w:fill="FFFFFF"/>
          <w:lang w:val="en-US" w:eastAsia="zh-CN" w:bidi="ar-SA"/>
        </w:rPr>
        <w:t> </w:t>
      </w:r>
    </w:p>
    <w:p>
      <w:pPr>
        <w:rPr>
          <w:rFonts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重庆科学城西永中学校</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w:t>
            </w:r>
            <w:r>
              <w:rPr>
                <w:rFonts w:hint="eastAsia" w:cs="宋体"/>
                <w:color w:val="000000"/>
                <w:sz w:val="20"/>
                <w:szCs w:val="20"/>
                <w:lang w:eastAsia="zh-CN"/>
              </w:rPr>
              <w:t>，</w:t>
            </w:r>
            <w:r>
              <w:rPr>
                <w:rFonts w:cs="宋体"/>
                <w:color w:val="000000"/>
                <w:sz w:val="20"/>
                <w:szCs w:val="20"/>
              </w:rPr>
              <w:t>768.06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w:t>
            </w:r>
            <w:r>
              <w:rPr>
                <w:rFonts w:hint="eastAsia" w:cs="宋体"/>
                <w:color w:val="000000"/>
                <w:sz w:val="20"/>
                <w:szCs w:val="20"/>
                <w:lang w:eastAsia="zh-CN"/>
              </w:rPr>
              <w:t>，</w:t>
            </w:r>
            <w:r>
              <w:rPr>
                <w:rFonts w:cs="宋体"/>
                <w:color w:val="000000"/>
                <w:sz w:val="20"/>
                <w:szCs w:val="20"/>
              </w:rPr>
              <w:t>472.30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185.71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56.46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53.59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w:t>
            </w:r>
            <w:r>
              <w:rPr>
                <w:rFonts w:hint="eastAsia" w:cs="宋体"/>
                <w:color w:val="000000"/>
                <w:sz w:val="20"/>
                <w:szCs w:val="20"/>
                <w:lang w:eastAsia="zh-CN"/>
              </w:rPr>
              <w:t>，</w:t>
            </w:r>
            <w:r>
              <w:rPr>
                <w:rFonts w:cs="宋体"/>
                <w:color w:val="000000"/>
                <w:sz w:val="20"/>
                <w:szCs w:val="20"/>
              </w:rPr>
              <w:t>768.06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w:t>
            </w:r>
            <w:r>
              <w:rPr>
                <w:rFonts w:hint="eastAsia" w:cs="宋体"/>
                <w:color w:val="000000"/>
                <w:sz w:val="20"/>
                <w:szCs w:val="20"/>
                <w:lang w:eastAsia="zh-CN"/>
              </w:rPr>
              <w:t>，</w:t>
            </w:r>
            <w:r>
              <w:rPr>
                <w:rFonts w:cs="宋体"/>
                <w:color w:val="000000"/>
                <w:sz w:val="20"/>
                <w:szCs w:val="20"/>
              </w:rPr>
              <w:t>768.06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w:t>
            </w:r>
            <w:r>
              <w:rPr>
                <w:rFonts w:hint="eastAsia" w:cs="宋体"/>
                <w:color w:val="000000"/>
                <w:sz w:val="20"/>
                <w:szCs w:val="20"/>
                <w:lang w:eastAsia="zh-CN"/>
              </w:rPr>
              <w:t>，</w:t>
            </w:r>
            <w:r>
              <w:rPr>
                <w:rFonts w:cs="宋体"/>
                <w:color w:val="000000"/>
                <w:sz w:val="20"/>
                <w:szCs w:val="20"/>
              </w:rPr>
              <w:t>768.06</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w:t>
            </w:r>
            <w:r>
              <w:rPr>
                <w:rFonts w:hint="eastAsia" w:cs="宋体"/>
                <w:color w:val="000000"/>
                <w:sz w:val="20"/>
                <w:szCs w:val="20"/>
                <w:lang w:eastAsia="zh-CN"/>
              </w:rPr>
              <w:t>，</w:t>
            </w:r>
            <w:r>
              <w:rPr>
                <w:rFonts w:cs="宋体"/>
                <w:color w:val="000000"/>
                <w:sz w:val="20"/>
                <w:szCs w:val="20"/>
              </w:rPr>
              <w:t>768.06</w:t>
            </w:r>
            <w:r>
              <w:rPr>
                <w:color w:val="000000"/>
                <w:sz w:val="20"/>
                <w:u w:color="auto"/>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cs="宋体"/>
                <w:color w:val="000000"/>
                <w:sz w:val="20"/>
                <w:szCs w:val="20"/>
              </w:rPr>
            </w:pPr>
            <w:r>
              <w:rPr>
                <w:rFonts w:cs="宋体"/>
                <w:sz w:val="20"/>
                <w:szCs w:val="20"/>
              </w:rPr>
              <w:t>公开单位：</w:t>
            </w:r>
            <w:r>
              <w:rPr>
                <w:sz w:val="20"/>
                <w:u w:color="auto"/>
              </w:rPr>
              <w:t>重庆科学城西永中学校</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w:t>
            </w:r>
            <w:r>
              <w:rPr>
                <w:rFonts w:hint="eastAsia" w:cs="宋体"/>
                <w:b/>
                <w:bCs/>
                <w:color w:val="000000"/>
                <w:sz w:val="20"/>
                <w:szCs w:val="20"/>
                <w:lang w:eastAsia="zh-CN"/>
              </w:rPr>
              <w:t>，</w:t>
            </w:r>
            <w:r>
              <w:rPr>
                <w:rFonts w:cs="宋体"/>
                <w:b/>
                <w:bCs/>
                <w:color w:val="000000"/>
                <w:sz w:val="20"/>
                <w:szCs w:val="20"/>
              </w:rPr>
              <w:t>768.06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w:t>
            </w:r>
            <w:r>
              <w:rPr>
                <w:rFonts w:hint="eastAsia" w:cs="宋体"/>
                <w:b/>
                <w:bCs/>
                <w:color w:val="000000"/>
                <w:sz w:val="20"/>
                <w:szCs w:val="20"/>
                <w:lang w:eastAsia="zh-CN"/>
              </w:rPr>
              <w:t>，</w:t>
            </w:r>
            <w:r>
              <w:rPr>
                <w:rFonts w:cs="宋体"/>
                <w:b/>
                <w:bCs/>
                <w:color w:val="000000"/>
                <w:sz w:val="20"/>
                <w:szCs w:val="20"/>
              </w:rPr>
              <w:t>768.06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w:t>
            </w:r>
            <w:r>
              <w:rPr>
                <w:rFonts w:hint="eastAsia" w:cs="宋体"/>
                <w:b/>
                <w:color w:val="000000"/>
                <w:sz w:val="20"/>
                <w:szCs w:val="20"/>
                <w:lang w:eastAsia="zh-CN"/>
              </w:rPr>
              <w:t>，</w:t>
            </w:r>
            <w:r>
              <w:rPr>
                <w:rFonts w:cs="宋体"/>
                <w:b/>
                <w:color w:val="000000"/>
                <w:sz w:val="20"/>
                <w:szCs w:val="20"/>
              </w:rPr>
              <w:t>472.30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w:t>
            </w:r>
            <w:r>
              <w:rPr>
                <w:rFonts w:hint="eastAsia" w:cs="宋体"/>
                <w:b/>
                <w:color w:val="000000"/>
                <w:sz w:val="20"/>
                <w:szCs w:val="20"/>
                <w:lang w:eastAsia="zh-CN"/>
              </w:rPr>
              <w:t>，</w:t>
            </w:r>
            <w:r>
              <w:rPr>
                <w:rFonts w:cs="宋体"/>
                <w:b/>
                <w:color w:val="000000"/>
                <w:sz w:val="20"/>
                <w:szCs w:val="20"/>
              </w:rPr>
              <w:t>472.30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w:t>
            </w:r>
            <w:r>
              <w:rPr>
                <w:rFonts w:hint="eastAsia" w:cs="宋体"/>
                <w:b/>
                <w:color w:val="000000"/>
                <w:sz w:val="20"/>
                <w:szCs w:val="20"/>
                <w:lang w:eastAsia="zh-CN"/>
              </w:rPr>
              <w:t>，</w:t>
            </w:r>
            <w:r>
              <w:rPr>
                <w:rFonts w:cs="宋体"/>
                <w:b/>
                <w:color w:val="000000"/>
                <w:sz w:val="20"/>
                <w:szCs w:val="20"/>
              </w:rPr>
              <w:t>472.30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w:t>
            </w:r>
            <w:r>
              <w:rPr>
                <w:rFonts w:hint="eastAsia" w:cs="宋体"/>
                <w:b/>
                <w:color w:val="000000"/>
                <w:sz w:val="20"/>
                <w:szCs w:val="20"/>
                <w:lang w:eastAsia="zh-CN"/>
              </w:rPr>
              <w:t>，</w:t>
            </w:r>
            <w:r>
              <w:rPr>
                <w:rFonts w:cs="宋体"/>
                <w:b/>
                <w:color w:val="000000"/>
                <w:sz w:val="20"/>
                <w:szCs w:val="20"/>
              </w:rPr>
              <w:t>472.30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w:t>
            </w:r>
            <w:r>
              <w:rPr>
                <w:rFonts w:hint="eastAsia" w:cs="宋体"/>
                <w:color w:val="000000"/>
                <w:sz w:val="20"/>
                <w:szCs w:val="20"/>
                <w:lang w:eastAsia="zh-CN"/>
              </w:rPr>
              <w:t>，</w:t>
            </w:r>
            <w:r>
              <w:rPr>
                <w:rFonts w:cs="宋体"/>
                <w:color w:val="000000"/>
                <w:sz w:val="20"/>
                <w:szCs w:val="20"/>
              </w:rPr>
              <w:t>472.30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w:t>
            </w:r>
            <w:r>
              <w:rPr>
                <w:rFonts w:hint="eastAsia" w:cs="宋体"/>
                <w:color w:val="000000"/>
                <w:sz w:val="20"/>
                <w:szCs w:val="20"/>
                <w:lang w:eastAsia="zh-CN"/>
              </w:rPr>
              <w:t>，</w:t>
            </w:r>
            <w:r>
              <w:rPr>
                <w:rFonts w:cs="宋体"/>
                <w:color w:val="000000"/>
                <w:sz w:val="20"/>
                <w:szCs w:val="20"/>
              </w:rPr>
              <w:t>472.30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185.71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185.71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172.26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172.26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69.36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69.36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34.68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34.68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68.22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68.22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56.46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56.46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56.46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56.46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49.99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49.99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53.59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53.59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53.59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53.59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53.59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53.59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重庆科学城西永中学校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w:t>
            </w:r>
            <w:r>
              <w:rPr>
                <w:rFonts w:hint="eastAsia" w:cs="宋体"/>
                <w:b/>
                <w:bCs/>
                <w:color w:val="000000"/>
                <w:sz w:val="20"/>
                <w:szCs w:val="20"/>
                <w:lang w:eastAsia="zh-CN"/>
              </w:rPr>
              <w:t>，</w:t>
            </w:r>
            <w:r>
              <w:rPr>
                <w:rFonts w:cs="宋体"/>
                <w:b/>
                <w:bCs/>
                <w:color w:val="000000"/>
                <w:sz w:val="20"/>
                <w:szCs w:val="20"/>
              </w:rPr>
              <w:t>768.06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w:t>
            </w:r>
            <w:r>
              <w:rPr>
                <w:rFonts w:hint="eastAsia" w:cs="宋体"/>
                <w:b/>
                <w:bCs/>
                <w:color w:val="000000"/>
                <w:sz w:val="20"/>
                <w:szCs w:val="20"/>
                <w:lang w:eastAsia="zh-CN"/>
              </w:rPr>
              <w:t>，</w:t>
            </w:r>
            <w:r>
              <w:rPr>
                <w:rFonts w:cs="宋体"/>
                <w:b/>
                <w:bCs/>
                <w:color w:val="000000"/>
                <w:sz w:val="20"/>
                <w:szCs w:val="20"/>
              </w:rPr>
              <w:t>636.69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131.37</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w:t>
            </w:r>
            <w:r>
              <w:rPr>
                <w:rFonts w:hint="eastAsia" w:cs="宋体"/>
                <w:b/>
                <w:color w:val="000000"/>
                <w:sz w:val="20"/>
                <w:szCs w:val="20"/>
                <w:lang w:eastAsia="zh-CN"/>
              </w:rPr>
              <w:t>，</w:t>
            </w:r>
            <w:r>
              <w:rPr>
                <w:rFonts w:cs="宋体"/>
                <w:b/>
                <w:color w:val="000000"/>
                <w:sz w:val="20"/>
                <w:szCs w:val="20"/>
              </w:rPr>
              <w:t>472.30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w:t>
            </w:r>
            <w:r>
              <w:rPr>
                <w:rFonts w:hint="eastAsia" w:cs="宋体"/>
                <w:b/>
                <w:color w:val="000000"/>
                <w:sz w:val="20"/>
                <w:szCs w:val="20"/>
                <w:lang w:eastAsia="zh-CN"/>
              </w:rPr>
              <w:t>，</w:t>
            </w:r>
            <w:r>
              <w:rPr>
                <w:rFonts w:cs="宋体"/>
                <w:b/>
                <w:color w:val="000000"/>
                <w:sz w:val="20"/>
                <w:szCs w:val="20"/>
              </w:rPr>
              <w:t>341.20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131.09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w:t>
            </w:r>
            <w:r>
              <w:rPr>
                <w:rFonts w:hint="eastAsia" w:cs="宋体"/>
                <w:b/>
                <w:color w:val="000000"/>
                <w:sz w:val="20"/>
                <w:szCs w:val="20"/>
                <w:lang w:eastAsia="zh-CN"/>
              </w:rPr>
              <w:t>，</w:t>
            </w:r>
            <w:r>
              <w:rPr>
                <w:rFonts w:cs="宋体"/>
                <w:b/>
                <w:color w:val="000000"/>
                <w:sz w:val="20"/>
                <w:szCs w:val="20"/>
              </w:rPr>
              <w:t>472.30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w:t>
            </w:r>
            <w:r>
              <w:rPr>
                <w:rFonts w:hint="eastAsia" w:cs="宋体"/>
                <w:b/>
                <w:color w:val="000000"/>
                <w:sz w:val="20"/>
                <w:szCs w:val="20"/>
                <w:lang w:eastAsia="zh-CN"/>
              </w:rPr>
              <w:t>，</w:t>
            </w:r>
            <w:r>
              <w:rPr>
                <w:rFonts w:cs="宋体"/>
                <w:b/>
                <w:color w:val="000000"/>
                <w:sz w:val="20"/>
                <w:szCs w:val="20"/>
              </w:rPr>
              <w:t>341.20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131.09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w:t>
            </w:r>
            <w:r>
              <w:rPr>
                <w:rFonts w:hint="eastAsia" w:cs="宋体"/>
                <w:color w:val="000000"/>
                <w:sz w:val="20"/>
                <w:szCs w:val="20"/>
                <w:lang w:eastAsia="zh-CN"/>
              </w:rPr>
              <w:t>，</w:t>
            </w:r>
            <w:r>
              <w:rPr>
                <w:rFonts w:cs="宋体"/>
                <w:color w:val="000000"/>
                <w:sz w:val="20"/>
                <w:szCs w:val="20"/>
              </w:rPr>
              <w:t>472.30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w:t>
            </w:r>
            <w:r>
              <w:rPr>
                <w:rFonts w:hint="eastAsia" w:cs="宋体"/>
                <w:color w:val="000000"/>
                <w:sz w:val="20"/>
                <w:szCs w:val="20"/>
                <w:lang w:eastAsia="zh-CN"/>
              </w:rPr>
              <w:t>，</w:t>
            </w:r>
            <w:r>
              <w:rPr>
                <w:rFonts w:cs="宋体"/>
                <w:color w:val="000000"/>
                <w:sz w:val="20"/>
                <w:szCs w:val="20"/>
              </w:rPr>
              <w:t>341.20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131.09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185.71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185.43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0.27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6.89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0.27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其他人力资源和社会保障管理事务支出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6.89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0.27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172.26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172.26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69.36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69.36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34.68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34.68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68.22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68.22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56.46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56.46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56.46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56.46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49.99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49.99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53.59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53.59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53.59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53.59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53.59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53.59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p>
      <w:pPr>
        <w:rPr>
          <w:rFonts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重庆科学城西永中学校</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w:t>
            </w:r>
            <w:r>
              <w:rPr>
                <w:rFonts w:hint="eastAsia" w:cs="宋体"/>
                <w:color w:val="000000"/>
                <w:sz w:val="18"/>
                <w:szCs w:val="18"/>
                <w:lang w:eastAsia="zh-CN"/>
              </w:rPr>
              <w:t>，</w:t>
            </w:r>
            <w:r>
              <w:rPr>
                <w:rFonts w:cs="宋体"/>
                <w:color w:val="000000"/>
                <w:sz w:val="18"/>
                <w:szCs w:val="18"/>
              </w:rPr>
              <w:t>768.06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w:t>
            </w:r>
            <w:r>
              <w:rPr>
                <w:rFonts w:hint="eastAsia" w:cs="宋体"/>
                <w:color w:val="000000"/>
                <w:sz w:val="18"/>
                <w:szCs w:val="18"/>
                <w:lang w:eastAsia="zh-CN"/>
              </w:rPr>
              <w:t>，</w:t>
            </w:r>
            <w:r>
              <w:rPr>
                <w:rFonts w:cs="宋体"/>
                <w:color w:val="000000"/>
                <w:sz w:val="18"/>
                <w:szCs w:val="18"/>
              </w:rPr>
              <w:t>472.30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w:t>
            </w:r>
            <w:r>
              <w:rPr>
                <w:rFonts w:hint="eastAsia" w:cs="宋体"/>
                <w:color w:val="000000"/>
                <w:sz w:val="18"/>
                <w:szCs w:val="18"/>
                <w:lang w:eastAsia="zh-CN"/>
              </w:rPr>
              <w:t>，</w:t>
            </w:r>
            <w:r>
              <w:rPr>
                <w:rFonts w:cs="宋体"/>
                <w:color w:val="000000"/>
                <w:sz w:val="18"/>
                <w:szCs w:val="18"/>
              </w:rPr>
              <w:t>472.30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185.71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185.71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56.46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56.46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53.59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53.59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w:t>
            </w:r>
            <w:r>
              <w:rPr>
                <w:rFonts w:hint="eastAsia" w:cs="宋体"/>
                <w:color w:val="000000"/>
                <w:sz w:val="18"/>
                <w:szCs w:val="18"/>
                <w:lang w:eastAsia="zh-CN"/>
              </w:rPr>
              <w:t>，</w:t>
            </w:r>
            <w:r>
              <w:rPr>
                <w:rFonts w:cs="宋体"/>
                <w:color w:val="000000"/>
                <w:sz w:val="18"/>
                <w:szCs w:val="18"/>
              </w:rPr>
              <w:t>768.06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w:t>
            </w:r>
            <w:r>
              <w:rPr>
                <w:rFonts w:hint="eastAsia" w:cs="宋体"/>
                <w:color w:val="000000"/>
                <w:sz w:val="18"/>
                <w:szCs w:val="18"/>
                <w:lang w:eastAsia="zh-CN"/>
              </w:rPr>
              <w:t>，</w:t>
            </w:r>
            <w:r>
              <w:rPr>
                <w:rFonts w:cs="宋体"/>
                <w:color w:val="000000"/>
                <w:sz w:val="18"/>
                <w:szCs w:val="18"/>
              </w:rPr>
              <w:t>768.06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w:t>
            </w:r>
            <w:r>
              <w:rPr>
                <w:rFonts w:hint="eastAsia" w:cs="宋体"/>
                <w:color w:val="000000"/>
                <w:sz w:val="18"/>
                <w:szCs w:val="18"/>
                <w:lang w:eastAsia="zh-CN"/>
              </w:rPr>
              <w:t>，</w:t>
            </w:r>
            <w:r>
              <w:rPr>
                <w:rFonts w:cs="宋体"/>
                <w:color w:val="000000"/>
                <w:sz w:val="18"/>
                <w:szCs w:val="18"/>
              </w:rPr>
              <w:t>768.06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w:t>
            </w:r>
            <w:r>
              <w:rPr>
                <w:rFonts w:hint="eastAsia" w:cs="宋体"/>
                <w:color w:val="000000"/>
                <w:sz w:val="18"/>
                <w:szCs w:val="18"/>
                <w:lang w:eastAsia="zh-CN"/>
              </w:rPr>
              <w:t>，</w:t>
            </w:r>
            <w:r>
              <w:rPr>
                <w:rFonts w:cs="宋体"/>
                <w:color w:val="000000"/>
                <w:sz w:val="18"/>
                <w:szCs w:val="18"/>
              </w:rPr>
              <w:t>768.06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w:t>
            </w:r>
            <w:r>
              <w:rPr>
                <w:rFonts w:hint="eastAsia" w:cs="宋体"/>
                <w:color w:val="000000"/>
                <w:sz w:val="18"/>
                <w:szCs w:val="18"/>
                <w:lang w:eastAsia="zh-CN"/>
              </w:rPr>
              <w:t>，</w:t>
            </w:r>
            <w:r>
              <w:rPr>
                <w:rFonts w:cs="宋体"/>
                <w:color w:val="000000"/>
                <w:sz w:val="18"/>
                <w:szCs w:val="18"/>
              </w:rPr>
              <w:t>768.06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w:t>
            </w:r>
            <w:r>
              <w:rPr>
                <w:rFonts w:hint="eastAsia" w:cs="宋体"/>
                <w:color w:val="000000"/>
                <w:sz w:val="18"/>
                <w:szCs w:val="18"/>
                <w:lang w:eastAsia="zh-CN"/>
              </w:rPr>
              <w:t>，</w:t>
            </w:r>
            <w:r>
              <w:rPr>
                <w:rFonts w:cs="宋体"/>
                <w:color w:val="000000"/>
                <w:sz w:val="18"/>
                <w:szCs w:val="18"/>
              </w:rPr>
              <w:t>768.06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bl>
    <w:p>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重庆科学城西永中学校</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w:t>
            </w:r>
            <w:r>
              <w:rPr>
                <w:rFonts w:hint="eastAsia" w:cs="宋体"/>
                <w:b/>
                <w:bCs/>
                <w:color w:val="000000"/>
                <w:sz w:val="20"/>
                <w:szCs w:val="20"/>
                <w:lang w:eastAsia="zh-CN"/>
              </w:rPr>
              <w:t>，</w:t>
            </w:r>
            <w:r>
              <w:rPr>
                <w:rFonts w:cs="宋体"/>
                <w:b/>
                <w:bCs/>
                <w:color w:val="000000"/>
                <w:sz w:val="20"/>
                <w:szCs w:val="20"/>
              </w:rPr>
              <w:t>768.06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w:t>
            </w:r>
            <w:r>
              <w:rPr>
                <w:rFonts w:hint="eastAsia" w:cs="宋体"/>
                <w:b/>
                <w:bCs/>
                <w:color w:val="000000"/>
                <w:sz w:val="20"/>
                <w:szCs w:val="20"/>
                <w:lang w:eastAsia="zh-CN"/>
              </w:rPr>
              <w:t>，</w:t>
            </w:r>
            <w:r>
              <w:rPr>
                <w:rFonts w:cs="宋体"/>
                <w:b/>
                <w:bCs/>
                <w:color w:val="000000"/>
                <w:sz w:val="20"/>
                <w:szCs w:val="20"/>
              </w:rPr>
              <w:t>636.69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131.37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w:t>
            </w:r>
            <w:r>
              <w:rPr>
                <w:rFonts w:hint="eastAsia" w:cs="宋体"/>
                <w:b/>
                <w:color w:val="000000"/>
                <w:sz w:val="20"/>
                <w:szCs w:val="20"/>
                <w:lang w:eastAsia="zh-CN"/>
              </w:rPr>
              <w:t>，</w:t>
            </w:r>
            <w:r>
              <w:rPr>
                <w:rFonts w:cs="宋体"/>
                <w:b/>
                <w:color w:val="000000"/>
                <w:sz w:val="20"/>
                <w:szCs w:val="20"/>
              </w:rPr>
              <w:t>472.30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w:t>
            </w:r>
            <w:r>
              <w:rPr>
                <w:rFonts w:hint="eastAsia" w:cs="宋体"/>
                <w:b/>
                <w:color w:val="000000"/>
                <w:sz w:val="20"/>
                <w:szCs w:val="20"/>
                <w:lang w:eastAsia="zh-CN"/>
              </w:rPr>
              <w:t>，</w:t>
            </w:r>
            <w:r>
              <w:rPr>
                <w:rFonts w:cs="宋体"/>
                <w:b/>
                <w:color w:val="000000"/>
                <w:sz w:val="20"/>
                <w:szCs w:val="20"/>
              </w:rPr>
              <w:t>341.20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131.09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w:t>
            </w:r>
            <w:r>
              <w:rPr>
                <w:rFonts w:hint="eastAsia" w:cs="宋体"/>
                <w:b/>
                <w:color w:val="000000"/>
                <w:sz w:val="20"/>
                <w:szCs w:val="20"/>
                <w:lang w:eastAsia="zh-CN"/>
              </w:rPr>
              <w:t>，</w:t>
            </w:r>
            <w:r>
              <w:rPr>
                <w:rFonts w:cs="宋体"/>
                <w:b/>
                <w:color w:val="000000"/>
                <w:sz w:val="20"/>
                <w:szCs w:val="20"/>
              </w:rPr>
              <w:t>472.30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w:t>
            </w:r>
            <w:r>
              <w:rPr>
                <w:rFonts w:hint="eastAsia" w:cs="宋体"/>
                <w:b/>
                <w:color w:val="000000"/>
                <w:sz w:val="20"/>
                <w:szCs w:val="20"/>
                <w:lang w:eastAsia="zh-CN"/>
              </w:rPr>
              <w:t>，</w:t>
            </w:r>
            <w:r>
              <w:rPr>
                <w:rFonts w:cs="宋体"/>
                <w:b/>
                <w:color w:val="000000"/>
                <w:sz w:val="20"/>
                <w:szCs w:val="20"/>
              </w:rPr>
              <w:t>341.20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131.09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w:t>
            </w:r>
            <w:r>
              <w:rPr>
                <w:rFonts w:hint="eastAsia" w:cs="宋体"/>
                <w:color w:val="000000"/>
                <w:sz w:val="20"/>
                <w:szCs w:val="20"/>
                <w:lang w:eastAsia="zh-CN"/>
              </w:rPr>
              <w:t>，</w:t>
            </w:r>
            <w:r>
              <w:rPr>
                <w:rFonts w:cs="宋体"/>
                <w:color w:val="000000"/>
                <w:sz w:val="20"/>
                <w:szCs w:val="20"/>
              </w:rPr>
              <w:t>472.30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w:t>
            </w:r>
            <w:r>
              <w:rPr>
                <w:rFonts w:hint="eastAsia" w:cs="宋体"/>
                <w:color w:val="000000"/>
                <w:sz w:val="20"/>
                <w:szCs w:val="20"/>
                <w:lang w:eastAsia="zh-CN"/>
              </w:rPr>
              <w:t>，</w:t>
            </w:r>
            <w:r>
              <w:rPr>
                <w:rFonts w:cs="宋体"/>
                <w:color w:val="000000"/>
                <w:sz w:val="20"/>
                <w:szCs w:val="20"/>
              </w:rPr>
              <w:t>341.20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131.09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185.71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185.43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0.27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6.89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6.61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0.27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6.89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6.61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0.27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172.26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172.26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69.36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69.36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34.68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34.68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68.22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68.22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6.56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6.56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6.56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6.56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56.46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56.46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56.46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56.46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49.99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49.99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6.47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6.47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53.59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53.59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53.59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53.59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53.59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53.59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bl>
    <w:p>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重庆科学城西永中学校</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w:t>
            </w:r>
            <w:r>
              <w:rPr>
                <w:rFonts w:hint="eastAsia" w:cs="宋体"/>
                <w:color w:val="000000"/>
                <w:sz w:val="18"/>
                <w:szCs w:val="18"/>
                <w:lang w:eastAsia="zh-CN"/>
              </w:rPr>
              <w:t>，</w:t>
            </w:r>
            <w:r>
              <w:rPr>
                <w:rFonts w:cs="宋体"/>
                <w:color w:val="000000"/>
                <w:sz w:val="18"/>
                <w:szCs w:val="18"/>
              </w:rPr>
              <w:t>215.67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239.86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93.51</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240.92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16.31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7.37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93.51</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2.60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749.48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69.36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7.24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34.68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0.37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36.66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8.99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10.61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53.59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13.33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73.57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87.65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12.47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3.69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6.56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12.88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42.33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68.22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24.88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6.94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0.92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26.53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cs="宋体"/>
                <w:color w:val="000000"/>
                <w:sz w:val="18"/>
                <w:szCs w:val="18"/>
              </w:rPr>
            </w:pPr>
            <w:r>
              <w:rPr>
                <w:rFonts w:cs="宋体"/>
                <w:color w:val="000000"/>
                <w:sz w:val="18"/>
                <w:szCs w:val="18"/>
              </w:rPr>
              <w:t>1</w:t>
            </w:r>
            <w:r>
              <w:rPr>
                <w:rFonts w:hint="eastAsia" w:cs="宋体"/>
                <w:color w:val="000000"/>
                <w:sz w:val="18"/>
                <w:szCs w:val="18"/>
                <w:lang w:eastAsia="zh-CN"/>
              </w:rPr>
              <w:t>，</w:t>
            </w:r>
            <w:r>
              <w:rPr>
                <w:rFonts w:cs="宋体"/>
                <w:color w:val="000000"/>
                <w:sz w:val="18"/>
                <w:szCs w:val="18"/>
              </w:rPr>
              <w:t>303.32</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333.36</w:t>
            </w:r>
            <w:r>
              <w:rPr>
                <w:color w:val="000000"/>
                <w:sz w:val="18"/>
                <w:u w:color="auto"/>
              </w:rPr>
              <w:t xml:space="preserve"> </w:t>
            </w:r>
          </w:p>
        </w:tc>
      </w:tr>
    </w:tbl>
    <w:p>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重庆科学城西永中学校</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重庆科学城西永中学校</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重庆科学城西永中学校</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12.47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cs="宋体"/>
                <w:color w:val="000000"/>
                <w:sz w:val="16"/>
                <w:szCs w:val="16"/>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rPr>
                    <w:rFonts w:hint="default"/>
                  </w:rPr>
                  <w:t>- 25 -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w:r>
    <w: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E81785"/>
    <w:rsid w:val="00F73F90"/>
    <w:rsid w:val="00FA00E5"/>
    <w:rsid w:val="00FB08E1"/>
    <w:rsid w:val="01474EBF"/>
    <w:rsid w:val="01F3521E"/>
    <w:rsid w:val="03B87EA0"/>
    <w:rsid w:val="03E3214F"/>
    <w:rsid w:val="044C50BA"/>
    <w:rsid w:val="05BC6D49"/>
    <w:rsid w:val="06194FF1"/>
    <w:rsid w:val="06A2550B"/>
    <w:rsid w:val="06AB3ABC"/>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CC6BCA"/>
    <w:rsid w:val="0DDA54E4"/>
    <w:rsid w:val="0E3A5F83"/>
    <w:rsid w:val="0F836721"/>
    <w:rsid w:val="0FA25D96"/>
    <w:rsid w:val="107B59E5"/>
    <w:rsid w:val="10EC0126"/>
    <w:rsid w:val="10F70B9A"/>
    <w:rsid w:val="111445C7"/>
    <w:rsid w:val="114278C6"/>
    <w:rsid w:val="11543A9F"/>
    <w:rsid w:val="1158083A"/>
    <w:rsid w:val="11643A4B"/>
    <w:rsid w:val="11ED0F98"/>
    <w:rsid w:val="11F03528"/>
    <w:rsid w:val="12C921C4"/>
    <w:rsid w:val="13871C70"/>
    <w:rsid w:val="13A71CB4"/>
    <w:rsid w:val="13AF1D43"/>
    <w:rsid w:val="13CE1647"/>
    <w:rsid w:val="13FD55AB"/>
    <w:rsid w:val="14200702"/>
    <w:rsid w:val="154A14F5"/>
    <w:rsid w:val="163A6CEE"/>
    <w:rsid w:val="165F349B"/>
    <w:rsid w:val="173708E3"/>
    <w:rsid w:val="17C374FC"/>
    <w:rsid w:val="182E4AB6"/>
    <w:rsid w:val="189079DC"/>
    <w:rsid w:val="189B0D0B"/>
    <w:rsid w:val="18B43F7C"/>
    <w:rsid w:val="194A1770"/>
    <w:rsid w:val="197D24B5"/>
    <w:rsid w:val="19B906A4"/>
    <w:rsid w:val="1B6F15B6"/>
    <w:rsid w:val="1BAA2EDC"/>
    <w:rsid w:val="1CA55E64"/>
    <w:rsid w:val="1D014A01"/>
    <w:rsid w:val="1D022362"/>
    <w:rsid w:val="1D1B04B0"/>
    <w:rsid w:val="1D993A69"/>
    <w:rsid w:val="1DA52501"/>
    <w:rsid w:val="1DBD6767"/>
    <w:rsid w:val="1DC52125"/>
    <w:rsid w:val="1DD26311"/>
    <w:rsid w:val="1DD640A5"/>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0329DA"/>
    <w:rsid w:val="3694770B"/>
    <w:rsid w:val="36C9128A"/>
    <w:rsid w:val="37841E99"/>
    <w:rsid w:val="37BF1123"/>
    <w:rsid w:val="383C3F15"/>
    <w:rsid w:val="38B8757C"/>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8E523D"/>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037211"/>
    <w:rsid w:val="59C91CFC"/>
    <w:rsid w:val="5A3B59D6"/>
    <w:rsid w:val="5A491390"/>
    <w:rsid w:val="5AD134D8"/>
    <w:rsid w:val="5C263CE4"/>
    <w:rsid w:val="5C5D2777"/>
    <w:rsid w:val="5CF66BF3"/>
    <w:rsid w:val="5D290C69"/>
    <w:rsid w:val="5DEE06E6"/>
    <w:rsid w:val="5F2D4A41"/>
    <w:rsid w:val="602D21BE"/>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B92B03"/>
    <w:rsid w:val="6B474EF5"/>
    <w:rsid w:val="6C0A5AC5"/>
    <w:rsid w:val="6C560CAE"/>
    <w:rsid w:val="6C576495"/>
    <w:rsid w:val="6D903FF5"/>
    <w:rsid w:val="6DA955B8"/>
    <w:rsid w:val="6DE346AB"/>
    <w:rsid w:val="6DE5391A"/>
    <w:rsid w:val="6E54668E"/>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C529ED"/>
    <w:rsid w:val="7B420052"/>
    <w:rsid w:val="7BD06A28"/>
    <w:rsid w:val="7C3A7C0B"/>
    <w:rsid w:val="7C5248E4"/>
    <w:rsid w:val="7C566698"/>
    <w:rsid w:val="7C5866A3"/>
    <w:rsid w:val="7C82370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pPr>
      <w:keepNext w:val="0"/>
      <w:keepLines w:val="0"/>
      <w:widowControl/>
      <w:suppressLineNumbers w:val="0"/>
      <w:spacing w:before="0" w:beforeAutospacing="0" w:after="120" w:afterLines="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4029</Words>
  <Characters>22970</Characters>
  <Lines>191</Lines>
  <Paragraphs>53</Paragraphs>
  <TotalTime>40</TotalTime>
  <ScaleCrop>false</ScaleCrop>
  <LinksUpToDate>false</LinksUpToDate>
  <CharactersWithSpaces>26946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2024-10-17T06:13:40Z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