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重庆科学城实验一小西丰小学校</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2022年度部门决算公开说明</w:t>
      </w:r>
    </w:p>
    <w:p>
      <w:pPr>
        <w:shd w:val="clear" w:color="auto" w:fill="FFFFFF"/>
        <w:autoSpaceDE w:val="0"/>
        <w:autoSpaceDN w:val="0"/>
        <w:spacing w:line="600" w:lineRule="exact"/>
        <w:ind w:firstLine="640" w:firstLineChars="200"/>
        <w:rPr>
          <w:rFonts w:hint="default" w:ascii="Times New Roman" w:hAnsi="Times New Roman" w:eastAsia="方正黑体_GBK" w:cs="Times New Roman"/>
          <w:sz w:val="32"/>
          <w:szCs w:val="32"/>
          <w:lang w:val="zh-CN"/>
        </w:rPr>
      </w:pPr>
    </w:p>
    <w:p>
      <w:pPr>
        <w:keepNext w:val="0"/>
        <w:keepLines w:val="0"/>
        <w:pageBreakBefore w:val="0"/>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黑体_GBK" w:cs="Times New Roman"/>
          <w:b/>
          <w:sz w:val="32"/>
          <w:szCs w:val="32"/>
        </w:rPr>
      </w:pPr>
      <w:r>
        <w:rPr>
          <w:rFonts w:hint="default" w:ascii="Times New Roman" w:hAnsi="Times New Roman" w:eastAsia="方正黑体_GBK" w:cs="Times New Roman"/>
          <w:sz w:val="32"/>
          <w:szCs w:val="32"/>
        </w:rPr>
        <w:t>一、部门基本情况</w:t>
      </w:r>
    </w:p>
    <w:p>
      <w:pPr>
        <w:keepNext w:val="0"/>
        <w:keepLines w:val="0"/>
        <w:pageBreakBefore w:val="0"/>
        <w:shd w:val="clear" w:color="auto" w:fill="FFFFFF"/>
        <w:tabs>
          <w:tab w:val="left" w:pos="4154"/>
        </w:tabs>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（一）职能职责</w:t>
      </w:r>
    </w:p>
    <w:p>
      <w:pPr>
        <w:keepNext w:val="0"/>
        <w:keepLines w:val="0"/>
        <w:pageBreakBefore w:val="0"/>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实施小学学历（义务）教育，为学生提供相关社会服务。</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（二）机构设置</w:t>
      </w:r>
    </w:p>
    <w:p>
      <w:pPr>
        <w:pStyle w:val="6"/>
        <w:keepNext w:val="0"/>
        <w:keepLines w:val="0"/>
        <w:pageBreakBefore w:val="0"/>
        <w:shd w:val="clear" w:color="auto" w:fill="FFFFFF"/>
        <w:kinsoku/>
        <w:wordWrap/>
        <w:overflowPunct/>
        <w:topLinePunct w:val="0"/>
        <w:bidi w:val="0"/>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本单位共设置6个部门，各部门如下：党政办公室、人力资源中心、学生成长中心、教师发展中心、后勤保障中心、文化品牌中心。</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（三）单位构成</w:t>
      </w:r>
    </w:p>
    <w:p>
      <w:pPr>
        <w:pStyle w:val="6"/>
        <w:keepNext w:val="0"/>
        <w:keepLines w:val="0"/>
        <w:pageBreakBefore w:val="0"/>
        <w:shd w:val="clear" w:color="auto" w:fill="FFFFFF"/>
        <w:kinsoku/>
        <w:wordWrap/>
        <w:overflowPunct/>
        <w:topLinePunct w:val="0"/>
        <w:bidi w:val="0"/>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本单位为重庆市高新区下属二级预算单位，从预算单位构成看，无纳入本单位2022年决算编制的下级预算单位。</w:t>
      </w:r>
    </w:p>
    <w:p>
      <w:pPr>
        <w:keepNext w:val="0"/>
        <w:keepLines w:val="0"/>
        <w:pageBreakBefore w:val="0"/>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二、部门决算情况说明</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（一）收入支出决算总体情况说明</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sz w:val="32"/>
          <w:szCs w:val="32"/>
        </w:rPr>
        <w:t>1.总体情况。</w:t>
      </w:r>
      <w:r>
        <w:rPr>
          <w:rFonts w:hint="default" w:ascii="Times New Roman" w:hAnsi="Times New Roman" w:eastAsia="方正仿宋_GBK" w:cs="Times New Roman"/>
          <w:sz w:val="32"/>
          <w:szCs w:val="32"/>
          <w:shd w:val="clear" w:color="auto" w:fill="FFFFFF"/>
        </w:rPr>
        <w:t>2022年度收入总计1,013.94万元，支出总计1,013.94万元。收支较上年决算数增加100%，主要原因是本年度为本单位第一年编制决算报告，无上年数据。</w:t>
      </w:r>
    </w:p>
    <w:p>
      <w:pPr>
        <w:pStyle w:val="6"/>
        <w:keepNext w:val="0"/>
        <w:keepLines w:val="0"/>
        <w:pageBreakBefore w:val="0"/>
        <w:widowControl w:val="0"/>
        <w:shd w:val="clear" w:color="auto" w:fill="FFFFFF"/>
        <w:kinsoku/>
        <w:wordWrap/>
        <w:overflowPunct/>
        <w:topLinePunct w:val="0"/>
        <w:bidi w:val="0"/>
        <w:snapToGrid/>
        <w:spacing w:before="0" w:beforeAutospacing="0" w:after="0" w:afterAutospacing="0" w:line="60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2.收入情况。</w:t>
      </w:r>
      <w:r>
        <w:rPr>
          <w:rFonts w:hint="default" w:ascii="Times New Roman" w:hAnsi="Times New Roman" w:eastAsia="方正仿宋_GBK" w:cs="Times New Roman"/>
          <w:sz w:val="32"/>
          <w:szCs w:val="32"/>
          <w:shd w:val="clear" w:color="auto" w:fill="FFFFFF"/>
        </w:rPr>
        <w:t>2022年度收入合计1,013.94万元，较上年决算数增加1,013.94万元，增加100%，主要原因是本年度为本单位第一年编制决算报告，无上年数据。其中：财政拨款收入1,013.94万元，占100.0%</w:t>
      </w:r>
      <w:r>
        <w:rPr>
          <w:rFonts w:hint="default" w:ascii="Times New Roman" w:hAnsi="Times New Roman" w:eastAsia="方正仿宋_GBK" w:cs="Times New Roman"/>
          <w:sz w:val="32"/>
          <w:szCs w:val="32"/>
        </w:rPr>
        <w:t>。</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3.支出情况。</w:t>
      </w:r>
      <w:r>
        <w:rPr>
          <w:rFonts w:hint="default" w:ascii="Times New Roman" w:hAnsi="Times New Roman" w:eastAsia="方正仿宋_GBK" w:cs="Times New Roman"/>
          <w:sz w:val="32"/>
          <w:szCs w:val="32"/>
        </w:rPr>
        <w:t>2022年度支出合计</w:t>
      </w:r>
      <w:r>
        <w:rPr>
          <w:rFonts w:hint="default" w:ascii="Times New Roman" w:hAnsi="Times New Roman" w:eastAsia="方正仿宋_GBK" w:cs="Times New Roman"/>
          <w:sz w:val="32"/>
          <w:szCs w:val="32"/>
          <w:shd w:val="clear" w:color="auto" w:fill="FFFFFF"/>
        </w:rPr>
        <w:t>1,013.94</w:t>
      </w:r>
      <w:r>
        <w:rPr>
          <w:rFonts w:hint="default" w:ascii="Times New Roman" w:hAnsi="Times New Roman" w:eastAsia="方正仿宋_GBK" w:cs="Times New Roman"/>
          <w:sz w:val="32"/>
          <w:szCs w:val="32"/>
        </w:rPr>
        <w:t>万元，较上年决算增加</w:t>
      </w:r>
      <w:r>
        <w:rPr>
          <w:rFonts w:hint="default" w:ascii="Times New Roman" w:hAnsi="Times New Roman" w:eastAsia="方正仿宋_GBK" w:cs="Times New Roman"/>
          <w:sz w:val="32"/>
          <w:szCs w:val="32"/>
          <w:shd w:val="clear" w:color="auto" w:fill="FFFFFF"/>
        </w:rPr>
        <w:t>1,013.94</w:t>
      </w:r>
      <w:r>
        <w:rPr>
          <w:rFonts w:hint="default" w:ascii="Times New Roman" w:hAnsi="Times New Roman" w:eastAsia="方正仿宋_GBK" w:cs="Times New Roman"/>
          <w:sz w:val="32"/>
          <w:szCs w:val="32"/>
        </w:rPr>
        <w:t>万元，增加100%，主要原因是</w:t>
      </w:r>
      <w:r>
        <w:rPr>
          <w:rFonts w:hint="default" w:ascii="Times New Roman" w:hAnsi="Times New Roman" w:eastAsia="方正仿宋_GBK" w:cs="Times New Roman"/>
          <w:sz w:val="32"/>
          <w:szCs w:val="32"/>
          <w:shd w:val="clear" w:color="auto" w:fill="FFFFFF"/>
        </w:rPr>
        <w:t>2022年为本单位第一年编制决算报告，无上年数据</w:t>
      </w:r>
      <w:r>
        <w:rPr>
          <w:rFonts w:hint="default" w:ascii="Times New Roman" w:hAnsi="Times New Roman" w:eastAsia="方正仿宋_GBK" w:cs="Times New Roman"/>
          <w:sz w:val="32"/>
          <w:szCs w:val="32"/>
        </w:rPr>
        <w:t>。其中：基本支出854.83万元，占84.3%；项目支出159.11万元，占15.7%。</w:t>
      </w:r>
    </w:p>
    <w:p>
      <w:pPr>
        <w:pStyle w:val="6"/>
        <w:keepNext w:val="0"/>
        <w:keepLines w:val="0"/>
        <w:pageBreakBefore w:val="0"/>
        <w:widowControl w:val="0"/>
        <w:shd w:val="clear" w:color="auto" w:fill="FFFFFF"/>
        <w:kinsoku/>
        <w:wordWrap/>
        <w:overflowPunct/>
        <w:topLinePunct w:val="0"/>
        <w:bidi w:val="0"/>
        <w:snapToGrid/>
        <w:spacing w:before="0" w:beforeAutospacing="0" w:after="0" w:afterAutospacing="0" w:line="600" w:lineRule="exact"/>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sz w:val="32"/>
          <w:szCs w:val="32"/>
        </w:rPr>
        <w:t>4.结转结</w:t>
      </w:r>
      <w:r>
        <w:rPr>
          <w:rFonts w:hint="default" w:ascii="Times New Roman" w:hAnsi="Times New Roman" w:eastAsia="方正仿宋_GBK" w:cs="Times New Roman"/>
          <w:b/>
          <w:color w:val="000000" w:themeColor="text1"/>
          <w:sz w:val="32"/>
          <w:szCs w:val="32"/>
          <w14:textFill>
            <w14:solidFill>
              <w14:schemeClr w14:val="tx1"/>
            </w14:solidFill>
          </w14:textFill>
        </w:rPr>
        <w:t>余情况。</w:t>
      </w:r>
      <w:r>
        <w:rPr>
          <w:rFonts w:hint="default" w:ascii="Times New Roman" w:hAnsi="Times New Roman" w:eastAsia="方正仿宋_GBK" w:cs="Times New Roman"/>
          <w:color w:val="000000" w:themeColor="text1"/>
          <w:sz w:val="32"/>
          <w:szCs w:val="32"/>
          <w14:textFill>
            <w14:solidFill>
              <w14:schemeClr w14:val="tx1"/>
            </w14:solidFill>
          </w14:textFill>
        </w:rPr>
        <w:t>2022年度年末结转和结余0万元，较上年决算数增加0万元，增长0.0%。</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（二）财政拨款收入支出决算总体情况说明</w:t>
      </w:r>
    </w:p>
    <w:p>
      <w:pPr>
        <w:pStyle w:val="6"/>
        <w:keepNext w:val="0"/>
        <w:keepLines w:val="0"/>
        <w:pageBreakBefore w:val="0"/>
        <w:widowControl w:val="0"/>
        <w:shd w:val="clear" w:color="auto" w:fill="FFFFFF"/>
        <w:kinsoku/>
        <w:wordWrap/>
        <w:overflowPunct/>
        <w:topLinePunct w:val="0"/>
        <w:bidi w:val="0"/>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2022年度财政拨款收、支总计1,013.94万元。与2021年相比，财政拨款收、支总计各增加1,013.94万元，增长100%。主要原因是2022年为本单位第一年编制决算报告，无上年数据。</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（三）一般公共预算财政拨款收入支出决算情况说明</w:t>
      </w:r>
    </w:p>
    <w:p>
      <w:pPr>
        <w:pStyle w:val="6"/>
        <w:keepNext w:val="0"/>
        <w:keepLines w:val="0"/>
        <w:pageBreakBefore w:val="0"/>
        <w:widowControl w:val="0"/>
        <w:shd w:val="clear" w:color="auto" w:fill="FFFFFF"/>
        <w:kinsoku/>
        <w:wordWrap/>
        <w:overflowPunct/>
        <w:topLinePunct w:val="0"/>
        <w:bidi w:val="0"/>
        <w:snapToGrid/>
        <w:spacing w:before="0" w:beforeAutospacing="0" w:after="0" w:afterAutospacing="0" w:line="60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1.收入情况。</w:t>
      </w:r>
      <w:r>
        <w:rPr>
          <w:rFonts w:hint="default" w:ascii="Times New Roman" w:hAnsi="Times New Roman" w:eastAsia="方正仿宋_GBK" w:cs="Times New Roman"/>
          <w:sz w:val="32"/>
          <w:szCs w:val="32"/>
        </w:rPr>
        <w:t>2022年度一般公共预算财政拨款收入</w:t>
      </w:r>
      <w:r>
        <w:rPr>
          <w:rFonts w:hint="default" w:ascii="Times New Roman" w:hAnsi="Times New Roman" w:eastAsia="方正仿宋_GBK" w:cs="Times New Roman"/>
          <w:sz w:val="32"/>
          <w:szCs w:val="32"/>
          <w:shd w:val="clear" w:color="auto" w:fill="FFFFFF"/>
        </w:rPr>
        <w:t>1,013.94</w:t>
      </w:r>
      <w:r>
        <w:rPr>
          <w:rFonts w:hint="default" w:ascii="Times New Roman" w:hAnsi="Times New Roman" w:eastAsia="方正仿宋_GBK" w:cs="Times New Roman"/>
          <w:sz w:val="32"/>
          <w:szCs w:val="32"/>
        </w:rPr>
        <w:t>万元，较上年决算数增加1,013.94万元，增加100%，主要原因是</w:t>
      </w:r>
      <w:r>
        <w:rPr>
          <w:rFonts w:hint="default" w:ascii="Times New Roman" w:hAnsi="Times New Roman" w:eastAsia="方正仿宋_GBK" w:cs="Times New Roman"/>
          <w:sz w:val="32"/>
          <w:szCs w:val="32"/>
          <w:shd w:val="clear" w:color="auto" w:fill="FFFFFF"/>
        </w:rPr>
        <w:t>2022年为本单位第一年编制决算报告，无上年数据</w:t>
      </w:r>
      <w:r>
        <w:rPr>
          <w:rFonts w:hint="default" w:ascii="Times New Roman" w:hAnsi="Times New Roman" w:eastAsia="方正仿宋_GBK" w:cs="Times New Roman"/>
          <w:sz w:val="32"/>
          <w:szCs w:val="32"/>
        </w:rPr>
        <w:t>。较年初预算数增加683.26万元，增长206.6%，主要原因是我校为新学校，9月新增在职人员较多。</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2.支出情况。</w:t>
      </w:r>
      <w:r>
        <w:rPr>
          <w:rFonts w:hint="default" w:ascii="Times New Roman" w:hAnsi="Times New Roman" w:eastAsia="方正仿宋_GBK" w:cs="Times New Roman"/>
          <w:sz w:val="32"/>
          <w:szCs w:val="32"/>
        </w:rPr>
        <w:t>2022年度一般公共预算财政拨款支出</w:t>
      </w:r>
      <w:r>
        <w:rPr>
          <w:rFonts w:hint="default" w:ascii="Times New Roman" w:hAnsi="Times New Roman" w:eastAsia="方正仿宋_GBK" w:cs="Times New Roman"/>
          <w:sz w:val="32"/>
          <w:szCs w:val="32"/>
          <w:shd w:val="clear" w:color="auto" w:fill="FFFFFF"/>
        </w:rPr>
        <w:t>1,013.94</w:t>
      </w:r>
      <w:r>
        <w:rPr>
          <w:rFonts w:hint="default" w:ascii="Times New Roman" w:hAnsi="Times New Roman" w:eastAsia="方正仿宋_GBK" w:cs="Times New Roman"/>
          <w:sz w:val="32"/>
          <w:szCs w:val="32"/>
        </w:rPr>
        <w:t>万元，较上年决算数增加</w:t>
      </w:r>
      <w:r>
        <w:rPr>
          <w:rFonts w:hint="default" w:ascii="Times New Roman" w:hAnsi="Times New Roman" w:eastAsia="方正仿宋_GBK" w:cs="Times New Roman"/>
          <w:sz w:val="32"/>
          <w:szCs w:val="32"/>
          <w:shd w:val="clear" w:color="auto" w:fill="FFFFFF"/>
        </w:rPr>
        <w:t>1,013.94</w:t>
      </w:r>
      <w:r>
        <w:rPr>
          <w:rFonts w:hint="default" w:ascii="Times New Roman" w:hAnsi="Times New Roman" w:eastAsia="方正仿宋_GBK" w:cs="Times New Roman"/>
          <w:sz w:val="32"/>
          <w:szCs w:val="32"/>
        </w:rPr>
        <w:t>万元，增加100%。主要原因是</w:t>
      </w:r>
      <w:r>
        <w:rPr>
          <w:rFonts w:hint="default" w:ascii="Times New Roman" w:hAnsi="Times New Roman" w:eastAsia="方正仿宋_GBK" w:cs="Times New Roman"/>
          <w:sz w:val="32"/>
          <w:szCs w:val="32"/>
          <w:shd w:val="clear" w:color="auto" w:fill="FFFFFF"/>
        </w:rPr>
        <w:t>2022年为本单位第一年编制决算报告，无上年数据</w:t>
      </w:r>
      <w:r>
        <w:rPr>
          <w:rFonts w:hint="default" w:ascii="Times New Roman" w:hAnsi="Times New Roman" w:eastAsia="方正仿宋_GBK" w:cs="Times New Roman"/>
          <w:sz w:val="32"/>
          <w:szCs w:val="32"/>
        </w:rPr>
        <w:t>。较年初预算数增加683.26万元，增长206.6%。主要原因是年初预算未包括因增加人员追加经费支出及项目支出。</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3.结转结余情况。</w:t>
      </w:r>
      <w:r>
        <w:rPr>
          <w:rFonts w:hint="default" w:ascii="Times New Roman" w:hAnsi="Times New Roman" w:eastAsia="方正仿宋_GBK" w:cs="Times New Roman"/>
          <w:sz w:val="32"/>
          <w:szCs w:val="32"/>
        </w:rPr>
        <w:t>2022年度年末一般公共预算财政拨款结转和结余0万元，较上年决算数增加0万元。</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4.比较情况。</w:t>
      </w:r>
      <w:r>
        <w:rPr>
          <w:rFonts w:hint="default" w:ascii="Times New Roman" w:hAnsi="Times New Roman" w:eastAsia="方正仿宋_GBK" w:cs="Times New Roman"/>
          <w:sz w:val="32"/>
          <w:szCs w:val="32"/>
        </w:rPr>
        <w:t>本单位2022年度一般公共预算财政拨款支出主要用于以下几个方面：</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shd w:val="clear" w:color="auto" w:fill="FFFFFF"/>
        </w:rPr>
        <w:t>教育支出1,009.39万元，占99.6%，较年初预算数增加690.86，增长216.9%，主要原因是年初预算未包括因人员增加追加经费及项目拨入款项。</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shd w:val="clear" w:color="auto" w:fill="FFFFFF"/>
        </w:rPr>
        <w:t>住房保障支出4.55万元，占0.4%，较年初预算数增加1.55万元，增长51.7%，主要原因是本单位</w:t>
      </w:r>
      <w:r>
        <w:rPr>
          <w:rFonts w:hint="default" w:ascii="Times New Roman" w:hAnsi="Times New Roman" w:eastAsia="方正仿宋_GBK" w:cs="Times New Roman"/>
          <w:sz w:val="32"/>
          <w:szCs w:val="32"/>
        </w:rPr>
        <w:t>2022年年中有在职人员调入，导</w:t>
      </w:r>
      <w:r>
        <w:rPr>
          <w:rFonts w:hint="default" w:ascii="Times New Roman" w:hAnsi="Times New Roman" w:eastAsia="方正仿宋_GBK" w:cs="Times New Roman"/>
          <w:sz w:val="32"/>
          <w:szCs w:val="32"/>
          <w:shd w:val="clear" w:color="auto" w:fill="FFFFFF"/>
        </w:rPr>
        <w:t>致住房保障支出较年初预</w:t>
      </w:r>
      <w:r>
        <w:rPr>
          <w:rFonts w:hint="default" w:ascii="Times New Roman" w:hAnsi="Times New Roman" w:eastAsia="方正仿宋_GBK" w:cs="Times New Roman"/>
          <w:sz w:val="32"/>
          <w:szCs w:val="32"/>
        </w:rPr>
        <w:t>算数增加。</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（四）一般公共预算财政拨款基本支出决算情况说明</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2022年度一般公共预算财政拨款基本支出854.83万元。其中：人员经费100.54万元，较上年决算数增加100.54万元，增长100%，主要原因是本单位第一年编制决算报告，无上年数据。</w:t>
      </w:r>
      <w:r>
        <w:rPr>
          <w:rFonts w:hint="default" w:ascii="Times New Roman" w:hAnsi="Times New Roman" w:eastAsia="方正仿宋_GBK" w:cs="Times New Roman"/>
          <w:sz w:val="32"/>
          <w:szCs w:val="32"/>
        </w:rPr>
        <w:t>人员经费用途主要包括基本工资、津贴补贴、绩效工资、社会保障缴费、生活补助等。其中工资福利支出99.67万元，对个人和家庭的补助0.88万元。</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公用经费754.29万元，较上年决算数增加754.29万元，增长100%，主要原因是</w:t>
      </w:r>
      <w:r>
        <w:rPr>
          <w:rFonts w:hint="default" w:ascii="Times New Roman" w:hAnsi="Times New Roman" w:eastAsia="方正仿宋_GBK" w:cs="Times New Roman"/>
          <w:sz w:val="32"/>
          <w:szCs w:val="32"/>
          <w:shd w:val="clear" w:color="auto" w:fill="FFFFFF"/>
        </w:rPr>
        <w:t>本单位第一年编制决算报告，无上年数据</w:t>
      </w:r>
      <w:r>
        <w:rPr>
          <w:rFonts w:hint="default" w:ascii="Times New Roman" w:hAnsi="Times New Roman" w:eastAsia="方正仿宋_GBK" w:cs="Times New Roman"/>
          <w:sz w:val="32"/>
          <w:szCs w:val="32"/>
        </w:rPr>
        <w:t>。公用经费用途主要包括办公费、印刷费、水电费、维修（护）费、劳务费、公务车运行维护费、福利费、学生活动费、办公设备购置等。其中商品和服务支出649.17万元，资本性支出105.12万元。</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（五）政府性基金预算收支决算情况说明</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本单位2022年度无政府性基金预算财政拨款收支。</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（六）国有资本经营预算财政拨款支出决算情况说明</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本单位2022</w:t>
      </w:r>
      <w:r>
        <w:rPr>
          <w:rFonts w:hint="eastAsia" w:ascii="Times New Roman" w:hAnsi="Times New Roman" w:eastAsia="方正仿宋_GBK" w:cs="Times New Roman"/>
          <w:sz w:val="32"/>
          <w:szCs w:val="32"/>
          <w:lang w:val="en-US" w:eastAsia="zh-CN"/>
        </w:rPr>
        <w:t>年</w:t>
      </w:r>
      <w:bookmarkStart w:id="0" w:name="_GoBack"/>
      <w:bookmarkEnd w:id="0"/>
      <w:r>
        <w:rPr>
          <w:rFonts w:hint="default" w:ascii="Times New Roman" w:hAnsi="Times New Roman" w:eastAsia="方正仿宋_GBK" w:cs="Times New Roman"/>
          <w:sz w:val="32"/>
          <w:szCs w:val="32"/>
        </w:rPr>
        <w:t>度无国有资本经营预算财政拨款支出。</w:t>
      </w:r>
    </w:p>
    <w:p>
      <w:pPr>
        <w:keepNext w:val="0"/>
        <w:keepLines w:val="0"/>
        <w:pageBreakBefore w:val="0"/>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三、“三公”经费情况说明</w:t>
      </w:r>
    </w:p>
    <w:p>
      <w:pPr>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（一）“三公”经费支出情况</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本部门2022年度无三公经费支出</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（二）“三公”经费实物量情况</w:t>
      </w:r>
    </w:p>
    <w:p>
      <w:pPr>
        <w:keepNext w:val="0"/>
        <w:keepLines w:val="0"/>
        <w:pageBreakBefore w:val="0"/>
        <w:shd w:val="clear" w:color="auto" w:fill="FFFFFF"/>
        <w:kinsoku/>
        <w:wordWrap/>
        <w:overflowPunct/>
        <w:topLinePunct w:val="0"/>
        <w:autoSpaceDE w:val="0"/>
        <w:autoSpaceDN w:val="0"/>
        <w:bidi w:val="0"/>
        <w:adjustRightInd w:val="0"/>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rPr>
        <w:t>本部门2022年度无“三公”实物量情况。</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四、其他需要说明的事项</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（一）一般公共预算财政拨款会议费和培训费情况说明</w:t>
      </w:r>
    </w:p>
    <w:p>
      <w:pPr>
        <w:pStyle w:val="6"/>
        <w:keepNext w:val="0"/>
        <w:keepLines w:val="0"/>
        <w:pageBreakBefore w:val="0"/>
        <w:widowControl w:val="0"/>
        <w:shd w:val="clear" w:color="auto" w:fill="FFFFFF"/>
        <w:kinsoku/>
        <w:wordWrap/>
        <w:overflowPunct/>
        <w:topLinePunct w:val="0"/>
        <w:bidi w:val="0"/>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rPr>
        <w:t>本年度未发生会议费支出，较上年决算数增加0万元。本年度培训费支出0.58万元，较上年决算数增加0.58万元，增长100%，主要原因是</w:t>
      </w:r>
      <w:r>
        <w:rPr>
          <w:rFonts w:hint="default" w:ascii="Times New Roman" w:hAnsi="Times New Roman" w:eastAsia="方正仿宋_GBK" w:cs="Times New Roman"/>
          <w:sz w:val="32"/>
          <w:szCs w:val="32"/>
          <w:shd w:val="clear" w:color="auto" w:fill="FFFFFF"/>
        </w:rPr>
        <w:t>本单位第一年编制决算报告，无上年数据</w:t>
      </w:r>
      <w:r>
        <w:rPr>
          <w:rFonts w:hint="default" w:ascii="Times New Roman" w:hAnsi="Times New Roman" w:eastAsia="方正仿宋_GBK" w:cs="Times New Roman"/>
          <w:sz w:val="32"/>
          <w:szCs w:val="32"/>
        </w:rPr>
        <w:t>。</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（二）机关运行经费情况说明</w:t>
      </w:r>
    </w:p>
    <w:p>
      <w:pPr>
        <w:pStyle w:val="6"/>
        <w:keepNext w:val="0"/>
        <w:keepLines w:val="0"/>
        <w:pageBreakBefore w:val="0"/>
        <w:widowControl w:val="0"/>
        <w:shd w:val="clear" w:color="auto" w:fill="FFFFFF"/>
        <w:kinsoku/>
        <w:wordWrap/>
        <w:overflowPunct/>
        <w:topLinePunct w:val="0"/>
        <w:bidi w:val="0"/>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按照部门决算列报口径，我单位不在机关运行经费统计范围之内。</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（三）国有资产占用情况说明</w:t>
      </w:r>
    </w:p>
    <w:p>
      <w:pPr>
        <w:keepNext w:val="0"/>
        <w:keepLines w:val="0"/>
        <w:pageBreakBefore w:val="0"/>
        <w:shd w:val="clear" w:color="auto" w:fill="FFFFFF"/>
        <w:kinsoku/>
        <w:wordWrap/>
        <w:overflowPunct/>
        <w:topLinePunct w:val="0"/>
        <w:autoSpaceDE w:val="0"/>
        <w:autoSpaceDN w:val="0"/>
        <w:bidi w:val="0"/>
        <w:adjustRightInd w:val="0"/>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截至2022年12月31日，本单位共有车辆0辆，其中，应急保障用车0辆。单价50万元（含）以上通用设备0台（套），单价100万元（含）以上专用设备0台（套）。</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（四）政府采购支出情况说明</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2022年度本部门政府采购支出总额0万元，2022年度我单位未发生政府采购事项，无相关经费支出。</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五、预算绩效管理情况说明</w:t>
      </w:r>
    </w:p>
    <w:p>
      <w:pPr>
        <w:autoSpaceDE w:val="0"/>
        <w:spacing w:line="600" w:lineRule="exact"/>
        <w:ind w:firstLine="640" w:firstLineChars="200"/>
        <w:jc w:val="both"/>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（一）预算绩效管理工作开展情况</w:t>
      </w:r>
    </w:p>
    <w:p>
      <w:pPr>
        <w:pStyle w:val="13"/>
        <w:autoSpaceDE w:val="0"/>
        <w:spacing w:beforeAutospacing="0" w:afterAutospacing="0" w:line="600" w:lineRule="exact"/>
        <w:ind w:firstLine="640" w:firstLineChars="200"/>
        <w:jc w:val="both"/>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shd w:val="clear" w:color="auto" w:fill="FFFFFF"/>
        </w:rPr>
        <w:t>根据预算绩效管理要求，我</w:t>
      </w:r>
      <w:r>
        <w:rPr>
          <w:rFonts w:hint="default" w:ascii="Times New Roman" w:hAnsi="Times New Roman" w:eastAsia="方正仿宋_GBK" w:cs="Times New Roman"/>
          <w:b w:val="0"/>
          <w:bCs/>
          <w:sz w:val="32"/>
          <w:szCs w:val="32"/>
          <w:shd w:val="clear" w:color="auto" w:fill="FFFFFF"/>
          <w:lang w:eastAsia="zh-CN"/>
        </w:rPr>
        <w:t>单位</w:t>
      </w:r>
      <w:r>
        <w:rPr>
          <w:rFonts w:hint="default" w:ascii="Times New Roman" w:hAnsi="Times New Roman" w:eastAsia="方正仿宋_GBK" w:cs="Times New Roman"/>
          <w:b w:val="0"/>
          <w:bCs/>
          <w:sz w:val="32"/>
          <w:szCs w:val="32"/>
          <w:shd w:val="clear" w:color="auto" w:fill="FFFFFF"/>
        </w:rPr>
        <w:t>对部门整体和</w:t>
      </w:r>
      <w:r>
        <w:rPr>
          <w:rFonts w:hint="default" w:ascii="Times New Roman" w:hAnsi="Times New Roman" w:eastAsia="方正仿宋_GBK" w:cs="Times New Roman"/>
          <w:b w:val="0"/>
          <w:bCs/>
          <w:sz w:val="32"/>
          <w:szCs w:val="32"/>
          <w:shd w:val="clear" w:color="auto" w:fill="FFFFFF"/>
          <w:lang w:eastAsia="zh-CN"/>
        </w:rPr>
        <w:t>二级</w:t>
      </w:r>
      <w:r>
        <w:rPr>
          <w:rFonts w:hint="default" w:ascii="Times New Roman" w:hAnsi="Times New Roman" w:eastAsia="方正仿宋_GBK" w:cs="Times New Roman"/>
          <w:b w:val="0"/>
          <w:bCs/>
          <w:sz w:val="32"/>
          <w:szCs w:val="32"/>
          <w:shd w:val="clear" w:color="auto" w:fill="FFFFFF"/>
        </w:rPr>
        <w:t>项目开展了绩效自评，</w:t>
      </w:r>
      <w:r>
        <w:rPr>
          <w:rFonts w:hint="default" w:ascii="Times New Roman" w:hAnsi="Times New Roman" w:eastAsia="方正仿宋_GBK" w:cs="Times New Roman"/>
          <w:b w:val="0"/>
          <w:bCs/>
          <w:sz w:val="32"/>
          <w:szCs w:val="32"/>
          <w:shd w:val="clear" w:color="auto" w:fill="FFFFFF"/>
          <w:lang w:eastAsia="zh-CN"/>
        </w:rPr>
        <w:t>均</w:t>
      </w:r>
      <w:r>
        <w:rPr>
          <w:rFonts w:hint="default" w:ascii="Times New Roman" w:hAnsi="Times New Roman" w:eastAsia="方正仿宋_GBK" w:cs="Times New Roman"/>
          <w:b w:val="0"/>
          <w:bCs/>
          <w:sz w:val="32"/>
          <w:szCs w:val="32"/>
          <w:shd w:val="clear" w:color="auto" w:fill="FFFFFF"/>
        </w:rPr>
        <w:t>以填报自评表形式开展自评，涉及</w:t>
      </w:r>
      <w:r>
        <w:rPr>
          <w:rFonts w:hint="eastAsia" w:ascii="Times New Roman" w:hAnsi="Times New Roman" w:eastAsia="方正仿宋_GBK" w:cs="Times New Roman"/>
          <w:b w:val="0"/>
          <w:bCs/>
          <w:sz w:val="32"/>
          <w:szCs w:val="32"/>
          <w:shd w:val="clear" w:color="auto" w:fill="FFFFFF"/>
          <w:lang w:eastAsia="zh-CN"/>
        </w:rPr>
        <w:t>项目</w:t>
      </w:r>
      <w:r>
        <w:rPr>
          <w:rFonts w:hint="default" w:ascii="Times New Roman" w:hAnsi="Times New Roman" w:eastAsia="方正仿宋_GBK" w:cs="Times New Roman"/>
          <w:b w:val="0"/>
          <w:bCs/>
          <w:sz w:val="32"/>
          <w:szCs w:val="32"/>
          <w:shd w:val="clear" w:color="auto" w:fill="FFFFFF"/>
        </w:rPr>
        <w:t>资金159.11万元。</w:t>
      </w:r>
    </w:p>
    <w:p>
      <w:pPr>
        <w:pStyle w:val="13"/>
        <w:autoSpaceDE w:val="0"/>
        <w:spacing w:beforeAutospacing="0" w:afterAutospacing="0" w:line="600" w:lineRule="exact"/>
        <w:ind w:firstLine="640" w:firstLineChars="200"/>
        <w:jc w:val="both"/>
        <w:rPr>
          <w:rFonts w:hint="default" w:ascii="Times New Roman" w:hAnsi="Times New Roman" w:eastAsia="方正楷体_GBK" w:cs="Times New Roman"/>
          <w:b w:val="0"/>
          <w:bCs/>
          <w:sz w:val="32"/>
          <w:szCs w:val="32"/>
        </w:rPr>
      </w:pPr>
      <w:r>
        <w:rPr>
          <w:rStyle w:val="14"/>
          <w:rFonts w:hint="default" w:ascii="Times New Roman" w:hAnsi="Times New Roman" w:eastAsia="方正楷体_GBK" w:cs="Times New Roman"/>
          <w:b w:val="0"/>
          <w:bCs/>
          <w:sz w:val="32"/>
          <w:szCs w:val="32"/>
          <w:shd w:val="clear" w:color="auto" w:fill="FFFFFF"/>
        </w:rPr>
        <w:t>（二）绩效自评结果</w:t>
      </w:r>
    </w:p>
    <w:p>
      <w:pPr>
        <w:pStyle w:val="12"/>
        <w:tabs>
          <w:tab w:val="center" w:pos="4153"/>
          <w:tab w:val="left" w:pos="7275"/>
        </w:tabs>
        <w:spacing w:line="600" w:lineRule="exact"/>
        <w:ind w:firstLine="640"/>
        <w:rPr>
          <w:rFonts w:hint="default" w:ascii="Times New Roman" w:hAnsi="Times New Roman" w:eastAsia="方正仿宋_GBK" w:cs="Times New Roman"/>
          <w:kern w:val="0"/>
          <w:sz w:val="32"/>
          <w:szCs w:val="32"/>
        </w:rPr>
      </w:pPr>
    </w:p>
    <w:tbl>
      <w:tblPr>
        <w:tblStyle w:val="7"/>
        <w:tblW w:w="8426" w:type="dxa"/>
        <w:tblInd w:w="93" w:type="dxa"/>
        <w:tblLayout w:type="fixed"/>
        <w:tblCellMar>
          <w:top w:w="0" w:type="dxa"/>
          <w:left w:w="108" w:type="dxa"/>
          <w:bottom w:w="0" w:type="dxa"/>
          <w:right w:w="108" w:type="dxa"/>
        </w:tblCellMar>
      </w:tblPr>
      <w:tblGrid>
        <w:gridCol w:w="845"/>
        <w:gridCol w:w="21"/>
        <w:gridCol w:w="912"/>
        <w:gridCol w:w="97"/>
        <w:gridCol w:w="814"/>
        <w:gridCol w:w="56"/>
        <w:gridCol w:w="825"/>
        <w:gridCol w:w="30"/>
        <w:gridCol w:w="266"/>
        <w:gridCol w:w="523"/>
        <w:gridCol w:w="151"/>
        <w:gridCol w:w="474"/>
        <w:gridCol w:w="204"/>
        <w:gridCol w:w="277"/>
        <w:gridCol w:w="715"/>
        <w:gridCol w:w="225"/>
        <w:gridCol w:w="19"/>
        <w:gridCol w:w="497"/>
        <w:gridCol w:w="439"/>
        <w:gridCol w:w="39"/>
        <w:gridCol w:w="231"/>
        <w:gridCol w:w="766"/>
      </w:tblGrid>
      <w:tr>
        <w:tblPrEx>
          <w:tblCellMar>
            <w:top w:w="0" w:type="dxa"/>
            <w:left w:w="108" w:type="dxa"/>
            <w:bottom w:w="0" w:type="dxa"/>
            <w:right w:w="108" w:type="dxa"/>
          </w:tblCellMar>
        </w:tblPrEx>
        <w:trPr>
          <w:trHeight w:val="552" w:hRule="atLeast"/>
        </w:trPr>
        <w:tc>
          <w:tcPr>
            <w:tcW w:w="8426" w:type="dxa"/>
            <w:gridSpan w:val="22"/>
            <w:tcBorders>
              <w:top w:val="nil"/>
              <w:left w:val="nil"/>
              <w:bottom w:val="nil"/>
              <w:right w:val="nil"/>
            </w:tcBorders>
            <w:noWrap w:val="0"/>
            <w:vAlign w:val="center"/>
          </w:tcPr>
          <w:p>
            <w:pPr>
              <w:widowControl/>
              <w:spacing w:line="600" w:lineRule="exact"/>
              <w:jc w:val="center"/>
              <w:textAlignment w:val="center"/>
              <w:rPr>
                <w:rFonts w:hint="default" w:ascii="Times New Roman" w:hAnsi="Times New Roman" w:eastAsia="方正小标宋_GBK" w:cs="Times New Roman"/>
                <w:color w:val="000000"/>
                <w:kern w:val="0"/>
                <w:sz w:val="32"/>
                <w:szCs w:val="32"/>
                <w:lang w:bidi="ar"/>
              </w:rPr>
            </w:pPr>
            <w:r>
              <w:rPr>
                <w:rFonts w:hint="default" w:ascii="Times New Roman" w:hAnsi="Times New Roman" w:eastAsia="方正小标宋_GBK" w:cs="Times New Roman"/>
                <w:color w:val="000000"/>
                <w:kern w:val="0"/>
                <w:sz w:val="32"/>
                <w:szCs w:val="32"/>
                <w:lang w:bidi="ar"/>
              </w:rPr>
              <w:t>重庆科学城实验一小西丰小学校</w:t>
            </w:r>
          </w:p>
          <w:p>
            <w:pPr>
              <w:widowControl/>
              <w:spacing w:line="600" w:lineRule="exact"/>
              <w:jc w:val="center"/>
              <w:textAlignment w:val="center"/>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kern w:val="0"/>
                <w:sz w:val="32"/>
                <w:szCs w:val="32"/>
                <w:lang w:bidi="ar"/>
              </w:rPr>
              <w:t>2022年度部门整体绩效自评表</w:t>
            </w:r>
          </w:p>
        </w:tc>
      </w:tr>
      <w:tr>
        <w:tblPrEx>
          <w:tblCellMar>
            <w:top w:w="0" w:type="dxa"/>
            <w:left w:w="108" w:type="dxa"/>
            <w:bottom w:w="0" w:type="dxa"/>
            <w:right w:w="108" w:type="dxa"/>
          </w:tblCellMar>
        </w:tblPrEx>
        <w:trPr>
          <w:trHeight w:val="600" w:hRule="atLeast"/>
        </w:trPr>
        <w:tc>
          <w:tcPr>
            <w:tcW w:w="8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主管部门</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000000"/>
                <w:sz w:val="22"/>
              </w:rPr>
            </w:pPr>
            <w:r>
              <w:rPr>
                <w:rFonts w:hint="default" w:ascii="Times New Roman" w:hAnsi="Times New Roman" w:cs="Times New Roman"/>
                <w:color w:val="000000"/>
                <w:sz w:val="22"/>
              </w:rPr>
              <w:t>重庆高新区公共服务局</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部门</w:t>
            </w:r>
            <w:r>
              <w:rPr>
                <w:rFonts w:hint="default" w:ascii="Times New Roman" w:hAnsi="Times New Roman" w:cs="Times New Roman"/>
                <w:color w:val="000000"/>
                <w:sz w:val="22"/>
              </w:rPr>
              <w:br w:type="textWrapping"/>
            </w:r>
            <w:r>
              <w:rPr>
                <w:rFonts w:hint="default" w:ascii="Times New Roman" w:hAnsi="Times New Roman" w:cs="Times New Roman"/>
                <w:color w:val="000000"/>
                <w:sz w:val="22"/>
              </w:rPr>
              <w:t>联系人</w:t>
            </w:r>
          </w:p>
        </w:tc>
        <w:tc>
          <w:tcPr>
            <w:tcW w:w="117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肖宇婷</w:t>
            </w:r>
          </w:p>
        </w:tc>
        <w:tc>
          <w:tcPr>
            <w:tcW w:w="114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联系电话</w:t>
            </w:r>
          </w:p>
        </w:tc>
        <w:tc>
          <w:tcPr>
            <w:tcW w:w="144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65422672</w:t>
            </w:r>
          </w:p>
        </w:tc>
        <w:tc>
          <w:tcPr>
            <w:tcW w:w="9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自评总分</w:t>
            </w:r>
            <w:r>
              <w:rPr>
                <w:rFonts w:hint="default" w:ascii="Times New Roman" w:hAnsi="Times New Roman" w:cs="Times New Roman"/>
                <w:color w:val="000000"/>
                <w:sz w:val="22"/>
              </w:rPr>
              <w:br w:type="textWrapping"/>
            </w:r>
            <w:r>
              <w:rPr>
                <w:rFonts w:hint="default" w:ascii="Times New Roman" w:hAnsi="Times New Roman" w:cs="Times New Roman"/>
                <w:color w:val="000000"/>
                <w:sz w:val="22"/>
              </w:rPr>
              <w:t>（分）</w:t>
            </w:r>
          </w:p>
        </w:tc>
        <w:tc>
          <w:tcPr>
            <w:tcW w:w="997"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cs="Times New Roman"/>
                <w:color w:val="000000"/>
                <w:sz w:val="22"/>
              </w:rPr>
            </w:pPr>
            <w:r>
              <w:rPr>
                <w:rFonts w:hint="default" w:ascii="Times New Roman" w:hAnsi="Times New Roman" w:cs="Times New Roman"/>
                <w:color w:val="000000"/>
                <w:sz w:val="22"/>
              </w:rPr>
              <w:t>99.5</w:t>
            </w:r>
          </w:p>
        </w:tc>
      </w:tr>
      <w:tr>
        <w:tblPrEx>
          <w:tblCellMar>
            <w:top w:w="0" w:type="dxa"/>
            <w:left w:w="108" w:type="dxa"/>
            <w:bottom w:w="0" w:type="dxa"/>
            <w:right w:w="108" w:type="dxa"/>
          </w:tblCellMar>
        </w:tblPrEx>
        <w:trPr>
          <w:trHeight w:val="450" w:hRule="atLeast"/>
        </w:trPr>
        <w:tc>
          <w:tcPr>
            <w:tcW w:w="86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当年绩效</w:t>
            </w:r>
            <w:r>
              <w:rPr>
                <w:rFonts w:hint="default" w:ascii="Times New Roman" w:hAnsi="Times New Roman" w:eastAsia="方正仿宋_GBK" w:cs="Times New Roman"/>
                <w:color w:val="000000"/>
                <w:kern w:val="0"/>
                <w:sz w:val="18"/>
                <w:szCs w:val="18"/>
                <w:lang w:bidi="ar"/>
              </w:rPr>
              <w:br w:type="textWrapping"/>
            </w:r>
            <w:r>
              <w:rPr>
                <w:rFonts w:hint="default" w:ascii="Times New Roman" w:hAnsi="Times New Roman" w:eastAsia="方正仿宋_GBK" w:cs="Times New Roman"/>
                <w:color w:val="000000"/>
                <w:kern w:val="0"/>
                <w:sz w:val="18"/>
                <w:szCs w:val="18"/>
                <w:lang w:bidi="ar"/>
              </w:rPr>
              <w:t>目标</w:t>
            </w:r>
          </w:p>
        </w:tc>
        <w:tc>
          <w:tcPr>
            <w:tcW w:w="300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年初绩效目标</w:t>
            </w:r>
          </w:p>
        </w:tc>
        <w:tc>
          <w:tcPr>
            <w:tcW w:w="162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全年（调整）绩效目标</w:t>
            </w:r>
          </w:p>
        </w:tc>
        <w:tc>
          <w:tcPr>
            <w:tcW w:w="2931"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全年目标实际完成情况</w:t>
            </w:r>
          </w:p>
        </w:tc>
      </w:tr>
      <w:tr>
        <w:tblPrEx>
          <w:tblCellMar>
            <w:top w:w="0" w:type="dxa"/>
            <w:left w:w="108" w:type="dxa"/>
            <w:bottom w:w="0" w:type="dxa"/>
            <w:right w:w="108" w:type="dxa"/>
          </w:tblCellMar>
        </w:tblPrEx>
        <w:trPr>
          <w:trHeight w:val="1290"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default" w:ascii="Times New Roman" w:hAnsi="Times New Roman" w:eastAsia="方正仿宋_GBK" w:cs="Times New Roman"/>
                <w:color w:val="000000"/>
                <w:sz w:val="18"/>
                <w:szCs w:val="18"/>
              </w:rPr>
            </w:pPr>
          </w:p>
        </w:tc>
        <w:tc>
          <w:tcPr>
            <w:tcW w:w="3000" w:type="dxa"/>
            <w:gridSpan w:val="7"/>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全面贯彻落实党和国家教育方针政策，坚持五育并举，落实立德树人根本任务，办人民满意教育。</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1、开展学校各项教育活动，开齐上足国家规定课程，保质保量完成各项教育工作，促进学生德智体美劳全面发展。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2、加强教师队伍建设和学习培训，深化教学教研，助力教师专业成长，提升教师教育教学水平。</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3、加强校园安全教育管理，维护校园安全，保证学校安全平稳运行，杜绝安全事故。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4、预算、决算信息及时公开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5、建立健全管理制度，合理合规使用经费，保障国有资产安全。</w:t>
            </w:r>
          </w:p>
        </w:tc>
        <w:tc>
          <w:tcPr>
            <w:tcW w:w="162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2"/>
              </w:rPr>
            </w:pPr>
          </w:p>
        </w:tc>
        <w:tc>
          <w:tcPr>
            <w:tcW w:w="2931" w:type="dxa"/>
            <w:gridSpan w:val="8"/>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全面贯彻落实党和国家教育方针政策，坚持五育并举，落实立德树人根本任务，办人民满意教育。</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1、开展学校各项教育活动，开齐上足国家规定课程，保质保量完成各项教育工作，促进学生德智体美劳全面发展。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2、加强教师队伍建设和学习培训，深化教学教研，助力教师专业成长，提升教师教育教学水平。</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3、加强校园安全教育管理，维护校园安全，保证学校安全平稳运行，杜绝安全事故。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4、预算、决算信息及时公开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000000"/>
                <w:sz w:val="22"/>
              </w:rPr>
            </w:pPr>
            <w:r>
              <w:rPr>
                <w:rFonts w:hint="default" w:ascii="Times New Roman" w:hAnsi="Times New Roman" w:cs="Times New Roman"/>
                <w:color w:val="000000"/>
                <w:sz w:val="22"/>
              </w:rPr>
              <w:t>5、建立健全管理制度，合理合规使用经费，保障国有资产安全。</w:t>
            </w:r>
          </w:p>
        </w:tc>
      </w:tr>
      <w:tr>
        <w:tblPrEx>
          <w:tblCellMar>
            <w:top w:w="0" w:type="dxa"/>
            <w:left w:w="108" w:type="dxa"/>
            <w:bottom w:w="0" w:type="dxa"/>
            <w:right w:w="108" w:type="dxa"/>
          </w:tblCellMar>
        </w:tblPrEx>
        <w:trPr>
          <w:trHeight w:val="672" w:hRule="atLeast"/>
        </w:trPr>
        <w:tc>
          <w:tcPr>
            <w:tcW w:w="866" w:type="dxa"/>
            <w:gridSpan w:val="2"/>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spacing w:line="6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bidi="ar"/>
              </w:rPr>
              <w:t>绩效指标</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指标名称</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计量</w:t>
            </w:r>
            <w:r>
              <w:rPr>
                <w:rFonts w:hint="default" w:ascii="Times New Roman" w:hAnsi="Times New Roman" w:cs="Times New Roman"/>
                <w:color w:val="000000"/>
                <w:sz w:val="22"/>
              </w:rPr>
              <w:br w:type="textWrapping"/>
            </w:r>
            <w:r>
              <w:rPr>
                <w:rFonts w:hint="default" w:ascii="Times New Roman" w:hAnsi="Times New Roman" w:cs="Times New Roman"/>
                <w:color w:val="000000"/>
                <w:sz w:val="22"/>
              </w:rPr>
              <w:t>单位</w:t>
            </w: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指标</w:t>
            </w:r>
            <w:r>
              <w:rPr>
                <w:rFonts w:hint="default" w:ascii="Times New Roman" w:hAnsi="Times New Roman" w:cs="Times New Roman"/>
                <w:color w:val="000000"/>
                <w:sz w:val="22"/>
              </w:rPr>
              <w:br w:type="textWrapping"/>
            </w:r>
            <w:r>
              <w:rPr>
                <w:rFonts w:hint="default" w:ascii="Times New Roman" w:hAnsi="Times New Roman" w:cs="Times New Roman"/>
                <w:color w:val="000000"/>
                <w:sz w:val="22"/>
              </w:rPr>
              <w:t>性质</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指标值</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指标权重</w:t>
            </w:r>
            <w:r>
              <w:rPr>
                <w:rFonts w:hint="default" w:ascii="Times New Roman" w:hAnsi="Times New Roman" w:cs="Times New Roman"/>
                <w:color w:val="000000"/>
                <w:sz w:val="22"/>
              </w:rPr>
              <w:br w:type="textWrapping"/>
            </w:r>
            <w:r>
              <w:rPr>
                <w:rFonts w:hint="default" w:ascii="Times New Roman" w:hAnsi="Times New Roman" w:cs="Times New Roman"/>
                <w:color w:val="000000"/>
                <w:sz w:val="22"/>
              </w:rPr>
              <w:t>（分）</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全年</w:t>
            </w:r>
            <w:r>
              <w:rPr>
                <w:rFonts w:hint="default" w:ascii="Times New Roman" w:hAnsi="Times New Roman" w:cs="Times New Roman"/>
                <w:color w:val="000000"/>
                <w:sz w:val="22"/>
              </w:rPr>
              <w:br w:type="textWrapping"/>
            </w:r>
            <w:r>
              <w:rPr>
                <w:rFonts w:hint="default" w:ascii="Times New Roman" w:hAnsi="Times New Roman" w:cs="Times New Roman"/>
                <w:color w:val="000000"/>
                <w:sz w:val="22"/>
              </w:rPr>
              <w:t>完成值</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指标得分</w:t>
            </w:r>
            <w:r>
              <w:rPr>
                <w:rFonts w:hint="default" w:ascii="Times New Roman" w:hAnsi="Times New Roman" w:cs="Times New Roman"/>
                <w:color w:val="000000"/>
                <w:sz w:val="22"/>
              </w:rPr>
              <w:br w:type="textWrapping"/>
            </w:r>
            <w:r>
              <w:rPr>
                <w:rFonts w:hint="default" w:ascii="Times New Roman" w:hAnsi="Times New Roman" w:cs="Times New Roman"/>
                <w:color w:val="000000"/>
                <w:sz w:val="22"/>
              </w:rPr>
              <w:t>（分）</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说明</w:t>
            </w: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预算执行率</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管理制度健全性</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定性</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健全</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5</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健全</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5</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资金使用合规率</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预决算公开及时性</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定性</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及时</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及时</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资产管理安全</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定性</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安全</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安全</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固定资产利用率</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教学工作完成率</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教学合格率</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教师学习培训覆盖率</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5</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5</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校园安全事故</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次</w:t>
            </w: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648" w:hRule="atLeast"/>
        </w:trPr>
        <w:tc>
          <w:tcPr>
            <w:tcW w:w="866" w:type="dxa"/>
            <w:gridSpan w:val="2"/>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600" w:lineRule="exact"/>
              <w:jc w:val="center"/>
              <w:rPr>
                <w:rFonts w:hint="default" w:ascii="Times New Roman" w:hAnsi="Times New Roman" w:eastAsia="方正仿宋_GBK" w:cs="Times New Roman"/>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学生满意度</w:t>
            </w:r>
          </w:p>
        </w:tc>
        <w:tc>
          <w:tcPr>
            <w:tcW w:w="9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1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9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90</w:t>
            </w:r>
          </w:p>
        </w:tc>
        <w:tc>
          <w:tcPr>
            <w:tcW w:w="95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10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780" w:hRule="atLeast"/>
        </w:trPr>
        <w:tc>
          <w:tcPr>
            <w:tcW w:w="8426" w:type="dxa"/>
            <w:gridSpan w:val="22"/>
            <w:tcBorders>
              <w:top w:val="nil"/>
              <w:left w:val="nil"/>
              <w:bottom w:val="single" w:color="000000" w:sz="4" w:space="0"/>
              <w:right w:val="nil"/>
            </w:tcBorders>
            <w:noWrap/>
            <w:vAlign w:val="center"/>
          </w:tcPr>
          <w:p>
            <w:pPr>
              <w:widowControl/>
              <w:jc w:val="center"/>
              <w:textAlignment w:val="center"/>
              <w:rPr>
                <w:rFonts w:hint="default" w:ascii="Times New Roman" w:hAnsi="Times New Roman" w:eastAsia="方正小标宋_GBK" w:cs="Times New Roman"/>
                <w:color w:val="000000"/>
                <w:kern w:val="0"/>
                <w:sz w:val="36"/>
                <w:szCs w:val="36"/>
                <w:lang w:bidi="ar"/>
              </w:rPr>
            </w:pPr>
            <w:r>
              <w:rPr>
                <w:rFonts w:hint="default" w:ascii="Times New Roman" w:hAnsi="Times New Roman" w:eastAsia="方正小标宋_GBK" w:cs="Times New Roman"/>
                <w:color w:val="000000"/>
                <w:kern w:val="0"/>
                <w:sz w:val="36"/>
                <w:szCs w:val="36"/>
                <w:lang w:bidi="ar"/>
              </w:rPr>
              <w:t>重庆科学城实验一小西丰小学校</w:t>
            </w:r>
          </w:p>
          <w:p>
            <w:pPr>
              <w:widowControl/>
              <w:jc w:val="center"/>
              <w:textAlignment w:val="center"/>
              <w:rPr>
                <w:rFonts w:hint="default" w:ascii="Times New Roman" w:hAnsi="Times New Roman" w:eastAsia="方正小标宋_GBK" w:cs="Times New Roman"/>
                <w:color w:val="000000"/>
                <w:kern w:val="0"/>
                <w:sz w:val="36"/>
                <w:szCs w:val="36"/>
                <w:lang w:bidi="ar"/>
              </w:rPr>
            </w:pPr>
            <w:r>
              <w:rPr>
                <w:rFonts w:hint="default" w:ascii="Times New Roman" w:hAnsi="Times New Roman" w:eastAsia="方正小标宋_GBK" w:cs="Times New Roman"/>
                <w:color w:val="000000"/>
                <w:kern w:val="0"/>
                <w:sz w:val="36"/>
                <w:szCs w:val="36"/>
                <w:lang w:bidi="ar"/>
              </w:rPr>
              <w:t>2022年度项目支出绩效自评表</w:t>
            </w:r>
          </w:p>
        </w:tc>
      </w:tr>
      <w:tr>
        <w:tblPrEx>
          <w:tblCellMar>
            <w:top w:w="0" w:type="dxa"/>
            <w:left w:w="108" w:type="dxa"/>
            <w:bottom w:w="0" w:type="dxa"/>
            <w:right w:w="108" w:type="dxa"/>
          </w:tblCellMar>
        </w:tblPrEx>
        <w:trPr>
          <w:trHeight w:val="600" w:hRule="atLeast"/>
        </w:trPr>
        <w:tc>
          <w:tcPr>
            <w:tcW w:w="8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项目名称</w:t>
            </w:r>
          </w:p>
        </w:tc>
        <w:tc>
          <w:tcPr>
            <w:tcW w:w="103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指标名称</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指标性质</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指标值</w:t>
            </w:r>
          </w:p>
        </w:tc>
        <w:tc>
          <w:tcPr>
            <w:tcW w:w="81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计量单位</w:t>
            </w:r>
          </w:p>
        </w:tc>
        <w:tc>
          <w:tcPr>
            <w:tcW w:w="82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指标权重</w:t>
            </w:r>
          </w:p>
        </w:tc>
        <w:tc>
          <w:tcPr>
            <w:tcW w:w="9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全年完成值</w:t>
            </w:r>
          </w:p>
        </w:tc>
        <w:tc>
          <w:tcPr>
            <w:tcW w:w="7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指标得分</w:t>
            </w:r>
          </w:p>
        </w:tc>
        <w:tc>
          <w:tcPr>
            <w:tcW w:w="70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说明</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自评得分</w:t>
            </w:r>
          </w:p>
        </w:tc>
      </w:tr>
      <w:tr>
        <w:tblPrEx>
          <w:tblCellMar>
            <w:top w:w="0" w:type="dxa"/>
            <w:left w:w="108" w:type="dxa"/>
            <w:bottom w:w="0" w:type="dxa"/>
            <w:right w:w="108" w:type="dxa"/>
          </w:tblCellMar>
        </w:tblPrEx>
        <w:trPr>
          <w:trHeight w:val="432" w:hRule="atLeast"/>
        </w:trPr>
        <w:tc>
          <w:tcPr>
            <w:tcW w:w="84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r>
              <w:rPr>
                <w:rFonts w:hint="eastAsia" w:ascii="Times New Roman" w:hAnsi="Times New Roman" w:cs="Times New Roman"/>
                <w:color w:val="000000"/>
                <w:sz w:val="22"/>
                <w:lang w:eastAsia="zh-CN"/>
              </w:rPr>
              <w:t>“</w:t>
            </w:r>
            <w:r>
              <w:rPr>
                <w:rFonts w:hint="default" w:ascii="Times New Roman" w:hAnsi="Times New Roman" w:cs="Times New Roman"/>
                <w:color w:val="000000"/>
                <w:sz w:val="22"/>
              </w:rPr>
              <w:t>双减</w:t>
            </w:r>
            <w:r>
              <w:rPr>
                <w:rFonts w:hint="eastAsia" w:ascii="Times New Roman" w:hAnsi="Times New Roman" w:cs="Times New Roman"/>
                <w:color w:val="000000"/>
                <w:sz w:val="22"/>
                <w:lang w:eastAsia="zh-CN"/>
              </w:rPr>
              <w:t>”</w:t>
            </w:r>
            <w:r>
              <w:rPr>
                <w:rFonts w:hint="default" w:ascii="Times New Roman" w:hAnsi="Times New Roman" w:cs="Times New Roman"/>
                <w:color w:val="000000"/>
                <w:sz w:val="22"/>
              </w:rPr>
              <w:t>政策落地保障经费</w:t>
            </w:r>
          </w:p>
        </w:tc>
        <w:tc>
          <w:tcPr>
            <w:tcW w:w="1030"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220" w:firstLineChars="100"/>
              <w:jc w:val="left"/>
              <w:rPr>
                <w:rFonts w:hint="default" w:ascii="Times New Roman" w:hAnsi="Times New Roman" w:cs="Times New Roman"/>
                <w:color w:val="000000"/>
                <w:sz w:val="22"/>
              </w:rPr>
            </w:pPr>
            <w:r>
              <w:rPr>
                <w:rFonts w:hint="default" w:ascii="Times New Roman" w:hAnsi="Times New Roman" w:cs="Times New Roman"/>
                <w:color w:val="000000"/>
                <w:sz w:val="22"/>
              </w:rPr>
              <w:t>教学合格率</w:t>
            </w: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600" w:lineRule="exact"/>
              <w:ind w:firstLine="220" w:firstLineChars="100"/>
              <w:jc w:val="left"/>
              <w:rPr>
                <w:rFonts w:hint="default" w:ascii="Times New Roman" w:hAnsi="Times New Roman" w:cs="Times New Roman"/>
                <w:color w:val="000000"/>
                <w:kern w:val="0"/>
                <w:sz w:val="22"/>
              </w:rPr>
            </w:pPr>
            <w:r>
              <w:rPr>
                <w:rFonts w:hint="default" w:ascii="Times New Roman" w:hAnsi="Times New Roman" w:cs="Times New Roman"/>
                <w:color w:val="000000"/>
                <w:sz w:val="22"/>
              </w:rPr>
              <w:t>＝</w:t>
            </w:r>
          </w:p>
        </w:tc>
        <w:tc>
          <w:tcPr>
            <w:tcW w:w="82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ind w:firstLine="220" w:firstLineChars="100"/>
              <w:jc w:val="right"/>
              <w:rPr>
                <w:rFonts w:hint="default" w:ascii="Times New Roman" w:hAnsi="Times New Roman" w:cs="Times New Roman"/>
                <w:color w:val="000000"/>
                <w:kern w:val="0"/>
                <w:sz w:val="22"/>
              </w:rPr>
            </w:pPr>
            <w:r>
              <w:rPr>
                <w:rFonts w:hint="default" w:ascii="Times New Roman" w:hAnsi="Times New Roman" w:cs="Times New Roman"/>
                <w:color w:val="000000"/>
                <w:sz w:val="22"/>
              </w:rPr>
              <w:t>100</w:t>
            </w:r>
          </w:p>
        </w:tc>
        <w:tc>
          <w:tcPr>
            <w:tcW w:w="81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600" w:lineRule="exact"/>
              <w:ind w:firstLine="220" w:firstLineChars="100"/>
              <w:jc w:val="left"/>
              <w:rPr>
                <w:rFonts w:hint="default" w:ascii="Times New Roman" w:hAnsi="Times New Roman" w:cs="Times New Roman"/>
                <w:color w:val="000000"/>
                <w:kern w:val="0"/>
                <w:sz w:val="22"/>
              </w:rPr>
            </w:pPr>
            <w:r>
              <w:rPr>
                <w:rFonts w:hint="default" w:ascii="Times New Roman" w:hAnsi="Times New Roman" w:cs="Times New Roman"/>
                <w:color w:val="000000"/>
                <w:sz w:val="22"/>
              </w:rPr>
              <w:t>%</w:t>
            </w:r>
          </w:p>
        </w:tc>
        <w:tc>
          <w:tcPr>
            <w:tcW w:w="82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600" w:lineRule="exact"/>
              <w:ind w:firstLine="220" w:firstLineChars="100"/>
              <w:jc w:val="right"/>
              <w:rPr>
                <w:rFonts w:hint="default" w:ascii="Times New Roman" w:hAnsi="Times New Roman" w:cs="Times New Roman"/>
                <w:color w:val="000000"/>
                <w:kern w:val="0"/>
                <w:sz w:val="22"/>
              </w:rPr>
            </w:pPr>
            <w:r>
              <w:rPr>
                <w:rFonts w:hint="default" w:ascii="Times New Roman" w:hAnsi="Times New Roman" w:cs="Times New Roman"/>
                <w:color w:val="000000"/>
                <w:sz w:val="22"/>
              </w:rPr>
              <w:t>10</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600" w:lineRule="exact"/>
              <w:ind w:firstLine="440" w:firstLineChars="200"/>
              <w:jc w:val="left"/>
              <w:rPr>
                <w:rFonts w:hint="default" w:ascii="Times New Roman" w:hAnsi="Times New Roman" w:cs="Times New Roman"/>
                <w:color w:val="000000"/>
                <w:kern w:val="0"/>
                <w:sz w:val="22"/>
              </w:rPr>
            </w:pPr>
            <w:r>
              <w:rPr>
                <w:rFonts w:hint="default" w:ascii="Times New Roman" w:hAnsi="Times New Roman" w:cs="Times New Roman"/>
                <w:color w:val="000000"/>
                <w:sz w:val="22"/>
              </w:rPr>
              <w:t>100</w:t>
            </w:r>
          </w:p>
        </w:tc>
        <w:tc>
          <w:tcPr>
            <w:tcW w:w="74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600" w:lineRule="exact"/>
              <w:ind w:firstLine="220" w:firstLineChars="100"/>
              <w:jc w:val="right"/>
              <w:rPr>
                <w:rFonts w:hint="default" w:ascii="Times New Roman" w:hAnsi="Times New Roman" w:cs="Times New Roman"/>
                <w:color w:val="000000"/>
                <w:kern w:val="0"/>
                <w:sz w:val="22"/>
              </w:rPr>
            </w:pPr>
            <w:r>
              <w:rPr>
                <w:rFonts w:hint="default" w:ascii="Times New Roman" w:hAnsi="Times New Roman" w:cs="Times New Roman"/>
                <w:color w:val="000000"/>
                <w:sz w:val="22"/>
              </w:rPr>
              <w:t>10</w:t>
            </w:r>
          </w:p>
        </w:tc>
        <w:tc>
          <w:tcPr>
            <w:tcW w:w="70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p>
        </w:tc>
        <w:tc>
          <w:tcPr>
            <w:tcW w:w="76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r>
              <w:rPr>
                <w:rFonts w:hint="default" w:ascii="Times New Roman" w:hAnsi="Times New Roman" w:cs="Times New Roman"/>
                <w:color w:val="000000"/>
                <w:sz w:val="22"/>
              </w:rPr>
              <w:t>100</w:t>
            </w:r>
          </w:p>
        </w:tc>
      </w:tr>
      <w:tr>
        <w:tblPrEx>
          <w:tblCellMar>
            <w:top w:w="0" w:type="dxa"/>
            <w:left w:w="108" w:type="dxa"/>
            <w:bottom w:w="0" w:type="dxa"/>
            <w:right w:w="108" w:type="dxa"/>
          </w:tblCellMar>
        </w:tblPrEx>
        <w:trPr>
          <w:trHeight w:val="432" w:hRule="atLeast"/>
        </w:trPr>
        <w:tc>
          <w:tcPr>
            <w:tcW w:w="84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c>
          <w:tcPr>
            <w:tcW w:w="1030" w:type="dxa"/>
            <w:gridSpan w:val="3"/>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hint="default" w:ascii="Times New Roman" w:hAnsi="Times New Roman" w:cs="Times New Roman"/>
                <w:color w:val="000000"/>
                <w:sz w:val="22"/>
              </w:rPr>
            </w:pPr>
            <w:r>
              <w:rPr>
                <w:rFonts w:hint="default" w:ascii="Times New Roman" w:hAnsi="Times New Roman" w:cs="Times New Roman"/>
                <w:color w:val="000000"/>
                <w:sz w:val="22"/>
              </w:rPr>
              <w:t>教学完成率</w:t>
            </w:r>
          </w:p>
        </w:tc>
        <w:tc>
          <w:tcPr>
            <w:tcW w:w="870"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5" w:type="dxa"/>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81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92"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741"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70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84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c>
          <w:tcPr>
            <w:tcW w:w="1030" w:type="dxa"/>
            <w:gridSpan w:val="3"/>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hint="default" w:ascii="Times New Roman" w:hAnsi="Times New Roman" w:cs="Times New Roman"/>
                <w:color w:val="000000"/>
                <w:sz w:val="22"/>
              </w:rPr>
            </w:pPr>
            <w:r>
              <w:rPr>
                <w:rFonts w:hint="default" w:ascii="Times New Roman" w:hAnsi="Times New Roman" w:cs="Times New Roman"/>
                <w:color w:val="000000"/>
                <w:sz w:val="22"/>
              </w:rPr>
              <w:t>预算执行率</w:t>
            </w:r>
          </w:p>
        </w:tc>
        <w:tc>
          <w:tcPr>
            <w:tcW w:w="870"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5" w:type="dxa"/>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81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0</w:t>
            </w:r>
          </w:p>
        </w:tc>
        <w:tc>
          <w:tcPr>
            <w:tcW w:w="992"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741"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0</w:t>
            </w:r>
          </w:p>
        </w:tc>
        <w:tc>
          <w:tcPr>
            <w:tcW w:w="70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84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c>
          <w:tcPr>
            <w:tcW w:w="1030" w:type="dxa"/>
            <w:gridSpan w:val="3"/>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hint="default" w:ascii="Times New Roman" w:hAnsi="Times New Roman" w:cs="Times New Roman"/>
                <w:color w:val="000000"/>
                <w:sz w:val="22"/>
              </w:rPr>
            </w:pPr>
            <w:r>
              <w:rPr>
                <w:rFonts w:hint="default" w:ascii="Times New Roman" w:hAnsi="Times New Roman" w:cs="Times New Roman"/>
                <w:color w:val="000000"/>
                <w:sz w:val="22"/>
              </w:rPr>
              <w:t>资金使用合格率</w:t>
            </w:r>
          </w:p>
        </w:tc>
        <w:tc>
          <w:tcPr>
            <w:tcW w:w="870"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5" w:type="dxa"/>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81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20</w:t>
            </w:r>
          </w:p>
        </w:tc>
        <w:tc>
          <w:tcPr>
            <w:tcW w:w="992"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741"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20</w:t>
            </w:r>
          </w:p>
        </w:tc>
        <w:tc>
          <w:tcPr>
            <w:tcW w:w="70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84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c>
          <w:tcPr>
            <w:tcW w:w="1030" w:type="dxa"/>
            <w:gridSpan w:val="3"/>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hint="default" w:ascii="Times New Roman" w:hAnsi="Times New Roman" w:cs="Times New Roman"/>
                <w:color w:val="000000"/>
                <w:sz w:val="22"/>
              </w:rPr>
            </w:pPr>
            <w:r>
              <w:rPr>
                <w:rFonts w:hint="default" w:ascii="Times New Roman" w:hAnsi="Times New Roman" w:cs="Times New Roman"/>
                <w:color w:val="000000"/>
                <w:sz w:val="22"/>
              </w:rPr>
              <w:t>发放及时率</w:t>
            </w:r>
          </w:p>
        </w:tc>
        <w:tc>
          <w:tcPr>
            <w:tcW w:w="870"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5" w:type="dxa"/>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81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92"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741"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70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84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c>
          <w:tcPr>
            <w:tcW w:w="1030" w:type="dxa"/>
            <w:gridSpan w:val="3"/>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hint="default" w:ascii="Times New Roman" w:hAnsi="Times New Roman" w:cs="Times New Roman"/>
                <w:color w:val="000000"/>
                <w:sz w:val="22"/>
              </w:rPr>
            </w:pPr>
            <w:r>
              <w:rPr>
                <w:rFonts w:hint="default" w:ascii="Times New Roman" w:hAnsi="Times New Roman" w:cs="Times New Roman"/>
                <w:color w:val="000000"/>
                <w:sz w:val="22"/>
              </w:rPr>
              <w:t>目标完成率</w:t>
            </w:r>
          </w:p>
        </w:tc>
        <w:tc>
          <w:tcPr>
            <w:tcW w:w="870"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5" w:type="dxa"/>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81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92"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741"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70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84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c>
          <w:tcPr>
            <w:tcW w:w="1030" w:type="dxa"/>
            <w:gridSpan w:val="3"/>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hint="default" w:ascii="Times New Roman" w:hAnsi="Times New Roman" w:cs="Times New Roman"/>
                <w:color w:val="000000"/>
                <w:sz w:val="22"/>
              </w:rPr>
            </w:pPr>
            <w:r>
              <w:rPr>
                <w:rFonts w:hint="default" w:ascii="Times New Roman" w:hAnsi="Times New Roman" w:cs="Times New Roman"/>
                <w:color w:val="000000"/>
                <w:sz w:val="22"/>
              </w:rPr>
              <w:t>受益学生数</w:t>
            </w:r>
          </w:p>
        </w:tc>
        <w:tc>
          <w:tcPr>
            <w:tcW w:w="870"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5" w:type="dxa"/>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310</w:t>
            </w:r>
          </w:p>
        </w:tc>
        <w:tc>
          <w:tcPr>
            <w:tcW w:w="81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人数</w:t>
            </w:r>
          </w:p>
        </w:tc>
        <w:tc>
          <w:tcPr>
            <w:tcW w:w="82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92"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310</w:t>
            </w:r>
          </w:p>
        </w:tc>
        <w:tc>
          <w:tcPr>
            <w:tcW w:w="741"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70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84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c>
          <w:tcPr>
            <w:tcW w:w="1030" w:type="dxa"/>
            <w:gridSpan w:val="3"/>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hint="default" w:ascii="Times New Roman" w:hAnsi="Times New Roman" w:cs="Times New Roman"/>
                <w:color w:val="000000"/>
                <w:sz w:val="22"/>
              </w:rPr>
            </w:pPr>
            <w:r>
              <w:rPr>
                <w:rFonts w:hint="default" w:ascii="Times New Roman" w:hAnsi="Times New Roman" w:cs="Times New Roman"/>
                <w:color w:val="000000"/>
                <w:sz w:val="22"/>
              </w:rPr>
              <w:t>教师满意度</w:t>
            </w:r>
          </w:p>
        </w:tc>
        <w:tc>
          <w:tcPr>
            <w:tcW w:w="870"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5" w:type="dxa"/>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81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9"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92" w:type="dxa"/>
            <w:gridSpan w:val="2"/>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741" w:type="dxa"/>
            <w:gridSpan w:val="3"/>
            <w:tcBorders>
              <w:top w:val="nil"/>
              <w:left w:val="single" w:color="auto" w:sz="4" w:space="0"/>
              <w:bottom w:val="single" w:color="auto" w:sz="4" w:space="0"/>
              <w:right w:val="single" w:color="auto" w:sz="4" w:space="0"/>
            </w:tcBorders>
            <w:noWrap/>
            <w:vAlign w:val="center"/>
          </w:tcPr>
          <w:p>
            <w:pPr>
              <w:spacing w:line="600" w:lineRule="exact"/>
              <w:ind w:firstLine="220" w:firstLineChars="100"/>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70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84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c>
          <w:tcPr>
            <w:tcW w:w="1030"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r>
              <w:rPr>
                <w:rFonts w:hint="default" w:ascii="Times New Roman" w:hAnsi="Times New Roman" w:cs="Times New Roman"/>
                <w:color w:val="000000"/>
                <w:sz w:val="22"/>
              </w:rPr>
              <w:t>学生满意度</w:t>
            </w:r>
          </w:p>
        </w:tc>
        <w:tc>
          <w:tcPr>
            <w:tcW w:w="870" w:type="dxa"/>
            <w:gridSpan w:val="2"/>
            <w:tcBorders>
              <w:top w:val="single" w:color="000000" w:sz="4" w:space="0"/>
              <w:left w:val="single" w:color="000000" w:sz="4" w:space="0"/>
              <w:bottom w:val="single" w:color="000000" w:sz="4" w:space="0"/>
              <w:right w:val="single" w:color="000000"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81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82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92" w:type="dxa"/>
            <w:gridSpan w:val="2"/>
            <w:tcBorders>
              <w:top w:val="single" w:color="000000" w:sz="4" w:space="0"/>
              <w:left w:val="single" w:color="000000" w:sz="4" w:space="0"/>
              <w:bottom w:val="single" w:color="000000" w:sz="4" w:space="0"/>
              <w:right w:val="single" w:color="000000" w:sz="4" w:space="0"/>
            </w:tcBorders>
            <w:noWrap/>
            <w:vAlign w:val="center"/>
          </w:tcPr>
          <w:p>
            <w:pPr>
              <w:spacing w:line="600" w:lineRule="exact"/>
              <w:ind w:firstLine="440" w:firstLineChars="200"/>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741"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709" w:type="dxa"/>
            <w:gridSpan w:val="3"/>
            <w:tcBorders>
              <w:top w:val="single" w:color="000000" w:sz="4" w:space="0"/>
              <w:left w:val="single" w:color="000000" w:sz="4" w:space="0"/>
              <w:bottom w:val="single" w:color="000000" w:sz="4" w:space="0"/>
              <w:right w:val="single" w:color="000000" w:sz="4" w:space="0"/>
            </w:tcBorders>
            <w:noWrap/>
            <w:vAlign w:val="center"/>
          </w:tcPr>
          <w:p>
            <w:pPr>
              <w:spacing w:line="600" w:lineRule="exact"/>
              <w:rPr>
                <w:rFonts w:hint="default" w:ascii="Times New Roman" w:hAnsi="Times New Roman" w:cs="Times New Roman"/>
                <w:color w:val="000000"/>
                <w:sz w:val="22"/>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hint="default" w:ascii="Times New Roman" w:hAnsi="Times New Roman" w:cs="Times New Roman"/>
                <w:color w:val="000000"/>
                <w:sz w:val="22"/>
              </w:rPr>
            </w:pPr>
          </w:p>
        </w:tc>
      </w:tr>
    </w:tbl>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六、专业名词解释</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（二）事业收入：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（三）经营收入：</w:t>
      </w: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（四）其他收入：</w:t>
      </w:r>
      <w:r>
        <w:rPr>
          <w:rFonts w:hint="default"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（五）使用非财政拨款结余：</w:t>
      </w:r>
      <w:r>
        <w:rPr>
          <w:rFonts w:hint="default" w:ascii="Times New Roman" w:hAnsi="Times New Roman" w:eastAsia="方正仿宋_GBK" w:cs="Times New Roman"/>
          <w:sz w:val="32"/>
          <w:szCs w:val="32"/>
        </w:rPr>
        <w:t>指单位在当年的“财政拨款收入”、“事业收入”、“经营收入”、“其他收入”等不足以安排当年支出的情况下，使用以前年度积累的非财政拨款结余弥补本年度收支缺口的资金。</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（六）年初结转和结余：</w:t>
      </w:r>
      <w:r>
        <w:rPr>
          <w:rFonts w:hint="default" w:ascii="Times New Roman" w:hAnsi="Times New Roman" w:eastAsia="方正仿宋_GBK" w:cs="Times New Roman"/>
          <w:sz w:val="32"/>
          <w:szCs w:val="32"/>
        </w:rPr>
        <w:t>指单位上年结转本年使用的基本支出结转、项目支出结转和结余、经营结余。</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（七）结余分配：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（八）年末结转和结余：</w:t>
      </w:r>
      <w:r>
        <w:rPr>
          <w:rFonts w:hint="default" w:ascii="Times New Roman" w:hAnsi="Times New Roman" w:eastAsia="方正仿宋_GBK" w:cs="Times New Roman"/>
          <w:sz w:val="32"/>
          <w:szCs w:val="32"/>
        </w:rPr>
        <w:t>指单位结转下年的基本支出结转、项目支出结转和结余、经营结余。</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（九）基本支出：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（十一）经营支出：</w:t>
      </w:r>
      <w:r>
        <w:rPr>
          <w:rFonts w:hint="default" w:ascii="Times New Roman" w:hAnsi="Times New Roman" w:eastAsia="方正仿宋_GBK" w:cs="Times New Roman"/>
          <w:sz w:val="32"/>
          <w:szCs w:val="32"/>
        </w:rPr>
        <w:t>指事业单位在专业业务活动及其辅助活动之外开展非独立核算经营活动发生的支出。</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（十二）“三公”经费：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（十三）机关运行经费：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（十四）工资福利支出（支出经济分类科目类级）：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（十五）商品和服务支出（支出经济分类科目类级）：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（十六）对个人和家庭的补助（支出经济分类科目类级）：</w:t>
      </w:r>
      <w:r>
        <w:rPr>
          <w:rFonts w:hint="default" w:ascii="Times New Roman" w:hAnsi="Times New Roman" w:eastAsia="方正仿宋_GBK" w:cs="Times New Roman"/>
          <w:sz w:val="32"/>
          <w:szCs w:val="32"/>
        </w:rPr>
        <w:t>反映用于对个人和家庭的补助支出。</w:t>
      </w:r>
    </w:p>
    <w:p>
      <w:pPr>
        <w:keepNext w:val="0"/>
        <w:keepLines w:val="0"/>
        <w:pageBreakBefore w:val="0"/>
        <w:shd w:val="clear" w:color="auto" w:fill="FFFFFF"/>
        <w:kinsoku/>
        <w:wordWrap/>
        <w:overflowPunct/>
        <w:topLinePunct w:val="0"/>
        <w:bidi w:val="0"/>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（十七）其他资本性支出（支出经济分类科目类级）：</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shd w:val="clear" w:color="auto" w:fill="FFFFFF"/>
        <w:kinsoku/>
        <w:wordWrap/>
        <w:overflowPunct/>
        <w:topLinePunct w:val="0"/>
        <w:bidi w:val="0"/>
        <w:snapToGrid/>
        <w:spacing w:beforeAutospacing="0" w:afterAutospacing="0" w:line="600" w:lineRule="exact"/>
        <w:ind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七、决算公开联系方式及信息反馈渠道</w:t>
      </w:r>
    </w:p>
    <w:p>
      <w:pPr>
        <w:keepNext w:val="0"/>
        <w:keepLines w:val="0"/>
        <w:pageBreakBefore w:val="0"/>
        <w:shd w:val="clear" w:color="auto" w:fill="FFFFFF"/>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本单位决算公开信息反馈和联系方式：023-65422672。</w:t>
      </w:r>
    </w:p>
    <w:p>
      <w:pPr>
        <w:keepNext w:val="0"/>
        <w:keepLines w:val="0"/>
        <w:pageBreakBefore w:val="0"/>
        <w:shd w:val="clear" w:color="auto" w:fill="FFFFFF"/>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600" w:lineRule="exact"/>
        <w:ind w:firstLine="420" w:firstLineChars="200"/>
        <w:textAlignment w:val="auto"/>
        <w:rPr>
          <w:rFonts w:hint="default" w:ascii="Times New Roman" w:hAnsi="Times New Roman" w:cs="Times New Roman"/>
        </w:rPr>
      </w:pPr>
    </w:p>
    <w:sectPr>
      <w:pgSz w:w="11905" w:h="16838"/>
      <w:pgMar w:top="2098" w:right="1531" w:bottom="1984" w:left="1531" w:header="850"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D489418B-9C60-4FB4-A87B-9A49B64A1E73}"/>
  </w:font>
  <w:font w:name="方正黑体_GBK">
    <w:altName w:val="微软雅黑"/>
    <w:panose1 w:val="02000000000000000000"/>
    <w:charset w:val="86"/>
    <w:family w:val="script"/>
    <w:pitch w:val="default"/>
    <w:sig w:usb0="00000000" w:usb1="00000000" w:usb2="00000000" w:usb3="00000000" w:csb0="00040000" w:csb1="00000000"/>
    <w:embedRegular r:id="rId2" w:fontKey="{F64EAD4A-A317-48BC-878E-F796A38CA921}"/>
  </w:font>
  <w:font w:name="方正楷体_GBK">
    <w:panose1 w:val="02000000000000000000"/>
    <w:charset w:val="86"/>
    <w:family w:val="auto"/>
    <w:pitch w:val="default"/>
    <w:sig w:usb0="800002BF" w:usb1="38CF7CFA" w:usb2="00000016" w:usb3="00000000" w:csb0="00040000" w:csb1="00000000"/>
    <w:embedRegular r:id="rId3" w:fontKey="{D81B397A-9E13-4D56-9C77-E0BAF8E5D995}"/>
  </w:font>
  <w:font w:name="方正仿宋_GBK">
    <w:panose1 w:val="03000509000000000000"/>
    <w:charset w:val="86"/>
    <w:family w:val="script"/>
    <w:pitch w:val="default"/>
    <w:sig w:usb0="00000001" w:usb1="080E0000" w:usb2="00000000" w:usb3="00000000" w:csb0="00040000" w:csb1="00000000"/>
    <w:embedRegular r:id="rId4" w:fontKey="{8563363B-3B3F-4D51-88F9-A0F280F7888A}"/>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RmYWUxOWJhMWE5OGFmZGQyNzA0NjBkZTNhOGRjMDEifQ=="/>
  </w:docVars>
  <w:rsids>
    <w:rsidRoot w:val="08026FEA"/>
    <w:rsid w:val="00012280"/>
    <w:rsid w:val="00154BD2"/>
    <w:rsid w:val="0020760B"/>
    <w:rsid w:val="00265FEE"/>
    <w:rsid w:val="004B6EC7"/>
    <w:rsid w:val="00615E65"/>
    <w:rsid w:val="00761968"/>
    <w:rsid w:val="00934402"/>
    <w:rsid w:val="00A47D9A"/>
    <w:rsid w:val="00C70D09"/>
    <w:rsid w:val="00C74E0D"/>
    <w:rsid w:val="00D44996"/>
    <w:rsid w:val="00EA68DC"/>
    <w:rsid w:val="00EE18E4"/>
    <w:rsid w:val="01957045"/>
    <w:rsid w:val="02957412"/>
    <w:rsid w:val="057F2BE7"/>
    <w:rsid w:val="062A636E"/>
    <w:rsid w:val="08026FEA"/>
    <w:rsid w:val="221703F2"/>
    <w:rsid w:val="29571DD2"/>
    <w:rsid w:val="2CB21A3D"/>
    <w:rsid w:val="374A3334"/>
    <w:rsid w:val="3954195A"/>
    <w:rsid w:val="45CF76BE"/>
    <w:rsid w:val="533E4EDA"/>
    <w:rsid w:val="539D4169"/>
    <w:rsid w:val="5BDF779F"/>
    <w:rsid w:val="5DB24166"/>
    <w:rsid w:val="5EE27322"/>
    <w:rsid w:val="5F7B77B7"/>
    <w:rsid w:val="67F001F0"/>
    <w:rsid w:val="6A2D5C1A"/>
    <w:rsid w:val="7B104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eastAsia"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3"/>
    <w:qFormat/>
    <w:uiPriority w:val="0"/>
    <w:pPr>
      <w:spacing w:after="120" w:afterLines="0" w:afterAutospacing="0"/>
    </w:pPr>
  </w:style>
  <w:style w:type="paragraph" w:customStyle="1" w:styleId="3">
    <w:name w:val="msonormal"/>
    <w:basedOn w:val="1"/>
    <w:qFormat/>
    <w:uiPriority w:val="0"/>
    <w:pPr>
      <w:spacing w:beforeAutospacing="1" w:afterAutospacing="1"/>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sz w:val="24"/>
      <w:szCs w:val="24"/>
    </w:rPr>
  </w:style>
  <w:style w:type="character" w:styleId="9">
    <w:name w:val="Strong"/>
    <w:basedOn w:val="8"/>
    <w:qFormat/>
    <w:uiPriority w:val="0"/>
    <w:rPr>
      <w:b/>
    </w:rPr>
  </w:style>
  <w:style w:type="character" w:customStyle="1" w:styleId="10">
    <w:name w:val="页眉 字符"/>
    <w:basedOn w:val="8"/>
    <w:link w:val="5"/>
    <w:qFormat/>
    <w:uiPriority w:val="0"/>
    <w:rPr>
      <w:rFonts w:ascii="Calibri" w:hAnsi="Calibri"/>
      <w:kern w:val="2"/>
      <w:sz w:val="18"/>
      <w:szCs w:val="18"/>
    </w:rPr>
  </w:style>
  <w:style w:type="character" w:customStyle="1" w:styleId="11">
    <w:name w:val="页脚 字符"/>
    <w:basedOn w:val="8"/>
    <w:link w:val="4"/>
    <w:qFormat/>
    <w:uiPriority w:val="0"/>
    <w:rPr>
      <w:rFonts w:ascii="Calibri" w:hAnsi="Calibri"/>
      <w:kern w:val="2"/>
      <w:sz w:val="18"/>
      <w:szCs w:val="18"/>
    </w:rPr>
  </w:style>
  <w:style w:type="paragraph" w:styleId="12">
    <w:name w:val="List Paragraph"/>
    <w:basedOn w:val="1"/>
    <w:qFormat/>
    <w:uiPriority w:val="34"/>
    <w:pPr>
      <w:ind w:firstLine="420" w:firstLineChars="200"/>
    </w:pPr>
  </w:style>
  <w:style w:type="paragraph" w:customStyle="1" w:styleId="13">
    <w:name w:val="普通(网站) Char Char"/>
    <w:basedOn w:val="3"/>
    <w:qFormat/>
    <w:uiPriority w:val="0"/>
  </w:style>
  <w:style w:type="character" w:customStyle="1" w:styleId="14">
    <w:name w:val="15"/>
    <w:basedOn w:val="8"/>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605</Words>
  <Characters>3453</Characters>
  <Lines>28</Lines>
  <Paragraphs>8</Paragraphs>
  <TotalTime>1</TotalTime>
  <ScaleCrop>false</ScaleCrop>
  <LinksUpToDate>false</LinksUpToDate>
  <CharactersWithSpaces>4050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2023-09-23T02:16:00Z</dcterms:created>
  <dc:creator>Aga</dc:creator>
  <cp:lastModifiedBy>silence</cp:lastModifiedBy>
  <dcterms:modified xsi:type="dcterms:W3CDTF">2023-11-10T07:26:19Z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49232C862E4C4765A67EE6E0E225152E_13</vt:lpwstr>
  </property>
</Properties>
</file>