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center"/>
        <w:textAlignment w:val="auto"/>
        <w:rPr>
          <w:rFonts w:hint="default" w:ascii="Times New Roman" w:hAnsi="Times New Roman" w:eastAsia="方正小标宋_GBK" w:cs="Times New Roman"/>
          <w:b w:val="0"/>
          <w:kern w:val="0"/>
          <w:sz w:val="44"/>
          <w:szCs w:val="44"/>
        </w:rPr>
      </w:pPr>
      <w:r>
        <w:rPr>
          <w:rFonts w:hint="default" w:ascii="Times New Roman" w:hAnsi="Times New Roman" w:eastAsia="方正小标宋_GBK" w:cs="Times New Roman"/>
          <w:b w:val="0"/>
          <w:kern w:val="0"/>
          <w:sz w:val="44"/>
          <w:szCs w:val="44"/>
          <w:shd w:val="clear" w:fill="FFFFFF"/>
        </w:rPr>
        <w:t>重庆科学城西苑小学校</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center"/>
        <w:textAlignment w:val="auto"/>
        <w:rPr>
          <w:rFonts w:hint="default" w:ascii="Times New Roman" w:hAnsi="Times New Roman" w:eastAsia="方正小标宋_GBK" w:cs="Times New Roman"/>
          <w:b w:val="0"/>
          <w:kern w:val="0"/>
          <w:sz w:val="44"/>
          <w:szCs w:val="44"/>
          <w:shd w:val="clear" w:fill="FFFFFF"/>
        </w:rPr>
      </w:pPr>
      <w:r>
        <w:rPr>
          <w:rFonts w:hint="default" w:ascii="Times New Roman" w:hAnsi="Times New Roman" w:eastAsia="方正小标宋_GBK" w:cs="Times New Roman"/>
          <w:b w:val="0"/>
          <w:kern w:val="0"/>
          <w:sz w:val="44"/>
          <w:szCs w:val="44"/>
          <w:shd w:val="clear" w:fill="FFFFFF"/>
        </w:rPr>
        <w:t>2022年度部门决算公开说明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both"/>
        <w:textAlignment w:val="auto"/>
        <w:rPr>
          <w:rFonts w:hint="default" w:ascii="Times New Roman" w:hAnsi="Times New Roman" w:eastAsia="方正小标宋_GBK" w:cs="Times New Roman"/>
          <w:b/>
          <w:kern w:val="0"/>
          <w:sz w:val="44"/>
          <w:szCs w:val="44"/>
          <w:shd w:val="clear" w:fill="FFFFFF"/>
        </w:rPr>
      </w:pPr>
      <w:r>
        <w:rPr>
          <w:rFonts w:hint="default" w:ascii="Times New Roman" w:hAnsi="Times New Roman" w:eastAsia="方正小标宋_GBK" w:cs="Times New Roman"/>
          <w:b/>
          <w:kern w:val="0"/>
          <w:sz w:val="44"/>
          <w:szCs w:val="44"/>
          <w:shd w:val="clear" w:fill="FFFFFF"/>
        </w:rPr>
        <w:t xml:space="preserve"> </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522" w:firstLineChars="200"/>
        <w:jc w:val="both"/>
        <w:textAlignment w:val="auto"/>
        <w:rPr>
          <w:rFonts w:hint="default" w:ascii="Times New Roman" w:hAnsi="Times New Roman" w:eastAsia="方正黑体_GBK" w:cs="Times New Roman"/>
          <w:b/>
          <w:kern w:val="2"/>
          <w:sz w:val="32"/>
          <w:szCs w:val="32"/>
        </w:rPr>
      </w:pPr>
      <w:r>
        <w:rPr>
          <w:rStyle w:val="24"/>
          <w:rFonts w:hint="default" w:ascii="Times New Roman" w:hAnsi="Times New Roman" w:eastAsia="宋体" w:cs="Times New Roman"/>
          <w:b/>
          <w:sz w:val="26"/>
          <w:szCs w:val="26"/>
          <w:shd w:val="clear" w:fill="FFFFFF"/>
        </w:rPr>
        <w:t xml:space="preserve">  </w:t>
      </w:r>
      <w:r>
        <w:rPr>
          <w:rFonts w:hint="default" w:ascii="Times New Roman" w:hAnsi="Times New Roman" w:eastAsia="方正黑体_GBK" w:cs="Times New Roman"/>
          <w:b/>
          <w:kern w:val="2"/>
          <w:sz w:val="32"/>
          <w:szCs w:val="32"/>
        </w:rPr>
        <w:t>一、部门基本情况</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421" w:firstLineChars="200"/>
        <w:jc w:val="both"/>
        <w:textAlignment w:val="auto"/>
        <w:rPr>
          <w:rFonts w:hint="default" w:ascii="Times New Roman" w:hAnsi="Times New Roman" w:eastAsia="方正仿宋_GBK" w:cs="Times New Roman"/>
          <w:b w:val="0"/>
          <w:color w:val="333333"/>
          <w:kern w:val="2"/>
          <w:sz w:val="32"/>
          <w:szCs w:val="32"/>
        </w:rPr>
      </w:pPr>
      <w:r>
        <w:rPr>
          <w:rStyle w:val="24"/>
          <w:rFonts w:hint="default" w:ascii="Times New Roman" w:hAnsi="Times New Roman" w:eastAsia="宋体" w:cs="Times New Roman"/>
          <w:b/>
          <w:sz w:val="21"/>
          <w:szCs w:val="21"/>
          <w:shd w:val="clear" w:fill="FFFFFF"/>
        </w:rPr>
        <w:t xml:space="preserve"> </w:t>
      </w:r>
      <w:r>
        <w:rPr>
          <w:rStyle w:val="24"/>
          <w:rFonts w:hint="default" w:ascii="Times New Roman" w:hAnsi="Times New Roman" w:eastAsia="方正楷体_GBK" w:cs="Times New Roman"/>
          <w:b/>
          <w:sz w:val="21"/>
          <w:szCs w:val="21"/>
          <w:shd w:val="clear" w:fill="FFFFFF"/>
        </w:rPr>
        <w:t xml:space="preserve"> </w:t>
      </w:r>
      <w:r>
        <w:rPr>
          <w:rFonts w:hint="default" w:ascii="Times New Roman" w:hAnsi="Times New Roman" w:eastAsia="方正楷体_GBK" w:cs="Times New Roman"/>
          <w:b w:val="0"/>
          <w:color w:val="333333"/>
          <w:kern w:val="2"/>
          <w:sz w:val="32"/>
          <w:szCs w:val="32"/>
        </w:rPr>
        <w:t>（一）职能职责。</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实施普通小学义务教育，促进学生全面发展，开展教育教学工作；开展学校德育工作；开展学习体育、卫生、艺术工作；负责学校行政管理工作；开展对外交流工作；按政策规定开展学前教育；维护校园安全；提供后勤保障服务。</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4"/>
          <w:rFonts w:hint="default" w:ascii="Times New Roman" w:hAnsi="Times New Roman" w:eastAsia="方正楷体_GBK" w:cs="Times New Roman"/>
          <w:b w:val="0"/>
          <w:sz w:val="32"/>
          <w:szCs w:val="32"/>
          <w:shd w:val="clear" w:fill="FFFFFF"/>
        </w:rPr>
        <w:t>（二）机构设置。</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从机构设置看，我校包括一个事业编制机构。设置校长室、办公室、教导处、德育处、后勤处等科室。</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color w:val="333333"/>
          <w:kern w:val="2"/>
          <w:sz w:val="32"/>
          <w:szCs w:val="32"/>
        </w:rPr>
      </w:pPr>
      <w:r>
        <w:rPr>
          <w:rStyle w:val="24"/>
          <w:rFonts w:hint="default" w:ascii="Times New Roman" w:hAnsi="Times New Roman" w:eastAsia="方正楷体_GBK" w:cs="Times New Roman"/>
          <w:b w:val="0"/>
          <w:sz w:val="32"/>
          <w:szCs w:val="32"/>
          <w:shd w:val="clear" w:fill="FFFFFF"/>
        </w:rPr>
        <w:t>（三）单位构成。</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kern w:val="0"/>
          <w:sz w:val="32"/>
          <w:szCs w:val="32"/>
        </w:rPr>
        <w:t>从预算单位构成看，无纳入本部门</w:t>
      </w:r>
      <w:r>
        <w:rPr>
          <w:rFonts w:hint="default" w:ascii="Times New Roman" w:hAnsi="Times New Roman" w:eastAsia="方正仿宋_GBK" w:cs="Times New Roman"/>
          <w:b w:val="0"/>
          <w:kern w:val="0"/>
          <w:sz w:val="32"/>
          <w:szCs w:val="32"/>
        </w:rPr>
        <w:t>2022</w:t>
      </w:r>
      <w:r>
        <w:rPr>
          <w:rFonts w:hint="default" w:ascii="Times New Roman" w:hAnsi="Times New Roman" w:eastAsia="方正仿宋_GBK" w:cs="Times New Roman"/>
          <w:b w:val="0"/>
          <w:kern w:val="0"/>
          <w:sz w:val="32"/>
          <w:szCs w:val="32"/>
        </w:rPr>
        <w:t>年度决算编制的二级预算单位。</w:t>
      </w:r>
    </w:p>
    <w:p>
      <w:pPr>
        <w:pStyle w:val="3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exact"/>
        <w:ind w:left="0" w:leftChars="0" w:firstLine="642" w:firstLineChars="200"/>
        <w:jc w:val="both"/>
        <w:textAlignment w:val="auto"/>
        <w:rPr>
          <w:rFonts w:hint="default" w:ascii="Times New Roman" w:hAnsi="Times New Roman" w:eastAsia="方正黑体_GBK" w:cs="Times New Roman"/>
          <w:b/>
          <w:kern w:val="2"/>
          <w:sz w:val="32"/>
          <w:szCs w:val="32"/>
        </w:rPr>
      </w:pPr>
      <w:r>
        <w:rPr>
          <w:rFonts w:hint="default" w:ascii="Times New Roman" w:hAnsi="Times New Roman" w:eastAsia="方正黑体_GBK" w:cs="Times New Roman"/>
          <w:b/>
          <w:kern w:val="2"/>
          <w:sz w:val="32"/>
          <w:szCs w:val="32"/>
        </w:rPr>
        <w:t>部门决算情况说明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rightChars="0" w:firstLine="640" w:firstLineChars="200"/>
        <w:jc w:val="both"/>
        <w:textAlignment w:val="auto"/>
        <w:rPr>
          <w:rFonts w:hint="default" w:ascii="Times New Roman" w:hAnsi="Times New Roman" w:eastAsia="方正楷体_GBK" w:cs="Times New Roman"/>
          <w:b w:val="0"/>
          <w:color w:val="333333"/>
          <w:kern w:val="2"/>
          <w:sz w:val="32"/>
          <w:szCs w:val="32"/>
        </w:rPr>
      </w:pPr>
      <w:r>
        <w:rPr>
          <w:rFonts w:hint="default" w:ascii="Times New Roman" w:hAnsi="Times New Roman" w:eastAsia="方正楷体_GBK" w:cs="Times New Roman"/>
          <w:b w:val="0"/>
          <w:color w:val="333333"/>
          <w:kern w:val="2"/>
          <w:sz w:val="32"/>
          <w:szCs w:val="32"/>
        </w:rPr>
        <w:t>（一）收入支出决算总体情况说明。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宋体"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1.总体情况。2022年度收入总计1,050.00万元，支出总计1,050.00万元。收支较上年决算数减少34.94万元,下降3.2%，主要原因是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2.收入情况。2022年度收入合计1,050.00万元，较上年决算数减少34.94万元，下降3.2%，主要原因是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。其中：财政拨款收入1,030.03万元，占98.1%；事业收入19.98万元，占1.9%。</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3.支出情况。2022年度支出合计1,050.00万元，较上年决算减少34.94万元，下降3.2%，主要原因是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。其中：基本支出839.69万元，占80%；项目支出210.31万元，占20%。</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Style w:val="24"/>
          <w:rFonts w:hint="default" w:ascii="Times New Roman" w:hAnsi="Times New Roman" w:eastAsia="宋体" w:cs="Times New Roman"/>
          <w:b w:val="0"/>
          <w:sz w:val="32"/>
          <w:szCs w:val="32"/>
          <w:shd w:val="clear" w:fill="FFFFFF"/>
        </w:rPr>
        <w:t xml:space="preserve"> </w:t>
      </w:r>
      <w:r>
        <w:rPr>
          <w:rFonts w:hint="default" w:ascii="Times New Roman" w:hAnsi="Times New Roman" w:eastAsia="方正仿宋_GBK" w:cs="Times New Roman"/>
          <w:b w:val="0"/>
          <w:color w:val="333333"/>
          <w:kern w:val="2"/>
          <w:sz w:val="32"/>
          <w:szCs w:val="32"/>
        </w:rPr>
        <w:t>4.结转结余情况。2022年度年末结转和结余0.00万元，较上年决算数增加0.00万元，与上年决算数持平。</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楷体_GBK" w:cs="Times New Roman"/>
          <w:b w:val="0"/>
          <w:color w:val="333333"/>
          <w:kern w:val="2"/>
          <w:sz w:val="32"/>
          <w:szCs w:val="32"/>
        </w:rPr>
        <w:t>（二）财政拨款收入支出决算总体情况说明</w:t>
      </w:r>
      <w:r>
        <w:rPr>
          <w:rFonts w:hint="default" w:ascii="Times New Roman" w:hAnsi="Times New Roman" w:eastAsia="方正仿宋_GBK" w:cs="Times New Roman"/>
          <w:b w:val="0"/>
          <w:color w:val="333333"/>
          <w:kern w:val="2"/>
          <w:sz w:val="32"/>
          <w:szCs w:val="32"/>
        </w:rPr>
        <w:t>。</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2022年度财政拨款收、支总计1,030.03万元。与2021年相比，财政拨款收、支总计各减少35.91万元，下降3.4%。主要原因是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val="0"/>
          <w:color w:val="333333"/>
          <w:kern w:val="2"/>
          <w:sz w:val="32"/>
          <w:szCs w:val="32"/>
        </w:rPr>
      </w:pPr>
      <w:r>
        <w:rPr>
          <w:rFonts w:hint="default" w:ascii="Times New Roman" w:hAnsi="Times New Roman" w:eastAsia="方正楷体_GBK" w:cs="Times New Roman"/>
          <w:b w:val="0"/>
          <w:color w:val="333333"/>
          <w:kern w:val="2"/>
          <w:sz w:val="32"/>
          <w:szCs w:val="32"/>
        </w:rPr>
        <w:t xml:space="preserve"> （三）一般公共预算财政拨款收入支出决算情况说明。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1.收入情况。2022年度一般公共预算财政拨款收入1,026.03万元，较上年决算数减少39.91万元，下降3.7%。主要原因是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。教育支出减少，导致财政拨款收入减少，较年初预算数增加93.15万元，增长10%。主要原因是增加屋面防水工程、心理咨询室工程等。此外，年初财政拨款结转和结余0.00万元。</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2.支出情况。2022年度一般公共预算财政拨款支出1,026.03万元，较上年决算数减少39.91万元，下降3.7%。主要原因是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。较年初预算数增加93.15万元，增长10%。主要原因是增加屋面防水工程、心理咨询室工程等</w:t>
      </w:r>
      <w:r>
        <w:rPr>
          <w:rFonts w:hint="eastAsia" w:ascii="Times New Roman" w:hAnsi="Times New Roman" w:eastAsia="方正仿宋_GBK" w:cs="Times New Roman"/>
          <w:b w:val="0"/>
          <w:color w:val="333333"/>
          <w:kern w:val="2"/>
          <w:sz w:val="32"/>
          <w:szCs w:val="32"/>
          <w:lang w:eastAsia="zh-CN"/>
        </w:rPr>
        <w:t>，</w:t>
      </w:r>
      <w:r>
        <w:rPr>
          <w:rFonts w:hint="default" w:ascii="Times New Roman" w:hAnsi="Times New Roman" w:eastAsia="方正仿宋_GBK" w:cs="Times New Roman"/>
          <w:b w:val="0"/>
          <w:color w:val="333333"/>
          <w:kern w:val="2"/>
          <w:sz w:val="32"/>
          <w:szCs w:val="32"/>
        </w:rPr>
        <w:t>导致预算调整。</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3.结转结余情况。2022年度年末一般公共预算财政拨款结转和结余0.00万元，较上年决算数增加0.00万元，增长0%。</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 xml:space="preserve"> </w:t>
      </w:r>
      <w:r>
        <w:rPr>
          <w:rFonts w:hint="default" w:ascii="Times New Roman" w:hAnsi="Times New Roman" w:eastAsia="方正仿宋_GBK" w:cs="Times New Roman"/>
          <w:b w:val="0"/>
          <w:color w:val="333333"/>
          <w:kern w:val="2"/>
          <w:sz w:val="32"/>
          <w:szCs w:val="32"/>
        </w:rPr>
        <w:t>4.比较情况。本部门2022年度一般公共预算财政拨款支出主要用于以下几个方面：</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（1）教育支出927.64万元，占90.4%，较年初预算数增加85.28，增长10.1%，主要原因是增加屋面防水工程、心理咨询室工程。</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（2）文化旅游体育与传媒支出3.22万元，占0.3%，较年初预算数增加3.22万元，主要原因是本年增加体育踢跳专项经费。</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（3）社会保障与就业支出46.07万元，占4.5%，较年初预算数增加0.76万元，增长1.7%，主要原因是社保基数变动以及教师评职晋级导致基数变动，导致社会保障与就业支出增加。</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（4）卫生健康支出22.88万元，占2.2%，较年初预算数增加0.32万元，增长1.4%，主要原因是教师评职晋级导致基数变动，导致卫生健康支出增加。</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（5）住房保障支出26.21万元，占2.6%，较年初预算数增加3.56万元，增长15.7%，主要原因是教师评职晋级导致基数变动，导致住房保障支出增加。</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rightChars="0" w:firstLine="640" w:firstLineChars="200"/>
        <w:jc w:val="both"/>
        <w:textAlignment w:val="auto"/>
        <w:rPr>
          <w:rFonts w:hint="default" w:ascii="Times New Roman" w:hAnsi="Times New Roman" w:eastAsia="方正楷体_GBK" w:cs="Times New Roman"/>
          <w:b w:val="0"/>
          <w:color w:val="333333"/>
          <w:kern w:val="2"/>
          <w:sz w:val="32"/>
          <w:szCs w:val="32"/>
        </w:rPr>
      </w:pPr>
      <w:r>
        <w:rPr>
          <w:rFonts w:hint="default" w:ascii="Times New Roman" w:hAnsi="Times New Roman" w:eastAsia="方正楷体_GBK" w:cs="Times New Roman"/>
          <w:b w:val="0"/>
          <w:color w:val="333333"/>
          <w:kern w:val="2"/>
          <w:sz w:val="32"/>
          <w:szCs w:val="32"/>
        </w:rPr>
        <w:t>（四）一般公共预算财政拨款基本支出决算情况说明。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2022年度一般公共预算财政拨款基本支出819.72万元。其中：人员经费619.36万元，较上年决算数减少198.36万元，下降24.3%，主要原因是</w:t>
      </w:r>
      <w:r>
        <w:rPr>
          <w:rFonts w:hint="default" w:ascii="Times New Roman" w:hAnsi="Times New Roman" w:eastAsia="方正仿宋_GBK" w:cs="Times New Roman"/>
          <w:b w:val="0"/>
          <w:kern w:val="0"/>
          <w:sz w:val="32"/>
          <w:szCs w:val="32"/>
        </w:rPr>
        <w:t>2021</w:t>
      </w:r>
      <w:r>
        <w:rPr>
          <w:rFonts w:hint="default" w:ascii="Times New Roman" w:hAnsi="Times New Roman" w:eastAsia="方正仿宋_GBK" w:cs="Times New Roman"/>
          <w:b w:val="0"/>
          <w:kern w:val="0"/>
          <w:sz w:val="32"/>
          <w:szCs w:val="32"/>
        </w:rPr>
        <w:t>年</w:t>
      </w:r>
      <w:r>
        <w:rPr>
          <w:rFonts w:hint="eastAsia" w:ascii="Times New Roman" w:hAnsi="Times New Roman" w:eastAsia="方正仿宋_GBK" w:cs="Times New Roman"/>
          <w:b w:val="0"/>
          <w:kern w:val="0"/>
          <w:sz w:val="32"/>
          <w:szCs w:val="32"/>
          <w:lang w:eastAsia="zh-CN"/>
        </w:rPr>
        <w:t>减少</w:t>
      </w:r>
      <w:r>
        <w:rPr>
          <w:rFonts w:hint="default" w:ascii="Times New Roman" w:hAnsi="Times New Roman" w:eastAsia="方正仿宋_GBK" w:cs="Times New Roman"/>
          <w:b w:val="0"/>
          <w:kern w:val="0"/>
          <w:sz w:val="32"/>
          <w:szCs w:val="32"/>
        </w:rPr>
        <w:t>机关事业单位参保人员职业年金</w:t>
      </w:r>
      <w:r>
        <w:rPr>
          <w:rFonts w:hint="default" w:ascii="Times New Roman" w:hAnsi="Times New Roman" w:eastAsia="方正仿宋_GBK" w:cs="Times New Roman"/>
          <w:b w:val="0"/>
          <w:color w:val="333333"/>
          <w:kern w:val="2"/>
          <w:sz w:val="32"/>
          <w:szCs w:val="32"/>
        </w:rPr>
        <w:t>。人员经费用途主要包括基本工资、津贴补贴、绩效工资、机关事业单位基本养老保险费、职业年金缴费、职工基本医疗保险缴费、其他社会保障缴费、住房公积金、医疗费、其他工资福利支出、对个人和家庭的补助、助学金。公用经费200.36万元，较上年决算数增加51.24万元，增长34.4%，主要原因是学生增加，导致公用经费增加。公用经费用途主要包括商品和服务支出、办公费、印刷费、咨询费、水费、电费、邮电费、物业管理费、差旅费、维修（护）费、培训费、劳务费、福利费、税金及附加费用、其他商品服务支出、办公设备购置费。</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rightChars="0" w:firstLine="640" w:firstLineChars="200"/>
        <w:jc w:val="both"/>
        <w:textAlignment w:val="auto"/>
        <w:rPr>
          <w:rFonts w:hint="default" w:ascii="Times New Roman" w:hAnsi="Times New Roman" w:eastAsia="方正楷体_GBK" w:cs="Times New Roman"/>
          <w:b w:val="0"/>
          <w:color w:val="333333"/>
          <w:kern w:val="2"/>
          <w:sz w:val="32"/>
          <w:szCs w:val="32"/>
        </w:rPr>
      </w:pPr>
      <w:r>
        <w:rPr>
          <w:rFonts w:hint="default" w:ascii="Times New Roman" w:hAnsi="Times New Roman" w:eastAsia="方正楷体_GBK" w:cs="Times New Roman"/>
          <w:b w:val="0"/>
          <w:color w:val="333333"/>
          <w:kern w:val="2"/>
          <w:sz w:val="32"/>
          <w:szCs w:val="32"/>
        </w:rPr>
        <w:t>（五）政府性基金预算收支决算情况说明。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2022年度政府性基金预算财政拨款年初结转结余0.00万元，年末结转结余0.00万元。本年收入4.00万元，较上年决算数增加4.00万元，主要原因是本年度新增乡村少年宫项目。本年支出4.00万元，较上年决算数增加4.00万元，主要原因是本年度新增乡村少年宫项目。</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rightChars="0" w:firstLine="640" w:firstLineChars="200"/>
        <w:jc w:val="both"/>
        <w:textAlignment w:val="auto"/>
        <w:rPr>
          <w:rFonts w:hint="default" w:ascii="Times New Roman" w:hAnsi="Times New Roman" w:eastAsia="方正楷体_GBK" w:cs="Times New Roman"/>
          <w:b w:val="0"/>
          <w:color w:val="333333"/>
          <w:kern w:val="2"/>
          <w:sz w:val="32"/>
          <w:szCs w:val="32"/>
        </w:rPr>
      </w:pPr>
      <w:r>
        <w:rPr>
          <w:rFonts w:hint="default" w:ascii="Times New Roman" w:hAnsi="Times New Roman" w:eastAsia="方正楷体_GBK" w:cs="Times New Roman"/>
          <w:b w:val="0"/>
          <w:color w:val="333333"/>
          <w:kern w:val="2"/>
          <w:sz w:val="32"/>
          <w:szCs w:val="32"/>
        </w:rPr>
        <w:t>（六）国有资本经营预算财政拨款支出决算情况说明。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本部门2022年度无国有资本经营预算财政拨款支出。</w:t>
      </w:r>
    </w:p>
    <w:p>
      <w:pPr>
        <w:pStyle w:val="3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exact"/>
        <w:ind w:left="0" w:leftChars="0" w:firstLine="640" w:firstLineChars="200"/>
        <w:jc w:val="both"/>
        <w:textAlignment w:val="auto"/>
        <w:rPr>
          <w:rFonts w:hint="default" w:ascii="Times New Roman" w:hAnsi="Times New Roman" w:eastAsia="方正黑体_GBK" w:cs="Times New Roman"/>
          <w:b w:val="0"/>
          <w:kern w:val="2"/>
          <w:sz w:val="32"/>
          <w:szCs w:val="32"/>
        </w:rPr>
      </w:pPr>
      <w:r>
        <w:rPr>
          <w:rFonts w:hint="default" w:ascii="Times New Roman" w:hAnsi="Times New Roman" w:eastAsia="方正黑体_GBK" w:cs="Times New Roman"/>
          <w:b w:val="0"/>
          <w:kern w:val="2"/>
          <w:sz w:val="32"/>
          <w:szCs w:val="32"/>
        </w:rPr>
        <w:t>“三公”经费情况说明</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（一）</w:t>
      </w:r>
      <w:r>
        <w:rPr>
          <w:rFonts w:hint="default" w:ascii="Times New Roman" w:hAnsi="Times New Roman" w:eastAsia="方正楷体_GBK" w:cs="Times New Roman"/>
          <w:b w:val="0"/>
          <w:kern w:val="0"/>
          <w:sz w:val="32"/>
          <w:szCs w:val="32"/>
        </w:rPr>
        <w:t>“三公”经费支出情况</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本部门</w:t>
      </w:r>
      <w:r>
        <w:rPr>
          <w:rFonts w:hint="default" w:ascii="Times New Roman" w:hAnsi="Times New Roman" w:eastAsia="方正仿宋_GBK" w:cs="Times New Roman"/>
          <w:b w:val="0"/>
          <w:kern w:val="0"/>
          <w:sz w:val="32"/>
          <w:szCs w:val="32"/>
        </w:rPr>
        <w:t>2022</w:t>
      </w:r>
      <w:r>
        <w:rPr>
          <w:rFonts w:hint="default" w:ascii="Times New Roman" w:hAnsi="Times New Roman" w:eastAsia="方正仿宋_GBK" w:cs="Times New Roman"/>
          <w:b w:val="0"/>
          <w:kern w:val="0"/>
          <w:sz w:val="32"/>
          <w:szCs w:val="32"/>
        </w:rPr>
        <w:t>年度无三公经费支出。</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（二）</w:t>
      </w:r>
      <w:r>
        <w:rPr>
          <w:rFonts w:hint="default" w:ascii="Times New Roman" w:hAnsi="Times New Roman" w:eastAsia="方正楷体_GBK" w:cs="Times New Roman"/>
          <w:b w:val="0"/>
          <w:kern w:val="0"/>
          <w:sz w:val="32"/>
          <w:szCs w:val="32"/>
        </w:rPr>
        <w:t>“三公”经费实物量情况</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kern w:val="0"/>
          <w:sz w:val="32"/>
          <w:szCs w:val="32"/>
        </w:rPr>
        <w:t>本部门</w:t>
      </w:r>
      <w:r>
        <w:rPr>
          <w:rFonts w:hint="default" w:ascii="Times New Roman" w:hAnsi="Times New Roman" w:eastAsia="方正仿宋_GBK" w:cs="Times New Roman"/>
          <w:b w:val="0"/>
          <w:kern w:val="0"/>
          <w:sz w:val="32"/>
          <w:szCs w:val="32"/>
        </w:rPr>
        <w:t>2022</w:t>
      </w:r>
      <w:r>
        <w:rPr>
          <w:rFonts w:hint="default" w:ascii="Times New Roman" w:hAnsi="Times New Roman" w:eastAsia="方正仿宋_GBK" w:cs="Times New Roman"/>
          <w:b w:val="0"/>
          <w:kern w:val="0"/>
          <w:sz w:val="32"/>
          <w:szCs w:val="32"/>
        </w:rPr>
        <w:t>年度无“三公”实物量情况。</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2"/>
          <w:sz w:val="32"/>
          <w:szCs w:val="32"/>
        </w:rPr>
      </w:pPr>
      <w:r>
        <w:rPr>
          <w:rFonts w:hint="default" w:ascii="Times New Roman" w:hAnsi="Times New Roman" w:eastAsia="方正黑体_GBK" w:cs="Times New Roman"/>
          <w:b w:val="0"/>
          <w:kern w:val="2"/>
          <w:sz w:val="32"/>
          <w:szCs w:val="32"/>
        </w:rPr>
        <w:t xml:space="preserve"> 四、其他需要说明的事项</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（一）一般公共预算财政拨款会议费和培训费情况说明。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 xml:space="preserve"> 本年度会议费支出0.00万元，较上年决算数增加0.00万元；本年度培训费支出13.39万元，较上年决算数增加1.81万元，增长15.6%，主要原因是本年度加大对教师的培训，保障教育教学，导致培训费增加。</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 xml:space="preserve"> （二）机关运行经费情况说明。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 xml:space="preserve"> </w:t>
      </w:r>
      <w:r>
        <w:rPr>
          <w:rFonts w:hint="default" w:ascii="Times New Roman" w:hAnsi="Times New Roman" w:eastAsia="方正仿宋_GBK" w:cs="Times New Roman"/>
          <w:b w:val="0"/>
          <w:kern w:val="0"/>
          <w:sz w:val="32"/>
          <w:szCs w:val="32"/>
        </w:rPr>
        <w:t>按照部门决算列报口径，我单位不在机关运行经费统计范围之内。</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（三）国有资产占用情况说明。</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截至</w:t>
      </w:r>
      <w:r>
        <w:rPr>
          <w:rFonts w:hint="default" w:ascii="Times New Roman" w:hAnsi="Times New Roman" w:eastAsia="方正仿宋_GBK" w:cs="Times New Roman"/>
          <w:b w:val="0"/>
          <w:kern w:val="0"/>
          <w:sz w:val="32"/>
          <w:szCs w:val="32"/>
        </w:rPr>
        <w:t>2022</w:t>
      </w:r>
      <w:r>
        <w:rPr>
          <w:rFonts w:hint="default" w:ascii="Times New Roman" w:hAnsi="Times New Roman" w:eastAsia="方正仿宋_GBK" w:cs="Times New Roman"/>
          <w:b w:val="0"/>
          <w:kern w:val="0"/>
          <w:sz w:val="32"/>
          <w:szCs w:val="32"/>
        </w:rPr>
        <w:t>年</w:t>
      </w:r>
      <w:r>
        <w:rPr>
          <w:rFonts w:hint="default" w:ascii="Times New Roman" w:hAnsi="Times New Roman" w:eastAsia="宋体" w:cs="Times New Roman"/>
          <w:b w:val="0"/>
          <w:kern w:val="0"/>
          <w:sz w:val="32"/>
          <w:szCs w:val="32"/>
        </w:rPr>
        <w:t>12</w:t>
      </w:r>
      <w:r>
        <w:rPr>
          <w:rFonts w:hint="default" w:ascii="Times New Roman" w:hAnsi="Times New Roman" w:eastAsia="方正仿宋_GBK" w:cs="Times New Roman"/>
          <w:b w:val="0"/>
          <w:kern w:val="0"/>
          <w:sz w:val="32"/>
          <w:szCs w:val="32"/>
        </w:rPr>
        <w:t>月</w:t>
      </w:r>
      <w:r>
        <w:rPr>
          <w:rFonts w:hint="default" w:ascii="Times New Roman" w:hAnsi="Times New Roman" w:eastAsia="宋体" w:cs="Times New Roman"/>
          <w:b w:val="0"/>
          <w:kern w:val="0"/>
          <w:sz w:val="32"/>
          <w:szCs w:val="32"/>
        </w:rPr>
        <w:t>31</w:t>
      </w:r>
      <w:r>
        <w:rPr>
          <w:rFonts w:hint="default" w:ascii="Times New Roman" w:hAnsi="Times New Roman" w:eastAsia="方正仿宋_GBK" w:cs="Times New Roman"/>
          <w:b w:val="0"/>
          <w:kern w:val="0"/>
          <w:sz w:val="32"/>
          <w:szCs w:val="32"/>
        </w:rPr>
        <w:t>日，本单位共有车辆</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辆。单价</w:t>
      </w:r>
      <w:r>
        <w:rPr>
          <w:rFonts w:hint="default" w:ascii="Times New Roman" w:hAnsi="Times New Roman" w:eastAsia="宋体" w:cs="Times New Roman"/>
          <w:b w:val="0"/>
          <w:kern w:val="0"/>
          <w:sz w:val="32"/>
          <w:szCs w:val="32"/>
        </w:rPr>
        <w:t>50</w:t>
      </w:r>
      <w:r>
        <w:rPr>
          <w:rFonts w:hint="default" w:ascii="Times New Roman" w:hAnsi="Times New Roman" w:eastAsia="方正仿宋_GBK" w:cs="Times New Roman"/>
          <w:b w:val="0"/>
          <w:kern w:val="0"/>
          <w:sz w:val="32"/>
          <w:szCs w:val="32"/>
        </w:rPr>
        <w:t>万元（含）以上通用设备</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台（套），单价</w:t>
      </w:r>
      <w:r>
        <w:rPr>
          <w:rFonts w:hint="default" w:ascii="Times New Roman" w:hAnsi="Times New Roman" w:eastAsia="宋体" w:cs="Times New Roman"/>
          <w:b w:val="0"/>
          <w:kern w:val="0"/>
          <w:sz w:val="32"/>
          <w:szCs w:val="32"/>
        </w:rPr>
        <w:t>100</w:t>
      </w:r>
      <w:r>
        <w:rPr>
          <w:rFonts w:hint="default" w:ascii="Times New Roman" w:hAnsi="Times New Roman" w:eastAsia="方正仿宋_GBK" w:cs="Times New Roman"/>
          <w:b w:val="0"/>
          <w:kern w:val="0"/>
          <w:sz w:val="32"/>
          <w:szCs w:val="32"/>
        </w:rPr>
        <w:t>万元（含）以上专用设备</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台（套）。</w:t>
      </w:r>
    </w:p>
    <w:p>
      <w:pPr>
        <w:keepNext w:val="0"/>
        <w:keepLines w:val="0"/>
        <w:pageBreakBefore w:val="0"/>
        <w:widowControl/>
        <w:suppressLineNumbers w:val="0"/>
        <w:kinsoku/>
        <w:wordWrap/>
        <w:overflowPunct/>
        <w:topLinePunct w:val="0"/>
        <w:autoSpaceDN/>
        <w:bidi w:val="0"/>
        <w:adjustRightInd/>
        <w:snapToGrid/>
        <w:spacing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（四）政府采购支出情况说明。</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宋体" w:cs="Times New Roman"/>
          <w:b w:val="0"/>
          <w:kern w:val="0"/>
          <w:sz w:val="24"/>
          <w:szCs w:val="24"/>
          <w:shd w:val="clear" w:fill="FFFFFF"/>
        </w:rPr>
      </w:pPr>
      <w:r>
        <w:rPr>
          <w:rFonts w:hint="default" w:ascii="Times New Roman" w:hAnsi="Times New Roman" w:eastAsia="方正仿宋_GBK" w:cs="Times New Roman"/>
          <w:b w:val="0"/>
          <w:kern w:val="0"/>
          <w:sz w:val="32"/>
          <w:szCs w:val="32"/>
        </w:rPr>
        <w:t>2022</w:t>
      </w:r>
      <w:r>
        <w:rPr>
          <w:rFonts w:hint="default" w:ascii="Times New Roman" w:hAnsi="Times New Roman" w:eastAsia="方正仿宋_GBK" w:cs="Times New Roman"/>
          <w:b w:val="0"/>
          <w:kern w:val="0"/>
          <w:sz w:val="32"/>
          <w:szCs w:val="32"/>
        </w:rPr>
        <w:t>年度本部门政府采购支出总额</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万元。</w:t>
      </w:r>
    </w:p>
    <w:p>
      <w:pPr>
        <w:pStyle w:val="3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2"/>
          <w:sz w:val="32"/>
          <w:szCs w:val="32"/>
        </w:rPr>
      </w:pPr>
      <w:r>
        <w:rPr>
          <w:rFonts w:hint="default" w:ascii="Times New Roman" w:hAnsi="Times New Roman" w:eastAsia="方正黑体_GBK" w:cs="Times New Roman"/>
          <w:b w:val="0"/>
          <w:kern w:val="2"/>
          <w:sz w:val="32"/>
          <w:szCs w:val="32"/>
        </w:rPr>
        <w:t xml:space="preserve">  五、预算绩效管理情况说明</w:t>
      </w:r>
    </w:p>
    <w:p>
      <w:pPr>
        <w:autoSpaceDE w:val="0"/>
        <w:spacing w:line="600" w:lineRule="exact"/>
        <w:ind w:firstLine="640" w:firstLineChars="200"/>
        <w:jc w:val="both"/>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（一）预算绩效管理工作开展情况</w:t>
      </w:r>
    </w:p>
    <w:p>
      <w:pPr>
        <w:pStyle w:val="35"/>
        <w:autoSpaceDE w:val="0"/>
        <w:spacing w:beforeAutospacing="0" w:afterAutospacing="0" w:line="600" w:lineRule="exact"/>
        <w:ind w:firstLine="640" w:firstLineChars="200"/>
        <w:jc w:val="both"/>
        <w:rPr>
          <w:rFonts w:hint="default" w:ascii="Times New Roman" w:hAnsi="Times New Roman" w:eastAsia="方正仿宋_GBK" w:cs="Times New Roman"/>
          <w:b w:val="0"/>
          <w:bCs/>
          <w:sz w:val="32"/>
          <w:szCs w:val="32"/>
          <w:shd w:val="clear" w:color="auto" w:fill="FFFFFF"/>
        </w:rPr>
      </w:pPr>
      <w:r>
        <w:rPr>
          <w:rFonts w:hint="default" w:ascii="Times New Roman" w:hAnsi="Times New Roman" w:eastAsia="方正仿宋_GBK" w:cs="Times New Roman"/>
          <w:b w:val="0"/>
          <w:bCs/>
          <w:sz w:val="32"/>
          <w:szCs w:val="32"/>
          <w:shd w:val="clear" w:color="auto" w:fill="FFFFFF"/>
        </w:rPr>
        <w:t>根据预算绩效管理要求，我</w:t>
      </w:r>
      <w:r>
        <w:rPr>
          <w:rFonts w:hint="default" w:ascii="Times New Roman" w:hAnsi="Times New Roman" w:eastAsia="方正仿宋_GBK" w:cs="Times New Roman"/>
          <w:b w:val="0"/>
          <w:bCs/>
          <w:sz w:val="32"/>
          <w:szCs w:val="32"/>
          <w:shd w:val="clear" w:color="auto" w:fill="FFFFFF"/>
          <w:lang w:eastAsia="zh-CN"/>
        </w:rPr>
        <w:t>单位</w:t>
      </w:r>
      <w:r>
        <w:rPr>
          <w:rFonts w:hint="default" w:ascii="Times New Roman" w:hAnsi="Times New Roman" w:eastAsia="方正仿宋_GBK" w:cs="Times New Roman"/>
          <w:b w:val="0"/>
          <w:bCs/>
          <w:sz w:val="32"/>
          <w:szCs w:val="32"/>
          <w:shd w:val="clear" w:color="auto" w:fill="FFFFFF"/>
        </w:rPr>
        <w:t>对部门整体和</w:t>
      </w:r>
      <w:r>
        <w:rPr>
          <w:rFonts w:hint="default" w:ascii="Times New Roman" w:hAnsi="Times New Roman" w:eastAsia="方正仿宋_GBK" w:cs="Times New Roman"/>
          <w:b w:val="0"/>
          <w:bCs/>
          <w:sz w:val="32"/>
          <w:szCs w:val="32"/>
          <w:shd w:val="clear" w:color="auto" w:fill="FFFFFF"/>
          <w:lang w:eastAsia="zh-CN"/>
        </w:rPr>
        <w:t>二级</w:t>
      </w:r>
      <w:r>
        <w:rPr>
          <w:rFonts w:hint="default" w:ascii="Times New Roman" w:hAnsi="Times New Roman" w:eastAsia="方正仿宋_GBK" w:cs="Times New Roman"/>
          <w:b w:val="0"/>
          <w:bCs/>
          <w:sz w:val="32"/>
          <w:szCs w:val="32"/>
          <w:shd w:val="clear" w:color="auto" w:fill="FFFFFF"/>
        </w:rPr>
        <w:t>项目开展了绩效自评，</w:t>
      </w:r>
      <w:r>
        <w:rPr>
          <w:rFonts w:hint="default" w:ascii="Times New Roman" w:hAnsi="Times New Roman" w:eastAsia="方正仿宋_GBK" w:cs="Times New Roman"/>
          <w:b w:val="0"/>
          <w:bCs/>
          <w:sz w:val="32"/>
          <w:szCs w:val="32"/>
          <w:shd w:val="clear" w:color="auto" w:fill="FFFFFF"/>
          <w:lang w:eastAsia="zh-CN"/>
        </w:rPr>
        <w:t>均</w:t>
      </w:r>
      <w:r>
        <w:rPr>
          <w:rFonts w:hint="default" w:ascii="Times New Roman" w:hAnsi="Times New Roman" w:eastAsia="方正仿宋_GBK" w:cs="Times New Roman"/>
          <w:b w:val="0"/>
          <w:bCs/>
          <w:sz w:val="32"/>
          <w:szCs w:val="32"/>
          <w:shd w:val="clear" w:color="auto" w:fill="FFFFFF"/>
        </w:rPr>
        <w:t>以填报自评表形式开展自评，涉及</w:t>
      </w:r>
      <w:r>
        <w:rPr>
          <w:rFonts w:hint="eastAsia" w:ascii="Times New Roman" w:hAnsi="Times New Roman" w:eastAsia="方正仿宋_GBK" w:cs="Times New Roman"/>
          <w:b w:val="0"/>
          <w:bCs/>
          <w:sz w:val="32"/>
          <w:szCs w:val="32"/>
          <w:shd w:val="clear" w:color="auto" w:fill="FFFFFF"/>
          <w:lang w:eastAsia="zh-CN"/>
        </w:rPr>
        <w:t>项目</w:t>
      </w:r>
      <w:bookmarkStart w:id="0" w:name="_GoBack"/>
      <w:bookmarkEnd w:id="0"/>
      <w:r>
        <w:rPr>
          <w:rFonts w:hint="default" w:ascii="Times New Roman" w:hAnsi="Times New Roman" w:eastAsia="方正仿宋_GBK" w:cs="Times New Roman"/>
          <w:b w:val="0"/>
          <w:bCs/>
          <w:sz w:val="32"/>
          <w:szCs w:val="32"/>
          <w:shd w:val="clear" w:color="auto" w:fill="FFFFFF"/>
        </w:rPr>
        <w:t>资金</w:t>
      </w:r>
      <w:r>
        <w:rPr>
          <w:rFonts w:hint="default" w:ascii="Times New Roman" w:hAnsi="Times New Roman" w:eastAsia="方正仿宋_GBK" w:cs="Times New Roman"/>
          <w:b w:val="0"/>
          <w:bCs/>
          <w:sz w:val="32"/>
          <w:szCs w:val="32"/>
          <w:shd w:val="clear" w:color="auto" w:fill="FFFFFF"/>
        </w:rPr>
        <w:t>210.31</w:t>
      </w:r>
      <w:r>
        <w:rPr>
          <w:rFonts w:hint="default" w:ascii="Times New Roman" w:hAnsi="Times New Roman" w:eastAsia="方正仿宋_GBK" w:cs="Times New Roman"/>
          <w:b w:val="0"/>
          <w:bCs/>
          <w:sz w:val="32"/>
          <w:szCs w:val="32"/>
          <w:shd w:val="clear" w:color="auto" w:fill="FFFFFF"/>
        </w:rPr>
        <w:t>万元。</w:t>
      </w:r>
    </w:p>
    <w:p>
      <w:pPr>
        <w:pStyle w:val="35"/>
        <w:autoSpaceDE w:val="0"/>
        <w:spacing w:beforeAutospacing="0" w:afterAutospacing="0" w:line="600" w:lineRule="exact"/>
        <w:ind w:firstLine="640" w:firstLineChars="200"/>
        <w:jc w:val="both"/>
        <w:rPr>
          <w:rFonts w:hint="default" w:ascii="Times New Roman" w:hAnsi="Times New Roman" w:eastAsia="方正楷体_GBK" w:cs="Times New Roman"/>
          <w:b w:val="0"/>
          <w:bCs/>
          <w:sz w:val="32"/>
          <w:szCs w:val="32"/>
        </w:rPr>
      </w:pPr>
      <w:r>
        <w:rPr>
          <w:rStyle w:val="17"/>
          <w:rFonts w:hint="default" w:ascii="Times New Roman" w:hAnsi="Times New Roman" w:eastAsia="方正楷体_GBK" w:cs="Times New Roman"/>
          <w:b w:val="0"/>
          <w:bCs/>
          <w:sz w:val="32"/>
          <w:szCs w:val="32"/>
          <w:shd w:val="clear" w:color="auto" w:fill="FFFFFF"/>
        </w:rPr>
        <w:t>（二）绩效自评结果</w:t>
      </w:r>
    </w:p>
    <w:tbl>
      <w:tblPr>
        <w:tblStyle w:val="15"/>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8"/>
        <w:gridCol w:w="1160"/>
        <w:gridCol w:w="235"/>
        <w:gridCol w:w="450"/>
        <w:gridCol w:w="405"/>
        <w:gridCol w:w="330"/>
        <w:gridCol w:w="480"/>
        <w:gridCol w:w="105"/>
        <w:gridCol w:w="795"/>
        <w:gridCol w:w="180"/>
        <w:gridCol w:w="1050"/>
        <w:gridCol w:w="1065"/>
        <w:gridCol w:w="420"/>
        <w:gridCol w:w="60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trPr>
        <w:tc>
          <w:tcPr>
            <w:tcW w:w="8833" w:type="dxa"/>
            <w:gridSpan w:val="15"/>
            <w:tcBorders>
              <w:top w:val="single" w:color="auto" w:sz="4" w:space="0"/>
              <w:left w:val="single" w:color="auto" w:sz="4" w:space="0"/>
              <w:bottom w:val="single" w:color="auto" w:sz="4" w:space="0"/>
              <w:right w:val="single" w:color="auto" w:sz="4" w:space="0"/>
            </w:tcBorders>
            <w:shd w:val="clear" w:color="auto" w:fill="auto"/>
            <w:vAlign w:val="top"/>
          </w:tcPr>
          <w:p>
            <w:pPr>
              <w:pStyle w:val="35"/>
              <w:keepNext w:val="0"/>
              <w:keepLines w:val="0"/>
              <w:widowControl/>
              <w:suppressLineNumbers w:val="0"/>
              <w:spacing w:before="0" w:beforeAutospacing="0"/>
              <w:ind w:left="0" w:leftChars="0" w:right="0" w:rightChars="0" w:firstLine="0" w:firstLineChars="0"/>
              <w:jc w:val="center"/>
              <w:rPr>
                <w:rFonts w:hint="default" w:ascii="Times New Roman" w:hAnsi="Times New Roman" w:eastAsia="方正小标宋_GBK" w:cs="Times New Roman"/>
                <w:b w:val="0"/>
                <w:color w:val="000000"/>
                <w:kern w:val="2"/>
                <w:sz w:val="36"/>
                <w:szCs w:val="36"/>
              </w:rPr>
            </w:pPr>
            <w:r>
              <w:rPr>
                <w:rFonts w:hint="default" w:ascii="Times New Roman" w:hAnsi="Times New Roman" w:eastAsia="方正小标宋_GBK" w:cs="Times New Roman"/>
                <w:b w:val="0"/>
                <w:color w:val="333333"/>
                <w:kern w:val="2"/>
                <w:sz w:val="32"/>
                <w:szCs w:val="32"/>
              </w:rPr>
              <w:t>重庆科学城西苑小学校部门整体支出绩效自评表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主管部门</w:t>
            </w:r>
          </w:p>
        </w:tc>
        <w:tc>
          <w:tcPr>
            <w:tcW w:w="1395"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24"/>
                <w:szCs w:val="24"/>
              </w:rPr>
              <w:t>高新区公共服务局</w:t>
            </w:r>
          </w:p>
        </w:tc>
        <w:tc>
          <w:tcPr>
            <w:tcW w:w="8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部门</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联系人</w:t>
            </w:r>
          </w:p>
        </w:tc>
        <w:tc>
          <w:tcPr>
            <w:tcW w:w="81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r>
              <w:rPr>
                <w:rFonts w:hint="default" w:ascii="Times New Roman" w:hAnsi="Times New Roman" w:eastAsia="方正仿宋_GBK" w:cs="Times New Roman"/>
                <w:b w:val="0"/>
                <w:color w:val="000000"/>
                <w:kern w:val="0"/>
                <w:sz w:val="24"/>
                <w:szCs w:val="24"/>
              </w:rPr>
              <w:t>杨泉</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联系电话</w:t>
            </w:r>
          </w:p>
        </w:tc>
        <w:tc>
          <w:tcPr>
            <w:tcW w:w="2115"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b w:val="0"/>
                <w:kern w:val="0"/>
                <w:sz w:val="24"/>
                <w:szCs w:val="24"/>
              </w:rPr>
            </w:pPr>
            <w:r>
              <w:rPr>
                <w:rFonts w:hint="default" w:ascii="Times New Roman" w:hAnsi="Times New Roman" w:eastAsia="宋体" w:cs="Times New Roman"/>
                <w:b w:val="0"/>
                <w:color w:val="000000"/>
                <w:kern w:val="2"/>
                <w:sz w:val="20"/>
                <w:szCs w:val="20"/>
              </w:rPr>
              <w:t>68177605</w:t>
            </w:r>
          </w:p>
        </w:tc>
        <w:tc>
          <w:tcPr>
            <w:tcW w:w="102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自评总分</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r>
              <w:rPr>
                <w:rFonts w:hint="default" w:ascii="Times New Roman" w:hAnsi="Times New Roman" w:eastAsia="宋体" w:cs="Times New Roman"/>
                <w:b w:val="0"/>
                <w:color w:val="000000"/>
                <w:kern w:val="2"/>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18"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当年绩效</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目标</w:t>
            </w:r>
          </w:p>
        </w:tc>
        <w:tc>
          <w:tcPr>
            <w:tcW w:w="2580"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年初绩效目标</w:t>
            </w:r>
          </w:p>
        </w:tc>
        <w:tc>
          <w:tcPr>
            <w:tcW w:w="156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全年（调整）绩效目标</w:t>
            </w:r>
          </w:p>
        </w:tc>
        <w:tc>
          <w:tcPr>
            <w:tcW w:w="3975"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0"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2580"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全面贯彻落实党和国家教育方针政策，坚持五育并举，落实立德树人根本任务，办人民满意教育。</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1</w:t>
            </w:r>
            <w:r>
              <w:rPr>
                <w:rFonts w:hint="default" w:ascii="Times New Roman" w:hAnsi="Times New Roman" w:eastAsia="方正仿宋_GBK" w:cs="Times New Roman"/>
                <w:b w:val="0"/>
                <w:color w:val="000000"/>
                <w:kern w:val="0"/>
                <w:sz w:val="24"/>
                <w:szCs w:val="24"/>
              </w:rPr>
              <w:t>、开展学校各项教育活动，开齐上足国家规定课程，保质保量完成各项教育工作，促进学生德智体美劳全面发展。</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2</w:t>
            </w:r>
            <w:r>
              <w:rPr>
                <w:rFonts w:hint="default" w:ascii="Times New Roman" w:hAnsi="Times New Roman" w:eastAsia="方正仿宋_GBK" w:cs="Times New Roman"/>
                <w:b w:val="0"/>
                <w:color w:val="000000"/>
                <w:kern w:val="0"/>
                <w:sz w:val="24"/>
                <w:szCs w:val="24"/>
              </w:rPr>
              <w:t>、加强教师队伍建设和学习培训，深化教学教研，助力教师专业成长，提升教师教育教学水平。</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3</w:t>
            </w:r>
            <w:r>
              <w:rPr>
                <w:rFonts w:hint="default" w:ascii="Times New Roman" w:hAnsi="Times New Roman" w:eastAsia="方正仿宋_GBK" w:cs="Times New Roman"/>
                <w:b w:val="0"/>
                <w:color w:val="000000"/>
                <w:kern w:val="0"/>
                <w:sz w:val="24"/>
                <w:szCs w:val="24"/>
              </w:rPr>
              <w:t>、加强校园安全教育管理，维护校园安全，保证学校安全平稳运行，杜绝安全事故。</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4</w:t>
            </w:r>
            <w:r>
              <w:rPr>
                <w:rFonts w:hint="default" w:ascii="Times New Roman" w:hAnsi="Times New Roman" w:eastAsia="方正仿宋_GBK" w:cs="Times New Roman"/>
                <w:b w:val="0"/>
                <w:color w:val="000000"/>
                <w:kern w:val="0"/>
                <w:sz w:val="24"/>
                <w:szCs w:val="24"/>
              </w:rPr>
              <w:t>、预算、决算信息及时公开</w:t>
            </w:r>
          </w:p>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24"/>
                <w:szCs w:val="24"/>
              </w:rPr>
              <w:t>5</w:t>
            </w:r>
            <w:r>
              <w:rPr>
                <w:rFonts w:hint="default" w:ascii="Times New Roman" w:hAnsi="Times New Roman" w:eastAsia="方正仿宋_GBK" w:cs="Times New Roman"/>
                <w:b w:val="0"/>
                <w:color w:val="000000"/>
                <w:kern w:val="0"/>
                <w:sz w:val="24"/>
                <w:szCs w:val="24"/>
              </w:rPr>
              <w:t>、建立健全管理制度，合理合规使用经费，保障国有资产安全。</w:t>
            </w:r>
          </w:p>
        </w:tc>
        <w:tc>
          <w:tcPr>
            <w:tcW w:w="156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p>
        </w:tc>
        <w:tc>
          <w:tcPr>
            <w:tcW w:w="3975"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面贯彻落实党和国家教育方针政策，坚持五育并举，落实立德树人根本任务，办人民满意教育。</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1</w:t>
            </w:r>
            <w:r>
              <w:rPr>
                <w:rFonts w:hint="default" w:ascii="Times New Roman" w:hAnsi="Times New Roman" w:eastAsia="方正仿宋_GBK" w:cs="Times New Roman"/>
                <w:b w:val="0"/>
                <w:color w:val="000000"/>
                <w:kern w:val="0"/>
                <w:sz w:val="24"/>
                <w:szCs w:val="24"/>
              </w:rPr>
              <w:t>、开展学校各项教育活动，开齐上足国家规定课程，保质保量完成各项教育工作，促进学生德智体美劳全面发展。</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2</w:t>
            </w:r>
            <w:r>
              <w:rPr>
                <w:rFonts w:hint="default" w:ascii="Times New Roman" w:hAnsi="Times New Roman" w:eastAsia="方正仿宋_GBK" w:cs="Times New Roman"/>
                <w:b w:val="0"/>
                <w:color w:val="000000"/>
                <w:kern w:val="0"/>
                <w:sz w:val="24"/>
                <w:szCs w:val="24"/>
              </w:rPr>
              <w:t>、加强教师队伍建设和学习培训，深化教学教研，助力教师专业成长，提升教师教育教学水平。</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3</w:t>
            </w:r>
            <w:r>
              <w:rPr>
                <w:rFonts w:hint="default" w:ascii="Times New Roman" w:hAnsi="Times New Roman" w:eastAsia="方正仿宋_GBK" w:cs="Times New Roman"/>
                <w:b w:val="0"/>
                <w:color w:val="000000"/>
                <w:kern w:val="0"/>
                <w:sz w:val="24"/>
                <w:szCs w:val="24"/>
              </w:rPr>
              <w:t>、加强校园安全教育管理，维护校园安全，保证学校安全平稳运行，杜绝安全事故。</w:t>
            </w:r>
          </w:p>
          <w:p>
            <w:pPr>
              <w:keepNext w:val="0"/>
              <w:keepLines w:val="0"/>
              <w:widowControl/>
              <w:suppressLineNumbers w:val="0"/>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4</w:t>
            </w:r>
            <w:r>
              <w:rPr>
                <w:rFonts w:hint="default" w:ascii="Times New Roman" w:hAnsi="Times New Roman" w:eastAsia="方正仿宋_GBK" w:cs="Times New Roman"/>
                <w:b w:val="0"/>
                <w:color w:val="000000"/>
                <w:kern w:val="0"/>
                <w:sz w:val="24"/>
                <w:szCs w:val="24"/>
              </w:rPr>
              <w:t>、预算、决算信息及时公开</w:t>
            </w:r>
          </w:p>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24"/>
                <w:szCs w:val="24"/>
              </w:rPr>
              <w:t>5</w:t>
            </w:r>
            <w:r>
              <w:rPr>
                <w:rFonts w:hint="default" w:ascii="Times New Roman" w:hAnsi="Times New Roman" w:eastAsia="方正仿宋_GBK" w:cs="Times New Roman"/>
                <w:b w:val="0"/>
                <w:color w:val="000000"/>
                <w:kern w:val="0"/>
                <w:sz w:val="24"/>
                <w:szCs w:val="24"/>
              </w:rPr>
              <w:t>、建立健全管理制度，合理合规使用经费，保障国有资产安全。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rPr>
        <w:tc>
          <w:tcPr>
            <w:tcW w:w="718"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绩效指标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指标名称</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计量</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单位</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性质</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指标值</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指标权重</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完成值</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指标得分</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预算执行率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管理制度健全性</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定性</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健全</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健全</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资金使用合规率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预决算公开及时性</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定性</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及时</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及时</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资产管理安全性</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定性</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安全</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安全</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固定资产利用率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5</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94%</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3</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教学工作完成率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18"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line="600" w:lineRule="exact"/>
              <w:rPr>
                <w:rFonts w:hint="default" w:ascii="Times New Roman" w:hAnsi="Times New Roman" w:eastAsia="方正仿宋_GBK" w:cs="Times New Roman"/>
                <w:b w:val="0"/>
                <w:kern w:val="0"/>
                <w:sz w:val="32"/>
                <w:szCs w:val="32"/>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教学合格率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96%</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教师学习培训覆盖率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98%</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校园安全事故率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次</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学生满意度</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90%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5</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96%</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5</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600" w:lineRule="exact"/>
              <w:jc w:val="center"/>
              <w:rPr>
                <w:rFonts w:hint="default" w:ascii="Times New Roman" w:hAnsi="Times New Roman" w:eastAsia="方正仿宋_GBK" w:cs="Times New Roman"/>
                <w:b w:val="0"/>
                <w:kern w:val="0"/>
                <w:sz w:val="32"/>
                <w:szCs w:val="32"/>
              </w:rPr>
            </w:pPr>
          </w:p>
        </w:tc>
      </w:tr>
    </w:tbl>
    <w:p>
      <w:pPr>
        <w:pStyle w:val="35"/>
        <w:keepNext w:val="0"/>
        <w:keepLines w:val="0"/>
        <w:widowControl/>
        <w:suppressLineNumbers w:val="0"/>
        <w:spacing w:before="0" w:beforeAutospacing="0"/>
        <w:ind w:left="0" w:leftChars="0" w:right="0" w:rightChars="0" w:firstLine="0" w:firstLineChars="0"/>
        <w:jc w:val="center"/>
        <w:rPr>
          <w:rFonts w:hint="default" w:ascii="Times New Roman" w:hAnsi="Times New Roman" w:eastAsia="方正小标宋_GBK" w:cs="Times New Roman"/>
          <w:b w:val="0"/>
          <w:color w:val="333333"/>
          <w:kern w:val="2"/>
          <w:sz w:val="32"/>
          <w:szCs w:val="32"/>
        </w:rPr>
      </w:pPr>
      <w:r>
        <w:rPr>
          <w:rFonts w:hint="default" w:ascii="Times New Roman" w:hAnsi="Times New Roman" w:eastAsia="方正小标宋_GBK" w:cs="Times New Roman"/>
          <w:b w:val="0"/>
          <w:color w:val="333333"/>
          <w:kern w:val="2"/>
          <w:sz w:val="32"/>
          <w:szCs w:val="32"/>
        </w:rPr>
        <w:t xml:space="preserve"> </w:t>
      </w:r>
    </w:p>
    <w:tbl>
      <w:tblPr>
        <w:tblStyle w:val="14"/>
        <w:tblW w:w="9087" w:type="dxa"/>
        <w:tblInd w:w="135" w:type="dxa"/>
        <w:shd w:val="clear" w:color="auto" w:fill="auto"/>
        <w:tblLayout w:type="fixed"/>
        <w:tblCellMar>
          <w:top w:w="0" w:type="dxa"/>
          <w:left w:w="108" w:type="dxa"/>
          <w:bottom w:w="0" w:type="dxa"/>
          <w:right w:w="108" w:type="dxa"/>
        </w:tblCellMar>
      </w:tblPr>
      <w:tblGrid>
        <w:gridCol w:w="600"/>
        <w:gridCol w:w="750"/>
        <w:gridCol w:w="960"/>
        <w:gridCol w:w="765"/>
        <w:gridCol w:w="705"/>
        <w:gridCol w:w="735"/>
        <w:gridCol w:w="870"/>
        <w:gridCol w:w="930"/>
        <w:gridCol w:w="870"/>
        <w:gridCol w:w="765"/>
        <w:gridCol w:w="1137"/>
      </w:tblGrid>
      <w:tr>
        <w:tblPrEx>
          <w:shd w:val="clear" w:color="auto" w:fill="auto"/>
          <w:tblCellMar>
            <w:top w:w="0" w:type="dxa"/>
            <w:left w:w="108" w:type="dxa"/>
            <w:bottom w:w="0" w:type="dxa"/>
            <w:right w:w="108" w:type="dxa"/>
          </w:tblCellMar>
        </w:tblPrEx>
        <w:trPr>
          <w:trHeight w:val="780" w:hRule="atLeast"/>
        </w:trPr>
        <w:tc>
          <w:tcPr>
            <w:tcW w:w="9087"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b/>
                <w:color w:val="000000"/>
                <w:kern w:val="0"/>
                <w:sz w:val="36"/>
                <w:szCs w:val="36"/>
              </w:rPr>
            </w:pPr>
            <w:r>
              <w:rPr>
                <w:rFonts w:hint="default" w:ascii="Times New Roman" w:hAnsi="Times New Roman" w:eastAsia="方正小标宋_GBK" w:cs="Times New Roman"/>
                <w:b w:val="0"/>
                <w:color w:val="333333"/>
                <w:kern w:val="2"/>
                <w:sz w:val="32"/>
                <w:szCs w:val="32"/>
              </w:rPr>
              <w:t>重庆科学城西苑小学校项目资金绩效目标自评表</w:t>
            </w:r>
          </w:p>
        </w:tc>
      </w:tr>
      <w:tr>
        <w:tblPrEx>
          <w:shd w:val="clear" w:color="auto" w:fill="auto"/>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序号</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项目名称</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指标名称</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指标性质</w:t>
            </w:r>
          </w:p>
        </w:tc>
        <w:tc>
          <w:tcPr>
            <w:tcW w:w="7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指标值</w:t>
            </w:r>
          </w:p>
        </w:tc>
        <w:tc>
          <w:tcPr>
            <w:tcW w:w="7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计量单位</w:t>
            </w:r>
          </w:p>
        </w:tc>
        <w:tc>
          <w:tcPr>
            <w:tcW w:w="8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指标权重</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全年完成值</w:t>
            </w:r>
          </w:p>
        </w:tc>
        <w:tc>
          <w:tcPr>
            <w:tcW w:w="8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指标得分</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说明</w:t>
            </w:r>
          </w:p>
        </w:tc>
        <w:tc>
          <w:tcPr>
            <w:tcW w:w="11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自评得分</w:t>
            </w:r>
          </w:p>
        </w:tc>
      </w:tr>
      <w:tr>
        <w:tblPrEx>
          <w:shd w:val="clear" w:color="auto" w:fill="auto"/>
          <w:tblCellMar>
            <w:top w:w="0" w:type="dxa"/>
            <w:left w:w="108" w:type="dxa"/>
            <w:bottom w:w="0" w:type="dxa"/>
            <w:right w:w="108" w:type="dxa"/>
          </w:tblCellMar>
        </w:tblPrEx>
        <w:trPr>
          <w:trHeight w:val="432" w:hRule="atLeast"/>
        </w:trPr>
        <w:tc>
          <w:tcPr>
            <w:tcW w:w="600"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w:t>
            </w:r>
          </w:p>
        </w:tc>
        <w:tc>
          <w:tcPr>
            <w:tcW w:w="75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临聘人员工作经费考核（教育系统）</w:t>
            </w: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教学任务完成率</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firstLine="220" w:firstLineChars="100"/>
              <w:jc w:val="lef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7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9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18</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color w:val="000000"/>
                <w:kern w:val="0"/>
                <w:sz w:val="22"/>
                <w:szCs w:val="22"/>
              </w:rPr>
            </w:pPr>
          </w:p>
        </w:tc>
        <w:tc>
          <w:tcPr>
            <w:tcW w:w="113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r>
      <w:tr>
        <w:tblPrEx>
          <w:shd w:val="clear" w:color="auto" w:fill="auto"/>
          <w:tblCellMar>
            <w:top w:w="0" w:type="dxa"/>
            <w:left w:w="108" w:type="dxa"/>
            <w:bottom w:w="0" w:type="dxa"/>
            <w:right w:w="108" w:type="dxa"/>
          </w:tblCellMar>
        </w:tblPrEx>
        <w:trPr>
          <w:trHeight w:val="432" w:hRule="atLeast"/>
        </w:trPr>
        <w:tc>
          <w:tcPr>
            <w:tcW w:w="600"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7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活动开展时间进度</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firstLine="220" w:firstLineChars="10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7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9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color w:val="000000"/>
                <w:kern w:val="0"/>
                <w:sz w:val="22"/>
                <w:szCs w:val="22"/>
              </w:rPr>
            </w:pPr>
          </w:p>
        </w:tc>
        <w:tc>
          <w:tcPr>
            <w:tcW w:w="113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600"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7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资金执行及时率</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firstLine="220" w:firstLineChars="10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7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9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color w:val="000000"/>
                <w:kern w:val="0"/>
                <w:sz w:val="22"/>
                <w:szCs w:val="22"/>
              </w:rPr>
            </w:pPr>
          </w:p>
        </w:tc>
        <w:tc>
          <w:tcPr>
            <w:tcW w:w="113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600"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7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学生参与人次</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firstLine="220" w:firstLineChars="10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w:t>
            </w:r>
          </w:p>
        </w:tc>
        <w:tc>
          <w:tcPr>
            <w:tcW w:w="7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800</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w:t>
            </w:r>
          </w:p>
        </w:tc>
        <w:tc>
          <w:tcPr>
            <w:tcW w:w="9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850</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color w:val="000000"/>
                <w:kern w:val="0"/>
                <w:sz w:val="22"/>
                <w:szCs w:val="22"/>
              </w:rPr>
            </w:pPr>
          </w:p>
        </w:tc>
        <w:tc>
          <w:tcPr>
            <w:tcW w:w="113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600"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7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受益学生数</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0" w:firstLine="220" w:firstLineChars="10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7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w:t>
            </w:r>
          </w:p>
        </w:tc>
        <w:tc>
          <w:tcPr>
            <w:tcW w:w="7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800</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9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850</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20</w:t>
            </w:r>
          </w:p>
        </w:tc>
        <w:tc>
          <w:tcPr>
            <w:tcW w:w="7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color w:val="000000"/>
                <w:kern w:val="0"/>
                <w:sz w:val="22"/>
                <w:szCs w:val="22"/>
              </w:rPr>
            </w:pPr>
          </w:p>
        </w:tc>
        <w:tc>
          <w:tcPr>
            <w:tcW w:w="113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600"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7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960"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师生满意度</w:t>
            </w:r>
          </w:p>
        </w:tc>
        <w:tc>
          <w:tcPr>
            <w:tcW w:w="76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0" w:firstLine="220" w:firstLineChars="100"/>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70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73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93</w:t>
            </w:r>
          </w:p>
        </w:tc>
        <w:tc>
          <w:tcPr>
            <w:tcW w:w="870"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w:t>
            </w:r>
          </w:p>
        </w:tc>
        <w:tc>
          <w:tcPr>
            <w:tcW w:w="930"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93</w:t>
            </w:r>
          </w:p>
        </w:tc>
        <w:tc>
          <w:tcPr>
            <w:tcW w:w="870"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ind w:left="-20" w:leftChars="-68" w:hanging="143" w:hangingChars="65"/>
              <w:jc w:val="right"/>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7</w:t>
            </w:r>
          </w:p>
        </w:tc>
        <w:tc>
          <w:tcPr>
            <w:tcW w:w="76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color w:val="000000"/>
                <w:kern w:val="0"/>
                <w:sz w:val="22"/>
                <w:szCs w:val="22"/>
              </w:rPr>
            </w:pPr>
          </w:p>
        </w:tc>
        <w:tc>
          <w:tcPr>
            <w:tcW w:w="113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bl>
    <w:p>
      <w:pPr>
        <w:pStyle w:val="34"/>
        <w:keepNext w:val="0"/>
        <w:keepLines w:val="0"/>
        <w:widowControl/>
        <w:suppressLineNumbers w:val="0"/>
        <w:spacing w:line="600" w:lineRule="exact"/>
        <w:ind w:left="0" w:firstLine="640"/>
        <w:rPr>
          <w:rFonts w:hint="default" w:ascii="Times New Roman" w:hAnsi="Times New Roman" w:eastAsia="方正黑体_GBK" w:cs="Times New Roman"/>
          <w:b w:val="0"/>
          <w:kern w:val="0"/>
          <w:sz w:val="32"/>
          <w:szCs w:val="32"/>
        </w:rPr>
      </w:pPr>
      <w:r>
        <w:rPr>
          <w:rFonts w:hint="default" w:ascii="Times New Roman" w:hAnsi="Times New Roman" w:eastAsia="方正黑体_GBK" w:cs="Times New Roman"/>
          <w:b w:val="0"/>
          <w:kern w:val="0"/>
          <w:sz w:val="32"/>
          <w:szCs w:val="32"/>
        </w:rPr>
        <w:t>六、专业名词解释</w:t>
      </w:r>
    </w:p>
    <w:p>
      <w:pPr>
        <w:pStyle w:val="34"/>
        <w:keepNext w:val="0"/>
        <w:keepLines w:val="0"/>
        <w:widowControl/>
        <w:suppressLineNumbers w:val="0"/>
        <w:spacing w:line="600" w:lineRule="exact"/>
        <w:ind w:left="0" w:firstLine="640"/>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（一）财政拨款收入</w:t>
      </w:r>
      <w:r>
        <w:rPr>
          <w:rFonts w:hint="default" w:ascii="Times New Roman" w:hAnsi="Times New Roman" w:eastAsia="方正仿宋_GBK" w:cs="Times New Roman"/>
          <w:b w:val="0"/>
          <w:kern w:val="0"/>
          <w:sz w:val="32"/>
          <w:szCs w:val="32"/>
        </w:rPr>
        <w:t>：指本年度从本级财政部门取得的财政拨款，包括一般公共预算财政拨款和政府性基金预算财政拨款。</w:t>
      </w:r>
    </w:p>
    <w:p>
      <w:pPr>
        <w:pStyle w:val="34"/>
        <w:keepNext w:val="0"/>
        <w:keepLines w:val="0"/>
        <w:widowControl/>
        <w:suppressLineNumbers w:val="0"/>
        <w:spacing w:line="600" w:lineRule="exact"/>
        <w:ind w:left="0" w:firstLine="640"/>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（二）事业收入：</w:t>
      </w:r>
      <w:r>
        <w:rPr>
          <w:rFonts w:hint="default" w:ascii="Times New Roman" w:hAnsi="Times New Roman" w:eastAsia="方正仿宋_GBK" w:cs="Times New Roman"/>
          <w:b w:val="0"/>
          <w:kern w:val="0"/>
          <w:sz w:val="32"/>
          <w:szCs w:val="32"/>
        </w:rPr>
        <w:t>指事业单位开展专业业务活动及其辅助活动取得的现金流入；事业单位收到的财政专户实际核拨的教育收费等资金在此反映。</w:t>
      </w:r>
    </w:p>
    <w:p>
      <w:pPr>
        <w:pStyle w:val="34"/>
        <w:keepNext w:val="0"/>
        <w:keepLines w:val="0"/>
        <w:widowControl/>
        <w:suppressLineNumbers w:val="0"/>
        <w:spacing w:line="600" w:lineRule="exact"/>
        <w:ind w:left="0" w:firstLine="640"/>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（三）经营收入</w:t>
      </w:r>
      <w:r>
        <w:rPr>
          <w:rFonts w:hint="default" w:ascii="Times New Roman" w:hAnsi="Times New Roman" w:eastAsia="方正仿宋_GBK" w:cs="Times New Roman"/>
          <w:b w:val="0"/>
          <w:kern w:val="0"/>
          <w:sz w:val="32"/>
          <w:szCs w:val="32"/>
        </w:rPr>
        <w:t>：指事业单位在专业业务活动及其辅助活动之外开展非独立核算经营活动取得的现金流入。</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（四）其他收入</w:t>
      </w:r>
      <w:r>
        <w:rPr>
          <w:rFonts w:hint="default" w:ascii="Times New Roman" w:hAnsi="Times New Roman" w:eastAsia="方正仿宋_GBK" w:cs="Times New Roman"/>
          <w:b w:val="0"/>
          <w:kern w:val="0"/>
          <w:sz w:val="32"/>
          <w:szCs w:val="32"/>
        </w:rPr>
        <w:t>：指单位取得的除</w:t>
      </w:r>
      <w:r>
        <w:rPr>
          <w:rFonts w:hint="default" w:ascii="Times New Roman" w:hAnsi="Times New Roman" w:eastAsia="方正仿宋_GBK" w:cs="Times New Roman"/>
          <w:b w:val="0"/>
          <w:kern w:val="0"/>
          <w:sz w:val="32"/>
          <w:szCs w:val="32"/>
        </w:rPr>
        <w:t>“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（五）使用非财政拨款结余</w:t>
      </w:r>
      <w:r>
        <w:rPr>
          <w:rFonts w:hint="default" w:ascii="Times New Roman" w:hAnsi="Times New Roman" w:eastAsia="方正仿宋_GBK" w:cs="Times New Roman"/>
          <w:b w:val="0"/>
          <w:kern w:val="0"/>
          <w:sz w:val="32"/>
          <w:szCs w:val="32"/>
        </w:rPr>
        <w:t>：指单位在当年的</w:t>
      </w:r>
      <w:r>
        <w:rPr>
          <w:rFonts w:hint="default" w:ascii="Times New Roman" w:hAnsi="Times New Roman" w:eastAsia="方正仿宋_GBK" w:cs="Times New Roman"/>
          <w:b w:val="0"/>
          <w:kern w:val="0"/>
          <w:sz w:val="32"/>
          <w:szCs w:val="32"/>
        </w:rPr>
        <w:t>“财政拨款收入”、“事业收入”、“经营收入”、“其他收入”等不足以安排当年支出的情况下，使用以前年度积累的非财政拨款结余弥补本年度收支缺口的资金。</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（六）年初结转和结余</w:t>
      </w:r>
      <w:r>
        <w:rPr>
          <w:rFonts w:hint="default" w:ascii="Times New Roman" w:hAnsi="Times New Roman" w:eastAsia="方正仿宋_GBK" w:cs="Times New Roman"/>
          <w:b w:val="0"/>
          <w:kern w:val="0"/>
          <w:sz w:val="32"/>
          <w:szCs w:val="32"/>
        </w:rPr>
        <w:t>：指单位上年结转本年使用的基本支出结转、项目支出结转和结余、经营结余。</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（七）结余分配</w:t>
      </w:r>
      <w:r>
        <w:rPr>
          <w:rFonts w:hint="default" w:ascii="Times New Roman" w:hAnsi="Times New Roman" w:eastAsia="方正仿宋_GBK" w:cs="Times New Roman"/>
          <w:b w:val="0"/>
          <w:kern w:val="0"/>
          <w:sz w:val="32"/>
          <w:szCs w:val="32"/>
        </w:rPr>
        <w:t>：指单位按照国家有关规定，缴纳所得税、提取专用基金、转入非财政拨款结余等当年结余的分配情况。</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（八）年末结转和结余</w:t>
      </w:r>
      <w:r>
        <w:rPr>
          <w:rFonts w:hint="default" w:ascii="Times New Roman" w:hAnsi="Times New Roman" w:eastAsia="方正仿宋_GBK" w:cs="Times New Roman"/>
          <w:b w:val="0"/>
          <w:kern w:val="0"/>
          <w:sz w:val="32"/>
          <w:szCs w:val="32"/>
        </w:rPr>
        <w:t>：指单位结转下年的基本支出结转、项目支出结转和结余、经营结余。</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（九）基本支出</w:t>
      </w:r>
      <w:r>
        <w:rPr>
          <w:rFonts w:hint="default" w:ascii="Times New Roman" w:hAnsi="Times New Roman" w:eastAsia="方正仿宋_GBK" w:cs="Times New Roman"/>
          <w:b w:val="0"/>
          <w:kern w:val="0"/>
          <w:sz w:val="32"/>
          <w:szCs w:val="32"/>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b w:val="0"/>
          <w:kern w:val="0"/>
          <w:sz w:val="32"/>
          <w:szCs w:val="32"/>
        </w:rPr>
        <w:t>“工资福利支出”和“对个人和家庭的补助”；公用经费指政府收支分类经济科目中除“工资福利支出”和“对个人和家庭的补助”外的其他支出。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（十）项目支出</w:t>
      </w:r>
      <w:r>
        <w:rPr>
          <w:rFonts w:hint="default" w:ascii="Times New Roman" w:hAnsi="Times New Roman" w:eastAsia="方正仿宋_GBK" w:cs="Times New Roman"/>
          <w:b w:val="0"/>
          <w:kern w:val="0"/>
          <w:sz w:val="32"/>
          <w:szCs w:val="32"/>
        </w:rPr>
        <w:t>：指在基本支出之外为完成特定行政任务和事业发展目标所发生的支出。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（十一）经营支出</w:t>
      </w:r>
      <w:r>
        <w:rPr>
          <w:rFonts w:hint="default" w:ascii="Times New Roman" w:hAnsi="Times New Roman" w:eastAsia="方正仿宋_GBK" w:cs="Times New Roman"/>
          <w:b w:val="0"/>
          <w:kern w:val="0"/>
          <w:sz w:val="32"/>
          <w:szCs w:val="32"/>
        </w:rPr>
        <w:t>：指事业单位在专业业务活动及其辅助活动之外开展非独立核算经营活动发生的支出。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（十二）</w:t>
      </w:r>
      <w:r>
        <w:rPr>
          <w:rFonts w:hint="default" w:ascii="Times New Roman" w:hAnsi="Times New Roman" w:eastAsia="方正楷体_GBK" w:cs="Times New Roman"/>
          <w:b w:val="0"/>
          <w:kern w:val="0"/>
          <w:sz w:val="32"/>
          <w:szCs w:val="32"/>
        </w:rPr>
        <w:t>“三公”经费</w:t>
      </w:r>
      <w:r>
        <w:rPr>
          <w:rFonts w:hint="default" w:ascii="Times New Roman" w:hAnsi="Times New Roman" w:eastAsia="方正仿宋_GBK" w:cs="Times New Roman"/>
          <w:b w:val="0"/>
          <w:kern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（十三）机关运行经费</w:t>
      </w:r>
      <w:r>
        <w:rPr>
          <w:rFonts w:hint="default" w:ascii="Times New Roman" w:hAnsi="Times New Roman" w:eastAsia="方正仿宋_GBK" w:cs="Times New Roman"/>
          <w:b w:val="0"/>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（十四）工资福利支出（支出经济分类科目类级）</w:t>
      </w:r>
      <w:r>
        <w:rPr>
          <w:rFonts w:hint="default" w:ascii="Times New Roman" w:hAnsi="Times New Roman" w:eastAsia="方正仿宋_GBK" w:cs="Times New Roman"/>
          <w:b w:val="0"/>
          <w:kern w:val="0"/>
          <w:sz w:val="32"/>
          <w:szCs w:val="32"/>
        </w:rPr>
        <w:t>：反映单位开支的在职职工和编制外长期聘用人员的各类劳动报酬，以及为上述人员缴纳的各项社会保险费等。</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（十五）商品和服务支出（支出经济分类科目类级）</w:t>
      </w:r>
      <w:r>
        <w:rPr>
          <w:rFonts w:hint="default" w:ascii="Times New Roman" w:hAnsi="Times New Roman" w:eastAsia="方正仿宋_GBK" w:cs="Times New Roman"/>
          <w:b w:val="0"/>
          <w:kern w:val="0"/>
          <w:sz w:val="32"/>
          <w:szCs w:val="32"/>
        </w:rPr>
        <w:t>：反映单位购买商品和服务的支出（不包括用于购置固定资产的支出、战略性和应急储备支出）。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（十六）对个人和家庭的补助（支出经济分类科目类级）</w:t>
      </w:r>
      <w:r>
        <w:rPr>
          <w:rFonts w:hint="default" w:ascii="Times New Roman" w:hAnsi="Times New Roman" w:eastAsia="方正仿宋_GBK" w:cs="Times New Roman"/>
          <w:b w:val="0"/>
          <w:kern w:val="0"/>
          <w:sz w:val="32"/>
          <w:szCs w:val="32"/>
        </w:rPr>
        <w:t>：反映用于对个人和家庭的补助支出。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（十七）其他资本性支出（支出经济分类科目类级）</w:t>
      </w:r>
      <w:r>
        <w:rPr>
          <w:rFonts w:hint="default" w:ascii="Times New Roman" w:hAnsi="Times New Roman" w:eastAsia="方正仿宋_GBK" w:cs="Times New Roman"/>
          <w:b w:val="0"/>
          <w:kern w:val="0"/>
          <w:sz w:val="32"/>
          <w:szCs w:val="32"/>
        </w:rPr>
        <w:t>：反映非各级发展与改革部门集中安排的用于购置固定资产、战略性和应急性储备、土地和无形资产，以及构建基础设施、大型修缮和财政支持企业更新改造所发生的支出。</w:t>
      </w:r>
    </w:p>
    <w:p>
      <w:pPr>
        <w:pStyle w:val="34"/>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640"/>
        <w:jc w:val="both"/>
        <w:textAlignment w:val="auto"/>
        <w:rPr>
          <w:rFonts w:hint="default" w:ascii="Times New Roman" w:hAnsi="Times New Roman" w:eastAsia="方正黑体_GBK" w:cs="Times New Roman"/>
          <w:b w:val="0"/>
          <w:kern w:val="0"/>
          <w:sz w:val="32"/>
          <w:szCs w:val="32"/>
        </w:rPr>
      </w:pPr>
      <w:r>
        <w:rPr>
          <w:rFonts w:hint="default" w:ascii="Times New Roman" w:hAnsi="Times New Roman" w:eastAsia="方正黑体_GBK" w:cs="Times New Roman"/>
          <w:b w:val="0"/>
          <w:kern w:val="0"/>
          <w:sz w:val="32"/>
          <w:szCs w:val="32"/>
        </w:rPr>
        <w:t>七、决算公开联系方式</w:t>
      </w:r>
    </w:p>
    <w:p>
      <w:pPr>
        <w:pStyle w:val="3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both"/>
        <w:textAlignment w:val="auto"/>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本单位决算公开信息反馈和联系方式： 023-68177605</w:t>
      </w:r>
    </w:p>
    <w:p>
      <w:pPr>
        <w:pStyle w:val="35"/>
        <w:keepNext w:val="0"/>
        <w:keepLines w:val="0"/>
        <w:widowControl/>
        <w:suppressLineNumbers w:val="0"/>
        <w:spacing w:before="0" w:beforeAutospacing="0"/>
        <w:ind w:left="0" w:firstLine="640" w:firstLineChars="200"/>
        <w:jc w:val="left"/>
        <w:rPr>
          <w:rFonts w:hint="default" w:ascii="Times New Roman" w:hAnsi="Times New Roman" w:eastAsia="方正仿宋_GBK" w:cs="Times New Roman"/>
          <w:b w:val="0"/>
          <w:color w:val="333333"/>
          <w:kern w:val="2"/>
          <w:sz w:val="32"/>
          <w:szCs w:val="32"/>
        </w:rPr>
      </w:pPr>
      <w:r>
        <w:rPr>
          <w:rFonts w:hint="default" w:ascii="Times New Roman" w:hAnsi="Times New Roman" w:eastAsia="方正仿宋_GBK" w:cs="Times New Roman"/>
          <w:b w:val="0"/>
          <w:color w:val="333333"/>
          <w:kern w:val="2"/>
          <w:sz w:val="32"/>
          <w:szCs w:val="32"/>
        </w:rPr>
        <w:t xml:space="preserve"> </w:t>
      </w:r>
    </w:p>
    <w:sectPr>
      <w:pgSz w:w="11915" w:h="16851"/>
      <w:pgMar w:top="2098" w:right="1531" w:bottom="1984" w:left="1531" w:header="851" w:footer="992"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BB352"/>
    <w:multiLevelType w:val="multilevel"/>
    <w:tmpl w:val="670BB352"/>
    <w:lvl w:ilvl="0" w:tentative="0">
      <w:start w:val="2"/>
      <w:numFmt w:val="chineseCounting"/>
      <w:suff w:val="nothing"/>
      <w:lvlText w:val="%1、"/>
      <w:lvlJc w:val="left"/>
      <w:pPr>
        <w:tabs>
          <w:tab w:val="left" w:pos="0"/>
        </w:tabs>
        <w:ind w:left="177"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7"/>
  <w:displayHorizontalDrawingGridEvery w:val="0"/>
  <w:displayVerticalDrawingGridEvery w:val="2"/>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66EA2"/>
    <w:rsid w:val="70CB3600"/>
    <w:rsid w:val="FDFFD2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b/>
      <w:snapToGrid w:val="0"/>
      <w:kern w:val="0"/>
      <w:sz w:val="24"/>
      <w:szCs w:val="24"/>
      <w:lang w:val="en-US" w:eastAsia="zh-CN" w:bidi="ar"/>
    </w:rPr>
  </w:style>
  <w:style w:type="paragraph" w:styleId="4">
    <w:name w:val="heading 1"/>
    <w:basedOn w:val="1"/>
    <w:next w:val="1"/>
    <w:qFormat/>
    <w:uiPriority w:val="0"/>
    <w:pPr>
      <w:spacing w:before="0" w:beforeAutospacing="1" w:after="0" w:afterAutospacing="1"/>
      <w:ind w:left="0" w:right="0"/>
      <w:jc w:val="left"/>
    </w:pPr>
    <w:rPr>
      <w:rFonts w:hint="eastAsia" w:ascii="宋体" w:hAnsi="宋体" w:eastAsia="宋体" w:cs="宋体"/>
      <w:kern w:val="44"/>
      <w:sz w:val="48"/>
      <w:szCs w:val="48"/>
      <w:lang w:val="en-US" w:eastAsia="zh-CN" w:bidi="ar"/>
    </w:rPr>
  </w:style>
  <w:style w:type="paragraph" w:styleId="5">
    <w:name w:val="heading 2"/>
    <w:basedOn w:val="1"/>
    <w:next w:val="1"/>
    <w:qFormat/>
    <w:uiPriority w:val="0"/>
    <w:pPr>
      <w:spacing w:before="0" w:beforeAutospacing="1" w:after="0" w:afterAutospacing="1"/>
      <w:ind w:left="0" w:right="0"/>
      <w:jc w:val="left"/>
    </w:pPr>
    <w:rPr>
      <w:rFonts w:hint="eastAsia" w:ascii="宋体" w:hAnsi="宋体" w:eastAsia="宋体" w:cs="宋体"/>
      <w:kern w:val="0"/>
      <w:sz w:val="36"/>
      <w:szCs w:val="36"/>
      <w:lang w:val="en-US" w:eastAsia="zh-CN" w:bidi="ar"/>
    </w:rPr>
  </w:style>
  <w:style w:type="paragraph" w:styleId="6">
    <w:name w:val="heading 3"/>
    <w:basedOn w:val="1"/>
    <w:next w:val="1"/>
    <w:qFormat/>
    <w:uiPriority w:val="0"/>
    <w:pPr>
      <w:spacing w:before="0" w:beforeAutospacing="1" w:after="0" w:afterAutospacing="1"/>
      <w:ind w:left="0" w:right="0"/>
      <w:jc w:val="left"/>
    </w:pPr>
    <w:rPr>
      <w:rFonts w:hint="eastAsia" w:ascii="宋体" w:hAnsi="宋体" w:eastAsia="宋体" w:cs="宋体"/>
      <w:kern w:val="0"/>
      <w:sz w:val="27"/>
      <w:szCs w:val="27"/>
      <w:lang w:val="en-US" w:eastAsia="zh-CN" w:bidi="ar"/>
    </w:rPr>
  </w:style>
  <w:style w:type="paragraph" w:styleId="7">
    <w:name w:val="heading 4"/>
    <w:basedOn w:val="1"/>
    <w:next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8">
    <w:name w:val="heading 5"/>
    <w:basedOn w:val="1"/>
    <w:next w:val="1"/>
    <w:qFormat/>
    <w:uiPriority w:val="0"/>
    <w:pPr>
      <w:spacing w:before="0" w:beforeAutospacing="1" w:after="0" w:afterAutospacing="1"/>
      <w:ind w:left="0" w:right="0"/>
      <w:jc w:val="left"/>
    </w:pPr>
    <w:rPr>
      <w:rFonts w:hint="eastAsia" w:ascii="宋体" w:hAnsi="宋体" w:eastAsia="宋体" w:cs="宋体"/>
      <w:kern w:val="0"/>
      <w:sz w:val="20"/>
      <w:szCs w:val="20"/>
      <w:lang w:val="en-US" w:eastAsia="zh-CN" w:bidi="ar"/>
    </w:rPr>
  </w:style>
  <w:style w:type="paragraph" w:styleId="9">
    <w:name w:val="heading 6"/>
    <w:basedOn w:val="1"/>
    <w:next w:val="1"/>
    <w:qFormat/>
    <w:uiPriority w:val="0"/>
    <w:pPr>
      <w:spacing w:before="0" w:beforeAutospacing="1" w:after="0" w:afterAutospacing="1"/>
      <w:ind w:left="0" w:right="0"/>
      <w:jc w:val="left"/>
    </w:pPr>
    <w:rPr>
      <w:rFonts w:hint="eastAsia" w:ascii="宋体" w:hAnsi="宋体" w:eastAsia="宋体" w:cs="宋体"/>
      <w:kern w:val="0"/>
      <w:sz w:val="15"/>
      <w:szCs w:val="15"/>
      <w:lang w:val="en-US" w:eastAsia="zh-CN" w:bidi="ar"/>
    </w:rPr>
  </w:style>
  <w:style w:type="character" w:default="1" w:styleId="16">
    <w:name w:val="Default Paragraph Font"/>
    <w:semiHidden/>
    <w:unhideWhenUsed/>
    <w:qFormat/>
    <w:uiPriority w:val="99"/>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3"/>
    <w:qFormat/>
    <w:uiPriority w:val="0"/>
    <w:pPr>
      <w:spacing w:before="0" w:beforeAutospacing="0" w:after="120" w:afterLines="0" w:afterAutospacing="0"/>
      <w:ind w:left="0" w:right="0"/>
      <w:jc w:val="left"/>
    </w:pPr>
    <w:rPr>
      <w:rFonts w:hint="eastAsia" w:ascii="宋体" w:hAnsi="宋体" w:eastAsia="宋体" w:cs="宋体"/>
      <w:kern w:val="0"/>
      <w:sz w:val="24"/>
      <w:szCs w:val="24"/>
      <w:lang w:val="en-US" w:eastAsia="zh-CN" w:bidi="ar"/>
    </w:rPr>
  </w:style>
  <w:style w:type="paragraph" w:customStyle="1" w:styleId="3">
    <w:name w:val="msonormal"/>
    <w:basedOn w:val="1"/>
    <w:qFormat/>
    <w:uiPriority w:val="0"/>
    <w:pPr>
      <w:spacing w:beforeAutospacing="1" w:afterAutospacing="1"/>
    </w:pPr>
  </w:style>
  <w:style w:type="paragraph" w:styleId="10">
    <w:name w:val="footer"/>
    <w:basedOn w:val="1"/>
    <w:qFormat/>
    <w:uiPriority w:val="0"/>
    <w:pPr>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11">
    <w:name w:val="header"/>
    <w:basedOn w:val="1"/>
    <w:qFormat/>
    <w:uiPriority w:val="99"/>
    <w:pPr>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15">
    <w:name w:val="Table Grid"/>
    <w:basedOn w:val="14"/>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等线"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7">
    <w:name w:val="15"/>
    <w:basedOn w:val="16"/>
    <w:qFormat/>
    <w:uiPriority w:val="0"/>
    <w:rPr>
      <w:rFonts w:hint="default" w:ascii="Times New Roman" w:hAnsi="Times New Roman" w:cs="Times New Roman"/>
    </w:rPr>
  </w:style>
  <w:style w:type="paragraph" w:customStyle="1" w:styleId="1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9">
    <w:name w:val="10"/>
    <w:basedOn w:val="16"/>
    <w:qFormat/>
    <w:uiPriority w:val="0"/>
    <w:rPr>
      <w:rFonts w:hint="default" w:ascii="Times New Roman" w:hAnsi="Times New Roman" w:cs="Times New Roman"/>
    </w:rPr>
  </w:style>
  <w:style w:type="paragraph" w:customStyle="1" w:styleId="2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1">
    <w:name w:val="19"/>
    <w:basedOn w:val="16"/>
    <w:qFormat/>
    <w:uiPriority w:val="0"/>
    <w:rPr>
      <w:rFonts w:hint="default" w:ascii="Times New Roman" w:hAnsi="Times New Roman" w:cs="Times New Roman"/>
    </w:rPr>
  </w:style>
  <w:style w:type="paragraph" w:customStyle="1" w:styleId="22">
    <w:name w:val="普通(网站) Char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3">
    <w:name w:val="HTML 预设格式 Char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4">
    <w:name w:val="20"/>
    <w:basedOn w:val="16"/>
    <w:qFormat/>
    <w:uiPriority w:val="0"/>
    <w:rPr>
      <w:rFonts w:hint="default" w:ascii="Times New Roman" w:hAnsi="Times New Roman" w:cs="Times New Roman"/>
      <w:b/>
    </w:rPr>
  </w:style>
  <w:style w:type="character" w:customStyle="1" w:styleId="25">
    <w:name w:val="16"/>
    <w:basedOn w:val="16"/>
    <w:qFormat/>
    <w:uiPriority w:val="0"/>
    <w:rPr>
      <w:rFonts w:hint="default" w:ascii="Times New Roman" w:hAnsi="Times New Roman" w:cs="Times New Roman"/>
    </w:rPr>
  </w:style>
  <w:style w:type="character" w:customStyle="1" w:styleId="26">
    <w:name w:val="17"/>
    <w:basedOn w:val="16"/>
    <w:qFormat/>
    <w:uiPriority w:val="0"/>
    <w:rPr>
      <w:rFonts w:hint="default" w:ascii="Times New Roman" w:hAnsi="Times New Roman" w:cs="Times New Roman"/>
      <w:b/>
    </w:rPr>
  </w:style>
  <w:style w:type="character" w:customStyle="1" w:styleId="27">
    <w:name w:val="18"/>
    <w:basedOn w:val="16"/>
    <w:qFormat/>
    <w:uiPriority w:val="0"/>
    <w:rPr>
      <w:rFonts w:hint="default" w:ascii="Times New Roman" w:hAnsi="Times New Roman" w:cs="Times New Roman"/>
    </w:rPr>
  </w:style>
  <w:style w:type="character" w:customStyle="1" w:styleId="28">
    <w:name w:val="21"/>
    <w:basedOn w:val="16"/>
    <w:qFormat/>
    <w:uiPriority w:val="0"/>
    <w:rPr>
      <w:rFonts w:hint="default" w:ascii="Times New Roman" w:hAnsi="Times New Roman" w:cs="Times New Roman"/>
    </w:rPr>
  </w:style>
  <w:style w:type="character" w:customStyle="1" w:styleId="29">
    <w:name w:val="22"/>
    <w:basedOn w:val="16"/>
    <w:qFormat/>
    <w:uiPriority w:val="0"/>
    <w:rPr>
      <w:rFonts w:hint="default" w:ascii="Times New Roman" w:hAnsi="Times New Roman" w:cs="Times New Roman"/>
    </w:rPr>
  </w:style>
  <w:style w:type="character" w:customStyle="1" w:styleId="30">
    <w:name w:val="23"/>
    <w:basedOn w:val="16"/>
    <w:qFormat/>
    <w:uiPriority w:val="0"/>
    <w:rPr>
      <w:rFonts w:hint="default" w:ascii="Times New Roman" w:hAnsi="Times New Roman" w:cs="Times New Roman"/>
      <w:b/>
    </w:rPr>
  </w:style>
  <w:style w:type="character" w:customStyle="1" w:styleId="31">
    <w:name w:val="24"/>
    <w:basedOn w:val="16"/>
    <w:qFormat/>
    <w:uiPriority w:val="0"/>
    <w:rPr>
      <w:rFonts w:hint="default" w:ascii="Times New Roman" w:hAnsi="Times New Roman" w:cs="Times New Roman"/>
    </w:rPr>
  </w:style>
  <w:style w:type="character" w:customStyle="1" w:styleId="32">
    <w:name w:val="25"/>
    <w:basedOn w:val="16"/>
    <w:qFormat/>
    <w:uiPriority w:val="0"/>
    <w:rPr>
      <w:rFonts w:hint="default" w:ascii="Times New Roman" w:hAnsi="Times New Roman" w:cs="Times New Roman"/>
    </w:rPr>
  </w:style>
  <w:style w:type="character" w:customStyle="1" w:styleId="33">
    <w:name w:val="26"/>
    <w:basedOn w:val="16"/>
    <w:qFormat/>
    <w:uiPriority w:val="0"/>
    <w:rPr>
      <w:rFonts w:hint="default" w:ascii="Times New Roman" w:hAnsi="Times New Roman" w:cs="Times New Roman"/>
    </w:rPr>
  </w:style>
  <w:style w:type="paragraph" w:customStyle="1" w:styleId="34">
    <w:name w:val="List Paragraph"/>
    <w:basedOn w:val="1"/>
    <w:qFormat/>
    <w:uiPriority w:val="99"/>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customStyle="1" w:styleId="35">
    <w:name w:val="普通(网站) Char Char"/>
    <w:basedOn w:val="3"/>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Characters>6137</Characters>
  <Lines>1</Lines>
  <Paragraphs>1</Paragraphs>
  <TotalTime>2</TotalTime>
  <ScaleCrop>false</ScaleCrop>
  <LinksUpToDate>false</LinksUpToDate>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2023-11-09T22:49:00Z</dcterms:created>
  <dc:creator>Administrator</dc:creator>
  <cp:lastModifiedBy>uos</cp:lastModifiedBy>
  <dcterms:modified xsi:type="dcterms:W3CDTF">2023-11-09T21:23:59Z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5209123227E84C1093905BE04B6D4E23</vt:lpwstr>
  </property>
</Properties>
</file>