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beforeAutospacing="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重庆科学城石板小学校</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2022年度部门决算公开说明</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880" w:firstLineChars="200"/>
        <w:jc w:val="both"/>
        <w:textAlignment w:val="auto"/>
        <w:rPr>
          <w:rFonts w:hint="default"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一、部门基本情况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（一）职能职责</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校现行的职能职责：实施普通小学义务教育，促进学生全面发展。开展教育教学工作；开展学校德育工作；开展学校体育、卫生、艺术工作；负责学校行政管理工作；开展对外交流工作；维护校园安全，提供后勤保障服务及按政策规定开展学前教育。</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（二）机构设置</w:t>
      </w:r>
      <w:r>
        <w:rPr>
          <w:rFonts w:hint="default" w:ascii="Times New Roman" w:hAnsi="Times New Roman" w:eastAsia="方正仿宋_GBK" w:cs="Times New Roman"/>
          <w:kern w:val="0"/>
          <w:sz w:val="32"/>
          <w:szCs w:val="32"/>
        </w:rPr>
        <w:t>。</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我校为独立核算的全额财政拨款事业单位。本部门下设机构教导处，教科室、德育处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少队部、后勤处、办公室、幼儿园，无二级单位。</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楷体_GBK" w:cs="Times New Roman"/>
          <w:kern w:val="0"/>
          <w:sz w:val="32"/>
          <w:szCs w:val="32"/>
        </w:rPr>
        <w:t>（三）单位构成</w:t>
      </w:r>
      <w:r>
        <w:rPr>
          <w:rFonts w:hint="default" w:ascii="Times New Roman" w:hAnsi="Times New Roman" w:eastAsia="方正仿宋_GBK" w:cs="Times New Roman"/>
          <w:kern w:val="0"/>
          <w:sz w:val="32"/>
          <w:szCs w:val="32"/>
        </w:rPr>
        <w:t>。</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从预算单位构成看，无纳入本部门2022年度决算编制的二级预算单位。</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二、部门决算情况说明</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2"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1.总体情况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2022年度收入总计1,734.12万元，支出总计1,734.12万元。收支较上年决算数减少382.11万元,下降18.1%，主要原因是校聘教师人数减少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项目经费投入力度比上年度减少。 </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2"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2.收入情况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2022年度收入合计1,734.12万元，较上年决算数减少382.11万元，下降18.1%，主要原因是校聘教师人数减少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 xml:space="preserve">项目经费投入力度比上年度减少。其中：财政拨款收入1,721.11万元，占99.2%；事业收入13.01万元，占0.8%。 </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2"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3.支出情况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2022年度支出合计1,734.12万元，较上年决算减少382.11万元，下降18.1%，主要原因是校聘教师人数减少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 xml:space="preserve">项目经费投入力度比上年度减少。其中：基本支出1,673.84万元，占96.5%；项目支出60.28万元，占3.5%。 </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2"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4.结转结余情况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2022年度年末结转和结余无结余情况。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（二）财政拨款收入支出决算总体情况说明</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2022年度财政拨款收、支总计1,721.11万元。与2021年相比，财政拨款收、支总计各减少386.58万元，下降18.3%。主要原因是校聘教师人数减少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项目经费投入力度比上年度减少。</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（三）一般公共预算财政拨款收入支出决算情况说明</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2"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1.收入情况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2022年度一般公共预算财政拨款收入1,719.11万元，较上年决算数减少386.08万元，下降18.3%。主要原因是校聘教师人数减少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项目经费投入力度比上年度减少。较年初预算数减少82.52万元，下降4.6%，主要原因是校聘教师人数减少。</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2"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2.支出情况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2022年度一般公共预算财政拨款支出1,719.11万元，较上年决算数减少386.08万元，下降18.3%。主要原因是校聘教师人数减少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项目经费投入力度比上年度减少；较年初预算数减少82.52万元，下降4.6%。主要原因是校聘教师人数减少。</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2"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3.结转结余情况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我校2022年度年末无一般公共预算财政拨款结转和结余。</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2"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4.比较情况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本部门2022年度一般公共预算财政拨款支出主要用于以下几个方面：</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（1）教育支出1,429.22万元，占83.1%，较年初预算数减少91.77，下降6%，主要原因是校聘教师人数减少。人员经费用途主要包括工资、津贴、绩效工资、超额绩效、五险一金、校聘人员工资福利支出等。</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（2）社会保障与就业支出175.46万元，占10.2%，较年初预算数增加5.62万元，增长3.3%，主要原因是工资调标。</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（3）卫生健康支出55.18万元，占3.2%，较年初预算数减少1.75万元，下降3.1%，主要原因是主要原因是有人员调出。</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（4）住房保障支出59.25万元，占3.4%，较年初预算数增加5.38万元，增长10%，主要原因是人员工资待遇调增。</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（四）一般公共预算财政拨款基本支出决算情况说明</w:t>
      </w:r>
    </w:p>
    <w:p>
      <w:pPr>
        <w:pStyle w:val="6"/>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2022年度一般公共财政拨款基本支出1,660.83万元。其中：人员经费1,345.14万元，较上年决算数减少468.69万元，下降25.8%，主要原因是校聘教师人数减少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项目经费投入力度比上年度减少，人员经费用途主要包括人员经费用途主要包括工资、津贴、绩效工资、超额绩效、五险一金、校聘人员工资福利支出等。公用经费315.69万元，较上年决算数增加94.23万元，增长42.5%，主要原因是校聘教师工资福利待遇支出及学生人数的增加。公用经费用途主要包括公用经费用途主要包括办公费、印刷费、咨询费、水电费、邮电费、福利费、培训费、差旅费、工会经费、教职工培训费、设备购置费、维修费、劳务费及其他资本性支出等。</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（五）政府性基金预算收支决算情况说明</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政府性基金预算财政拨款年初结转结余0.00万元，年末结转结余0.00万元。本年收入2.00万元，较上年决算数减少0.50万元，下降20%，主要原因是本年度政府性基金预算财政拨款用于少年宫活动费。本年度少年宫活动补助款项为2.00万元，上年度少年宫活动补助款项为2.50万元，用于少年宫活动的开展。本年支出2.00万元，较上年决算数减少0.50万元，下降20%，主要原因是政府性基金预算财政拨款减少（本年度少年宫活动补助款项为2.00万元，上年度少年宫活动补助款项为2.50万元），主要用于少年宫活动的开展。</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（六）国有资本经营预算财政拨款支出决算情况说明</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本部门2022年度无国有资本经营预算财政拨款支出。</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三、“三公”经费情况说明</w:t>
      </w:r>
    </w:p>
    <w:p>
      <w:pPr>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（一）“三公”经费支出情况</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本部门2022年度无三公经费支出</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（二）“三公”经费实物量情况</w:t>
      </w:r>
    </w:p>
    <w:p>
      <w:pPr>
        <w:pStyle w:val="6"/>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本部门2022年度无“三公”实物量情况。</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四、其他需要说明的事项</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（一）一般公共预算财政拨款会议费和培训费情况说明</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本年度会议费支出0.00万元，较上年决算数增加0.00万元。本年度培训费支出3.03万元，较上年决算数减少6.02万元，下降66.5%，主要原因是受疫情的影响，培训减少，</w:t>
      </w:r>
      <w:r>
        <w:rPr>
          <w:rFonts w:hint="eastAsia" w:ascii="Times New Roman" w:hAnsi="Times New Roman" w:eastAsia="方正仿宋_GBK" w:cs="Times New Roman"/>
          <w:sz w:val="32"/>
          <w:szCs w:val="32"/>
          <w:lang w:eastAsia="zh-CN"/>
        </w:rPr>
        <w:t>以</w:t>
      </w:r>
      <w:bookmarkStart w:id="0" w:name="_GoBack"/>
      <w:bookmarkEnd w:id="0"/>
      <w:r>
        <w:rPr>
          <w:rFonts w:hint="default" w:ascii="Times New Roman" w:hAnsi="Times New Roman" w:eastAsia="方正仿宋_GBK" w:cs="Times New Roman"/>
          <w:sz w:val="32"/>
          <w:szCs w:val="32"/>
        </w:rPr>
        <w:t>线上培训为主。</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（二）机关运行经费情况说明</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按照部门决算列报口径，我单位不在机关运行经费统计范围之内。</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（三）国有资产占用情况说明</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截至2022年12月31日，本单位共有车辆0辆。单价50万元（含）以上通用设备0台（套），单价100万元（含）以上专用设备0台（套）。</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（四）政府采购支出情况说明</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2022年度我单位未发生政府采购事项，无相关经费支出。</w:t>
      </w:r>
    </w:p>
    <w:p>
      <w:pPr>
        <w:keepNext w:val="0"/>
        <w:keepLines w:val="0"/>
        <w:pageBreakBefore w:val="0"/>
        <w:widowControl/>
        <w:kinsoku/>
        <w:wordWrap/>
        <w:overflowPunct/>
        <w:topLinePunct w:val="0"/>
        <w:autoSpaceDE/>
        <w:autoSpaceDN/>
        <w:bidi w:val="0"/>
        <w:adjustRightInd/>
        <w:spacing w:beforeAutospacing="0" w:afterAutospacing="0"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五、预算绩效管理情况说明</w:t>
      </w:r>
    </w:p>
    <w:p>
      <w:pPr>
        <w:autoSpaceDE w:val="0"/>
        <w:spacing w:line="600" w:lineRule="exact"/>
        <w:ind w:firstLine="640" w:firstLineChars="200"/>
        <w:jc w:val="both"/>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（一）预算绩效管理工作开展情况</w:t>
      </w:r>
    </w:p>
    <w:p>
      <w:pPr>
        <w:pStyle w:val="14"/>
        <w:autoSpaceDE w:val="0"/>
        <w:spacing w:beforeAutospacing="0" w:afterAutospacing="0" w:line="600" w:lineRule="exact"/>
        <w:ind w:firstLine="640" w:firstLineChars="200"/>
        <w:jc w:val="both"/>
        <w:rPr>
          <w:rFonts w:hint="default" w:ascii="Times New Roman" w:hAnsi="Times New Roman" w:eastAsia="方正仿宋_GBK" w:cs="Times New Roman"/>
          <w:b w:val="0"/>
          <w:bCs/>
          <w:sz w:val="32"/>
          <w:szCs w:val="32"/>
          <w:shd w:val="clear" w:color="auto" w:fill="FFFFFF"/>
        </w:rPr>
      </w:pPr>
      <w:r>
        <w:rPr>
          <w:rFonts w:hint="default" w:ascii="Times New Roman" w:hAnsi="Times New Roman" w:eastAsia="方正仿宋_GBK" w:cs="Times New Roman"/>
          <w:b w:val="0"/>
          <w:bCs/>
          <w:sz w:val="32"/>
          <w:szCs w:val="32"/>
          <w:shd w:val="clear" w:color="auto" w:fill="FFFFFF"/>
        </w:rPr>
        <w:t>根据预算绩效管理要求，我</w:t>
      </w:r>
      <w:r>
        <w:rPr>
          <w:rFonts w:hint="default" w:ascii="Times New Roman" w:hAnsi="Times New Roman" w:eastAsia="方正仿宋_GBK" w:cs="Times New Roman"/>
          <w:b w:val="0"/>
          <w:bCs/>
          <w:sz w:val="32"/>
          <w:szCs w:val="32"/>
          <w:shd w:val="clear" w:color="auto" w:fill="FFFFFF"/>
          <w:lang w:eastAsia="zh-CN"/>
        </w:rPr>
        <w:t>单位</w:t>
      </w:r>
      <w:r>
        <w:rPr>
          <w:rFonts w:hint="default" w:ascii="Times New Roman" w:hAnsi="Times New Roman" w:eastAsia="方正仿宋_GBK" w:cs="Times New Roman"/>
          <w:b w:val="0"/>
          <w:bCs/>
          <w:sz w:val="32"/>
          <w:szCs w:val="32"/>
          <w:shd w:val="clear" w:color="auto" w:fill="FFFFFF"/>
        </w:rPr>
        <w:t>对部门整体和</w:t>
      </w:r>
      <w:r>
        <w:rPr>
          <w:rFonts w:hint="default" w:ascii="Times New Roman" w:hAnsi="Times New Roman" w:eastAsia="方正仿宋_GBK" w:cs="Times New Roman"/>
          <w:b w:val="0"/>
          <w:bCs/>
          <w:sz w:val="32"/>
          <w:szCs w:val="32"/>
          <w:shd w:val="clear" w:color="auto" w:fill="FFFFFF"/>
          <w:lang w:eastAsia="zh-CN"/>
        </w:rPr>
        <w:t>二级</w:t>
      </w:r>
      <w:r>
        <w:rPr>
          <w:rFonts w:hint="default" w:ascii="Times New Roman" w:hAnsi="Times New Roman" w:eastAsia="方正仿宋_GBK" w:cs="Times New Roman"/>
          <w:b w:val="0"/>
          <w:bCs/>
          <w:sz w:val="32"/>
          <w:szCs w:val="32"/>
          <w:shd w:val="clear" w:color="auto" w:fill="FFFFFF"/>
        </w:rPr>
        <w:t>项目开展了绩效自评，</w:t>
      </w:r>
      <w:r>
        <w:rPr>
          <w:rFonts w:hint="default" w:ascii="Times New Roman" w:hAnsi="Times New Roman" w:eastAsia="方正仿宋_GBK" w:cs="Times New Roman"/>
          <w:b w:val="0"/>
          <w:bCs/>
          <w:sz w:val="32"/>
          <w:szCs w:val="32"/>
          <w:shd w:val="clear" w:color="auto" w:fill="FFFFFF"/>
          <w:lang w:eastAsia="zh-CN"/>
        </w:rPr>
        <w:t>均</w:t>
      </w:r>
      <w:r>
        <w:rPr>
          <w:rFonts w:hint="default" w:ascii="Times New Roman" w:hAnsi="Times New Roman" w:eastAsia="方正仿宋_GBK" w:cs="Times New Roman"/>
          <w:b w:val="0"/>
          <w:bCs/>
          <w:sz w:val="32"/>
          <w:szCs w:val="32"/>
          <w:shd w:val="clear" w:color="auto" w:fill="FFFFFF"/>
        </w:rPr>
        <w:t>以填报自评表形式开展自评，涉及</w:t>
      </w:r>
      <w:r>
        <w:rPr>
          <w:rFonts w:hint="eastAsia" w:ascii="Times New Roman" w:hAnsi="Times New Roman" w:eastAsia="方正仿宋_GBK" w:cs="Times New Roman"/>
          <w:b w:val="0"/>
          <w:bCs/>
          <w:sz w:val="32"/>
          <w:szCs w:val="32"/>
          <w:shd w:val="clear" w:color="auto" w:fill="FFFFFF"/>
          <w:lang w:eastAsia="zh-CN"/>
        </w:rPr>
        <w:t>项目</w:t>
      </w:r>
      <w:r>
        <w:rPr>
          <w:rFonts w:hint="default" w:ascii="Times New Roman" w:hAnsi="Times New Roman" w:eastAsia="方正仿宋_GBK" w:cs="Times New Roman"/>
          <w:b w:val="0"/>
          <w:bCs/>
          <w:sz w:val="32"/>
          <w:szCs w:val="32"/>
          <w:shd w:val="clear" w:color="auto" w:fill="FFFFFF"/>
        </w:rPr>
        <w:t>资金</w:t>
      </w:r>
      <w:r>
        <w:rPr>
          <w:rFonts w:hint="default" w:ascii="Times New Roman" w:hAnsi="Times New Roman" w:eastAsia="方正仿宋_GBK" w:cs="Times New Roman"/>
          <w:b w:val="0"/>
          <w:bCs/>
          <w:sz w:val="32"/>
          <w:szCs w:val="32"/>
          <w:shd w:val="clear" w:color="auto" w:fill="FFFFFF"/>
        </w:rPr>
        <w:t>60.28</w:t>
      </w:r>
      <w:r>
        <w:rPr>
          <w:rFonts w:hint="default" w:ascii="Times New Roman" w:hAnsi="Times New Roman" w:eastAsia="方正仿宋_GBK" w:cs="Times New Roman"/>
          <w:b w:val="0"/>
          <w:bCs/>
          <w:sz w:val="32"/>
          <w:szCs w:val="32"/>
          <w:shd w:val="clear" w:color="auto" w:fill="FFFFFF"/>
        </w:rPr>
        <w:t>万元。</w:t>
      </w:r>
    </w:p>
    <w:p>
      <w:pPr>
        <w:pStyle w:val="14"/>
        <w:autoSpaceDE w:val="0"/>
        <w:spacing w:beforeAutospacing="0" w:afterAutospacing="0" w:line="600" w:lineRule="exact"/>
        <w:ind w:firstLine="640" w:firstLineChars="200"/>
        <w:jc w:val="both"/>
        <w:rPr>
          <w:rFonts w:hint="default" w:ascii="Times New Roman" w:hAnsi="Times New Roman" w:eastAsia="方正仿宋_GBK" w:cs="Times New Roman"/>
          <w:kern w:val="0"/>
          <w:sz w:val="32"/>
          <w:szCs w:val="32"/>
        </w:rPr>
      </w:pPr>
      <w:r>
        <w:rPr>
          <w:rStyle w:val="15"/>
          <w:rFonts w:hint="default" w:ascii="Times New Roman" w:hAnsi="Times New Roman" w:eastAsia="方正楷体_GBK" w:cs="Times New Roman"/>
          <w:b w:val="0"/>
          <w:bCs/>
          <w:sz w:val="32"/>
          <w:szCs w:val="32"/>
          <w:shd w:val="clear" w:color="auto" w:fill="FFFFFF"/>
        </w:rPr>
        <w:t>（二）绩效自评结果</w:t>
      </w: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470"/>
        <w:gridCol w:w="698"/>
        <w:gridCol w:w="337"/>
        <w:gridCol w:w="96"/>
        <w:gridCol w:w="620"/>
        <w:gridCol w:w="139"/>
        <w:gridCol w:w="643"/>
        <w:gridCol w:w="557"/>
        <w:gridCol w:w="285"/>
        <w:gridCol w:w="359"/>
        <w:gridCol w:w="1498"/>
        <w:gridCol w:w="1096"/>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61" w:type="dxa"/>
            <w:gridSpan w:val="14"/>
            <w:noWrap w:val="0"/>
            <w:vAlign w:val="top"/>
          </w:tcPr>
          <w:p>
            <w:pPr>
              <w:jc w:val="center"/>
              <w:textAlignment w:val="center"/>
              <w:rPr>
                <w:rFonts w:hint="default" w:ascii="Times New Roman" w:hAnsi="Times New Roman" w:eastAsia="方正小标宋_GBK" w:cs="Times New Roman"/>
                <w:color w:val="000000"/>
                <w:kern w:val="2"/>
                <w:sz w:val="36"/>
                <w:szCs w:val="36"/>
              </w:rPr>
            </w:pPr>
            <w:r>
              <w:rPr>
                <w:rFonts w:hint="default" w:ascii="Times New Roman" w:hAnsi="Times New Roman" w:eastAsia="方正小标宋_GBK" w:cs="Times New Roman"/>
                <w:color w:val="000000"/>
                <w:sz w:val="36"/>
                <w:szCs w:val="36"/>
                <w:lang w:bidi="ar"/>
              </w:rPr>
              <w:t>重庆科学城石板小学校2022年度部门整体绩效自评表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6" w:type="dxa"/>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主管部门</w:t>
            </w:r>
          </w:p>
        </w:tc>
        <w:tc>
          <w:tcPr>
            <w:tcW w:w="147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rPr>
              <w:t>高新区公共服务局</w:t>
            </w:r>
          </w:p>
        </w:tc>
        <w:tc>
          <w:tcPr>
            <w:tcW w:w="1035" w:type="dxa"/>
            <w:gridSpan w:val="2"/>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部门</w:t>
            </w:r>
            <w:r>
              <w:rPr>
                <w:rFonts w:hint="default" w:ascii="Times New Roman" w:hAnsi="Times New Roman" w:eastAsia="方正仿宋_GBK" w:cs="Times New Roman"/>
                <w:color w:val="000000"/>
                <w:sz w:val="18"/>
                <w:szCs w:val="18"/>
                <w:lang w:bidi="ar"/>
              </w:rPr>
              <w:br w:type="textWrapping"/>
            </w:r>
            <w:r>
              <w:rPr>
                <w:rFonts w:hint="default" w:ascii="Times New Roman" w:hAnsi="Times New Roman" w:eastAsia="方正仿宋_GBK" w:cs="Times New Roman"/>
                <w:color w:val="000000"/>
                <w:sz w:val="18"/>
                <w:szCs w:val="18"/>
                <w:lang w:bidi="ar"/>
              </w:rPr>
              <w:t>联系人</w:t>
            </w:r>
          </w:p>
        </w:tc>
        <w:tc>
          <w:tcPr>
            <w:tcW w:w="855" w:type="dxa"/>
            <w:gridSpan w:val="3"/>
            <w:noWrap/>
            <w:vAlign w:val="center"/>
          </w:tcPr>
          <w:p>
            <w:pPr>
              <w:widowControl w:val="0"/>
              <w:jc w:val="center"/>
              <w:rPr>
                <w:rFonts w:hint="default" w:ascii="Times New Roman" w:hAnsi="Times New Roman" w:eastAsia="宋体" w:cs="Times New Roman"/>
                <w:color w:val="000000"/>
                <w:kern w:val="2"/>
                <w:sz w:val="20"/>
                <w:szCs w:val="20"/>
                <w:lang w:eastAsia="zh-CN"/>
              </w:rPr>
            </w:pPr>
            <w:r>
              <w:rPr>
                <w:rFonts w:hint="default" w:ascii="Times New Roman" w:hAnsi="Times New Roman" w:cs="Times New Roman"/>
                <w:color w:val="000000"/>
                <w:kern w:val="2"/>
                <w:sz w:val="20"/>
                <w:szCs w:val="20"/>
                <w:lang w:eastAsia="zh-CN"/>
              </w:rPr>
              <w:t>游茂华</w:t>
            </w:r>
          </w:p>
        </w:tc>
        <w:tc>
          <w:tcPr>
            <w:tcW w:w="1200" w:type="dxa"/>
            <w:gridSpan w:val="2"/>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联系电话</w:t>
            </w:r>
          </w:p>
        </w:tc>
        <w:tc>
          <w:tcPr>
            <w:tcW w:w="2142" w:type="dxa"/>
            <w:gridSpan w:val="3"/>
            <w:noWrap/>
            <w:vAlign w:val="center"/>
          </w:tcPr>
          <w:p>
            <w:pPr>
              <w:jc w:val="center"/>
              <w:rPr>
                <w:rFonts w:hint="default" w:ascii="Times New Roman" w:hAnsi="Times New Roman" w:cs="Times New Roman"/>
              </w:rPr>
            </w:pPr>
            <w:r>
              <w:rPr>
                <w:rFonts w:hint="default" w:ascii="Times New Roman" w:hAnsi="Times New Roman" w:cs="Times New Roman"/>
              </w:rPr>
              <w:t>023—81392007</w:t>
            </w:r>
          </w:p>
        </w:tc>
        <w:tc>
          <w:tcPr>
            <w:tcW w:w="1096" w:type="dxa"/>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自评总分</w:t>
            </w:r>
            <w:r>
              <w:rPr>
                <w:rFonts w:hint="default" w:ascii="Times New Roman" w:hAnsi="Times New Roman" w:eastAsia="方正仿宋_GBK" w:cs="Times New Roman"/>
                <w:color w:val="000000"/>
                <w:sz w:val="18"/>
                <w:szCs w:val="18"/>
                <w:lang w:bidi="ar"/>
              </w:rPr>
              <w:br w:type="textWrapping"/>
            </w:r>
            <w:r>
              <w:rPr>
                <w:rFonts w:hint="default" w:ascii="Times New Roman" w:hAnsi="Times New Roman" w:eastAsia="方正仿宋_GBK" w:cs="Times New Roman"/>
                <w:color w:val="000000"/>
                <w:sz w:val="18"/>
                <w:szCs w:val="18"/>
                <w:lang w:bidi="ar"/>
              </w:rPr>
              <w:t>（分）</w:t>
            </w:r>
          </w:p>
        </w:tc>
        <w:tc>
          <w:tcPr>
            <w:tcW w:w="557" w:type="dxa"/>
            <w:noWrap/>
            <w:vAlign w:val="center"/>
          </w:tcPr>
          <w:p>
            <w:pPr>
              <w:widowControl w:val="0"/>
              <w:jc w:val="center"/>
              <w:rPr>
                <w:rFonts w:hint="default" w:ascii="Times New Roman" w:hAnsi="Times New Roman" w:cs="Times New Roman"/>
                <w:color w:val="000000"/>
                <w:kern w:val="2"/>
                <w:sz w:val="20"/>
                <w:szCs w:val="20"/>
              </w:rPr>
            </w:pPr>
            <w:r>
              <w:rPr>
                <w:rFonts w:hint="default" w:ascii="Times New Roman" w:hAnsi="Times New Roman" w:cs="Times New Roman"/>
                <w:color w:val="000000"/>
                <w:kern w:val="2"/>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6" w:type="dxa"/>
            <w:vMerge w:val="restart"/>
            <w:noWrap w:val="0"/>
            <w:vAlign w:val="top"/>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当年绩效</w:t>
            </w:r>
            <w:r>
              <w:rPr>
                <w:rFonts w:hint="default" w:ascii="Times New Roman" w:hAnsi="Times New Roman" w:eastAsia="方正仿宋_GBK" w:cs="Times New Roman"/>
                <w:color w:val="000000"/>
                <w:sz w:val="18"/>
                <w:szCs w:val="18"/>
                <w:lang w:bidi="ar"/>
              </w:rPr>
              <w:br w:type="textWrapping"/>
            </w:r>
            <w:r>
              <w:rPr>
                <w:rFonts w:hint="default" w:ascii="Times New Roman" w:hAnsi="Times New Roman" w:eastAsia="方正仿宋_GBK" w:cs="Times New Roman"/>
                <w:color w:val="000000"/>
                <w:sz w:val="18"/>
                <w:szCs w:val="18"/>
                <w:lang w:bidi="ar"/>
              </w:rPr>
              <w:t>目标</w:t>
            </w:r>
          </w:p>
        </w:tc>
        <w:tc>
          <w:tcPr>
            <w:tcW w:w="3221" w:type="dxa"/>
            <w:gridSpan w:val="5"/>
            <w:noWrap w:val="0"/>
            <w:vAlign w:val="top"/>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年初绩效目标</w:t>
            </w:r>
          </w:p>
        </w:tc>
        <w:tc>
          <w:tcPr>
            <w:tcW w:w="1624" w:type="dxa"/>
            <w:gridSpan w:val="4"/>
            <w:noWrap w:val="0"/>
            <w:vAlign w:val="top"/>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全年（调整）绩效目标</w:t>
            </w:r>
          </w:p>
        </w:tc>
        <w:tc>
          <w:tcPr>
            <w:tcW w:w="3510" w:type="dxa"/>
            <w:gridSpan w:val="4"/>
            <w:noWrap w:val="0"/>
            <w:vAlign w:val="top"/>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0" w:hRule="atLeast"/>
        </w:trPr>
        <w:tc>
          <w:tcPr>
            <w:tcW w:w="706" w:type="dxa"/>
            <w:vMerge w:val="continue"/>
            <w:noWrap w:val="0"/>
            <w:vAlign w:val="top"/>
          </w:tcPr>
          <w:p>
            <w:pPr>
              <w:rPr>
                <w:rFonts w:hint="default" w:ascii="Times New Roman" w:hAnsi="Times New Roman" w:eastAsia="方正仿宋_GBK" w:cs="Times New Roman"/>
                <w:color w:val="000000"/>
                <w:kern w:val="2"/>
                <w:sz w:val="18"/>
                <w:szCs w:val="18"/>
              </w:rPr>
            </w:pPr>
          </w:p>
        </w:tc>
        <w:tc>
          <w:tcPr>
            <w:tcW w:w="3221" w:type="dxa"/>
            <w:gridSpan w:val="5"/>
            <w:noWrap w:val="0"/>
            <w:vAlign w:val="top"/>
          </w:tcPr>
          <w:p>
            <w:pPr>
              <w:spacing w:line="300" w:lineRule="exac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全面贯彻落实党和国家教育方针政策，坚持五育并举，落实立德树人根本任务，办人民满意教育。</w:t>
            </w:r>
          </w:p>
          <w:p>
            <w:pPr>
              <w:spacing w:line="300" w:lineRule="exact"/>
              <w:jc w:val="lef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1、开展学校各项教育活动，开齐上足国家规定课程，保质保量完成各项教育工作，促进学生德智体美劳全面发展。</w:t>
            </w:r>
          </w:p>
          <w:p>
            <w:pPr>
              <w:spacing w:line="300" w:lineRule="exact"/>
              <w:jc w:val="lef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2、加强教师队伍建设和学习培训，深化教学教研，助力教师专业成长，提升教师教育教学水平。</w:t>
            </w:r>
          </w:p>
          <w:p>
            <w:pPr>
              <w:spacing w:line="300" w:lineRule="exact"/>
              <w:jc w:val="lef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3、加强校园安全教育管理，维护校园安全，保证学校安全平稳运行，杜绝安全事故。</w:t>
            </w:r>
          </w:p>
          <w:p>
            <w:pPr>
              <w:spacing w:line="300" w:lineRule="exact"/>
              <w:jc w:val="lef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4、预算、决算信息及时公开</w:t>
            </w:r>
          </w:p>
          <w:p>
            <w:pPr>
              <w:widowControl w:val="0"/>
              <w:jc w:val="left"/>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rPr>
              <w:t>5、建立健全管理制度，合理合规使用经费，保障国有资产安全。</w:t>
            </w:r>
          </w:p>
        </w:tc>
        <w:tc>
          <w:tcPr>
            <w:tcW w:w="1624" w:type="dxa"/>
            <w:gridSpan w:val="4"/>
            <w:noWrap w:val="0"/>
            <w:vAlign w:val="top"/>
          </w:tcPr>
          <w:p>
            <w:pPr>
              <w:widowControl w:val="0"/>
              <w:jc w:val="center"/>
              <w:rPr>
                <w:rFonts w:hint="default" w:ascii="Times New Roman" w:hAnsi="Times New Roman" w:eastAsia="方正仿宋_GBK" w:cs="Times New Roman"/>
                <w:color w:val="000000"/>
                <w:kern w:val="2"/>
                <w:sz w:val="18"/>
                <w:szCs w:val="18"/>
              </w:rPr>
            </w:pPr>
          </w:p>
        </w:tc>
        <w:tc>
          <w:tcPr>
            <w:tcW w:w="3510" w:type="dxa"/>
            <w:gridSpan w:val="4"/>
            <w:noWrap w:val="0"/>
            <w:vAlign w:val="top"/>
          </w:tcPr>
          <w:p>
            <w:pPr>
              <w:spacing w:line="300" w:lineRule="exac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面贯彻落实党和国家教育方针政策，坚持五育并举，落实立德树人根本任务，办人民满意教育。</w:t>
            </w:r>
          </w:p>
          <w:p>
            <w:pPr>
              <w:spacing w:line="300" w:lineRule="exac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1、开展学校各项教育活动，开齐上足国家规定课程，保质保量完成各项教育工作，促进学生德智体美劳全面发展。</w:t>
            </w:r>
          </w:p>
          <w:p>
            <w:pPr>
              <w:spacing w:line="300" w:lineRule="exac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2、加强教师队伍建设和学习培训，深化教学教研，助力教师专业成长，提升教师教育教学水平。</w:t>
            </w:r>
          </w:p>
          <w:p>
            <w:pPr>
              <w:spacing w:line="300" w:lineRule="exac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3、加强校园安全教育管理，维护校园安全，保证学校安全平稳运行，杜绝安全事故。</w:t>
            </w:r>
          </w:p>
          <w:p>
            <w:pPr>
              <w:spacing w:line="300" w:lineRule="exac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4、预算、决算信息及时公开</w:t>
            </w:r>
          </w:p>
          <w:p>
            <w:pPr>
              <w:widowControl w:val="0"/>
              <w:jc w:val="left"/>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rPr>
              <w:t>5、建立健全管理制度，合理合规使用经费，保障国有资产安全。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06" w:type="dxa"/>
            <w:vMerge w:val="restart"/>
            <w:noWrap w:val="0"/>
            <w:textDirection w:val="tbRlV"/>
            <w:vAlign w:val="top"/>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绩效指标</w:t>
            </w:r>
          </w:p>
        </w:tc>
        <w:tc>
          <w:tcPr>
            <w:tcW w:w="1470" w:type="dxa"/>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指标名称</w:t>
            </w:r>
          </w:p>
        </w:tc>
        <w:tc>
          <w:tcPr>
            <w:tcW w:w="698" w:type="dxa"/>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计量</w:t>
            </w:r>
            <w:r>
              <w:rPr>
                <w:rFonts w:hint="default" w:ascii="Times New Roman" w:hAnsi="Times New Roman" w:eastAsia="方正仿宋_GBK" w:cs="Times New Roman"/>
                <w:color w:val="000000"/>
                <w:sz w:val="18"/>
                <w:szCs w:val="18"/>
                <w:lang w:bidi="ar"/>
              </w:rPr>
              <w:br w:type="textWrapping"/>
            </w:r>
            <w:r>
              <w:rPr>
                <w:rFonts w:hint="default" w:ascii="Times New Roman" w:hAnsi="Times New Roman" w:eastAsia="方正仿宋_GBK" w:cs="Times New Roman"/>
                <w:color w:val="000000"/>
                <w:sz w:val="18"/>
                <w:szCs w:val="18"/>
                <w:lang w:bidi="ar"/>
              </w:rPr>
              <w:t>单位</w:t>
            </w:r>
          </w:p>
        </w:tc>
        <w:tc>
          <w:tcPr>
            <w:tcW w:w="433" w:type="dxa"/>
            <w:gridSpan w:val="2"/>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指标</w:t>
            </w:r>
            <w:r>
              <w:rPr>
                <w:rFonts w:hint="default" w:ascii="Times New Roman" w:hAnsi="Times New Roman" w:eastAsia="方正仿宋_GBK" w:cs="Times New Roman"/>
                <w:color w:val="000000"/>
                <w:sz w:val="18"/>
                <w:szCs w:val="18"/>
                <w:lang w:bidi="ar"/>
              </w:rPr>
              <w:br w:type="textWrapping"/>
            </w:r>
            <w:r>
              <w:rPr>
                <w:rFonts w:hint="default" w:ascii="Times New Roman" w:hAnsi="Times New Roman" w:eastAsia="方正仿宋_GBK" w:cs="Times New Roman"/>
                <w:color w:val="000000"/>
                <w:sz w:val="18"/>
                <w:szCs w:val="18"/>
                <w:lang w:bidi="ar"/>
              </w:rPr>
              <w:t>性质</w:t>
            </w:r>
          </w:p>
        </w:tc>
        <w:tc>
          <w:tcPr>
            <w:tcW w:w="620" w:type="dxa"/>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指标值</w:t>
            </w:r>
          </w:p>
        </w:tc>
        <w:tc>
          <w:tcPr>
            <w:tcW w:w="782" w:type="dxa"/>
            <w:gridSpan w:val="2"/>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指标权重</w:t>
            </w:r>
            <w:r>
              <w:rPr>
                <w:rFonts w:hint="default" w:ascii="Times New Roman" w:hAnsi="Times New Roman" w:eastAsia="方正仿宋_GBK" w:cs="Times New Roman"/>
                <w:color w:val="000000"/>
                <w:sz w:val="18"/>
                <w:szCs w:val="18"/>
                <w:lang w:bidi="ar"/>
              </w:rPr>
              <w:br w:type="textWrapping"/>
            </w:r>
            <w:r>
              <w:rPr>
                <w:rFonts w:hint="default" w:ascii="Times New Roman" w:hAnsi="Times New Roman" w:eastAsia="方正仿宋_GBK" w:cs="Times New Roman"/>
                <w:color w:val="000000"/>
                <w:sz w:val="18"/>
                <w:szCs w:val="18"/>
                <w:lang w:bidi="ar"/>
              </w:rPr>
              <w:t>（分）</w:t>
            </w:r>
          </w:p>
        </w:tc>
        <w:tc>
          <w:tcPr>
            <w:tcW w:w="1201" w:type="dxa"/>
            <w:gridSpan w:val="3"/>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全年</w:t>
            </w:r>
            <w:r>
              <w:rPr>
                <w:rFonts w:hint="default" w:ascii="Times New Roman" w:hAnsi="Times New Roman" w:eastAsia="方正仿宋_GBK" w:cs="Times New Roman"/>
                <w:color w:val="000000"/>
                <w:sz w:val="18"/>
                <w:szCs w:val="18"/>
                <w:lang w:bidi="ar"/>
              </w:rPr>
              <w:br w:type="textWrapping"/>
            </w:r>
            <w:r>
              <w:rPr>
                <w:rFonts w:hint="default" w:ascii="Times New Roman" w:hAnsi="Times New Roman" w:eastAsia="方正仿宋_GBK" w:cs="Times New Roman"/>
                <w:color w:val="000000"/>
                <w:sz w:val="18"/>
                <w:szCs w:val="18"/>
                <w:lang w:bidi="ar"/>
              </w:rPr>
              <w:t>完成值</w:t>
            </w:r>
          </w:p>
        </w:tc>
        <w:tc>
          <w:tcPr>
            <w:tcW w:w="1498" w:type="dxa"/>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指标得分</w:t>
            </w:r>
            <w:r>
              <w:rPr>
                <w:rFonts w:hint="default" w:ascii="Times New Roman" w:hAnsi="Times New Roman" w:eastAsia="方正仿宋_GBK" w:cs="Times New Roman"/>
                <w:color w:val="000000"/>
                <w:sz w:val="18"/>
                <w:szCs w:val="18"/>
                <w:lang w:bidi="ar"/>
              </w:rPr>
              <w:br w:type="textWrapping"/>
            </w:r>
            <w:r>
              <w:rPr>
                <w:rFonts w:hint="default" w:ascii="Times New Roman" w:hAnsi="Times New Roman" w:eastAsia="方正仿宋_GBK" w:cs="Times New Roman"/>
                <w:color w:val="000000"/>
                <w:sz w:val="18"/>
                <w:szCs w:val="18"/>
                <w:lang w:bidi="ar"/>
              </w:rPr>
              <w:t>（分）</w:t>
            </w:r>
          </w:p>
        </w:tc>
        <w:tc>
          <w:tcPr>
            <w:tcW w:w="1653" w:type="dxa"/>
            <w:gridSpan w:val="2"/>
            <w:noWrap w:val="0"/>
            <w:vAlign w:val="center"/>
          </w:tcPr>
          <w:p>
            <w:pPr>
              <w:jc w:val="center"/>
              <w:textAlignment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sz w:val="18"/>
                <w:szCs w:val="18"/>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06" w:type="dxa"/>
            <w:vMerge w:val="continue"/>
            <w:noWrap w:val="0"/>
            <w:vAlign w:val="top"/>
          </w:tcPr>
          <w:p>
            <w:pPr>
              <w:rPr>
                <w:rFonts w:hint="default" w:ascii="Times New Roman" w:hAnsi="Times New Roman" w:eastAsia="方正仿宋_GBK" w:cs="Times New Roman"/>
                <w:color w:val="000000"/>
                <w:kern w:val="2"/>
                <w:sz w:val="18"/>
                <w:szCs w:val="18"/>
              </w:rPr>
            </w:pPr>
          </w:p>
        </w:tc>
        <w:tc>
          <w:tcPr>
            <w:tcW w:w="147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预算执行率</w:t>
            </w:r>
          </w:p>
        </w:tc>
        <w:tc>
          <w:tcPr>
            <w:tcW w:w="6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w:t>
            </w:r>
          </w:p>
        </w:tc>
        <w:tc>
          <w:tcPr>
            <w:tcW w:w="433"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w:t>
            </w:r>
          </w:p>
        </w:tc>
        <w:tc>
          <w:tcPr>
            <w:tcW w:w="62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95%</w:t>
            </w:r>
          </w:p>
        </w:tc>
        <w:tc>
          <w:tcPr>
            <w:tcW w:w="782"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201" w:type="dxa"/>
            <w:gridSpan w:val="3"/>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100%</w:t>
            </w:r>
          </w:p>
        </w:tc>
        <w:tc>
          <w:tcPr>
            <w:tcW w:w="14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653" w:type="dxa"/>
            <w:gridSpan w:val="2"/>
            <w:noWrap w:val="0"/>
            <w:vAlign w:val="center"/>
          </w:tcPr>
          <w:p>
            <w:pPr>
              <w:widowControl w:val="0"/>
              <w:jc w:val="center"/>
              <w:rPr>
                <w:rFonts w:hint="default" w:ascii="Times New Roman" w:hAnsi="Times New Roman" w:cs="Times New Roman"/>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06" w:type="dxa"/>
            <w:vMerge w:val="continue"/>
            <w:noWrap w:val="0"/>
            <w:vAlign w:val="top"/>
          </w:tcPr>
          <w:p>
            <w:pPr>
              <w:rPr>
                <w:rFonts w:hint="default" w:ascii="Times New Roman" w:hAnsi="Times New Roman" w:eastAsia="方正仿宋_GBK" w:cs="Times New Roman"/>
                <w:color w:val="000000"/>
                <w:kern w:val="2"/>
                <w:sz w:val="18"/>
                <w:szCs w:val="18"/>
              </w:rPr>
            </w:pPr>
          </w:p>
        </w:tc>
        <w:tc>
          <w:tcPr>
            <w:tcW w:w="147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管理制度健全性</w:t>
            </w:r>
          </w:p>
        </w:tc>
        <w:tc>
          <w:tcPr>
            <w:tcW w:w="698" w:type="dxa"/>
            <w:noWrap w:val="0"/>
            <w:vAlign w:val="center"/>
          </w:tcPr>
          <w:p>
            <w:pPr>
              <w:widowControl w:val="0"/>
              <w:jc w:val="center"/>
              <w:rPr>
                <w:rFonts w:hint="default" w:ascii="Times New Roman" w:hAnsi="Times New Roman" w:eastAsia="方正仿宋_GBK" w:cs="Times New Roman"/>
                <w:color w:val="000000"/>
                <w:kern w:val="2"/>
                <w:sz w:val="18"/>
                <w:szCs w:val="18"/>
              </w:rPr>
            </w:pPr>
          </w:p>
        </w:tc>
        <w:tc>
          <w:tcPr>
            <w:tcW w:w="433"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定性</w:t>
            </w:r>
          </w:p>
        </w:tc>
        <w:tc>
          <w:tcPr>
            <w:tcW w:w="62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健全</w:t>
            </w:r>
          </w:p>
        </w:tc>
        <w:tc>
          <w:tcPr>
            <w:tcW w:w="782"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201" w:type="dxa"/>
            <w:gridSpan w:val="3"/>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健全</w:t>
            </w:r>
          </w:p>
        </w:tc>
        <w:tc>
          <w:tcPr>
            <w:tcW w:w="14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653" w:type="dxa"/>
            <w:gridSpan w:val="2"/>
            <w:noWrap w:val="0"/>
            <w:vAlign w:val="center"/>
          </w:tcPr>
          <w:p>
            <w:pPr>
              <w:widowControl w:val="0"/>
              <w:jc w:val="center"/>
              <w:rPr>
                <w:rFonts w:hint="default" w:ascii="Times New Roman" w:hAnsi="Times New Roman" w:cs="Times New Roman"/>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706" w:type="dxa"/>
            <w:vMerge w:val="continue"/>
            <w:noWrap w:val="0"/>
            <w:vAlign w:val="top"/>
          </w:tcPr>
          <w:p>
            <w:pPr>
              <w:rPr>
                <w:rFonts w:hint="default" w:ascii="Times New Roman" w:hAnsi="Times New Roman" w:eastAsia="方正仿宋_GBK" w:cs="Times New Roman"/>
                <w:color w:val="000000"/>
                <w:kern w:val="2"/>
                <w:sz w:val="18"/>
                <w:szCs w:val="18"/>
              </w:rPr>
            </w:pPr>
          </w:p>
        </w:tc>
        <w:tc>
          <w:tcPr>
            <w:tcW w:w="147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资金使用合规率</w:t>
            </w:r>
          </w:p>
        </w:tc>
        <w:tc>
          <w:tcPr>
            <w:tcW w:w="6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w:t>
            </w:r>
          </w:p>
        </w:tc>
        <w:tc>
          <w:tcPr>
            <w:tcW w:w="433"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w:t>
            </w:r>
          </w:p>
        </w:tc>
        <w:tc>
          <w:tcPr>
            <w:tcW w:w="62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100%</w:t>
            </w:r>
          </w:p>
        </w:tc>
        <w:tc>
          <w:tcPr>
            <w:tcW w:w="782"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201" w:type="dxa"/>
            <w:gridSpan w:val="3"/>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100%</w:t>
            </w:r>
          </w:p>
        </w:tc>
        <w:tc>
          <w:tcPr>
            <w:tcW w:w="14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653" w:type="dxa"/>
            <w:gridSpan w:val="2"/>
            <w:noWrap w:val="0"/>
            <w:vAlign w:val="center"/>
          </w:tcPr>
          <w:p>
            <w:pPr>
              <w:widowControl w:val="0"/>
              <w:jc w:val="center"/>
              <w:rPr>
                <w:rFonts w:hint="default" w:ascii="Times New Roman" w:hAnsi="Times New Roman" w:cs="Times New Roman"/>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06" w:type="dxa"/>
            <w:vMerge w:val="continue"/>
            <w:noWrap w:val="0"/>
            <w:vAlign w:val="top"/>
          </w:tcPr>
          <w:p>
            <w:pPr>
              <w:rPr>
                <w:rFonts w:hint="default" w:ascii="Times New Roman" w:hAnsi="Times New Roman" w:eastAsia="方正仿宋_GBK" w:cs="Times New Roman"/>
                <w:color w:val="000000"/>
                <w:kern w:val="2"/>
                <w:sz w:val="18"/>
                <w:szCs w:val="18"/>
              </w:rPr>
            </w:pPr>
          </w:p>
        </w:tc>
        <w:tc>
          <w:tcPr>
            <w:tcW w:w="147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预决算公开及时性</w:t>
            </w:r>
          </w:p>
        </w:tc>
        <w:tc>
          <w:tcPr>
            <w:tcW w:w="698" w:type="dxa"/>
            <w:noWrap w:val="0"/>
            <w:vAlign w:val="center"/>
          </w:tcPr>
          <w:p>
            <w:pPr>
              <w:widowControl w:val="0"/>
              <w:jc w:val="center"/>
              <w:rPr>
                <w:rFonts w:hint="default" w:ascii="Times New Roman" w:hAnsi="Times New Roman" w:eastAsia="方正仿宋_GBK" w:cs="Times New Roman"/>
                <w:color w:val="000000"/>
                <w:kern w:val="2"/>
                <w:sz w:val="18"/>
                <w:szCs w:val="18"/>
              </w:rPr>
            </w:pPr>
          </w:p>
        </w:tc>
        <w:tc>
          <w:tcPr>
            <w:tcW w:w="433"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定性</w:t>
            </w:r>
          </w:p>
        </w:tc>
        <w:tc>
          <w:tcPr>
            <w:tcW w:w="62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及时</w:t>
            </w:r>
          </w:p>
        </w:tc>
        <w:tc>
          <w:tcPr>
            <w:tcW w:w="782"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201" w:type="dxa"/>
            <w:gridSpan w:val="3"/>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及时</w:t>
            </w:r>
          </w:p>
        </w:tc>
        <w:tc>
          <w:tcPr>
            <w:tcW w:w="14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653" w:type="dxa"/>
            <w:gridSpan w:val="2"/>
            <w:noWrap w:val="0"/>
            <w:vAlign w:val="center"/>
          </w:tcPr>
          <w:p>
            <w:pPr>
              <w:widowControl w:val="0"/>
              <w:jc w:val="center"/>
              <w:rPr>
                <w:rFonts w:hint="default" w:ascii="Times New Roman" w:hAnsi="Times New Roman" w:cs="Times New Roman"/>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06" w:type="dxa"/>
            <w:vMerge w:val="continue"/>
            <w:noWrap w:val="0"/>
            <w:vAlign w:val="top"/>
          </w:tcPr>
          <w:p>
            <w:pPr>
              <w:rPr>
                <w:rFonts w:hint="default" w:ascii="Times New Roman" w:hAnsi="Times New Roman" w:eastAsia="方正仿宋_GBK" w:cs="Times New Roman"/>
                <w:color w:val="000000"/>
                <w:kern w:val="2"/>
                <w:sz w:val="18"/>
                <w:szCs w:val="18"/>
              </w:rPr>
            </w:pPr>
          </w:p>
        </w:tc>
        <w:tc>
          <w:tcPr>
            <w:tcW w:w="147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资产管理安全性</w:t>
            </w:r>
          </w:p>
        </w:tc>
        <w:tc>
          <w:tcPr>
            <w:tcW w:w="698" w:type="dxa"/>
            <w:noWrap w:val="0"/>
            <w:vAlign w:val="center"/>
          </w:tcPr>
          <w:p>
            <w:pPr>
              <w:widowControl w:val="0"/>
              <w:jc w:val="center"/>
              <w:rPr>
                <w:rFonts w:hint="default" w:ascii="Times New Roman" w:hAnsi="Times New Roman" w:eastAsia="方正仿宋_GBK" w:cs="Times New Roman"/>
                <w:color w:val="000000"/>
                <w:kern w:val="2"/>
                <w:sz w:val="18"/>
                <w:szCs w:val="18"/>
              </w:rPr>
            </w:pPr>
          </w:p>
        </w:tc>
        <w:tc>
          <w:tcPr>
            <w:tcW w:w="433"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定性</w:t>
            </w:r>
          </w:p>
        </w:tc>
        <w:tc>
          <w:tcPr>
            <w:tcW w:w="62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安全</w:t>
            </w:r>
          </w:p>
        </w:tc>
        <w:tc>
          <w:tcPr>
            <w:tcW w:w="782"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201" w:type="dxa"/>
            <w:gridSpan w:val="3"/>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安全</w:t>
            </w:r>
          </w:p>
        </w:tc>
        <w:tc>
          <w:tcPr>
            <w:tcW w:w="14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653" w:type="dxa"/>
            <w:gridSpan w:val="2"/>
            <w:noWrap w:val="0"/>
            <w:vAlign w:val="center"/>
          </w:tcPr>
          <w:p>
            <w:pPr>
              <w:widowControl w:val="0"/>
              <w:jc w:val="center"/>
              <w:rPr>
                <w:rFonts w:hint="default" w:ascii="Times New Roman" w:hAnsi="Times New Roman" w:cs="Times New Roman"/>
                <w:color w:val="000000"/>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06" w:type="dxa"/>
            <w:vMerge w:val="continue"/>
            <w:noWrap w:val="0"/>
            <w:vAlign w:val="top"/>
          </w:tcPr>
          <w:p>
            <w:pPr>
              <w:rPr>
                <w:rFonts w:hint="default" w:ascii="Times New Roman" w:hAnsi="Times New Roman" w:eastAsia="方正仿宋_GBK" w:cs="Times New Roman"/>
                <w:color w:val="000000"/>
                <w:kern w:val="2"/>
                <w:sz w:val="18"/>
                <w:szCs w:val="18"/>
              </w:rPr>
            </w:pPr>
          </w:p>
        </w:tc>
        <w:tc>
          <w:tcPr>
            <w:tcW w:w="147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固定资产利用率</w:t>
            </w:r>
          </w:p>
        </w:tc>
        <w:tc>
          <w:tcPr>
            <w:tcW w:w="6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w:t>
            </w:r>
          </w:p>
        </w:tc>
        <w:tc>
          <w:tcPr>
            <w:tcW w:w="433"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w:t>
            </w:r>
          </w:p>
        </w:tc>
        <w:tc>
          <w:tcPr>
            <w:tcW w:w="62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95%</w:t>
            </w:r>
          </w:p>
        </w:tc>
        <w:tc>
          <w:tcPr>
            <w:tcW w:w="782"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5</w:t>
            </w:r>
          </w:p>
        </w:tc>
        <w:tc>
          <w:tcPr>
            <w:tcW w:w="1201" w:type="dxa"/>
            <w:gridSpan w:val="3"/>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94%</w:t>
            </w:r>
          </w:p>
        </w:tc>
        <w:tc>
          <w:tcPr>
            <w:tcW w:w="14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3</w:t>
            </w:r>
          </w:p>
        </w:tc>
        <w:tc>
          <w:tcPr>
            <w:tcW w:w="1653"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闲置资产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706" w:type="dxa"/>
            <w:vMerge w:val="continue"/>
            <w:noWrap w:val="0"/>
            <w:vAlign w:val="top"/>
          </w:tcPr>
          <w:p>
            <w:pPr>
              <w:rPr>
                <w:rFonts w:hint="default" w:ascii="Times New Roman" w:hAnsi="Times New Roman" w:eastAsia="方正仿宋_GBK" w:cs="Times New Roman"/>
                <w:color w:val="000000"/>
                <w:kern w:val="2"/>
                <w:sz w:val="18"/>
                <w:szCs w:val="18"/>
              </w:rPr>
            </w:pPr>
          </w:p>
        </w:tc>
        <w:tc>
          <w:tcPr>
            <w:tcW w:w="147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教学工作完成率</w:t>
            </w:r>
          </w:p>
        </w:tc>
        <w:tc>
          <w:tcPr>
            <w:tcW w:w="6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w:t>
            </w:r>
          </w:p>
        </w:tc>
        <w:tc>
          <w:tcPr>
            <w:tcW w:w="433"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w:t>
            </w:r>
          </w:p>
        </w:tc>
        <w:tc>
          <w:tcPr>
            <w:tcW w:w="620"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95%</w:t>
            </w:r>
          </w:p>
        </w:tc>
        <w:tc>
          <w:tcPr>
            <w:tcW w:w="782"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201" w:type="dxa"/>
            <w:gridSpan w:val="3"/>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100%</w:t>
            </w:r>
          </w:p>
        </w:tc>
        <w:tc>
          <w:tcPr>
            <w:tcW w:w="14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653"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06" w:type="dxa"/>
            <w:vMerge w:val="restart"/>
            <w:noWrap w:val="0"/>
            <w:vAlign w:val="top"/>
          </w:tcPr>
          <w:p>
            <w:pPr>
              <w:spacing w:line="600" w:lineRule="exact"/>
              <w:rPr>
                <w:rFonts w:hint="default" w:ascii="Times New Roman" w:hAnsi="Times New Roman" w:eastAsia="方正仿宋_GBK" w:cs="Times New Roman"/>
                <w:b/>
                <w:sz w:val="32"/>
                <w:szCs w:val="32"/>
              </w:rPr>
            </w:pPr>
          </w:p>
          <w:p>
            <w:pPr>
              <w:spacing w:line="600" w:lineRule="exact"/>
              <w:rPr>
                <w:rFonts w:hint="default" w:ascii="Times New Roman" w:hAnsi="Times New Roman" w:eastAsia="方正仿宋_GBK" w:cs="Times New Roman"/>
                <w:b/>
                <w:sz w:val="32"/>
                <w:szCs w:val="32"/>
              </w:rPr>
            </w:pPr>
          </w:p>
        </w:tc>
        <w:tc>
          <w:tcPr>
            <w:tcW w:w="1470" w:type="dxa"/>
            <w:noWrap w:val="0"/>
            <w:vAlign w:val="center"/>
          </w:tcPr>
          <w:p>
            <w:pPr>
              <w:spacing w:line="600" w:lineRule="exact"/>
              <w:jc w:val="both"/>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教学合格率</w:t>
            </w:r>
          </w:p>
        </w:tc>
        <w:tc>
          <w:tcPr>
            <w:tcW w:w="698" w:type="dxa"/>
            <w:noWrap w:val="0"/>
            <w:vAlign w:val="center"/>
          </w:tcPr>
          <w:p>
            <w:pPr>
              <w:spacing w:line="600" w:lineRule="exact"/>
              <w:jc w:val="both"/>
              <w:rPr>
                <w:rFonts w:hint="default" w:ascii="Times New Roman" w:hAnsi="Times New Roman" w:eastAsia="方正仿宋_GBK" w:cs="Times New Roman"/>
                <w:b/>
                <w:sz w:val="32"/>
                <w:szCs w:val="32"/>
              </w:rPr>
            </w:pPr>
            <w:r>
              <w:rPr>
                <w:rFonts w:hint="default" w:ascii="Times New Roman" w:hAnsi="Times New Roman" w:eastAsia="方正仿宋_GBK" w:cs="Times New Roman"/>
                <w:color w:val="000000"/>
                <w:kern w:val="2"/>
                <w:sz w:val="18"/>
                <w:szCs w:val="18"/>
              </w:rPr>
              <w:t>%</w:t>
            </w:r>
          </w:p>
        </w:tc>
        <w:tc>
          <w:tcPr>
            <w:tcW w:w="433" w:type="dxa"/>
            <w:gridSpan w:val="2"/>
            <w:noWrap w:val="0"/>
            <w:vAlign w:val="center"/>
          </w:tcPr>
          <w:p>
            <w:pPr>
              <w:spacing w:line="600" w:lineRule="exact"/>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color w:val="000000"/>
                <w:kern w:val="2"/>
                <w:sz w:val="18"/>
                <w:szCs w:val="18"/>
              </w:rPr>
              <w:t>≥</w:t>
            </w:r>
          </w:p>
        </w:tc>
        <w:tc>
          <w:tcPr>
            <w:tcW w:w="620" w:type="dxa"/>
            <w:noWrap w:val="0"/>
            <w:vAlign w:val="center"/>
          </w:tcPr>
          <w:p>
            <w:pPr>
              <w:spacing w:line="600" w:lineRule="exact"/>
              <w:jc w:val="both"/>
              <w:rPr>
                <w:rFonts w:hint="default" w:ascii="Times New Roman" w:hAnsi="Times New Roman" w:eastAsia="方正仿宋_GBK" w:cs="Times New Roman"/>
                <w:b/>
                <w:sz w:val="32"/>
                <w:szCs w:val="32"/>
              </w:rPr>
            </w:pPr>
            <w:r>
              <w:rPr>
                <w:rFonts w:hint="default" w:ascii="Times New Roman" w:hAnsi="Times New Roman" w:eastAsia="方正仿宋_GBK" w:cs="Times New Roman"/>
                <w:color w:val="000000"/>
                <w:kern w:val="2"/>
                <w:sz w:val="18"/>
                <w:szCs w:val="18"/>
              </w:rPr>
              <w:t>95%</w:t>
            </w:r>
          </w:p>
        </w:tc>
        <w:tc>
          <w:tcPr>
            <w:tcW w:w="782"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201" w:type="dxa"/>
            <w:gridSpan w:val="3"/>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96%</w:t>
            </w:r>
          </w:p>
        </w:tc>
        <w:tc>
          <w:tcPr>
            <w:tcW w:w="14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9</w:t>
            </w:r>
          </w:p>
        </w:tc>
        <w:tc>
          <w:tcPr>
            <w:tcW w:w="1653"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教学考评三等奖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noWrap w:val="0"/>
            <w:vAlign w:val="top"/>
          </w:tcPr>
          <w:p>
            <w:pPr>
              <w:spacing w:line="600" w:lineRule="exact"/>
              <w:rPr>
                <w:rFonts w:hint="default" w:ascii="Times New Roman" w:hAnsi="Times New Roman" w:eastAsia="方正仿宋_GBK" w:cs="Times New Roman"/>
                <w:b/>
                <w:sz w:val="32"/>
                <w:szCs w:val="32"/>
              </w:rPr>
            </w:pPr>
          </w:p>
        </w:tc>
        <w:tc>
          <w:tcPr>
            <w:tcW w:w="1470" w:type="dxa"/>
            <w:noWrap w:val="0"/>
            <w:vAlign w:val="top"/>
          </w:tcPr>
          <w:p>
            <w:pPr>
              <w:spacing w:line="240" w:lineRule="auto"/>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教师学习培训覆盖率</w:t>
            </w:r>
          </w:p>
        </w:tc>
        <w:tc>
          <w:tcPr>
            <w:tcW w:w="698" w:type="dxa"/>
            <w:noWrap w:val="0"/>
            <w:vAlign w:val="top"/>
          </w:tcPr>
          <w:p>
            <w:pPr>
              <w:spacing w:line="240" w:lineRule="auto"/>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w:t>
            </w:r>
          </w:p>
        </w:tc>
        <w:tc>
          <w:tcPr>
            <w:tcW w:w="433" w:type="dxa"/>
            <w:gridSpan w:val="2"/>
            <w:noWrap w:val="0"/>
            <w:vAlign w:val="top"/>
          </w:tcPr>
          <w:p>
            <w:pPr>
              <w:spacing w:line="240" w:lineRule="auto"/>
              <w:rPr>
                <w:rFonts w:hint="default" w:ascii="Times New Roman" w:hAnsi="Times New Roman" w:eastAsia="方正仿宋_GBK" w:cs="Times New Roman"/>
                <w:b/>
                <w:sz w:val="32"/>
                <w:szCs w:val="32"/>
              </w:rPr>
            </w:pPr>
            <w:r>
              <w:rPr>
                <w:rFonts w:hint="default" w:ascii="Times New Roman" w:hAnsi="Times New Roman" w:eastAsia="方正仿宋_GBK" w:cs="Times New Roman"/>
                <w:color w:val="000000"/>
                <w:kern w:val="2"/>
                <w:sz w:val="18"/>
                <w:szCs w:val="18"/>
              </w:rPr>
              <w:t>≥</w:t>
            </w:r>
          </w:p>
        </w:tc>
        <w:tc>
          <w:tcPr>
            <w:tcW w:w="620" w:type="dxa"/>
            <w:noWrap w:val="0"/>
            <w:vAlign w:val="top"/>
          </w:tcPr>
          <w:p>
            <w:pPr>
              <w:spacing w:line="240" w:lineRule="auto"/>
              <w:rPr>
                <w:rFonts w:hint="default" w:ascii="Times New Roman" w:hAnsi="Times New Roman" w:eastAsia="方正仿宋_GBK" w:cs="Times New Roman"/>
                <w:b/>
                <w:sz w:val="32"/>
                <w:szCs w:val="32"/>
              </w:rPr>
            </w:pPr>
            <w:r>
              <w:rPr>
                <w:rFonts w:hint="default" w:ascii="Times New Roman" w:hAnsi="Times New Roman" w:eastAsia="方正仿宋_GBK" w:cs="Times New Roman"/>
                <w:color w:val="000000"/>
                <w:kern w:val="2"/>
                <w:sz w:val="18"/>
                <w:szCs w:val="18"/>
              </w:rPr>
              <w:t>95%</w:t>
            </w:r>
          </w:p>
        </w:tc>
        <w:tc>
          <w:tcPr>
            <w:tcW w:w="782" w:type="dxa"/>
            <w:gridSpan w:val="2"/>
            <w:noWrap w:val="0"/>
            <w:vAlign w:val="top"/>
          </w:tcPr>
          <w:p>
            <w:pPr>
              <w:widowControl w:val="0"/>
              <w:spacing w:line="240" w:lineRule="auto"/>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201" w:type="dxa"/>
            <w:gridSpan w:val="3"/>
            <w:noWrap w:val="0"/>
            <w:vAlign w:val="top"/>
          </w:tcPr>
          <w:p>
            <w:pPr>
              <w:widowControl w:val="0"/>
              <w:spacing w:line="240" w:lineRule="auto"/>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98%</w:t>
            </w:r>
          </w:p>
        </w:tc>
        <w:tc>
          <w:tcPr>
            <w:tcW w:w="1498" w:type="dxa"/>
            <w:noWrap w:val="0"/>
            <w:vAlign w:val="top"/>
          </w:tcPr>
          <w:p>
            <w:pPr>
              <w:widowControl w:val="0"/>
              <w:spacing w:line="240" w:lineRule="auto"/>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9</w:t>
            </w:r>
          </w:p>
        </w:tc>
        <w:tc>
          <w:tcPr>
            <w:tcW w:w="1653" w:type="dxa"/>
            <w:gridSpan w:val="2"/>
            <w:noWrap w:val="0"/>
            <w:vAlign w:val="top"/>
          </w:tcPr>
          <w:p>
            <w:pPr>
              <w:spacing w:line="240" w:lineRule="auto"/>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一人生病未参加培训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noWrap w:val="0"/>
            <w:vAlign w:val="top"/>
          </w:tcPr>
          <w:p>
            <w:pPr>
              <w:spacing w:line="600" w:lineRule="exact"/>
              <w:rPr>
                <w:rFonts w:hint="default" w:ascii="Times New Roman" w:hAnsi="Times New Roman" w:eastAsia="方正仿宋_GBK" w:cs="Times New Roman"/>
                <w:b/>
                <w:sz w:val="32"/>
                <w:szCs w:val="32"/>
              </w:rPr>
            </w:pPr>
          </w:p>
        </w:tc>
        <w:tc>
          <w:tcPr>
            <w:tcW w:w="1470" w:type="dxa"/>
            <w:noWrap w:val="0"/>
            <w:vAlign w:val="center"/>
          </w:tcPr>
          <w:p>
            <w:pPr>
              <w:spacing w:line="240" w:lineRule="auto"/>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校园安全事故率</w:t>
            </w:r>
          </w:p>
        </w:tc>
        <w:tc>
          <w:tcPr>
            <w:tcW w:w="698" w:type="dxa"/>
            <w:noWrap w:val="0"/>
            <w:vAlign w:val="center"/>
          </w:tcPr>
          <w:p>
            <w:pPr>
              <w:spacing w:line="240" w:lineRule="auto"/>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次</w:t>
            </w:r>
          </w:p>
        </w:tc>
        <w:tc>
          <w:tcPr>
            <w:tcW w:w="433" w:type="dxa"/>
            <w:gridSpan w:val="2"/>
            <w:noWrap w:val="0"/>
            <w:vAlign w:val="center"/>
          </w:tcPr>
          <w:p>
            <w:pPr>
              <w:spacing w:line="240" w:lineRule="auto"/>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w:t>
            </w:r>
          </w:p>
        </w:tc>
        <w:tc>
          <w:tcPr>
            <w:tcW w:w="620" w:type="dxa"/>
            <w:noWrap w:val="0"/>
            <w:vAlign w:val="center"/>
          </w:tcPr>
          <w:p>
            <w:pPr>
              <w:spacing w:line="240" w:lineRule="auto"/>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0</w:t>
            </w:r>
          </w:p>
        </w:tc>
        <w:tc>
          <w:tcPr>
            <w:tcW w:w="782" w:type="dxa"/>
            <w:gridSpan w:val="2"/>
            <w:noWrap w:val="0"/>
            <w:vAlign w:val="center"/>
          </w:tcPr>
          <w:p>
            <w:pPr>
              <w:widowControl w:val="0"/>
              <w:spacing w:line="240" w:lineRule="auto"/>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201" w:type="dxa"/>
            <w:gridSpan w:val="3"/>
            <w:noWrap w:val="0"/>
            <w:vAlign w:val="center"/>
          </w:tcPr>
          <w:p>
            <w:pPr>
              <w:widowControl w:val="0"/>
              <w:spacing w:line="240" w:lineRule="auto"/>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0</w:t>
            </w:r>
          </w:p>
        </w:tc>
        <w:tc>
          <w:tcPr>
            <w:tcW w:w="1498" w:type="dxa"/>
            <w:noWrap w:val="0"/>
            <w:vAlign w:val="center"/>
          </w:tcPr>
          <w:p>
            <w:pPr>
              <w:widowControl w:val="0"/>
              <w:spacing w:line="240" w:lineRule="auto"/>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10</w:t>
            </w:r>
          </w:p>
        </w:tc>
        <w:tc>
          <w:tcPr>
            <w:tcW w:w="1653" w:type="dxa"/>
            <w:gridSpan w:val="2"/>
            <w:noWrap w:val="0"/>
            <w:vAlign w:val="center"/>
          </w:tcPr>
          <w:p>
            <w:pPr>
              <w:spacing w:line="240" w:lineRule="auto"/>
              <w:jc w:val="center"/>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noWrap w:val="0"/>
            <w:vAlign w:val="top"/>
          </w:tcPr>
          <w:p>
            <w:pPr>
              <w:spacing w:line="600" w:lineRule="exact"/>
              <w:rPr>
                <w:rFonts w:hint="default" w:ascii="Times New Roman" w:hAnsi="Times New Roman" w:eastAsia="方正仿宋_GBK" w:cs="Times New Roman"/>
                <w:b/>
                <w:sz w:val="32"/>
                <w:szCs w:val="32"/>
              </w:rPr>
            </w:pPr>
          </w:p>
        </w:tc>
        <w:tc>
          <w:tcPr>
            <w:tcW w:w="1470" w:type="dxa"/>
            <w:noWrap w:val="0"/>
            <w:vAlign w:val="center"/>
          </w:tcPr>
          <w:p>
            <w:pPr>
              <w:spacing w:line="600" w:lineRule="exact"/>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学生满意度</w:t>
            </w:r>
          </w:p>
        </w:tc>
        <w:tc>
          <w:tcPr>
            <w:tcW w:w="698" w:type="dxa"/>
            <w:noWrap w:val="0"/>
            <w:vAlign w:val="center"/>
          </w:tcPr>
          <w:p>
            <w:pPr>
              <w:spacing w:line="600" w:lineRule="exact"/>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color w:val="000000"/>
                <w:kern w:val="2"/>
                <w:sz w:val="18"/>
                <w:szCs w:val="18"/>
              </w:rPr>
              <w:t>%</w:t>
            </w:r>
          </w:p>
        </w:tc>
        <w:tc>
          <w:tcPr>
            <w:tcW w:w="433" w:type="dxa"/>
            <w:gridSpan w:val="2"/>
            <w:noWrap w:val="0"/>
            <w:vAlign w:val="center"/>
          </w:tcPr>
          <w:p>
            <w:pPr>
              <w:spacing w:line="600" w:lineRule="exact"/>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color w:val="000000"/>
                <w:kern w:val="2"/>
                <w:sz w:val="18"/>
                <w:szCs w:val="18"/>
              </w:rPr>
              <w:t>≥</w:t>
            </w:r>
          </w:p>
        </w:tc>
        <w:tc>
          <w:tcPr>
            <w:tcW w:w="620" w:type="dxa"/>
            <w:noWrap w:val="0"/>
            <w:vAlign w:val="center"/>
          </w:tcPr>
          <w:p>
            <w:pPr>
              <w:spacing w:line="600" w:lineRule="exact"/>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color w:val="000000"/>
                <w:kern w:val="2"/>
                <w:sz w:val="18"/>
                <w:szCs w:val="18"/>
              </w:rPr>
              <w:t>90%</w:t>
            </w:r>
          </w:p>
        </w:tc>
        <w:tc>
          <w:tcPr>
            <w:tcW w:w="782" w:type="dxa"/>
            <w:gridSpan w:val="2"/>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5</w:t>
            </w:r>
          </w:p>
        </w:tc>
        <w:tc>
          <w:tcPr>
            <w:tcW w:w="1201" w:type="dxa"/>
            <w:gridSpan w:val="3"/>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96%</w:t>
            </w:r>
          </w:p>
        </w:tc>
        <w:tc>
          <w:tcPr>
            <w:tcW w:w="1498" w:type="dxa"/>
            <w:noWrap w:val="0"/>
            <w:vAlign w:val="center"/>
          </w:tcPr>
          <w:p>
            <w:pPr>
              <w:widowControl w:val="0"/>
              <w:jc w:val="center"/>
              <w:rPr>
                <w:rFonts w:hint="default" w:ascii="Times New Roman" w:hAnsi="Times New Roman" w:eastAsia="方正仿宋_GBK" w:cs="Times New Roman"/>
                <w:color w:val="000000"/>
                <w:kern w:val="2"/>
                <w:sz w:val="18"/>
                <w:szCs w:val="18"/>
              </w:rPr>
            </w:pPr>
            <w:r>
              <w:rPr>
                <w:rFonts w:hint="default" w:ascii="Times New Roman" w:hAnsi="Times New Roman" w:eastAsia="方正仿宋_GBK" w:cs="Times New Roman"/>
                <w:color w:val="000000"/>
                <w:kern w:val="2"/>
                <w:sz w:val="18"/>
                <w:szCs w:val="18"/>
              </w:rPr>
              <w:t>5</w:t>
            </w:r>
          </w:p>
        </w:tc>
        <w:tc>
          <w:tcPr>
            <w:tcW w:w="1653" w:type="dxa"/>
            <w:gridSpan w:val="2"/>
            <w:noWrap w:val="0"/>
            <w:vAlign w:val="center"/>
          </w:tcPr>
          <w:p>
            <w:pPr>
              <w:spacing w:line="600" w:lineRule="exact"/>
              <w:jc w:val="center"/>
              <w:rPr>
                <w:rFonts w:hint="default" w:ascii="Times New Roman" w:hAnsi="Times New Roman" w:eastAsia="方正仿宋_GBK" w:cs="Times New Roman"/>
                <w:b/>
                <w:sz w:val="32"/>
                <w:szCs w:val="32"/>
              </w:rPr>
            </w:pPr>
          </w:p>
        </w:tc>
      </w:tr>
    </w:tbl>
    <w:tbl>
      <w:tblPr>
        <w:tblStyle w:val="7"/>
        <w:tblpPr w:leftFromText="180" w:rightFromText="180" w:vertAnchor="text" w:horzAnchor="page" w:tblpX="1675" w:tblpY="576"/>
        <w:tblOverlap w:val="never"/>
        <w:tblW w:w="9087" w:type="dxa"/>
        <w:tblInd w:w="0" w:type="dxa"/>
        <w:tblLayout w:type="fixed"/>
        <w:tblCellMar>
          <w:top w:w="0" w:type="dxa"/>
          <w:left w:w="108" w:type="dxa"/>
          <w:bottom w:w="0" w:type="dxa"/>
          <w:right w:w="108" w:type="dxa"/>
        </w:tblCellMar>
      </w:tblPr>
      <w:tblGrid>
        <w:gridCol w:w="600"/>
        <w:gridCol w:w="750"/>
        <w:gridCol w:w="960"/>
        <w:gridCol w:w="765"/>
        <w:gridCol w:w="705"/>
        <w:gridCol w:w="735"/>
        <w:gridCol w:w="870"/>
        <w:gridCol w:w="930"/>
        <w:gridCol w:w="870"/>
        <w:gridCol w:w="765"/>
        <w:gridCol w:w="1137"/>
      </w:tblGrid>
      <w:tr>
        <w:tblPrEx>
          <w:tblCellMar>
            <w:top w:w="0" w:type="dxa"/>
            <w:left w:w="108" w:type="dxa"/>
            <w:bottom w:w="0" w:type="dxa"/>
            <w:right w:w="108" w:type="dxa"/>
          </w:tblCellMar>
        </w:tblPrEx>
        <w:trPr>
          <w:trHeight w:val="780" w:hRule="atLeast"/>
        </w:trPr>
        <w:tc>
          <w:tcPr>
            <w:tcW w:w="9087" w:type="dxa"/>
            <w:gridSpan w:val="11"/>
            <w:tcBorders>
              <w:top w:val="nil"/>
              <w:left w:val="nil"/>
              <w:bottom w:val="single" w:color="000000" w:sz="4" w:space="0"/>
              <w:right w:val="nil"/>
            </w:tcBorders>
            <w:noWrap/>
            <w:vAlign w:val="center"/>
          </w:tcPr>
          <w:p>
            <w:pPr>
              <w:widowControl/>
              <w:jc w:val="center"/>
              <w:textAlignment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kern w:val="0"/>
                <w:sz w:val="36"/>
                <w:szCs w:val="36"/>
                <w:lang w:bidi="ar"/>
              </w:rPr>
              <w:t>重庆科学城</w:t>
            </w:r>
            <w:r>
              <w:rPr>
                <w:rFonts w:hint="default" w:ascii="Times New Roman" w:hAnsi="Times New Roman" w:eastAsia="方正小标宋_GBK" w:cs="Times New Roman"/>
                <w:color w:val="000000"/>
                <w:kern w:val="0"/>
                <w:sz w:val="36"/>
                <w:szCs w:val="36"/>
                <w:lang w:eastAsia="zh-CN" w:bidi="ar"/>
              </w:rPr>
              <w:t>石板小学校</w:t>
            </w:r>
            <w:r>
              <w:rPr>
                <w:rFonts w:hint="default" w:ascii="Times New Roman" w:hAnsi="Times New Roman" w:eastAsia="方正小标宋_GBK" w:cs="Times New Roman"/>
                <w:color w:val="000000"/>
                <w:kern w:val="0"/>
                <w:sz w:val="36"/>
                <w:szCs w:val="36"/>
                <w:lang w:bidi="ar"/>
              </w:rPr>
              <w:t>2022年度项目支出绩效自评表</w:t>
            </w:r>
          </w:p>
        </w:tc>
      </w:tr>
      <w:tr>
        <w:tblPrEx>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序号</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项目名称</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指标名称</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指标性质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指标值</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计量单位</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指标权重</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全年完成值</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指标得分</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说明</w:t>
            </w: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000000"/>
                <w:sz w:val="22"/>
              </w:rPr>
            </w:pPr>
            <w:r>
              <w:rPr>
                <w:rFonts w:hint="default" w:ascii="Times New Roman" w:hAnsi="Times New Roman" w:eastAsia="方正黑体_GBK" w:cs="Times New Roman"/>
                <w:color w:val="000000"/>
                <w:kern w:val="0"/>
                <w:sz w:val="22"/>
                <w:lang w:bidi="ar"/>
              </w:rPr>
              <w:t>自评得分</w:t>
            </w:r>
          </w:p>
        </w:tc>
      </w:tr>
      <w:tr>
        <w:tblPrEx>
          <w:tblCellMar>
            <w:top w:w="0" w:type="dxa"/>
            <w:left w:w="108" w:type="dxa"/>
            <w:bottom w:w="0" w:type="dxa"/>
            <w:right w:w="108" w:type="dxa"/>
          </w:tblCellMar>
        </w:tblPrEx>
        <w:trPr>
          <w:trHeight w:val="432" w:hRule="atLeast"/>
        </w:trPr>
        <w:tc>
          <w:tcPr>
            <w:tcW w:w="600" w:type="dxa"/>
            <w:vMerge w:val="restart"/>
            <w:tcBorders>
              <w:top w:val="single" w:color="000000" w:sz="4" w:space="0"/>
              <w:left w:val="single" w:color="000000" w:sz="4" w:space="0"/>
              <w:right w:val="single" w:color="000000" w:sz="4" w:space="0"/>
            </w:tcBorders>
            <w:noWrap/>
            <w:vAlign w:val="center"/>
          </w:tcPr>
          <w:p>
            <w:pPr>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lang w:bidi="ar"/>
              </w:rPr>
              <w:t>1</w:t>
            </w:r>
          </w:p>
        </w:tc>
        <w:tc>
          <w:tcPr>
            <w:tcW w:w="75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临聘人员工作经费考核（教育系统）</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widowControl/>
              <w:ind w:left="0" w:leftChars="0" w:firstLine="0" w:firstLineChars="0"/>
              <w:jc w:val="left"/>
              <w:rPr>
                <w:rFonts w:hint="default" w:ascii="Times New Roman" w:hAnsi="Times New Roman" w:eastAsia="宋体" w:cs="Times New Roman"/>
                <w:color w:val="000000"/>
                <w:kern w:val="0"/>
                <w:sz w:val="22"/>
                <w:lang w:eastAsia="zh-CN"/>
              </w:rPr>
            </w:pPr>
            <w:r>
              <w:rPr>
                <w:rFonts w:hint="default" w:ascii="Times New Roman" w:hAnsi="Times New Roman" w:cs="Times New Roman"/>
                <w:color w:val="000000"/>
                <w:sz w:val="22"/>
                <w:lang w:eastAsia="zh-CN"/>
              </w:rPr>
              <w:t>教学任务完成率</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ind w:firstLine="220" w:firstLineChars="100"/>
              <w:jc w:val="left"/>
              <w:rPr>
                <w:rFonts w:hint="default" w:ascii="Times New Roman" w:hAnsi="Times New Roman" w:cs="Times New Roman"/>
                <w:color w:val="000000"/>
                <w:kern w:val="0"/>
                <w:sz w:val="22"/>
              </w:rPr>
            </w:pPr>
            <w:r>
              <w:rPr>
                <w:rFonts w:hint="default" w:ascii="Times New Roman" w:hAnsi="Times New Roman" w:cs="Times New Roman"/>
                <w:color w:val="000000"/>
                <w:sz w:val="22"/>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ind w:leftChars="-68" w:hanging="143" w:hangingChars="65"/>
              <w:jc w:val="right"/>
              <w:rPr>
                <w:rFonts w:hint="default" w:ascii="Times New Roman" w:hAnsi="Times New Roman" w:cs="Times New Roman"/>
                <w:color w:val="000000"/>
                <w:kern w:val="0"/>
                <w:sz w:val="22"/>
              </w:rPr>
            </w:pPr>
            <w:r>
              <w:rPr>
                <w:rFonts w:hint="default" w:ascii="Times New Roman" w:hAnsi="Times New Roman" w:cs="Times New Roman"/>
                <w:color w:val="000000"/>
                <w:sz w:val="22"/>
              </w:rPr>
              <w:t>95</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ind w:leftChars="-68" w:hanging="143" w:hangingChars="65"/>
              <w:jc w:val="right"/>
              <w:rPr>
                <w:rFonts w:hint="default" w:ascii="Times New Roman" w:hAnsi="Times New Roman" w:cs="Times New Roman"/>
                <w:color w:val="000000"/>
                <w:kern w:val="0"/>
                <w:sz w:val="22"/>
              </w:rPr>
            </w:pPr>
            <w:r>
              <w:rPr>
                <w:rFonts w:hint="default" w:ascii="Times New Roman" w:hAnsi="Times New Roman" w:cs="Times New Roman"/>
                <w:color w:val="000000"/>
                <w:sz w:val="22"/>
              </w:rPr>
              <w:t>95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ind w:leftChars="-68" w:hanging="143" w:hangingChars="65"/>
              <w:jc w:val="right"/>
              <w:rPr>
                <w:rFonts w:hint="default" w:ascii="Times New Roman" w:hAnsi="Times New Roman" w:cs="Times New Roman"/>
                <w:color w:val="000000"/>
                <w:kern w:val="0"/>
                <w:sz w:val="22"/>
              </w:rPr>
            </w:pPr>
            <w:r>
              <w:rPr>
                <w:rFonts w:hint="default" w:ascii="Times New Roman" w:hAnsi="Times New Roman" w:cs="Times New Roman"/>
                <w:color w:val="000000"/>
                <w:sz w:val="22"/>
              </w:rPr>
              <w:t>20</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ind w:leftChars="-68" w:hanging="143" w:hangingChars="65"/>
              <w:jc w:val="right"/>
              <w:rPr>
                <w:rFonts w:hint="default" w:ascii="Times New Roman" w:hAnsi="Times New Roman" w:cs="Times New Roman"/>
                <w:color w:val="000000"/>
                <w:kern w:val="0"/>
                <w:sz w:val="22"/>
              </w:rPr>
            </w:pPr>
            <w:r>
              <w:rPr>
                <w:rFonts w:hint="default" w:ascii="Times New Roman" w:hAnsi="Times New Roman" w:cs="Times New Roman"/>
                <w:color w:val="000000"/>
                <w:sz w:val="22"/>
              </w:rPr>
              <w:t>95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ind w:leftChars="-68" w:hanging="143" w:hangingChars="65"/>
              <w:jc w:val="right"/>
              <w:rPr>
                <w:rFonts w:hint="default" w:ascii="Times New Roman" w:hAnsi="Times New Roman" w:eastAsia="宋体" w:cs="Times New Roman"/>
                <w:color w:val="000000"/>
                <w:kern w:val="0"/>
                <w:sz w:val="22"/>
                <w:lang w:val="en-US" w:eastAsia="zh-CN"/>
              </w:rPr>
            </w:pPr>
            <w:r>
              <w:rPr>
                <w:rFonts w:hint="default" w:ascii="Times New Roman" w:hAnsi="Times New Roman" w:cs="Times New Roman"/>
                <w:color w:val="000000"/>
                <w:sz w:val="22"/>
                <w:lang w:val="en-US" w:eastAsia="zh-CN"/>
              </w:rPr>
              <w:t>18</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cs="Times New Roman"/>
                <w:color w:val="000000"/>
                <w:sz w:val="22"/>
              </w:rPr>
            </w:pPr>
          </w:p>
        </w:tc>
        <w:tc>
          <w:tcPr>
            <w:tcW w:w="1137"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lang w:eastAsia="zh-CN"/>
              </w:rPr>
            </w:pPr>
            <w:r>
              <w:rPr>
                <w:rFonts w:hint="default" w:ascii="Times New Roman" w:hAnsi="Times New Roman" w:cs="Times New Roman"/>
                <w:color w:val="000000"/>
                <w:sz w:val="22"/>
              </w:rPr>
              <w:t>9</w:t>
            </w:r>
            <w:r>
              <w:rPr>
                <w:rFonts w:hint="default" w:ascii="Times New Roman" w:hAnsi="Times New Roman" w:cs="Times New Roman"/>
                <w:color w:val="000000"/>
                <w:sz w:val="22"/>
                <w:lang w:val="en-US" w:eastAsia="zh-CN"/>
              </w:rPr>
              <w:t>5</w:t>
            </w: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jc w:val="center"/>
              <w:textAlignment w:val="center"/>
              <w:rPr>
                <w:rFonts w:hint="default" w:ascii="Times New Roman" w:hAnsi="Times New Roman" w:cs="Times New Roman"/>
                <w:color w:val="000000"/>
                <w:sz w:val="22"/>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rPr>
                <w:rFonts w:hint="default" w:ascii="Times New Roman" w:hAnsi="Times New Roman" w:cs="Times New Roman"/>
                <w:color w:val="000000"/>
                <w:sz w:val="22"/>
              </w:rPr>
            </w:pPr>
            <w:r>
              <w:rPr>
                <w:rFonts w:hint="default" w:ascii="Times New Roman" w:hAnsi="Times New Roman" w:cs="Times New Roman"/>
                <w:color w:val="000000"/>
                <w:sz w:val="22"/>
              </w:rPr>
              <w:t>活动开展时间进度</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lang w:val="en-US" w:eastAsia="zh-CN"/>
              </w:rPr>
              <w:t>2</w:t>
            </w:r>
            <w:r>
              <w:rPr>
                <w:rFonts w:hint="default" w:ascii="Times New Roman" w:hAnsi="Times New Roman" w:cs="Times New Roman"/>
                <w:color w:val="000000"/>
                <w:sz w:val="22"/>
              </w:rPr>
              <w:t>0</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lang w:val="en-US" w:eastAsia="zh-CN"/>
              </w:rPr>
              <w:t>2</w:t>
            </w:r>
            <w:r>
              <w:rPr>
                <w:rFonts w:hint="default" w:ascii="Times New Roman" w:hAnsi="Times New Roman" w:cs="Times New Roman"/>
                <w:color w:val="000000"/>
                <w:sz w:val="22"/>
              </w:rPr>
              <w:t>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cs="Times New Roman"/>
                <w:color w:val="000000"/>
                <w:sz w:val="22"/>
              </w:rPr>
            </w:pPr>
          </w:p>
        </w:tc>
        <w:tc>
          <w:tcPr>
            <w:tcW w:w="11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jc w:val="center"/>
              <w:textAlignment w:val="center"/>
              <w:rPr>
                <w:rFonts w:hint="default" w:ascii="Times New Roman" w:hAnsi="Times New Roman" w:cs="Times New Roman"/>
                <w:color w:val="000000"/>
                <w:sz w:val="22"/>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rPr>
                <w:rFonts w:hint="default" w:ascii="Times New Roman" w:hAnsi="Times New Roman" w:cs="Times New Roman"/>
                <w:color w:val="000000"/>
                <w:sz w:val="22"/>
              </w:rPr>
            </w:pPr>
            <w:r>
              <w:rPr>
                <w:rFonts w:hint="default" w:ascii="Times New Roman" w:hAnsi="Times New Roman" w:cs="Times New Roman"/>
                <w:color w:val="000000"/>
                <w:sz w:val="22"/>
              </w:rPr>
              <w:t>资金</w:t>
            </w:r>
            <w:r>
              <w:rPr>
                <w:rFonts w:hint="default" w:ascii="Times New Roman" w:hAnsi="Times New Roman" w:cs="Times New Roman"/>
                <w:color w:val="000000"/>
                <w:sz w:val="22"/>
                <w:lang w:eastAsia="zh-CN"/>
              </w:rPr>
              <w:t>执行</w:t>
            </w:r>
            <w:r>
              <w:rPr>
                <w:rFonts w:hint="default" w:ascii="Times New Roman" w:hAnsi="Times New Roman" w:cs="Times New Roman"/>
                <w:color w:val="000000"/>
                <w:sz w:val="22"/>
              </w:rPr>
              <w:t>及时率</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20</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100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20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cs="Times New Roman"/>
                <w:color w:val="000000"/>
                <w:sz w:val="22"/>
              </w:rPr>
            </w:pPr>
          </w:p>
        </w:tc>
        <w:tc>
          <w:tcPr>
            <w:tcW w:w="11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jc w:val="center"/>
              <w:textAlignment w:val="center"/>
              <w:rPr>
                <w:rFonts w:hint="default" w:ascii="Times New Roman" w:hAnsi="Times New Roman" w:cs="Times New Roman"/>
                <w:color w:val="000000"/>
                <w:sz w:val="22"/>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rPr>
                <w:rFonts w:hint="default" w:ascii="Times New Roman" w:hAnsi="Times New Roman" w:cs="Times New Roman"/>
                <w:color w:val="000000"/>
                <w:sz w:val="22"/>
              </w:rPr>
            </w:pPr>
            <w:r>
              <w:rPr>
                <w:rFonts w:hint="default" w:ascii="Times New Roman" w:hAnsi="Times New Roman" w:cs="Times New Roman"/>
                <w:color w:val="000000"/>
                <w:sz w:val="22"/>
              </w:rPr>
              <w:t>学生</w:t>
            </w:r>
            <w:r>
              <w:rPr>
                <w:rFonts w:hint="default" w:ascii="Times New Roman" w:hAnsi="Times New Roman" w:cs="Times New Roman"/>
                <w:color w:val="000000"/>
                <w:sz w:val="22"/>
                <w:lang w:eastAsia="zh-CN"/>
              </w:rPr>
              <w:t>参与</w:t>
            </w:r>
            <w:r>
              <w:rPr>
                <w:rFonts w:hint="default" w:ascii="Times New Roman" w:hAnsi="Times New Roman" w:cs="Times New Roman"/>
                <w:color w:val="000000"/>
                <w:sz w:val="22"/>
              </w:rPr>
              <w:t>人次</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800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850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cs="Times New Roman"/>
                <w:color w:val="000000"/>
                <w:sz w:val="22"/>
              </w:rPr>
            </w:pPr>
          </w:p>
        </w:tc>
        <w:tc>
          <w:tcPr>
            <w:tcW w:w="11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jc w:val="center"/>
              <w:textAlignment w:val="center"/>
              <w:rPr>
                <w:rFonts w:hint="default" w:ascii="Times New Roman" w:hAnsi="Times New Roman" w:cs="Times New Roman"/>
                <w:color w:val="000000"/>
                <w:sz w:val="22"/>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ind w:left="0" w:leftChars="0" w:firstLine="0" w:firstLineChars="0"/>
              <w:rPr>
                <w:rFonts w:hint="default" w:ascii="Times New Roman" w:hAnsi="Times New Roman" w:cs="Times New Roman"/>
                <w:color w:val="000000"/>
                <w:sz w:val="22"/>
              </w:rPr>
            </w:pPr>
            <w:r>
              <w:rPr>
                <w:rFonts w:hint="default" w:ascii="Times New Roman" w:hAnsi="Times New Roman" w:cs="Times New Roman"/>
                <w:color w:val="000000"/>
                <w:sz w:val="22"/>
              </w:rPr>
              <w:t>受益学生数</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10</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800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20</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eastAsia="宋体" w:cs="Times New Roman"/>
                <w:color w:val="000000"/>
                <w:sz w:val="22"/>
                <w:lang w:val="en-US" w:eastAsia="zh-CN"/>
              </w:rPr>
            </w:pPr>
            <w:r>
              <w:rPr>
                <w:rFonts w:hint="default" w:ascii="Times New Roman" w:hAnsi="Times New Roman" w:cs="Times New Roman"/>
                <w:color w:val="000000"/>
                <w:sz w:val="22"/>
                <w:lang w:val="en-US" w:eastAsia="zh-CN"/>
              </w:rPr>
              <w:t>850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20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cs="Times New Roman"/>
                <w:color w:val="000000"/>
                <w:sz w:val="22"/>
              </w:rPr>
            </w:pPr>
          </w:p>
        </w:tc>
        <w:tc>
          <w:tcPr>
            <w:tcW w:w="11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bottom w:val="single" w:color="auto" w:sz="4" w:space="0"/>
              <w:right w:val="single" w:color="000000" w:sz="4" w:space="0"/>
            </w:tcBorders>
            <w:noWrap/>
            <w:vAlign w:val="center"/>
          </w:tcPr>
          <w:p>
            <w:pPr>
              <w:jc w:val="center"/>
              <w:textAlignment w:val="center"/>
              <w:rPr>
                <w:rFonts w:hint="default" w:ascii="Times New Roman" w:hAnsi="Times New Roman" w:cs="Times New Roman"/>
                <w:color w:val="000000"/>
                <w:sz w:val="22"/>
              </w:rPr>
            </w:pPr>
          </w:p>
        </w:tc>
        <w:tc>
          <w:tcPr>
            <w:tcW w:w="750" w:type="dxa"/>
            <w:vMerge w:val="continue"/>
            <w:tcBorders>
              <w:top w:val="single" w:color="000000" w:sz="4" w:space="0"/>
              <w:left w:val="single" w:color="000000" w:sz="4" w:space="0"/>
              <w:bottom w:val="single" w:color="auto" w:sz="4" w:space="0"/>
              <w:right w:val="single" w:color="000000" w:sz="4" w:space="0"/>
            </w:tcBorders>
            <w:noWrap/>
            <w:vAlign w:val="center"/>
          </w:tcPr>
          <w:p>
            <w:pPr>
              <w:jc w:val="center"/>
              <w:rPr>
                <w:rFonts w:hint="default" w:ascii="Times New Roman" w:hAnsi="Times New Roman" w:cs="Times New Roman"/>
                <w:color w:val="000000"/>
                <w:sz w:val="22"/>
              </w:rPr>
            </w:pPr>
          </w:p>
        </w:tc>
        <w:tc>
          <w:tcPr>
            <w:tcW w:w="960" w:type="dxa"/>
            <w:tcBorders>
              <w:top w:val="single" w:color="000000" w:sz="4" w:space="0"/>
              <w:left w:val="single" w:color="000000" w:sz="4" w:space="0"/>
              <w:bottom w:val="single" w:color="auto" w:sz="4" w:space="0"/>
              <w:right w:val="single" w:color="000000" w:sz="4" w:space="0"/>
            </w:tcBorders>
            <w:noWrap/>
            <w:vAlign w:val="center"/>
          </w:tcPr>
          <w:p>
            <w:pPr>
              <w:ind w:left="0" w:leftChars="0" w:firstLine="0" w:firstLineChars="0"/>
              <w:rPr>
                <w:rFonts w:hint="default" w:ascii="Times New Roman" w:hAnsi="Times New Roman" w:cs="Times New Roman"/>
                <w:color w:val="000000"/>
                <w:sz w:val="22"/>
              </w:rPr>
            </w:pPr>
            <w:r>
              <w:rPr>
                <w:rFonts w:hint="default" w:ascii="Times New Roman" w:hAnsi="Times New Roman" w:cs="Times New Roman"/>
                <w:color w:val="000000"/>
                <w:sz w:val="22"/>
              </w:rPr>
              <w:t>师生满意度</w:t>
            </w:r>
          </w:p>
        </w:tc>
        <w:tc>
          <w:tcPr>
            <w:tcW w:w="765" w:type="dxa"/>
            <w:tcBorders>
              <w:top w:val="single" w:color="000000" w:sz="4" w:space="0"/>
              <w:left w:val="single" w:color="000000" w:sz="4" w:space="0"/>
              <w:bottom w:val="single" w:color="auto" w:sz="4" w:space="0"/>
              <w:right w:val="single" w:color="000000" w:sz="4" w:space="0"/>
            </w:tcBorders>
            <w:noWrap/>
            <w:vAlign w:val="center"/>
          </w:tcPr>
          <w:p>
            <w:pPr>
              <w:ind w:firstLine="220" w:firstLineChars="100"/>
              <w:rPr>
                <w:rFonts w:hint="default" w:ascii="Times New Roman" w:hAnsi="Times New Roman" w:cs="Times New Roman"/>
                <w:color w:val="000000"/>
                <w:sz w:val="22"/>
              </w:rPr>
            </w:pPr>
            <w:r>
              <w:rPr>
                <w:rFonts w:hint="default" w:ascii="Times New Roman" w:hAnsi="Times New Roman" w:cs="Times New Roman"/>
                <w:color w:val="000000"/>
                <w:sz w:val="22"/>
              </w:rPr>
              <w:t>≥</w:t>
            </w:r>
          </w:p>
        </w:tc>
        <w:tc>
          <w:tcPr>
            <w:tcW w:w="705" w:type="dxa"/>
            <w:tcBorders>
              <w:top w:val="single" w:color="000000" w:sz="4" w:space="0"/>
              <w:left w:val="single" w:color="000000" w:sz="4" w:space="0"/>
              <w:bottom w:val="single" w:color="auto"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95</w:t>
            </w:r>
          </w:p>
        </w:tc>
        <w:tc>
          <w:tcPr>
            <w:tcW w:w="735" w:type="dxa"/>
            <w:tcBorders>
              <w:top w:val="single" w:color="000000" w:sz="4" w:space="0"/>
              <w:left w:val="single" w:color="000000" w:sz="4" w:space="0"/>
              <w:bottom w:val="single" w:color="auto"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93</w:t>
            </w:r>
          </w:p>
        </w:tc>
        <w:tc>
          <w:tcPr>
            <w:tcW w:w="870" w:type="dxa"/>
            <w:tcBorders>
              <w:top w:val="single" w:color="000000" w:sz="4" w:space="0"/>
              <w:left w:val="single" w:color="000000" w:sz="4" w:space="0"/>
              <w:bottom w:val="single" w:color="auto"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10</w:t>
            </w:r>
          </w:p>
        </w:tc>
        <w:tc>
          <w:tcPr>
            <w:tcW w:w="930" w:type="dxa"/>
            <w:tcBorders>
              <w:top w:val="single" w:color="000000" w:sz="4" w:space="0"/>
              <w:left w:val="single" w:color="000000" w:sz="4" w:space="0"/>
              <w:bottom w:val="single" w:color="auto" w:sz="4" w:space="0"/>
              <w:right w:val="single" w:color="000000" w:sz="4" w:space="0"/>
            </w:tcBorders>
            <w:noWrap/>
            <w:vAlign w:val="center"/>
          </w:tcPr>
          <w:p>
            <w:pPr>
              <w:ind w:leftChars="-68" w:hanging="143" w:hangingChars="65"/>
              <w:jc w:val="right"/>
              <w:rPr>
                <w:rFonts w:hint="default" w:ascii="Times New Roman" w:hAnsi="Times New Roman" w:cs="Times New Roman"/>
                <w:color w:val="000000"/>
                <w:sz w:val="22"/>
              </w:rPr>
            </w:pPr>
            <w:r>
              <w:rPr>
                <w:rFonts w:hint="default" w:ascii="Times New Roman" w:hAnsi="Times New Roman" w:cs="Times New Roman"/>
                <w:color w:val="000000"/>
                <w:sz w:val="22"/>
              </w:rPr>
              <w:t>93</w:t>
            </w:r>
          </w:p>
        </w:tc>
        <w:tc>
          <w:tcPr>
            <w:tcW w:w="870" w:type="dxa"/>
            <w:tcBorders>
              <w:top w:val="single" w:color="000000" w:sz="4" w:space="0"/>
              <w:left w:val="single" w:color="000000" w:sz="4" w:space="0"/>
              <w:bottom w:val="single" w:color="auto" w:sz="4" w:space="0"/>
              <w:right w:val="single" w:color="000000" w:sz="4" w:space="0"/>
            </w:tcBorders>
            <w:noWrap/>
            <w:vAlign w:val="center"/>
          </w:tcPr>
          <w:p>
            <w:pPr>
              <w:ind w:leftChars="-68" w:hanging="143" w:hangingChars="65"/>
              <w:jc w:val="right"/>
              <w:rPr>
                <w:rFonts w:hint="default" w:ascii="Times New Roman" w:hAnsi="Times New Roman" w:eastAsia="宋体" w:cs="Times New Roman"/>
                <w:color w:val="000000"/>
                <w:sz w:val="22"/>
                <w:lang w:eastAsia="zh-CN"/>
              </w:rPr>
            </w:pPr>
            <w:r>
              <w:rPr>
                <w:rFonts w:hint="default" w:ascii="Times New Roman" w:hAnsi="Times New Roman" w:cs="Times New Roman"/>
                <w:color w:val="000000"/>
                <w:sz w:val="22"/>
                <w:lang w:val="en-US" w:eastAsia="zh-CN"/>
              </w:rPr>
              <w:t>7</w:t>
            </w:r>
          </w:p>
        </w:tc>
        <w:tc>
          <w:tcPr>
            <w:tcW w:w="765" w:type="dxa"/>
            <w:tcBorders>
              <w:top w:val="single" w:color="000000" w:sz="4" w:space="0"/>
              <w:left w:val="single" w:color="000000" w:sz="4" w:space="0"/>
              <w:bottom w:val="single" w:color="auto" w:sz="4" w:space="0"/>
              <w:right w:val="single" w:color="000000" w:sz="4" w:space="0"/>
            </w:tcBorders>
            <w:noWrap/>
            <w:vAlign w:val="center"/>
          </w:tcPr>
          <w:p>
            <w:pPr>
              <w:rPr>
                <w:rFonts w:hint="default" w:ascii="Times New Roman" w:hAnsi="Times New Roman" w:cs="Times New Roman"/>
                <w:color w:val="000000"/>
                <w:sz w:val="22"/>
              </w:rPr>
            </w:pPr>
          </w:p>
        </w:tc>
        <w:tc>
          <w:tcPr>
            <w:tcW w:w="1137" w:type="dxa"/>
            <w:vMerge w:val="continue"/>
            <w:tcBorders>
              <w:top w:val="single" w:color="000000" w:sz="4" w:space="0"/>
              <w:left w:val="single" w:color="000000" w:sz="4" w:space="0"/>
              <w:bottom w:val="single" w:color="auto" w:sz="4" w:space="0"/>
              <w:right w:val="single" w:color="000000" w:sz="4" w:space="0"/>
            </w:tcBorders>
            <w:noWrap/>
            <w:vAlign w:val="center"/>
          </w:tcPr>
          <w:p>
            <w:pPr>
              <w:jc w:val="center"/>
              <w:rPr>
                <w:rFonts w:hint="default" w:ascii="Times New Roman" w:hAnsi="Times New Roman" w:cs="Times New Roman"/>
                <w:color w:val="000000"/>
                <w:sz w:val="22"/>
              </w:rPr>
            </w:pPr>
          </w:p>
        </w:tc>
      </w:tr>
    </w:tbl>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六、专业名词解释</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（一）财政拨款收入：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（二）事业收入：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（三）经营收入：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指事业单位在专业业务活动及其辅助活动之外开展非独立核算经营活动取得的现金流入。</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（四）其他收入：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（五）使用非财政拨款结余：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（六）年初结转和结余：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指单位上年结转本年使用的基本支出结转、项目支出结转和结余、经营结余。</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（七）结余分配：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（八）年末结转和结余：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指单位结转下年的基本支出结转、项目支出结转和结余、经营结余。</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（九）基本支出：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（十）项目支出：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（十一）经营支出：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（十二）“三公”经费：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（十三）机关运行经费：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（十四）工资福利支出（支出经济分类科目类级）：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（十五）商品和服务支出（支出经济分类科目类级）：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（十六）对个人和家庭的补助（支出经济分类科目类级）：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反映用于对个人和家庭的补助支出。</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楷体_GBK" w:cs="Times New Roman"/>
          <w:b/>
          <w:sz w:val="32"/>
          <w:szCs w:val="32"/>
        </w:rPr>
      </w:pPr>
      <w:r>
        <w:rPr>
          <w:rFonts w:hint="default" w:ascii="Times New Roman" w:hAnsi="Times New Roman" w:eastAsia="方正楷体_GBK" w:cs="Times New Roman"/>
          <w:b/>
          <w:sz w:val="32"/>
          <w:szCs w:val="32"/>
        </w:rPr>
        <w:t>（十七）其他资本性支出（支出经济分类科目类级）：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七、决算公开联系方式及信息反馈渠道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本单位决算公开信息反馈和联系方式：023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81392007</w:t>
      </w:r>
      <w:r>
        <w:rPr>
          <w:rFonts w:hint="default" w:ascii="Times New Roman" w:hAnsi="Times New Roman" w:eastAsia="方正仿宋_GBK" w:cs="Times New Roman"/>
          <w:sz w:val="32"/>
          <w:szCs w:val="32"/>
          <w:lang w:eastAsia="zh-CN"/>
        </w:rPr>
        <w:t>。</w:t>
      </w:r>
    </w:p>
    <w:sectPr>
      <w:pgSz w:w="11907" w:h="16840"/>
      <w:pgMar w:top="2098" w:right="1531"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HorizontalSpacing w:val="120"/>
  <w:drawingGridVerticalSpacing w:val="163"/>
  <w:displayHorizontalDrawingGridEvery w:val="1"/>
  <w:displayVerticalDrawingGridEvery w:val="1"/>
  <w:noPunctuationKerning w:val="true"/>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E4"/>
    <w:rsid w:val="00022032"/>
    <w:rsid w:val="00073CC0"/>
    <w:rsid w:val="00081238"/>
    <w:rsid w:val="000864B0"/>
    <w:rsid w:val="000B2764"/>
    <w:rsid w:val="000E71A0"/>
    <w:rsid w:val="000F5AC7"/>
    <w:rsid w:val="00122569"/>
    <w:rsid w:val="00122DCC"/>
    <w:rsid w:val="001235EC"/>
    <w:rsid w:val="001343BE"/>
    <w:rsid w:val="001447FA"/>
    <w:rsid w:val="001B1E16"/>
    <w:rsid w:val="001C2FC0"/>
    <w:rsid w:val="001D4585"/>
    <w:rsid w:val="001E0D38"/>
    <w:rsid w:val="001E20B7"/>
    <w:rsid w:val="001E69D3"/>
    <w:rsid w:val="001E74CC"/>
    <w:rsid w:val="001E7F0C"/>
    <w:rsid w:val="001F0030"/>
    <w:rsid w:val="001F398A"/>
    <w:rsid w:val="00211BB7"/>
    <w:rsid w:val="00217682"/>
    <w:rsid w:val="00224798"/>
    <w:rsid w:val="0026625D"/>
    <w:rsid w:val="00283856"/>
    <w:rsid w:val="00287CD6"/>
    <w:rsid w:val="002B0B25"/>
    <w:rsid w:val="002B628D"/>
    <w:rsid w:val="002B63EC"/>
    <w:rsid w:val="002D1334"/>
    <w:rsid w:val="002E6929"/>
    <w:rsid w:val="003140CE"/>
    <w:rsid w:val="00330252"/>
    <w:rsid w:val="0039313F"/>
    <w:rsid w:val="003C6BC4"/>
    <w:rsid w:val="003D3023"/>
    <w:rsid w:val="003D5351"/>
    <w:rsid w:val="00472188"/>
    <w:rsid w:val="00483561"/>
    <w:rsid w:val="00484C7D"/>
    <w:rsid w:val="004927D4"/>
    <w:rsid w:val="00495CFA"/>
    <w:rsid w:val="004A3085"/>
    <w:rsid w:val="004F3AFC"/>
    <w:rsid w:val="00502419"/>
    <w:rsid w:val="00502DC4"/>
    <w:rsid w:val="00546290"/>
    <w:rsid w:val="0055226C"/>
    <w:rsid w:val="00554511"/>
    <w:rsid w:val="005A4E6F"/>
    <w:rsid w:val="005E7587"/>
    <w:rsid w:val="005F7E45"/>
    <w:rsid w:val="006051EC"/>
    <w:rsid w:val="00626C42"/>
    <w:rsid w:val="00645171"/>
    <w:rsid w:val="0064632F"/>
    <w:rsid w:val="00667AFF"/>
    <w:rsid w:val="006965E5"/>
    <w:rsid w:val="006A166F"/>
    <w:rsid w:val="006B18BC"/>
    <w:rsid w:val="006C2A55"/>
    <w:rsid w:val="006E64E4"/>
    <w:rsid w:val="006F7DA1"/>
    <w:rsid w:val="007071B2"/>
    <w:rsid w:val="00730108"/>
    <w:rsid w:val="00751E2E"/>
    <w:rsid w:val="007553D2"/>
    <w:rsid w:val="00796701"/>
    <w:rsid w:val="007A3407"/>
    <w:rsid w:val="007D6D30"/>
    <w:rsid w:val="007D705A"/>
    <w:rsid w:val="007D72DB"/>
    <w:rsid w:val="00800634"/>
    <w:rsid w:val="00810564"/>
    <w:rsid w:val="0082086C"/>
    <w:rsid w:val="00830E00"/>
    <w:rsid w:val="0083588E"/>
    <w:rsid w:val="00850A2B"/>
    <w:rsid w:val="008833A5"/>
    <w:rsid w:val="008A0382"/>
    <w:rsid w:val="008A1F04"/>
    <w:rsid w:val="008B2CA6"/>
    <w:rsid w:val="008D6D35"/>
    <w:rsid w:val="009055C8"/>
    <w:rsid w:val="009227A8"/>
    <w:rsid w:val="00922D23"/>
    <w:rsid w:val="00936255"/>
    <w:rsid w:val="00942646"/>
    <w:rsid w:val="00951247"/>
    <w:rsid w:val="0095395A"/>
    <w:rsid w:val="00956673"/>
    <w:rsid w:val="00990B69"/>
    <w:rsid w:val="00991D43"/>
    <w:rsid w:val="00A23416"/>
    <w:rsid w:val="00A257ED"/>
    <w:rsid w:val="00A34880"/>
    <w:rsid w:val="00A45E03"/>
    <w:rsid w:val="00A63F87"/>
    <w:rsid w:val="00A96CDB"/>
    <w:rsid w:val="00AA13CE"/>
    <w:rsid w:val="00AA35BF"/>
    <w:rsid w:val="00AB2D6B"/>
    <w:rsid w:val="00AD075B"/>
    <w:rsid w:val="00B15366"/>
    <w:rsid w:val="00B41CC4"/>
    <w:rsid w:val="00B44A13"/>
    <w:rsid w:val="00B46985"/>
    <w:rsid w:val="00B46E96"/>
    <w:rsid w:val="00B721C7"/>
    <w:rsid w:val="00B7224E"/>
    <w:rsid w:val="00B81F17"/>
    <w:rsid w:val="00B82294"/>
    <w:rsid w:val="00B961E9"/>
    <w:rsid w:val="00BB1399"/>
    <w:rsid w:val="00BC74AB"/>
    <w:rsid w:val="00BE00E0"/>
    <w:rsid w:val="00C00C97"/>
    <w:rsid w:val="00C159FF"/>
    <w:rsid w:val="00C354E2"/>
    <w:rsid w:val="00C5576C"/>
    <w:rsid w:val="00C634F7"/>
    <w:rsid w:val="00C6660B"/>
    <w:rsid w:val="00C75945"/>
    <w:rsid w:val="00C77D13"/>
    <w:rsid w:val="00C8464F"/>
    <w:rsid w:val="00C85235"/>
    <w:rsid w:val="00C86A4F"/>
    <w:rsid w:val="00C94B0F"/>
    <w:rsid w:val="00CA35A1"/>
    <w:rsid w:val="00CC5DC4"/>
    <w:rsid w:val="00CD783D"/>
    <w:rsid w:val="00CF46ED"/>
    <w:rsid w:val="00D01EF1"/>
    <w:rsid w:val="00D06E92"/>
    <w:rsid w:val="00D172C6"/>
    <w:rsid w:val="00D25FA9"/>
    <w:rsid w:val="00D40863"/>
    <w:rsid w:val="00D82118"/>
    <w:rsid w:val="00D829CF"/>
    <w:rsid w:val="00DA57DA"/>
    <w:rsid w:val="00DA6C1D"/>
    <w:rsid w:val="00DB02A2"/>
    <w:rsid w:val="00DB6206"/>
    <w:rsid w:val="00DD6489"/>
    <w:rsid w:val="00DE24A2"/>
    <w:rsid w:val="00DE4A80"/>
    <w:rsid w:val="00DF3F44"/>
    <w:rsid w:val="00E10093"/>
    <w:rsid w:val="00E23FDF"/>
    <w:rsid w:val="00E410DA"/>
    <w:rsid w:val="00E77E9F"/>
    <w:rsid w:val="00E90A76"/>
    <w:rsid w:val="00E94DD1"/>
    <w:rsid w:val="00EF4CA3"/>
    <w:rsid w:val="00F006B1"/>
    <w:rsid w:val="00F0228B"/>
    <w:rsid w:val="00F10B65"/>
    <w:rsid w:val="00F10DC6"/>
    <w:rsid w:val="00F26FAE"/>
    <w:rsid w:val="00F67EE4"/>
    <w:rsid w:val="00F7624A"/>
    <w:rsid w:val="00FA196B"/>
    <w:rsid w:val="00FB3E5D"/>
    <w:rsid w:val="00FB4AB3"/>
    <w:rsid w:val="00FC62A8"/>
    <w:rsid w:val="00FD4177"/>
    <w:rsid w:val="00FF4E6E"/>
    <w:rsid w:val="00FF762C"/>
    <w:rsid w:val="28834E52"/>
    <w:rsid w:val="2D7661D4"/>
    <w:rsid w:val="43BD638C"/>
    <w:rsid w:val="48B034D9"/>
    <w:rsid w:val="49D97770"/>
    <w:rsid w:val="5F6A112B"/>
    <w:rsid w:val="6BAE4592"/>
    <w:rsid w:val="7FFD2BCA"/>
    <w:rsid w:val="FFFAD4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3"/>
    <w:qFormat/>
    <w:uiPriority w:val="0"/>
    <w:pPr>
      <w:spacing w:beforeAutospacing="0" w:after="120" w:afterAutospacing="0"/>
    </w:pPr>
    <w:rPr>
      <w:rFonts w:ascii="Times New Roman" w:hAnsi="Times New Roman"/>
    </w:rPr>
  </w:style>
  <w:style w:type="paragraph" w:customStyle="1" w:styleId="3">
    <w:name w:val="msonormal"/>
    <w:basedOn w:val="1"/>
    <w:qFormat/>
    <w:uiPriority w:val="0"/>
    <w:pPr>
      <w:spacing w:before="100" w:beforeAutospacing="1" w:after="100" w:afterAutospacing="1"/>
    </w:pPr>
  </w:style>
  <w:style w:type="paragraph" w:styleId="4">
    <w:name w:val="footer"/>
    <w:basedOn w:val="1"/>
    <w:link w:val="13"/>
    <w:unhideWhenUsed/>
    <w:qFormat/>
    <w:uiPriority w:val="0"/>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p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paragraph" w:styleId="11">
    <w:name w:val="List Paragraph"/>
    <w:basedOn w:val="1"/>
    <w:qFormat/>
    <w:uiPriority w:val="34"/>
    <w:pPr>
      <w:ind w:firstLine="420" w:firstLineChars="200"/>
    </w:pPr>
  </w:style>
  <w:style w:type="character" w:customStyle="1" w:styleId="12">
    <w:name w:val=" Char Char1"/>
    <w:link w:val="5"/>
    <w:qFormat/>
    <w:uiPriority w:val="0"/>
    <w:rPr>
      <w:rFonts w:ascii="宋体" w:hAnsi="宋体" w:eastAsia="宋体" w:cs="宋体"/>
      <w:sz w:val="18"/>
      <w:szCs w:val="18"/>
    </w:rPr>
  </w:style>
  <w:style w:type="character" w:customStyle="1" w:styleId="13">
    <w:name w:val=" Char Char"/>
    <w:link w:val="4"/>
    <w:qFormat/>
    <w:uiPriority w:val="0"/>
    <w:rPr>
      <w:rFonts w:ascii="宋体" w:hAnsi="宋体" w:eastAsia="宋体" w:cs="宋体"/>
      <w:sz w:val="18"/>
      <w:szCs w:val="18"/>
    </w:rPr>
  </w:style>
  <w:style w:type="paragraph" w:customStyle="1" w:styleId="14">
    <w:name w:val="普通(网站) Char Char"/>
    <w:basedOn w:val="3"/>
    <w:qFormat/>
    <w:uiPriority w:val="0"/>
  </w:style>
  <w:style w:type="character" w:customStyle="1" w:styleId="15">
    <w:name w:val="15"/>
    <w:basedOn w:val="9"/>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1347</Words>
  <Characters>7683</Characters>
  <Lines>64</Lines>
  <Paragraphs>18</Paragraphs>
  <TotalTime>3</TotalTime>
  <ScaleCrop>false</ScaleCrop>
  <LinksUpToDate>false</LinksUpToDate>
  <CharactersWithSpaces>9012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2022-10-27T04:02:00Z</dcterms:created>
  <dc:creator>ASUS</dc:creator>
  <cp:lastModifiedBy>uos</cp:lastModifiedBy>
  <cp:lastPrinted>2023-09-12T17:02:00Z</cp:lastPrinted>
  <dcterms:modified xsi:type="dcterms:W3CDTF">2023-11-09T21:20:05Z</dcterms:modified>
  <dc:title>公开报告模板</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