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jc w:val="center"/>
        <w:textAlignment w:val="auto"/>
        <w:rPr>
          <w:rFonts w:hint="default" w:ascii="Times New Roman" w:hAnsi="Times New Roman" w:eastAsia="方正小标宋_GBK" w:cs="Times New Roman"/>
          <w:b w:val="0"/>
          <w:bCs w:val="0"/>
          <w:sz w:val="44"/>
          <w:szCs w:val="44"/>
        </w:rPr>
      </w:pPr>
      <w:r>
        <w:rPr>
          <w:rStyle w:val="7"/>
          <w:rFonts w:hint="default" w:ascii="Times New Roman" w:hAnsi="Times New Roman" w:eastAsia="方正小标宋_GBK" w:cs="Times New Roman"/>
          <w:b w:val="0"/>
          <w:bCs w:val="0"/>
          <w:sz w:val="44"/>
          <w:szCs w:val="44"/>
        </w:rPr>
        <w:t>重庆科学城巴福小学校</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jc w:val="center"/>
        <w:textAlignment w:val="auto"/>
        <w:rPr>
          <w:rStyle w:val="7"/>
          <w:rFonts w:hint="default" w:ascii="Times New Roman" w:hAnsi="Times New Roman" w:eastAsia="方正小标宋_GBK" w:cs="Times New Roman"/>
          <w:b w:val="0"/>
          <w:bCs w:val="0"/>
          <w:sz w:val="44"/>
          <w:szCs w:val="44"/>
        </w:rPr>
      </w:pPr>
      <w:r>
        <w:rPr>
          <w:rStyle w:val="7"/>
          <w:rFonts w:hint="default" w:ascii="Times New Roman" w:hAnsi="Times New Roman" w:eastAsia="方正小标宋_GBK" w:cs="Times New Roman"/>
          <w:b w:val="0"/>
          <w:bCs w:val="0"/>
          <w:sz w:val="44"/>
          <w:szCs w:val="44"/>
        </w:rPr>
        <w:t>2022年度部门决算公开说明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jc w:val="center"/>
        <w:textAlignment w:val="auto"/>
        <w:rPr>
          <w:rStyle w:val="7"/>
          <w:rFonts w:hint="default" w:ascii="Times New Roman" w:hAnsi="Times New Roman" w:eastAsia="方正小标宋_GBK" w:cs="Times New Roman"/>
          <w:sz w:val="44"/>
          <w:szCs w:val="44"/>
        </w:rPr>
      </w:pP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sz w:val="32"/>
          <w:szCs w:val="32"/>
        </w:rPr>
      </w:pPr>
      <w:r>
        <w:rPr>
          <w:rStyle w:val="7"/>
          <w:rFonts w:hint="default" w:ascii="Times New Roman" w:hAnsi="Times New Roman" w:eastAsia="方正黑体_GBK" w:cs="Times New Roman"/>
          <w:b w:val="0"/>
          <w:bCs w:val="0"/>
          <w:sz w:val="32"/>
          <w:szCs w:val="32"/>
        </w:rPr>
        <w:t>一、部门基本情况</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（一）职能职责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kern w:val="0"/>
          <w:sz w:val="32"/>
          <w:szCs w:val="32"/>
          <w:shd w:val="clear" w:fill="FFFFFF"/>
        </w:rPr>
      </w:pPr>
      <w:r>
        <w:rPr>
          <w:rFonts w:hint="default" w:ascii="Times New Roman" w:hAnsi="Times New Roman" w:eastAsia="方正仿宋_GBK" w:cs="Times New Roman"/>
          <w:sz w:val="32"/>
          <w:szCs w:val="32"/>
          <w:lang w:val="en-US" w:eastAsia="zh-CN"/>
        </w:rPr>
        <w:t xml:space="preserve"> 实施普通小学义务教育，促进学生全面发展。开展教育教学工作；开展学校德育工作；开展学校体育、卫生、艺术工作；负责学校行政管理工作；开展对外交流工作；维护校园安全，提供后勤保障服务；按政策规定开展学前教育</w:t>
      </w:r>
      <w:r>
        <w:rPr>
          <w:rFonts w:hint="default" w:ascii="Times New Roman" w:hAnsi="Times New Roman" w:eastAsia="方正仿宋_GBK" w:cs="Times New Roman"/>
          <w:color w:val="auto"/>
          <w:kern w:val="2"/>
          <w:sz w:val="32"/>
          <w:szCs w:val="32"/>
          <w:shd w:val="clear" w:fill="FFFFFF"/>
          <w:lang w:val="en-US" w:eastAsia="zh-CN" w:bidi="ar"/>
        </w:rPr>
        <w:t>。</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（二）机构设置</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FF0000"/>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学校下设机构教导处，德育处，后勤处，办公室等机构。</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（三）单位构成</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从预算单位构成看，无二级预算单位纳入本部门2022年度决算编制。</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Style w:val="7"/>
          <w:rFonts w:hint="default" w:ascii="Times New Roman" w:hAnsi="Times New Roman" w:eastAsia="方正黑体_GBK" w:cs="Times New Roman"/>
          <w:sz w:val="32"/>
          <w:szCs w:val="32"/>
        </w:rPr>
      </w:pPr>
      <w:r>
        <w:rPr>
          <w:rStyle w:val="7"/>
          <w:rFonts w:hint="default" w:ascii="Times New Roman" w:hAnsi="Times New Roman" w:eastAsia="方正黑体_GBK" w:cs="Times New Roman"/>
          <w:b w:val="0"/>
          <w:bCs w:val="0"/>
          <w:sz w:val="32"/>
          <w:szCs w:val="32"/>
        </w:rPr>
        <w:t>二、部门决算情况说明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（一）收入支出决算总体情况说明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1.总体情况。</w:t>
      </w:r>
      <w:r>
        <w:rPr>
          <w:rFonts w:hint="default" w:ascii="Times New Roman" w:hAnsi="Times New Roman" w:eastAsia="方正仿宋_GBK" w:cs="Times New Roman"/>
          <w:sz w:val="32"/>
          <w:szCs w:val="32"/>
          <w:lang w:val="en-US" w:eastAsia="zh-CN"/>
        </w:rPr>
        <w:t>2022年度收入总计1,316.04万元，支出总计1,316.04万元。收支较上年决算数减少232.01万元,下降15%，主要原因是2022年教师绩效目标考核奖金调整。</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2.收入情况。</w:t>
      </w:r>
      <w:r>
        <w:rPr>
          <w:rFonts w:hint="default" w:ascii="Times New Roman" w:hAnsi="Times New Roman" w:eastAsia="方正仿宋_GBK" w:cs="Times New Roman"/>
          <w:sz w:val="32"/>
          <w:szCs w:val="32"/>
          <w:lang w:val="en-US" w:eastAsia="zh-CN"/>
        </w:rPr>
        <w:t>2022年度收入合计1,316.04万元，较上年决算数减少232.01万元，下降15%，主要原因是2022年教师绩效目标考核奖金调整。其中：财政拨款收入1,311.00万元，占99.6%；事业收入5.04万元，占0.4%。</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3.支出情况。</w:t>
      </w:r>
      <w:r>
        <w:rPr>
          <w:rFonts w:hint="default" w:ascii="Times New Roman" w:hAnsi="Times New Roman" w:eastAsia="方正仿宋_GBK" w:cs="Times New Roman"/>
          <w:sz w:val="32"/>
          <w:szCs w:val="32"/>
          <w:lang w:val="en-US" w:eastAsia="zh-CN"/>
        </w:rPr>
        <w:t>2022年度支出合计1,316.04万元，较上年决算减少232.01万元，下降15%，主要原因是2022年教师绩效目标考核奖金调整。其中：基本支出1,191.39万元，占90.5%；项目支出124.65万元，占9.5%。</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4.结转结余情况。</w:t>
      </w:r>
      <w:r>
        <w:rPr>
          <w:rFonts w:hint="default" w:ascii="Times New Roman" w:hAnsi="Times New Roman" w:eastAsia="方正仿宋_GBK" w:cs="Times New Roman"/>
          <w:sz w:val="32"/>
          <w:szCs w:val="32"/>
          <w:lang w:val="en-US" w:eastAsia="zh-CN"/>
        </w:rPr>
        <w:t>2022年度年末结转和结余0.00万元，较上年决算数增加0.00万元，增长0%。</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（二）财政拨款收入支出决算总体情况说明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2022年度财政拨款收、支总计1,311.00万元。与2021年相比，财政拨款收、支总计各减少227.60万元，下降14.8%。主要原因是</w:t>
      </w:r>
      <w:r>
        <w:rPr>
          <w:rFonts w:hint="default" w:ascii="Times New Roman" w:hAnsi="Times New Roman" w:eastAsia="方正仿宋_GBK" w:cs="Times New Roman"/>
          <w:sz w:val="32"/>
          <w:szCs w:val="32"/>
          <w:lang w:val="en-US" w:eastAsia="zh-CN"/>
        </w:rPr>
        <w:t>2022年教师绩效目标考核奖金调整。</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Style w:val="7"/>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（三）一般公共预算财政拨款收入支出决算情况说明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1.收入情况。</w:t>
      </w:r>
      <w:r>
        <w:rPr>
          <w:rFonts w:hint="default" w:ascii="Times New Roman" w:hAnsi="Times New Roman" w:eastAsia="方正仿宋_GBK" w:cs="Times New Roman"/>
          <w:sz w:val="32"/>
          <w:szCs w:val="32"/>
          <w:lang w:val="en-US" w:eastAsia="zh-CN"/>
        </w:rPr>
        <w:t>2022年度一般公共预算财政拨款收入1,309.00万元，较上年决算数减少229.60万元，下降14.9%。主要原因是2022年教师绩效目标考核奖金调整。较年初预算数增加5.40万元，增长0.4%。主要原因是社会保障就业支出、住房公积金支出增加。此外，年初财政拨款结转和结余0.00万元。</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2.支出情况。</w:t>
      </w:r>
      <w:r>
        <w:rPr>
          <w:rFonts w:hint="default" w:ascii="Times New Roman" w:hAnsi="Times New Roman" w:eastAsia="方正仿宋_GBK" w:cs="Times New Roman"/>
          <w:sz w:val="32"/>
          <w:szCs w:val="32"/>
          <w:lang w:val="en-US" w:eastAsia="zh-CN"/>
        </w:rPr>
        <w:t>2022年度一般公共预算财政拨款支出1,309.00万元，较上年决算数减少229.60万元，下降14.9%。主要原因是2022年教师绩效目标考核奖金调整。较年初预算数增加5.40万元，增长0.4%。主要原因是社会保障就业支出、住房公积金支出增加。</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3.结转结余情况。</w:t>
      </w:r>
      <w:r>
        <w:rPr>
          <w:rFonts w:hint="default" w:ascii="Times New Roman" w:hAnsi="Times New Roman" w:eastAsia="方正仿宋_GBK" w:cs="Times New Roman"/>
          <w:sz w:val="32"/>
          <w:szCs w:val="32"/>
          <w:lang w:val="en-US" w:eastAsia="zh-CN"/>
        </w:rPr>
        <w:t>2022年度年末一般公共预算财政拨款结转和结余0.00万元，较上年决算数增加0.00万元，增长0%。</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4.比较情况。</w:t>
      </w:r>
      <w:r>
        <w:rPr>
          <w:rFonts w:hint="default" w:ascii="Times New Roman" w:hAnsi="Times New Roman" w:eastAsia="方正仿宋_GBK" w:cs="Times New Roman"/>
          <w:sz w:val="32"/>
          <w:szCs w:val="32"/>
          <w:lang w:val="en-US" w:eastAsia="zh-CN"/>
        </w:rPr>
        <w:t>本部门2022年度一般公共预算财政拨款支出主要用于以下几个方面：</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（1）教育支出1,031.95万元，占78.8%，较年初预算数增加1.13万元，增长0.1%，主要原因是学校大型维修支出增加。</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（8）社会保障与就业支出195.01万元，占14.9%，较年初预算数增加1.57万元，增长0.8%，主要原因是社会保险基数调整，支出增加 。</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（9）卫生健康支出42.12万元，占3.2%，较年初预算数减少1.12万元，下降2.6%，主要原因是退休人员去世，支出减少。</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（19）住房保障支出39.92万元，占3%，较年初预算数增加3.82万元，增长10.6%，主要原因是住房公积金缴费基数调整，支出增加。</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Style w:val="7"/>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（四）一般公共预算财政拨款基本支出决算情况说明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一般公共预算财政拨款基本支出1,186.34万元。其中：人员经费985.93万元，较上年决算数减少270.91万元，下降21.6%，主要原因是2022年教师绩效目标考核奖金调整。人员经费用途主要包括人员经费用途主要包括基本工资、津贴补贴、奖金、社会保障缴费、住房公积金、退休生活补助、抚恤金、医疗费等公用经费200.41万元，较上年决算数减少3.20万元，下降1.6%，主要原因是2022年学生减少，公用支出减少。公用经费用途主要包括主要包括办公费、印刷费、水费、电费、差旅费、邮电费、维修（护）费、培训费、劳务费、工会经费、福利费、其他商品和服务支出、办公设备购置等。</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Style w:val="7"/>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（五）政府性基金预算收支决算情况说明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2022年度政府性基金预算财政拨款年初结转结余0.00万元，年末结转结余0.00万元。本年收入2.00万元，较上年决算数增加2.00万元，增长0%。本年支出2.00万元，较上年决算数增加2.00万元，增长0%。</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Style w:val="7"/>
          <w:rFonts w:hint="default" w:ascii="Times New Roman" w:hAnsi="Times New Roman" w:eastAsia="方正楷体_GBK" w:cs="Times New Roman"/>
          <w:sz w:val="32"/>
          <w:szCs w:val="32"/>
          <w:lang w:val="en-US" w:eastAsia="zh-CN"/>
        </w:rPr>
      </w:pPr>
      <w:r>
        <w:rPr>
          <w:rStyle w:val="7"/>
          <w:rFonts w:hint="default" w:ascii="Times New Roman" w:hAnsi="Times New Roman" w:eastAsia="方正楷体_GBK" w:cs="Times New Roman"/>
          <w:b w:val="0"/>
          <w:bCs w:val="0"/>
          <w:sz w:val="32"/>
          <w:szCs w:val="32"/>
          <w:lang w:val="en-US" w:eastAsia="zh-CN"/>
        </w:rPr>
        <w:t>（六）</w:t>
      </w:r>
      <w:r>
        <w:rPr>
          <w:rFonts w:hint="default" w:ascii="Times New Roman" w:hAnsi="Times New Roman" w:eastAsia="方正楷体_GBK" w:cs="Times New Roman"/>
          <w:b w:val="0"/>
          <w:bCs w:val="0"/>
          <w:kern w:val="0"/>
          <w:sz w:val="32"/>
          <w:szCs w:val="32"/>
        </w:rPr>
        <w:t>国有资本经营预算财政拨款支出决算情况说明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本部门2022年度无国有资本经营预算财政拨款支出。</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b w:val="0"/>
          <w:bCs w:val="0"/>
          <w:sz w:val="32"/>
          <w:szCs w:val="32"/>
        </w:rPr>
      </w:pPr>
      <w:r>
        <w:rPr>
          <w:rStyle w:val="7"/>
          <w:rFonts w:hint="default" w:ascii="Times New Roman" w:hAnsi="Times New Roman" w:eastAsia="方正黑体_GBK" w:cs="Times New Roman"/>
          <w:b w:val="0"/>
          <w:bCs w:val="0"/>
          <w:sz w:val="32"/>
          <w:szCs w:val="32"/>
        </w:rPr>
        <w:t>三、“三公”经费情况说明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本单位2022年度未发生“三公”经费支出”。</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Style w:val="7"/>
          <w:rFonts w:hint="default" w:ascii="Times New Roman" w:hAnsi="Times New Roman" w:eastAsia="方正黑体_GBK" w:cs="Times New Roman"/>
          <w:b w:val="0"/>
          <w:bCs w:val="0"/>
          <w:sz w:val="32"/>
          <w:szCs w:val="32"/>
        </w:rPr>
      </w:pPr>
      <w:r>
        <w:rPr>
          <w:rStyle w:val="7"/>
          <w:rFonts w:hint="default" w:ascii="Times New Roman" w:hAnsi="Times New Roman" w:eastAsia="方正黑体_GBK" w:cs="Times New Roman"/>
          <w:b w:val="0"/>
          <w:bCs w:val="0"/>
          <w:sz w:val="32"/>
          <w:szCs w:val="32"/>
        </w:rPr>
        <w:t>四、其他需要说明的事项</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Style w:val="7"/>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（一）财政拨款会议费和培训费情况说明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本年度会议费支出0.00万元，较上年决算数增加0.00万元，增长</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%。本年度培训费支出5.50万元，较上年决算数增加0.16万元，增长3%，主要原因是</w:t>
      </w:r>
      <w:r>
        <w:rPr>
          <w:rFonts w:hint="default" w:ascii="Times New Roman" w:hAnsi="Times New Roman" w:eastAsia="方正仿宋_GBK" w:cs="Times New Roman"/>
          <w:sz w:val="32"/>
          <w:szCs w:val="32"/>
          <w:lang w:val="en-US" w:eastAsia="zh-CN"/>
        </w:rPr>
        <w:t>加</w:t>
      </w:r>
      <w:bookmarkStart w:id="0" w:name="_GoBack"/>
      <w:bookmarkEnd w:id="0"/>
      <w:r>
        <w:rPr>
          <w:rFonts w:hint="default" w:ascii="Times New Roman" w:hAnsi="Times New Roman" w:eastAsia="方正仿宋_GBK" w:cs="Times New Roman"/>
          <w:sz w:val="32"/>
          <w:szCs w:val="32"/>
          <w:lang w:val="en-US" w:eastAsia="zh-CN"/>
        </w:rPr>
        <w:t>大教师培训力度，外聘专家到校指导教师教学。</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Style w:val="7"/>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（二）机关运行经费支出情况说明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按照部门决算列报口径，我单位不在机关运行经费统计范围之内。</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（三）国有资产占用情况说明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0"/>
          <w:sz w:val="32"/>
          <w:szCs w:val="32"/>
        </w:rPr>
        <w:t>截至2022年12月31日，本单位共有车辆0辆。单价50万元（含）以上通用设备0台（套），单价100万元（含）以上专用设备0台（套）。</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Style w:val="7"/>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（四）政府采购支出说明</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2022年度我单位未发生政府采购事项，无相关经费支出。</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Style w:val="7"/>
          <w:rFonts w:hint="default" w:ascii="Times New Roman" w:hAnsi="Times New Roman" w:eastAsia="方正黑体_GBK" w:cs="Times New Roman"/>
          <w:b w:val="0"/>
          <w:bCs w:val="0"/>
          <w:sz w:val="32"/>
          <w:szCs w:val="32"/>
        </w:rPr>
      </w:pPr>
      <w:r>
        <w:rPr>
          <w:rStyle w:val="7"/>
          <w:rFonts w:hint="default" w:ascii="Times New Roman" w:hAnsi="Times New Roman" w:eastAsia="方正黑体_GBK" w:cs="Times New Roman"/>
          <w:b w:val="0"/>
          <w:bCs w:val="0"/>
          <w:sz w:val="32"/>
          <w:szCs w:val="32"/>
        </w:rPr>
        <w:t>五、预算绩效管理情况说明</w:t>
      </w:r>
    </w:p>
    <w:p>
      <w:pPr>
        <w:autoSpaceDE w:val="0"/>
        <w:spacing w:line="600" w:lineRule="exact"/>
        <w:ind w:firstLine="640" w:firstLineChars="200"/>
        <w:jc w:val="both"/>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（一）预算绩效管理工作开展情况</w:t>
      </w:r>
    </w:p>
    <w:p>
      <w:pPr>
        <w:pStyle w:val="10"/>
        <w:tabs>
          <w:tab w:val="center" w:pos="4153"/>
          <w:tab w:val="left" w:pos="7275"/>
        </w:tabs>
        <w:spacing w:line="600" w:lineRule="exact"/>
        <w:ind w:firstLine="640"/>
        <w:jc w:val="both"/>
        <w:rPr>
          <w:rFonts w:hint="default" w:ascii="Times New Roman" w:hAnsi="Times New Roman" w:eastAsia="方正仿宋_GBK" w:cs="Times New Roman"/>
          <w:b w:val="0"/>
          <w:bCs/>
          <w:sz w:val="32"/>
          <w:szCs w:val="32"/>
          <w:shd w:val="clear" w:color="auto" w:fill="FFFFFF"/>
        </w:rPr>
      </w:pPr>
      <w:r>
        <w:rPr>
          <w:rFonts w:hint="default" w:ascii="Times New Roman" w:hAnsi="Times New Roman" w:eastAsia="方正仿宋_GBK" w:cs="Times New Roman"/>
          <w:b w:val="0"/>
          <w:bCs/>
          <w:sz w:val="32"/>
          <w:szCs w:val="32"/>
          <w:shd w:val="clear" w:color="auto" w:fill="FFFFFF"/>
        </w:rPr>
        <w:t>根据预算绩效管理要求，我</w:t>
      </w:r>
      <w:r>
        <w:rPr>
          <w:rFonts w:hint="default" w:ascii="Times New Roman" w:hAnsi="Times New Roman" w:eastAsia="方正仿宋_GBK" w:cs="Times New Roman"/>
          <w:b w:val="0"/>
          <w:bCs/>
          <w:sz w:val="32"/>
          <w:szCs w:val="32"/>
          <w:shd w:val="clear" w:color="auto" w:fill="FFFFFF"/>
          <w:lang w:eastAsia="zh-CN"/>
        </w:rPr>
        <w:t>单位</w:t>
      </w:r>
      <w:r>
        <w:rPr>
          <w:rFonts w:hint="default" w:ascii="Times New Roman" w:hAnsi="Times New Roman" w:eastAsia="方正仿宋_GBK" w:cs="Times New Roman"/>
          <w:b w:val="0"/>
          <w:bCs/>
          <w:sz w:val="32"/>
          <w:szCs w:val="32"/>
          <w:shd w:val="clear" w:color="auto" w:fill="FFFFFF"/>
        </w:rPr>
        <w:t>对部门整体和</w:t>
      </w:r>
      <w:r>
        <w:rPr>
          <w:rFonts w:hint="default" w:ascii="Times New Roman" w:hAnsi="Times New Roman" w:eastAsia="方正仿宋_GBK" w:cs="Times New Roman"/>
          <w:b w:val="0"/>
          <w:bCs/>
          <w:sz w:val="32"/>
          <w:szCs w:val="32"/>
          <w:shd w:val="clear" w:color="auto" w:fill="FFFFFF"/>
          <w:lang w:eastAsia="zh-CN"/>
        </w:rPr>
        <w:t>二级</w:t>
      </w:r>
      <w:r>
        <w:rPr>
          <w:rFonts w:hint="default" w:ascii="Times New Roman" w:hAnsi="Times New Roman" w:eastAsia="方正仿宋_GBK" w:cs="Times New Roman"/>
          <w:b w:val="0"/>
          <w:bCs/>
          <w:sz w:val="32"/>
          <w:szCs w:val="32"/>
          <w:shd w:val="clear" w:color="auto" w:fill="FFFFFF"/>
        </w:rPr>
        <w:t>项目开展了绩效自评，</w:t>
      </w:r>
      <w:r>
        <w:rPr>
          <w:rFonts w:hint="default" w:ascii="Times New Roman" w:hAnsi="Times New Roman" w:eastAsia="方正仿宋_GBK" w:cs="Times New Roman"/>
          <w:b w:val="0"/>
          <w:bCs/>
          <w:sz w:val="32"/>
          <w:szCs w:val="32"/>
          <w:shd w:val="clear" w:color="auto" w:fill="FFFFFF"/>
          <w:lang w:eastAsia="zh-CN"/>
        </w:rPr>
        <w:t>均</w:t>
      </w:r>
      <w:r>
        <w:rPr>
          <w:rFonts w:hint="default" w:ascii="Times New Roman" w:hAnsi="Times New Roman" w:eastAsia="方正仿宋_GBK" w:cs="Times New Roman"/>
          <w:b w:val="0"/>
          <w:bCs/>
          <w:sz w:val="32"/>
          <w:szCs w:val="32"/>
          <w:shd w:val="clear" w:color="auto" w:fill="FFFFFF"/>
        </w:rPr>
        <w:t>以填报自评表形式开展自评，涉及</w:t>
      </w:r>
      <w:r>
        <w:rPr>
          <w:rFonts w:hint="eastAsia" w:ascii="Times New Roman" w:hAnsi="Times New Roman" w:eastAsia="方正仿宋_GBK" w:cs="Times New Roman"/>
          <w:b w:val="0"/>
          <w:bCs/>
          <w:sz w:val="32"/>
          <w:szCs w:val="32"/>
          <w:shd w:val="clear" w:color="auto" w:fill="FFFFFF"/>
          <w:lang w:eastAsia="zh-CN"/>
        </w:rPr>
        <w:t>项目</w:t>
      </w:r>
      <w:r>
        <w:rPr>
          <w:rFonts w:hint="default" w:ascii="Times New Roman" w:hAnsi="Times New Roman" w:eastAsia="方正仿宋_GBK" w:cs="Times New Roman"/>
          <w:b w:val="0"/>
          <w:bCs/>
          <w:sz w:val="32"/>
          <w:szCs w:val="32"/>
          <w:shd w:val="clear" w:color="auto" w:fill="FFFFFF"/>
        </w:rPr>
        <w:t>资金</w:t>
      </w:r>
      <w:r>
        <w:rPr>
          <w:rFonts w:hint="default" w:ascii="Times New Roman" w:hAnsi="Times New Roman" w:eastAsia="方正仿宋_GBK" w:cs="Times New Roman"/>
          <w:b w:val="0"/>
          <w:bCs/>
          <w:sz w:val="32"/>
          <w:szCs w:val="32"/>
          <w:shd w:val="clear" w:color="auto" w:fill="FFFFFF"/>
        </w:rPr>
        <w:t>124.65</w:t>
      </w:r>
      <w:r>
        <w:rPr>
          <w:rFonts w:hint="default" w:ascii="Times New Roman" w:hAnsi="Times New Roman" w:eastAsia="方正仿宋_GBK" w:cs="Times New Roman"/>
          <w:b w:val="0"/>
          <w:bCs/>
          <w:sz w:val="32"/>
          <w:szCs w:val="32"/>
          <w:shd w:val="clear" w:color="auto" w:fill="FFFFFF"/>
        </w:rPr>
        <w:t>万元。</w:t>
      </w:r>
    </w:p>
    <w:p>
      <w:pPr>
        <w:pStyle w:val="11"/>
        <w:autoSpaceDE w:val="0"/>
        <w:spacing w:beforeAutospacing="0" w:afterAutospacing="0" w:line="600" w:lineRule="exact"/>
        <w:ind w:firstLine="640" w:firstLineChars="200"/>
        <w:jc w:val="both"/>
        <w:rPr>
          <w:rFonts w:hint="default" w:ascii="Times New Roman" w:hAnsi="Times New Roman" w:eastAsia="方正仿宋_GBK" w:cs="Times New Roman"/>
          <w:sz w:val="32"/>
          <w:szCs w:val="32"/>
          <w:lang w:val="en-US" w:eastAsia="zh-CN"/>
        </w:rPr>
      </w:pPr>
      <w:r>
        <w:rPr>
          <w:rStyle w:val="8"/>
          <w:rFonts w:hint="default" w:ascii="Times New Roman" w:hAnsi="Times New Roman" w:eastAsia="方正楷体_GBK" w:cs="Times New Roman"/>
          <w:b w:val="0"/>
          <w:bCs/>
          <w:sz w:val="32"/>
          <w:szCs w:val="32"/>
          <w:shd w:val="clear" w:color="auto" w:fill="FFFFFF"/>
        </w:rPr>
        <w:t>（二）绩效自评结果</w:t>
      </w:r>
    </w:p>
    <w:tbl>
      <w:tblPr>
        <w:tblStyle w:val="5"/>
        <w:tblW w:w="9540" w:type="dxa"/>
        <w:jc w:val="center"/>
        <w:tblLayout w:type="fixed"/>
        <w:tblCellMar>
          <w:top w:w="0" w:type="dxa"/>
          <w:left w:w="108" w:type="dxa"/>
          <w:bottom w:w="0" w:type="dxa"/>
          <w:right w:w="108" w:type="dxa"/>
        </w:tblCellMar>
      </w:tblPr>
      <w:tblGrid>
        <w:gridCol w:w="870"/>
        <w:gridCol w:w="963"/>
        <w:gridCol w:w="963"/>
        <w:gridCol w:w="963"/>
        <w:gridCol w:w="82"/>
        <w:gridCol w:w="881"/>
        <w:gridCol w:w="964"/>
        <w:gridCol w:w="330"/>
        <w:gridCol w:w="633"/>
        <w:gridCol w:w="964"/>
        <w:gridCol w:w="964"/>
        <w:gridCol w:w="963"/>
      </w:tblGrid>
      <w:tr>
        <w:tblPrEx>
          <w:tblCellMar>
            <w:top w:w="0" w:type="dxa"/>
            <w:left w:w="108" w:type="dxa"/>
            <w:bottom w:w="0" w:type="dxa"/>
            <w:right w:w="108" w:type="dxa"/>
          </w:tblCellMar>
        </w:tblPrEx>
        <w:trPr>
          <w:trHeight w:val="552" w:hRule="atLeast"/>
          <w:jc w:val="center"/>
        </w:trPr>
        <w:tc>
          <w:tcPr>
            <w:tcW w:w="9540" w:type="dxa"/>
            <w:gridSpan w:val="12"/>
            <w:tcBorders>
              <w:top w:val="nil"/>
              <w:left w:val="nil"/>
              <w:bottom w:val="nil"/>
              <w:right w:val="nil"/>
            </w:tcBorders>
            <w:noWrap w:val="0"/>
            <w:vAlign w:val="center"/>
          </w:tcPr>
          <w:p>
            <w:pPr>
              <w:widowControl/>
              <w:jc w:val="center"/>
              <w:textAlignment w:val="center"/>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kern w:val="0"/>
                <w:sz w:val="36"/>
                <w:szCs w:val="36"/>
                <w:lang w:bidi="ar"/>
              </w:rPr>
              <w:t>重庆科学城巴福小学校2022年度部门整体绩效自评表</w:t>
            </w:r>
          </w:p>
        </w:tc>
      </w:tr>
      <w:tr>
        <w:tblPrEx>
          <w:tblCellMar>
            <w:top w:w="0" w:type="dxa"/>
            <w:left w:w="108" w:type="dxa"/>
            <w:bottom w:w="0" w:type="dxa"/>
            <w:right w:w="108"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主管</w:t>
            </w:r>
            <w:r>
              <w:rPr>
                <w:rFonts w:hint="default" w:ascii="Times New Roman" w:hAnsi="Times New Roman" w:eastAsia="方正仿宋_GBK" w:cs="Times New Roman"/>
                <w:color w:val="000000"/>
                <w:kern w:val="0"/>
                <w:sz w:val="18"/>
                <w:szCs w:val="18"/>
                <w:lang w:val="en-US" w:eastAsia="zh-CN" w:bidi="ar"/>
              </w:rPr>
              <w:t xml:space="preserve">   </w:t>
            </w:r>
            <w:r>
              <w:rPr>
                <w:rFonts w:hint="default" w:ascii="Times New Roman" w:hAnsi="Times New Roman" w:eastAsia="方正仿宋_GBK" w:cs="Times New Roman"/>
                <w:color w:val="000000"/>
                <w:kern w:val="0"/>
                <w:sz w:val="18"/>
                <w:szCs w:val="18"/>
                <w:lang w:bidi="ar"/>
              </w:rPr>
              <w:t>部门</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val="en-US" w:eastAsia="zh-CN" w:bidi="ar"/>
              </w:rPr>
              <w:t>重庆高新区公共服务局</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color w:val="000000"/>
                <w:kern w:val="0"/>
                <w:sz w:val="18"/>
                <w:szCs w:val="18"/>
                <w:lang w:bidi="ar"/>
              </w:rPr>
              <w:t>部门</w:t>
            </w:r>
          </w:p>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联系人</w:t>
            </w:r>
          </w:p>
        </w:tc>
        <w:tc>
          <w:tcPr>
            <w:tcW w:w="1926"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eastAsia="方正仿宋_GBK" w:cs="Times New Roman"/>
                <w:color w:val="000000"/>
                <w:kern w:val="0"/>
                <w:sz w:val="18"/>
                <w:szCs w:val="18"/>
                <w:lang w:val="en-US" w:eastAsia="zh-CN" w:bidi="ar"/>
              </w:rPr>
              <w:t>隆斌</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联系电话</w:t>
            </w:r>
          </w:p>
        </w:tc>
        <w:tc>
          <w:tcPr>
            <w:tcW w:w="192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65760105</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color w:val="000000"/>
                <w:kern w:val="0"/>
                <w:sz w:val="18"/>
                <w:szCs w:val="18"/>
                <w:lang w:bidi="ar"/>
              </w:rPr>
              <w:t>自评总分</w:t>
            </w:r>
          </w:p>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（分）</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color w:val="000000"/>
                <w:sz w:val="20"/>
                <w:szCs w:val="20"/>
                <w:lang w:val="en-US" w:eastAsia="zh-CN"/>
              </w:rPr>
            </w:pPr>
            <w:r>
              <w:rPr>
                <w:rFonts w:hint="default" w:ascii="Times New Roman" w:hAnsi="Times New Roman" w:cs="Times New Roman"/>
                <w:color w:val="000000"/>
                <w:sz w:val="20"/>
                <w:szCs w:val="20"/>
                <w:lang w:val="en-US" w:eastAsia="zh-CN"/>
              </w:rPr>
              <w:t>98</w:t>
            </w:r>
          </w:p>
        </w:tc>
      </w:tr>
      <w:tr>
        <w:tblPrEx>
          <w:tblCellMar>
            <w:top w:w="0" w:type="dxa"/>
            <w:left w:w="108" w:type="dxa"/>
            <w:bottom w:w="0" w:type="dxa"/>
            <w:right w:w="108" w:type="dxa"/>
          </w:tblCellMar>
        </w:tblPrEx>
        <w:trPr>
          <w:trHeight w:val="450"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color w:val="000000"/>
                <w:kern w:val="0"/>
                <w:sz w:val="18"/>
                <w:szCs w:val="18"/>
                <w:lang w:bidi="ar"/>
              </w:rPr>
              <w:t>当年绩效</w:t>
            </w:r>
          </w:p>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目标</w:t>
            </w:r>
          </w:p>
        </w:tc>
        <w:tc>
          <w:tcPr>
            <w:tcW w:w="297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年初绩效目标</w:t>
            </w:r>
          </w:p>
        </w:tc>
        <w:tc>
          <w:tcPr>
            <w:tcW w:w="2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全年（调整）绩效目标</w:t>
            </w:r>
          </w:p>
        </w:tc>
        <w:tc>
          <w:tcPr>
            <w:tcW w:w="352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全年目标实际完成情况</w:t>
            </w:r>
          </w:p>
        </w:tc>
      </w:tr>
      <w:tr>
        <w:tblPrEx>
          <w:tblCellMar>
            <w:top w:w="0" w:type="dxa"/>
            <w:left w:w="108" w:type="dxa"/>
            <w:bottom w:w="0" w:type="dxa"/>
            <w:right w:w="108" w:type="dxa"/>
          </w:tblCellMar>
        </w:tblPrEx>
        <w:trPr>
          <w:trHeight w:val="129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p>
        </w:tc>
        <w:tc>
          <w:tcPr>
            <w:tcW w:w="2971"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全面贯彻落实党和国家教育方针政策，坚持五育并举，落实立德树人根本任务，办人民满意教育。</w:t>
            </w:r>
          </w:p>
          <w:p>
            <w:pPr>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1、开展学校各项教育活动，开齐上足国家规定课程，保质保量完成各项教育工作，促进学生德智体美劳全面发展。</w:t>
            </w:r>
          </w:p>
          <w:p>
            <w:pPr>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2、加强教师队伍建设和学习培训，深化教学教研，助力教师专业成长，提升教师教育教学水平。</w:t>
            </w:r>
          </w:p>
          <w:p>
            <w:pPr>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3、加强校园安全教育管理，维护校园安全，保证学校安全平稳运行，杜绝安全事故。</w:t>
            </w:r>
          </w:p>
          <w:p>
            <w:pPr>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4、预算、决算信息及时公开</w:t>
            </w:r>
          </w:p>
          <w:p>
            <w:pPr>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5、建立健全管理制度，合理合规使用经费，保障国有资产安全。</w:t>
            </w:r>
          </w:p>
        </w:tc>
        <w:tc>
          <w:tcPr>
            <w:tcW w:w="217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p>
        </w:tc>
        <w:tc>
          <w:tcPr>
            <w:tcW w:w="352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全面贯彻落实党和国家教育方针政策，坚持五育并举，落实立德树人根本任务，办人民满意教育。</w:t>
            </w:r>
          </w:p>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1、开展学校各项教育活动，开齐上足国家规定课程，保质保量完成各项教育工作，促进学生德智体美劳全面发展。</w:t>
            </w:r>
          </w:p>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2、加强教师队伍建设和学习培训，深化教学教研，助力教师专业成长，提升教师教育教学水平。</w:t>
            </w:r>
          </w:p>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3、加强校园安全教育管理，维护校园安全，保证学校安全平稳运行，杜绝安全事故。</w:t>
            </w:r>
          </w:p>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4、预算、决算信息及时公开</w:t>
            </w:r>
          </w:p>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5、建立健全管理制度，合理合规使用经费，保障国有资产安全。</w:t>
            </w:r>
          </w:p>
        </w:tc>
      </w:tr>
      <w:tr>
        <w:tblPrEx>
          <w:tblCellMar>
            <w:top w:w="0" w:type="dxa"/>
            <w:left w:w="108" w:type="dxa"/>
            <w:bottom w:w="0" w:type="dxa"/>
            <w:right w:w="108" w:type="dxa"/>
          </w:tblCellMar>
        </w:tblPrEx>
        <w:trPr>
          <w:trHeight w:val="67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绩效指标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指标名称</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color w:val="000000"/>
                <w:kern w:val="0"/>
                <w:sz w:val="18"/>
                <w:szCs w:val="18"/>
                <w:lang w:bidi="ar"/>
              </w:rPr>
              <w:t>计量</w:t>
            </w:r>
          </w:p>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单位</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color w:val="000000"/>
                <w:kern w:val="0"/>
                <w:sz w:val="18"/>
                <w:szCs w:val="18"/>
                <w:lang w:bidi="ar"/>
              </w:rPr>
              <w:t>指标</w:t>
            </w:r>
          </w:p>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性质</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指标值</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color w:val="000000"/>
                <w:kern w:val="0"/>
                <w:sz w:val="18"/>
                <w:szCs w:val="18"/>
                <w:lang w:bidi="ar"/>
              </w:rPr>
              <w:t>指标权重</w:t>
            </w:r>
          </w:p>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（分）</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color w:val="000000"/>
                <w:kern w:val="0"/>
                <w:sz w:val="18"/>
                <w:szCs w:val="18"/>
                <w:lang w:bidi="ar"/>
              </w:rPr>
              <w:t>全年</w:t>
            </w:r>
          </w:p>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完成值</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color w:val="000000"/>
                <w:kern w:val="0"/>
                <w:sz w:val="18"/>
                <w:szCs w:val="18"/>
                <w:lang w:bidi="ar"/>
              </w:rPr>
              <w:t>指标得分</w:t>
            </w:r>
          </w:p>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（分）</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说明</w:t>
            </w:r>
          </w:p>
        </w:tc>
      </w:tr>
      <w:tr>
        <w:tblPrEx>
          <w:tblCellMar>
            <w:top w:w="0" w:type="dxa"/>
            <w:left w:w="108" w:type="dxa"/>
            <w:bottom w:w="0" w:type="dxa"/>
            <w:right w:w="108" w:type="dxa"/>
          </w:tblCellMar>
        </w:tblPrEx>
        <w:trPr>
          <w:trHeight w:val="64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预算执行率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64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管理制度健全性</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定性</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健全</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健全</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64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资金使用合规率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64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预决算公开及时性</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定性</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及时</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及时</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64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资产管理安全</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定性</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安全</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安全</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64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固定资产利用率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95%</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5</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95</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4</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64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教学工作完成率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95%</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96</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9.5</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64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教学合格率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95%</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96</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9.5</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64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教师学习培训覆盖率</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95%</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64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校园安全事故</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次</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10</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64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default" w:ascii="Times New Roman" w:hAnsi="Times New Roman" w:eastAsia="方正仿宋_GBK" w:cs="Times New Roman"/>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学生满意度</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5</w:t>
            </w:r>
          </w:p>
        </w:tc>
        <w:tc>
          <w:tcPr>
            <w:tcW w:w="9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95</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5</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0"/>
                <w:szCs w:val="20"/>
              </w:rPr>
            </w:pPr>
          </w:p>
        </w:tc>
      </w:tr>
    </w:tbl>
    <w:p>
      <w:pPr>
        <w:pStyle w:val="10"/>
        <w:tabs>
          <w:tab w:val="center" w:pos="4153"/>
          <w:tab w:val="left" w:pos="7275"/>
        </w:tabs>
        <w:spacing w:line="596" w:lineRule="exact"/>
        <w:ind w:firstLine="0" w:firstLineChars="0"/>
        <w:rPr>
          <w:rFonts w:hint="default" w:ascii="Times New Roman" w:hAnsi="Times New Roman" w:eastAsia="方正仿宋_GBK" w:cs="Times New Roman"/>
          <w:kern w:val="0"/>
          <w:sz w:val="32"/>
          <w:szCs w:val="32"/>
        </w:rPr>
      </w:pPr>
    </w:p>
    <w:p>
      <w:pPr>
        <w:pStyle w:val="10"/>
        <w:tabs>
          <w:tab w:val="center" w:pos="4153"/>
          <w:tab w:val="left" w:pos="7275"/>
        </w:tabs>
        <w:spacing w:line="596" w:lineRule="exact"/>
        <w:ind w:firstLine="640"/>
        <w:rPr>
          <w:rFonts w:hint="default" w:ascii="Times New Roman" w:hAnsi="Times New Roman" w:eastAsia="方正仿宋_GBK" w:cs="Times New Roman"/>
          <w:kern w:val="0"/>
          <w:sz w:val="32"/>
          <w:szCs w:val="32"/>
        </w:rPr>
      </w:pPr>
    </w:p>
    <w:p>
      <w:pPr>
        <w:pStyle w:val="10"/>
        <w:tabs>
          <w:tab w:val="center" w:pos="4153"/>
          <w:tab w:val="left" w:pos="7275"/>
        </w:tabs>
        <w:spacing w:line="596" w:lineRule="exact"/>
        <w:ind w:firstLine="640"/>
        <w:rPr>
          <w:rFonts w:hint="default" w:ascii="Times New Roman" w:hAnsi="Times New Roman" w:eastAsia="方正仿宋_GBK" w:cs="Times New Roman"/>
          <w:kern w:val="0"/>
          <w:sz w:val="32"/>
          <w:szCs w:val="32"/>
        </w:rPr>
      </w:pPr>
    </w:p>
    <w:tbl>
      <w:tblPr>
        <w:tblStyle w:val="5"/>
        <w:tblW w:w="8356" w:type="dxa"/>
        <w:tblInd w:w="93" w:type="dxa"/>
        <w:tblLayout w:type="fixed"/>
        <w:tblCellMar>
          <w:top w:w="0" w:type="dxa"/>
          <w:left w:w="108" w:type="dxa"/>
          <w:bottom w:w="0" w:type="dxa"/>
          <w:right w:w="108" w:type="dxa"/>
        </w:tblCellMar>
      </w:tblPr>
      <w:tblGrid>
        <w:gridCol w:w="600"/>
        <w:gridCol w:w="1096"/>
        <w:gridCol w:w="675"/>
        <w:gridCol w:w="720"/>
        <w:gridCol w:w="842"/>
        <w:gridCol w:w="664"/>
        <w:gridCol w:w="667"/>
        <w:gridCol w:w="945"/>
        <w:gridCol w:w="682"/>
        <w:gridCol w:w="685"/>
        <w:gridCol w:w="780"/>
      </w:tblGrid>
      <w:tr>
        <w:tblPrEx>
          <w:tblCellMar>
            <w:top w:w="0" w:type="dxa"/>
            <w:left w:w="108" w:type="dxa"/>
            <w:bottom w:w="0" w:type="dxa"/>
            <w:right w:w="108" w:type="dxa"/>
          </w:tblCellMar>
        </w:tblPrEx>
        <w:trPr>
          <w:trHeight w:val="780" w:hRule="atLeast"/>
        </w:trPr>
        <w:tc>
          <w:tcPr>
            <w:tcW w:w="8356" w:type="dxa"/>
            <w:gridSpan w:val="11"/>
            <w:tcBorders>
              <w:top w:val="nil"/>
              <w:left w:val="nil"/>
              <w:bottom w:val="single" w:color="000000" w:sz="4" w:space="0"/>
              <w:right w:val="nil"/>
            </w:tcBorders>
            <w:noWrap/>
            <w:vAlign w:val="center"/>
          </w:tcPr>
          <w:p>
            <w:pPr>
              <w:widowControl/>
              <w:jc w:val="center"/>
              <w:textAlignment w:val="center"/>
              <w:rPr>
                <w:rFonts w:hint="default" w:ascii="Times New Roman" w:hAnsi="Times New Roman" w:eastAsia="方正小标宋_GBK" w:cs="Times New Roman"/>
                <w:color w:val="000000"/>
                <w:kern w:val="0"/>
                <w:sz w:val="36"/>
                <w:szCs w:val="36"/>
                <w:lang w:bidi="ar"/>
              </w:rPr>
            </w:pPr>
            <w:r>
              <w:rPr>
                <w:rFonts w:hint="default" w:ascii="Times New Roman" w:hAnsi="Times New Roman" w:eastAsia="方正小标宋_GBK" w:cs="Times New Roman"/>
                <w:color w:val="000000"/>
                <w:kern w:val="0"/>
                <w:sz w:val="36"/>
                <w:szCs w:val="36"/>
                <w:lang w:bidi="ar"/>
              </w:rPr>
              <w:t>重庆科学城巴福小学校2022年度</w:t>
            </w:r>
          </w:p>
          <w:p>
            <w:pPr>
              <w:widowControl/>
              <w:jc w:val="center"/>
              <w:textAlignment w:val="center"/>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kern w:val="0"/>
                <w:sz w:val="36"/>
                <w:szCs w:val="36"/>
                <w:lang w:bidi="ar"/>
              </w:rPr>
              <w:t>项目支出绩效自评表</w:t>
            </w:r>
          </w:p>
        </w:tc>
      </w:tr>
      <w:tr>
        <w:tblPrEx>
          <w:tblCellMar>
            <w:top w:w="0" w:type="dxa"/>
            <w:left w:w="108" w:type="dxa"/>
            <w:bottom w:w="0" w:type="dxa"/>
            <w:right w:w="108" w:type="dxa"/>
          </w:tblCellMar>
        </w:tblPrEx>
        <w:trPr>
          <w:trHeight w:val="968" w:hRule="atLeast"/>
        </w:trPr>
        <w:tc>
          <w:tcPr>
            <w:tcW w:w="60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序号</w:t>
            </w:r>
          </w:p>
        </w:tc>
        <w:tc>
          <w:tcPr>
            <w:tcW w:w="109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项目名称</w:t>
            </w:r>
          </w:p>
        </w:tc>
        <w:tc>
          <w:tcPr>
            <w:tcW w:w="6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指标名称</w:t>
            </w:r>
          </w:p>
        </w:tc>
        <w:tc>
          <w:tcPr>
            <w:tcW w:w="72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指标性质</w:t>
            </w:r>
          </w:p>
        </w:tc>
        <w:tc>
          <w:tcPr>
            <w:tcW w:w="84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指标值</w:t>
            </w:r>
          </w:p>
        </w:tc>
        <w:tc>
          <w:tcPr>
            <w:tcW w:w="66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计量单位</w:t>
            </w:r>
          </w:p>
        </w:tc>
        <w:tc>
          <w:tcPr>
            <w:tcW w:w="66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指标权重</w:t>
            </w:r>
          </w:p>
        </w:tc>
        <w:tc>
          <w:tcPr>
            <w:tcW w:w="94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全年完成值</w:t>
            </w:r>
          </w:p>
        </w:tc>
        <w:tc>
          <w:tcPr>
            <w:tcW w:w="68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指标得分</w:t>
            </w:r>
          </w:p>
        </w:tc>
        <w:tc>
          <w:tcPr>
            <w:tcW w:w="68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说明</w:t>
            </w:r>
          </w:p>
        </w:tc>
        <w:tc>
          <w:tcPr>
            <w:tcW w:w="78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自评得分</w:t>
            </w:r>
          </w:p>
        </w:tc>
      </w:tr>
      <w:tr>
        <w:tblPrEx>
          <w:tblCellMar>
            <w:top w:w="0" w:type="dxa"/>
            <w:left w:w="108" w:type="dxa"/>
            <w:bottom w:w="0" w:type="dxa"/>
            <w:right w:w="108" w:type="dxa"/>
          </w:tblCellMar>
        </w:tblPrEx>
        <w:trPr>
          <w:trHeight w:val="432" w:hRule="atLeast"/>
        </w:trPr>
        <w:tc>
          <w:tcPr>
            <w:tcW w:w="600" w:type="dxa"/>
            <w:vMerge w:val="restart"/>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lang w:bidi="ar"/>
              </w:rPr>
              <w:t>1</w:t>
            </w:r>
          </w:p>
        </w:tc>
        <w:tc>
          <w:tcPr>
            <w:tcW w:w="1096"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非编人员</w:t>
            </w:r>
          </w:p>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工资</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0"/>
                <w:szCs w:val="20"/>
                <w:u w:val="none"/>
                <w:lang w:val="en-US" w:eastAsia="zh-CN" w:bidi="ar"/>
              </w:rPr>
              <w:t>产出指标</w:t>
            </w:r>
          </w:p>
        </w:tc>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0"/>
                <w:szCs w:val="20"/>
                <w:u w:val="none"/>
                <w:lang w:val="en-US" w:eastAsia="zh-CN" w:bidi="ar"/>
              </w:rPr>
              <w:t>＝</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100</w:t>
            </w:r>
          </w:p>
        </w:tc>
        <w:tc>
          <w:tcPr>
            <w:tcW w:w="6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66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30</w:t>
            </w:r>
          </w:p>
        </w:tc>
        <w:tc>
          <w:tcPr>
            <w:tcW w:w="94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lang w:val="en-US" w:eastAsia="zh-CN"/>
              </w:rPr>
              <w:t>100</w:t>
            </w:r>
          </w:p>
        </w:tc>
        <w:tc>
          <w:tcPr>
            <w:tcW w:w="68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30</w:t>
            </w:r>
          </w:p>
        </w:tc>
        <w:tc>
          <w:tcPr>
            <w:tcW w:w="685"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2"/>
              </w:rPr>
            </w:pPr>
          </w:p>
        </w:tc>
        <w:tc>
          <w:tcPr>
            <w:tcW w:w="78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100</w:t>
            </w:r>
          </w:p>
        </w:tc>
      </w:tr>
      <w:tr>
        <w:tblPrEx>
          <w:tblCellMar>
            <w:top w:w="0" w:type="dxa"/>
            <w:left w:w="108" w:type="dxa"/>
            <w:bottom w:w="0" w:type="dxa"/>
            <w:right w:w="108" w:type="dxa"/>
          </w:tblCellMar>
        </w:tblPrEx>
        <w:trPr>
          <w:trHeight w:val="432" w:hRule="atLeast"/>
        </w:trPr>
        <w:tc>
          <w:tcPr>
            <w:tcW w:w="600" w:type="dxa"/>
            <w:vMerge w:val="continue"/>
            <w:tcBorders>
              <w:top w:val="single" w:color="auto" w:sz="4" w:space="0"/>
              <w:left w:val="single" w:color="auto" w:sz="4" w:space="0"/>
              <w:right w:val="single" w:color="000000" w:sz="4" w:space="0"/>
            </w:tcBorders>
            <w:noWrap/>
            <w:vAlign w:val="center"/>
          </w:tcPr>
          <w:p>
            <w:pPr>
              <w:jc w:val="center"/>
              <w:textAlignment w:val="center"/>
              <w:rPr>
                <w:rFonts w:hint="default" w:ascii="Times New Roman" w:hAnsi="Times New Roman" w:cs="Times New Roman"/>
                <w:color w:val="000000"/>
                <w:sz w:val="22"/>
              </w:rPr>
            </w:pPr>
          </w:p>
        </w:tc>
        <w:tc>
          <w:tcPr>
            <w:tcW w:w="1096" w:type="dxa"/>
            <w:vMerge w:val="continue"/>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p>
        </w:tc>
        <w:tc>
          <w:tcPr>
            <w:tcW w:w="67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0"/>
                <w:szCs w:val="20"/>
                <w:u w:val="none"/>
                <w:lang w:val="en-US" w:eastAsia="zh-CN" w:bidi="ar"/>
              </w:rPr>
              <w:t>效益指标</w:t>
            </w:r>
          </w:p>
        </w:tc>
        <w:tc>
          <w:tcPr>
            <w:tcW w:w="72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0"/>
                <w:szCs w:val="20"/>
                <w:u w:val="none"/>
                <w:lang w:val="en-US" w:eastAsia="zh-CN" w:bidi="ar"/>
              </w:rPr>
              <w:t>≥</w:t>
            </w:r>
          </w:p>
        </w:tc>
        <w:tc>
          <w:tcPr>
            <w:tcW w:w="842" w:type="dxa"/>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95</w:t>
            </w:r>
          </w:p>
        </w:tc>
        <w:tc>
          <w:tcPr>
            <w:tcW w:w="664" w:type="dxa"/>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667" w:type="dxa"/>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30</w:t>
            </w:r>
          </w:p>
        </w:tc>
        <w:tc>
          <w:tcPr>
            <w:tcW w:w="945" w:type="dxa"/>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lang w:val="en-US" w:eastAsia="zh-CN"/>
              </w:rPr>
              <w:t>96</w:t>
            </w:r>
          </w:p>
        </w:tc>
        <w:tc>
          <w:tcPr>
            <w:tcW w:w="682" w:type="dxa"/>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30</w:t>
            </w:r>
          </w:p>
        </w:tc>
        <w:tc>
          <w:tcPr>
            <w:tcW w:w="685" w:type="dxa"/>
            <w:tcBorders>
              <w:top w:val="single" w:color="auto" w:sz="4" w:space="0"/>
              <w:left w:val="single" w:color="000000" w:sz="4" w:space="0"/>
              <w:bottom w:val="single" w:color="000000" w:sz="4" w:space="0"/>
              <w:right w:val="single" w:color="000000" w:sz="4" w:space="0"/>
            </w:tcBorders>
            <w:noWrap/>
            <w:vAlign w:val="center"/>
          </w:tcPr>
          <w:p>
            <w:pPr>
              <w:rPr>
                <w:rFonts w:hint="default" w:ascii="Times New Roman" w:hAnsi="Times New Roman" w:cs="Times New Roman"/>
                <w:color w:val="000000"/>
                <w:sz w:val="22"/>
              </w:rPr>
            </w:pPr>
          </w:p>
        </w:tc>
        <w:tc>
          <w:tcPr>
            <w:tcW w:w="780" w:type="dxa"/>
            <w:vMerge w:val="continue"/>
            <w:tcBorders>
              <w:top w:val="single" w:color="auto" w:sz="4" w:space="0"/>
              <w:left w:val="single" w:color="000000" w:sz="4" w:space="0"/>
              <w:bottom w:val="single" w:color="000000" w:sz="4" w:space="0"/>
              <w:right w:val="single" w:color="auto" w:sz="4" w:space="0"/>
            </w:tcBorders>
            <w:noWrap/>
            <w:vAlign w:val="center"/>
          </w:tcPr>
          <w:p>
            <w:pPr>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auto" w:sz="4" w:space="0"/>
              <w:right w:val="single" w:color="000000" w:sz="4" w:space="0"/>
            </w:tcBorders>
            <w:noWrap/>
            <w:vAlign w:val="center"/>
          </w:tcPr>
          <w:p>
            <w:pPr>
              <w:jc w:val="center"/>
              <w:textAlignment w:val="center"/>
              <w:rPr>
                <w:rFonts w:hint="default" w:ascii="Times New Roman" w:hAnsi="Times New Roman" w:cs="Times New Roman"/>
                <w:color w:val="000000"/>
                <w:sz w:val="22"/>
              </w:rPr>
            </w:pPr>
          </w:p>
        </w:tc>
        <w:tc>
          <w:tcPr>
            <w:tcW w:w="1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0"/>
                <w:szCs w:val="20"/>
                <w:u w:val="none"/>
                <w:lang w:val="en-US" w:eastAsia="zh-CN" w:bidi="ar"/>
              </w:rPr>
              <w:t>满意度指标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0"/>
                <w:szCs w:val="20"/>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95</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6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40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lang w:val="en-US" w:eastAsia="zh-CN"/>
              </w:rPr>
              <w:t>98</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40</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cs="Times New Roman"/>
                <w:color w:val="000000"/>
                <w:sz w:val="22"/>
              </w:rPr>
            </w:pPr>
          </w:p>
        </w:tc>
        <w:tc>
          <w:tcPr>
            <w:tcW w:w="780"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default" w:ascii="Times New Roman" w:hAnsi="Times New Roman" w:cs="Times New Roman"/>
                <w:color w:val="000000"/>
                <w:sz w:val="22"/>
              </w:rPr>
            </w:pP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Style w:val="7"/>
          <w:rFonts w:hint="default" w:ascii="Times New Roman" w:hAnsi="Times New Roman" w:eastAsia="方正黑体_GBK" w:cs="Times New Roman"/>
          <w:b w:val="0"/>
          <w:bCs w:val="0"/>
          <w:sz w:val="32"/>
          <w:szCs w:val="32"/>
        </w:rPr>
      </w:pPr>
      <w:r>
        <w:rPr>
          <w:rStyle w:val="7"/>
          <w:rFonts w:hint="default" w:ascii="Times New Roman" w:hAnsi="Times New Roman" w:eastAsia="方正黑体_GBK" w:cs="Times New Roman"/>
          <w:b w:val="0"/>
          <w:bCs w:val="0"/>
          <w:sz w:val="32"/>
          <w:szCs w:val="32"/>
        </w:rPr>
        <w:t>六、专业名词解释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楷体_GBK" w:cs="Times New Roman"/>
          <w:b w:val="0"/>
          <w:bCs w:val="0"/>
          <w:sz w:val="32"/>
          <w:szCs w:val="32"/>
        </w:rPr>
        <w:t>（一）财政拨款收入：</w:t>
      </w:r>
      <w:r>
        <w:rPr>
          <w:rFonts w:hint="default" w:ascii="Times New Roman" w:hAnsi="Times New Roman" w:eastAsia="方正仿宋_GBK" w:cs="Times New Roman"/>
          <w:sz w:val="32"/>
          <w:szCs w:val="32"/>
          <w:lang w:val="en-US" w:eastAsia="zh-CN"/>
        </w:rPr>
        <w:t>指本年度从本级财政部门取得的财政拨款，包括一般公共预算财政拨款和政府性基金预算财政拨款。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（二）事业收入：</w:t>
      </w:r>
      <w:r>
        <w:rPr>
          <w:rFonts w:hint="default"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（三）经营收入：</w:t>
      </w:r>
      <w:r>
        <w:rPr>
          <w:rFonts w:hint="default" w:ascii="Times New Roman" w:hAnsi="Times New Roman" w:eastAsia="方正仿宋_GBK" w:cs="Times New Roman"/>
          <w:sz w:val="32"/>
          <w:szCs w:val="32"/>
        </w:rPr>
        <w:t>指事业单位在专业业务活动及其辅助活动之外开展非独立核算经营活动取得的现金流入。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（四）其他收入：</w:t>
      </w:r>
      <w:r>
        <w:rPr>
          <w:rFonts w:hint="default" w:ascii="Times New Roman" w:hAnsi="Times New Roman" w:eastAsia="方正仿宋_GBK" w:cs="Times New Roman"/>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（五）使用非财政拨款结余：</w:t>
      </w:r>
      <w:r>
        <w:rPr>
          <w:rFonts w:hint="default" w:ascii="Times New Roman" w:hAnsi="Times New Roman" w:eastAsia="方正仿宋_GBK" w:cs="Times New Roman"/>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（六）年初结转和结余：</w:t>
      </w:r>
      <w:r>
        <w:rPr>
          <w:rFonts w:hint="default" w:ascii="Times New Roman" w:hAnsi="Times New Roman" w:eastAsia="方正仿宋_GBK" w:cs="Times New Roman"/>
          <w:sz w:val="32"/>
          <w:szCs w:val="32"/>
        </w:rPr>
        <w:t>指单位上年结转本年使用的基本支出结转、项目支出结转和结余、经营结余。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（七）结余分配：</w:t>
      </w:r>
      <w:r>
        <w:rPr>
          <w:rFonts w:hint="default" w:ascii="Times New Roman" w:hAnsi="Times New Roman" w:eastAsia="方正仿宋_GBK" w:cs="Times New Roman"/>
          <w:sz w:val="32"/>
          <w:szCs w:val="32"/>
        </w:rPr>
        <w:t>指单位按照国家有关规定，缴纳所得税、提取专用基金、转入非财政拨款结余等当年结余的分配情况。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（八）年末结转和结余：</w:t>
      </w:r>
      <w:r>
        <w:rPr>
          <w:rFonts w:hint="default" w:ascii="Times New Roman" w:hAnsi="Times New Roman" w:eastAsia="方正仿宋_GBK" w:cs="Times New Roman"/>
          <w:sz w:val="32"/>
          <w:szCs w:val="32"/>
        </w:rPr>
        <w:t>指单位结转下年的基本支出结转、项目支出结转和结余、经营结余。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（九）基本支出：</w:t>
      </w:r>
      <w:r>
        <w:rPr>
          <w:rFonts w:hint="default"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（十）项目支出：</w:t>
      </w:r>
      <w:r>
        <w:rPr>
          <w:rFonts w:hint="default" w:ascii="Times New Roman" w:hAnsi="Times New Roman" w:eastAsia="方正仿宋_GBK" w:cs="Times New Roman"/>
          <w:sz w:val="32"/>
          <w:szCs w:val="32"/>
        </w:rPr>
        <w:t>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（十一）经营支出</w:t>
      </w:r>
      <w:r>
        <w:rPr>
          <w:rFonts w:hint="default" w:ascii="Times New Roman" w:hAnsi="Times New Roman" w:eastAsia="方正仿宋_GBK" w:cs="Times New Roman"/>
          <w:sz w:val="32"/>
          <w:szCs w:val="32"/>
        </w:rPr>
        <w:t>：指事业单位在专业业务活动及其辅助活动之外开展非独立核算经营活动发生的支出。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（十二）“三公”经费：</w:t>
      </w:r>
      <w:r>
        <w:rPr>
          <w:rFonts w:hint="default" w:ascii="Times New Roman" w:hAnsi="Times New Roman" w:eastAsia="方正仿宋_GBK" w:cs="Times New Roman"/>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（十三）机关运行经费</w:t>
      </w:r>
      <w:r>
        <w:rPr>
          <w:rFonts w:hint="default"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（十四）工资福利支出（支出经济分类科目类级）</w:t>
      </w:r>
      <w:r>
        <w:rPr>
          <w:rFonts w:hint="default" w:ascii="Times New Roman" w:hAnsi="Times New Roman" w:eastAsia="方正仿宋_GBK" w:cs="Times New Roman"/>
          <w:sz w:val="32"/>
          <w:szCs w:val="32"/>
        </w:rPr>
        <w:t>：反映单位开支的在职职工和编制外长期聘用人员的各类劳动报酬，以及为上述人员缴纳的各项社会保险费等。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（十五）商品和服务支出（支出经济分类科目类级）</w:t>
      </w:r>
      <w:r>
        <w:rPr>
          <w:rFonts w:hint="default" w:ascii="Times New Roman" w:hAnsi="Times New Roman" w:eastAsia="方正仿宋_GBK" w:cs="Times New Roman"/>
          <w:sz w:val="32"/>
          <w:szCs w:val="32"/>
        </w:rPr>
        <w:t>：反映单位购买商品和服务的支出（不包括用于购置固定资产的支出、战略性和应急储备支出）。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（十六）对个人和家庭的补助（支出经济分类科目类级）</w:t>
      </w:r>
      <w:r>
        <w:rPr>
          <w:rFonts w:hint="default" w:ascii="Times New Roman" w:hAnsi="Times New Roman" w:eastAsia="方正仿宋_GBK" w:cs="Times New Roman"/>
          <w:sz w:val="32"/>
          <w:szCs w:val="32"/>
        </w:rPr>
        <w:t>：反映用于对个人和家庭的补助支出。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rPr>
        <w:t>（十七）其他资本性支出（支出经济分类科目类级）</w:t>
      </w:r>
      <w:r>
        <w:rPr>
          <w:rFonts w:hint="default"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Style w:val="7"/>
          <w:rFonts w:hint="default" w:ascii="Times New Roman" w:hAnsi="Times New Roman" w:eastAsia="方正黑体_GBK" w:cs="Times New Roman"/>
          <w:b w:val="0"/>
          <w:bCs w:val="0"/>
          <w:sz w:val="32"/>
          <w:szCs w:val="32"/>
        </w:rPr>
      </w:pPr>
      <w:r>
        <w:rPr>
          <w:rStyle w:val="7"/>
          <w:rFonts w:hint="default" w:ascii="Times New Roman" w:hAnsi="Times New Roman" w:eastAsia="方正黑体_GBK" w:cs="Times New Roman"/>
          <w:b w:val="0"/>
          <w:bCs w:val="0"/>
          <w:sz w:val="32"/>
          <w:szCs w:val="32"/>
        </w:rPr>
        <w:t>七、决算公开联系方式及信息反馈渠道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本单位决算公开信息反馈和联系方式： 023-</w:t>
      </w:r>
      <w:r>
        <w:rPr>
          <w:rFonts w:hint="default" w:ascii="Times New Roman" w:hAnsi="Times New Roman" w:eastAsia="方正仿宋_GBK" w:cs="Times New Roman"/>
          <w:sz w:val="32"/>
          <w:szCs w:val="32"/>
          <w:lang w:val="en-US" w:eastAsia="zh-CN"/>
        </w:rPr>
        <w:t>65760105。</w:t>
      </w:r>
    </w:p>
    <w:p>
      <w:pPr>
        <w:pStyle w:val="4"/>
        <w:shd w:val="clear" w:color="auto" w:fill="FFFFFF"/>
        <w:rPr>
          <w:rFonts w:hint="default" w:ascii="Times New Roman" w:hAnsi="Times New Roman" w:cs="Times New Roman"/>
        </w:rPr>
      </w:pPr>
    </w:p>
    <w:sectPr>
      <w:pgSz w:w="11907" w:h="16840"/>
      <w:pgMar w:top="2098" w:right="1531" w:bottom="1984" w:left="1531"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false"/>
  <w:bordersDoNotSurroundFooter w:val="false"/>
  <w:documentProtection w:enforcement="0"/>
  <w:defaultTabStop w:val="420"/>
  <w:drawingGridVerticalSpacing w:val="164"/>
  <w:displayHorizontalDrawingGridEvery w:val="1"/>
  <w:displayVerticalDrawingGridEvery w:val="2"/>
  <w:noPunctuationKerning w:val="true"/>
  <w:characterSpacingControl w:val="doNotCompress"/>
  <w:compat>
    <w:doNotExpandShiftReturn/>
    <w:doNotSnapToGridInCell/>
    <w:doNotWrapTextWithPunct/>
    <w:doNotUseEastAsianBreakRules/>
    <w:growAutofit/>
    <w:useFELayout/>
    <w:doNotUseIndentAsNumberingTabStop/>
    <w:compatSetting w:name="compatibilityMode" w:uri="http://schemas.microsoft.com/office/word" w:val="15"/>
    <w:compatSetting w:name="differentiateMultirowTableHeaders" w:uri="http://schemas.microsoft.com/office/word" w:val="1"/>
  </w:compat>
  <w:docVars>
    <w:docVar w:name="commondata" w:val="eyJoZGlkIjoiNDBiODBkYTZjZGZjNjk1NzE2YTdkNzliMGMzNjU4N2UifQ=="/>
  </w:docVars>
  <w:rsids>
    <w:rsidRoot w:val="00EF40AA"/>
    <w:rsid w:val="002471DB"/>
    <w:rsid w:val="00EF40AA"/>
    <w:rsid w:val="0334789D"/>
    <w:rsid w:val="033C7E8D"/>
    <w:rsid w:val="060B52E5"/>
    <w:rsid w:val="08EF7335"/>
    <w:rsid w:val="0BF91683"/>
    <w:rsid w:val="1008031D"/>
    <w:rsid w:val="11B41C72"/>
    <w:rsid w:val="1382716D"/>
    <w:rsid w:val="153E45AB"/>
    <w:rsid w:val="165D4F05"/>
    <w:rsid w:val="1ACF5D32"/>
    <w:rsid w:val="1BBEF7CC"/>
    <w:rsid w:val="1CFD2DEB"/>
    <w:rsid w:val="24B44889"/>
    <w:rsid w:val="251C1F6F"/>
    <w:rsid w:val="275E212D"/>
    <w:rsid w:val="2A9630A9"/>
    <w:rsid w:val="2F967065"/>
    <w:rsid w:val="313C1E8F"/>
    <w:rsid w:val="33A27285"/>
    <w:rsid w:val="37AD659F"/>
    <w:rsid w:val="3D3103CE"/>
    <w:rsid w:val="3FA81778"/>
    <w:rsid w:val="404A7AF7"/>
    <w:rsid w:val="4B042DBA"/>
    <w:rsid w:val="510734C7"/>
    <w:rsid w:val="5CF96BAD"/>
    <w:rsid w:val="63387D36"/>
    <w:rsid w:val="68721EDE"/>
    <w:rsid w:val="69F66377"/>
    <w:rsid w:val="6BF26D8F"/>
    <w:rsid w:val="6E5B49FB"/>
    <w:rsid w:val="7F427C3D"/>
    <w:rsid w:val="7F8C128F"/>
    <w:rsid w:val="F6E33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3"/>
    <w:semiHidden/>
    <w:unhideWhenUsed/>
    <w:qFormat/>
    <w:uiPriority w:val="99"/>
    <w:pPr>
      <w:spacing w:after="120" w:afterLines="0" w:afterAutospacing="0"/>
    </w:pPr>
  </w:style>
  <w:style w:type="paragraph" w:customStyle="1" w:styleId="3">
    <w:name w:val="msonormal"/>
    <w:basedOn w:val="1"/>
    <w:qFormat/>
    <w:uiPriority w:val="0"/>
    <w:pPr>
      <w:spacing w:beforeAutospacing="1" w:afterAutospacing="1"/>
    </w:p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15"/>
    <w:basedOn w:val="6"/>
    <w:qFormat/>
    <w:uiPriority w:val="0"/>
    <w:rPr>
      <w:rFonts w:hint="default" w:ascii="Times New Roman" w:hAnsi="Times New Roman" w:cs="Times New Roman"/>
      <w:b/>
      <w:bCs/>
    </w:rPr>
  </w:style>
  <w:style w:type="character" w:customStyle="1" w:styleId="9">
    <w:name w:val="16"/>
    <w:basedOn w:val="6"/>
    <w:qFormat/>
    <w:uiPriority w:val="0"/>
    <w:rPr>
      <w:rFonts w:hint="default" w:ascii="Times New Roman" w:hAnsi="Times New Roman" w:cs="Times New Roman"/>
      <w:b/>
    </w:rPr>
  </w:style>
  <w:style w:type="paragraph" w:styleId="10">
    <w:name w:val="List Paragraph"/>
    <w:basedOn w:val="1"/>
    <w:qFormat/>
    <w:uiPriority w:val="34"/>
    <w:pPr>
      <w:ind w:firstLine="420" w:firstLineChars="200"/>
    </w:pPr>
  </w:style>
  <w:style w:type="paragraph" w:customStyle="1" w:styleId="11">
    <w:name w:val="普通(网站) Char Cha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4462</Words>
  <Characters>4932</Characters>
  <Lines>63</Lines>
  <Paragraphs>17</Paragraphs>
  <TotalTime>2</TotalTime>
  <ScaleCrop>false</ScaleCrop>
  <LinksUpToDate>false</LinksUpToDate>
  <CharactersWithSpaces>4965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2023-09-08T18:11:00Z</dcterms:created>
  <dc:creator>Administrator</dc:creator>
  <cp:lastModifiedBy>uos</cp:lastModifiedBy>
  <dcterms:modified xsi:type="dcterms:W3CDTF">2023-11-09T21:17:53Z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97651852E2AF4078A4699EDF939EBDD1_13</vt:lpwstr>
  </property>
</Properties>
</file>