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8139">
      <w:pPr>
        <w:spacing w:line="600" w:lineRule="exact"/>
        <w:rPr>
          <w:rFonts w:ascii="Times New Roman" w:eastAsia="方正黑体_GBK" w:cs="方正仿宋_GBK"/>
          <w:bCs/>
          <w:sz w:val="32"/>
          <w:szCs w:val="32"/>
        </w:rPr>
      </w:pPr>
      <w:bookmarkStart w:id="0" w:name="_Hlk42509049"/>
      <w:bookmarkEnd w:id="0"/>
      <w:r>
        <w:rPr>
          <w:rFonts w:hint="eastAsia" w:ascii="Times New Roman" w:eastAsia="方正黑体_GBK" w:cs="方正仿宋_GBK"/>
          <w:bCs/>
          <w:sz w:val="32"/>
          <w:szCs w:val="32"/>
        </w:rPr>
        <w:t>附件2</w:t>
      </w:r>
    </w:p>
    <w:p w14:paraId="58A2288D">
      <w:pPr>
        <w:widowControl/>
        <w:adjustRightInd w:val="0"/>
        <w:snapToGrid w:val="0"/>
        <w:spacing w:line="600" w:lineRule="exact"/>
        <w:jc w:val="center"/>
        <w:rPr>
          <w:rFonts w:asciiTheme="minorEastAsia" w:hAnsiTheme="minorEastAsia" w:eastAsiaTheme="minorEastAsia"/>
          <w:b/>
          <w:sz w:val="36"/>
          <w:szCs w:val="36"/>
          <w:shd w:val="clear" w:color="auto" w:fill="FFFFFF" w:themeFill="background1"/>
          <w:lang w:val="zh-CN"/>
        </w:rPr>
      </w:pPr>
      <w:r>
        <w:rPr>
          <w:rFonts w:hint="eastAsia" w:asciiTheme="minorEastAsia" w:hAnsiTheme="minorEastAsia" w:eastAsiaTheme="minorEastAsia"/>
          <w:b/>
          <w:sz w:val="36"/>
          <w:szCs w:val="36"/>
          <w:shd w:val="clear" w:color="auto" w:fill="FFFFFF" w:themeFill="background1"/>
          <w:lang w:val="zh-CN"/>
        </w:rPr>
        <w:t>目录</w:t>
      </w:r>
    </w:p>
    <w:sdt>
      <w:sdtPr>
        <w:rPr>
          <w:rFonts w:ascii="楷体" w:hAnsi="楷体" w:eastAsia="楷体"/>
          <w:b w:val="0"/>
          <w:bCs w:val="0"/>
          <w:sz w:val="24"/>
          <w:szCs w:val="24"/>
          <w:shd w:val="clear" w:color="auto" w:fill="FFFFFF" w:themeFill="background1"/>
          <w:lang w:val="zh-CN"/>
        </w:rPr>
        <w:id w:val="-201706083"/>
        <w:docPartObj>
          <w:docPartGallery w:val="Table of Contents"/>
          <w:docPartUnique/>
        </w:docPartObj>
      </w:sdtPr>
      <w:sdtEndPr>
        <w:rPr>
          <w:rFonts w:hint="eastAsia" w:asciiTheme="minorEastAsia" w:hAnsiTheme="minorEastAsia" w:eastAsiaTheme="minorEastAsia"/>
          <w:b w:val="0"/>
          <w:bCs/>
          <w:sz w:val="10"/>
          <w:szCs w:val="10"/>
          <w:shd w:val="clear" w:color="auto" w:fill="FFFFFF" w:themeFill="background1"/>
          <w:lang w:val="en-US"/>
        </w:rPr>
      </w:sdtEndPr>
      <w:sdtContent>
        <w:p w14:paraId="5585B031">
          <w:pPr>
            <w:pStyle w:val="17"/>
            <w:tabs>
              <w:tab w:val="right" w:leader="dot" w:pos="8834"/>
            </w:tabs>
            <w:adjustRightInd w:val="0"/>
            <w:snapToGrid w:val="0"/>
            <w:spacing w:before="0" w:after="0" w:line="240" w:lineRule="exact"/>
            <w:contextualSpacing/>
            <w:rPr>
              <w:rFonts w:ascii="楷体" w:hAnsi="楷体" w:eastAsia="楷体"/>
              <w:b w:val="0"/>
              <w:sz w:val="24"/>
              <w:szCs w:val="24"/>
              <w:shd w:val="clear" w:color="auto" w:fill="FFFFFF" w:themeFill="background1"/>
            </w:rPr>
          </w:pPr>
          <w:r>
            <w:rPr>
              <w:rFonts w:ascii="楷体" w:hAnsi="楷体" w:eastAsia="楷体"/>
              <w:b w:val="0"/>
              <w:sz w:val="24"/>
              <w:szCs w:val="24"/>
              <w:shd w:val="clear" w:color="auto" w:fill="FFFFFF" w:themeFill="background1"/>
            </w:rPr>
            <w:fldChar w:fldCharType="begin"/>
          </w:r>
          <w:r>
            <w:rPr>
              <w:rFonts w:ascii="楷体" w:hAnsi="楷体" w:eastAsia="楷体"/>
              <w:b w:val="0"/>
              <w:sz w:val="24"/>
              <w:szCs w:val="24"/>
              <w:shd w:val="clear" w:color="auto" w:fill="FFFFFF" w:themeFill="background1"/>
            </w:rPr>
            <w:instrText xml:space="preserve"> TOC \o "1-3" \h \z \u </w:instrText>
          </w:r>
          <w:r>
            <w:rPr>
              <w:rFonts w:ascii="楷体" w:hAnsi="楷体" w:eastAsia="楷体"/>
              <w:b w:val="0"/>
              <w:sz w:val="24"/>
              <w:szCs w:val="24"/>
              <w:shd w:val="clear" w:color="auto" w:fill="FFFFFF" w:themeFill="background1"/>
            </w:rPr>
            <w:fldChar w:fldCharType="separate"/>
          </w:r>
        </w:p>
        <w:p w14:paraId="1C80683B">
          <w:pPr>
            <w:pStyle w:val="17"/>
            <w:tabs>
              <w:tab w:val="right" w:leader="dot" w:pos="8844"/>
            </w:tabs>
            <w:spacing w:line="0" w:lineRule="atLeast"/>
          </w:pPr>
          <w:r>
            <w:fldChar w:fldCharType="begin"/>
          </w:r>
          <w:r>
            <w:instrText xml:space="preserve"> HYPERLINK \l "_Toc25022" </w:instrText>
          </w:r>
          <w:r>
            <w:fldChar w:fldCharType="separate"/>
          </w:r>
          <w:r>
            <w:rPr>
              <w:rFonts w:hint="eastAsia" w:ascii="微软雅黑" w:eastAsia="微软雅黑"/>
              <w:szCs w:val="44"/>
              <w:shd w:val="clear" w:color="auto" w:fill="FFFFFF" w:themeFill="background1"/>
            </w:rPr>
            <w:t>绩效评价报告摘要</w:t>
          </w:r>
          <w:r>
            <w:tab/>
          </w:r>
          <w:r>
            <w:fldChar w:fldCharType="begin"/>
          </w:r>
          <w:r>
            <w:instrText xml:space="preserve"> PAGEREF _Toc25022 \h </w:instrText>
          </w:r>
          <w:r>
            <w:fldChar w:fldCharType="separate"/>
          </w:r>
          <w:r>
            <w:t>i</w:t>
          </w:r>
          <w:r>
            <w:fldChar w:fldCharType="end"/>
          </w:r>
          <w:r>
            <w:fldChar w:fldCharType="end"/>
          </w:r>
        </w:p>
        <w:p w14:paraId="4056CD66">
          <w:pPr>
            <w:pStyle w:val="17"/>
            <w:tabs>
              <w:tab w:val="right" w:leader="dot" w:pos="8844"/>
            </w:tabs>
            <w:spacing w:line="0" w:lineRule="atLeast"/>
          </w:pPr>
          <w:r>
            <w:fldChar w:fldCharType="begin"/>
          </w:r>
          <w:r>
            <w:instrText xml:space="preserve"> HYPERLINK \l "_Toc12358" </w:instrText>
          </w:r>
          <w:r>
            <w:fldChar w:fldCharType="separate"/>
          </w:r>
          <w:r>
            <w:rPr>
              <w:rFonts w:hint="eastAsia" w:ascii="微软雅黑" w:eastAsia="微软雅黑"/>
              <w:szCs w:val="44"/>
              <w:shd w:val="clear" w:color="auto" w:fill="FFFFFF" w:themeFill="background1"/>
            </w:rPr>
            <w:t>绩效评价报告正文</w:t>
          </w:r>
          <w:r>
            <w:tab/>
          </w:r>
          <w:r>
            <w:fldChar w:fldCharType="begin"/>
          </w:r>
          <w:r>
            <w:instrText xml:space="preserve"> PAGEREF _Toc12358 \h </w:instrText>
          </w:r>
          <w:r>
            <w:fldChar w:fldCharType="separate"/>
          </w:r>
          <w:r>
            <w:t>1</w:t>
          </w:r>
          <w:r>
            <w:fldChar w:fldCharType="end"/>
          </w:r>
          <w:r>
            <w:fldChar w:fldCharType="end"/>
          </w:r>
        </w:p>
        <w:p w14:paraId="54F3A46B">
          <w:pPr>
            <w:pStyle w:val="17"/>
            <w:tabs>
              <w:tab w:val="right" w:leader="dot" w:pos="8844"/>
            </w:tabs>
            <w:spacing w:line="0" w:lineRule="atLeast"/>
          </w:pPr>
          <w:r>
            <w:fldChar w:fldCharType="begin"/>
          </w:r>
          <w:r>
            <w:instrText xml:space="preserve"> HYPERLINK \l "_Toc29467" </w:instrText>
          </w:r>
          <w:r>
            <w:fldChar w:fldCharType="separate"/>
          </w:r>
          <w:r>
            <w:rPr>
              <w:rFonts w:hint="eastAsia" w:ascii="黑体" w:hAnsi="宋体" w:eastAsia="黑体" w:cs="宋体"/>
              <w:szCs w:val="30"/>
              <w:shd w:val="clear" w:color="auto" w:fill="FFFFFF" w:themeFill="background1"/>
            </w:rPr>
            <w:t>一、项目基本情况</w:t>
          </w:r>
          <w:r>
            <w:tab/>
          </w:r>
          <w:r>
            <w:fldChar w:fldCharType="begin"/>
          </w:r>
          <w:r>
            <w:instrText xml:space="preserve"> PAGEREF _Toc29467 \h </w:instrText>
          </w:r>
          <w:r>
            <w:fldChar w:fldCharType="separate"/>
          </w:r>
          <w:r>
            <w:t>1</w:t>
          </w:r>
          <w:r>
            <w:fldChar w:fldCharType="end"/>
          </w:r>
          <w:r>
            <w:fldChar w:fldCharType="end"/>
          </w:r>
        </w:p>
        <w:p w14:paraId="25EB1A71">
          <w:pPr>
            <w:pStyle w:val="20"/>
            <w:tabs>
              <w:tab w:val="right" w:leader="dot" w:pos="8844"/>
            </w:tabs>
            <w:spacing w:line="0" w:lineRule="atLeast"/>
          </w:pPr>
          <w:r>
            <w:fldChar w:fldCharType="begin"/>
          </w:r>
          <w:r>
            <w:instrText xml:space="preserve"> HYPERLINK \l "_Toc29699" </w:instrText>
          </w:r>
          <w:r>
            <w:fldChar w:fldCharType="separate"/>
          </w:r>
          <w:r>
            <w:rPr>
              <w:rFonts w:hint="eastAsia" w:ascii="楷体" w:hAnsi="楷体" w:eastAsia="楷体"/>
              <w:szCs w:val="30"/>
              <w:shd w:val="clear" w:color="auto" w:fill="FFFFFF" w:themeFill="background1"/>
            </w:rPr>
            <w:t>（一）项目名称</w:t>
          </w:r>
          <w:r>
            <w:tab/>
          </w:r>
          <w:r>
            <w:fldChar w:fldCharType="begin"/>
          </w:r>
          <w:r>
            <w:instrText xml:space="preserve"> PAGEREF _Toc29699 \h </w:instrText>
          </w:r>
          <w:r>
            <w:fldChar w:fldCharType="separate"/>
          </w:r>
          <w:r>
            <w:t>1</w:t>
          </w:r>
          <w:r>
            <w:fldChar w:fldCharType="end"/>
          </w:r>
          <w:r>
            <w:fldChar w:fldCharType="end"/>
          </w:r>
        </w:p>
        <w:p w14:paraId="50A2B1FC">
          <w:pPr>
            <w:pStyle w:val="20"/>
            <w:tabs>
              <w:tab w:val="right" w:leader="dot" w:pos="8844"/>
            </w:tabs>
            <w:spacing w:line="0" w:lineRule="atLeast"/>
          </w:pPr>
          <w:r>
            <w:fldChar w:fldCharType="begin"/>
          </w:r>
          <w:r>
            <w:instrText xml:space="preserve"> HYPERLINK \l "_Toc22277" </w:instrText>
          </w:r>
          <w:r>
            <w:fldChar w:fldCharType="separate"/>
          </w:r>
          <w:r>
            <w:rPr>
              <w:rFonts w:hint="eastAsia" w:ascii="楷体" w:hAnsi="楷体" w:eastAsia="楷体"/>
              <w:szCs w:val="30"/>
              <w:shd w:val="clear" w:color="auto" w:fill="FFFFFF" w:themeFill="background1"/>
            </w:rPr>
            <w:t>（二）年度资金预算</w:t>
          </w:r>
          <w:r>
            <w:tab/>
          </w:r>
          <w:r>
            <w:fldChar w:fldCharType="begin"/>
          </w:r>
          <w:r>
            <w:instrText xml:space="preserve"> PAGEREF _Toc22277 \h </w:instrText>
          </w:r>
          <w:r>
            <w:fldChar w:fldCharType="separate"/>
          </w:r>
          <w:r>
            <w:t>1</w:t>
          </w:r>
          <w:r>
            <w:fldChar w:fldCharType="end"/>
          </w:r>
          <w:r>
            <w:fldChar w:fldCharType="end"/>
          </w:r>
        </w:p>
        <w:p w14:paraId="49F62FA0">
          <w:pPr>
            <w:pStyle w:val="20"/>
            <w:tabs>
              <w:tab w:val="right" w:leader="dot" w:pos="8844"/>
            </w:tabs>
            <w:spacing w:line="0" w:lineRule="atLeast"/>
          </w:pPr>
          <w:r>
            <w:fldChar w:fldCharType="begin"/>
          </w:r>
          <w:r>
            <w:instrText xml:space="preserve"> HYPERLINK \l "_Toc30468" </w:instrText>
          </w:r>
          <w:r>
            <w:fldChar w:fldCharType="separate"/>
          </w:r>
          <w:r>
            <w:rPr>
              <w:rFonts w:hint="eastAsia" w:ascii="楷体" w:hAnsi="楷体" w:eastAsia="楷体"/>
              <w:szCs w:val="30"/>
              <w:shd w:val="clear" w:color="auto" w:fill="FFFFFF" w:themeFill="background1"/>
            </w:rPr>
            <w:t>（三）项目主管部门及实施单位</w:t>
          </w:r>
          <w:r>
            <w:tab/>
          </w:r>
          <w:r>
            <w:fldChar w:fldCharType="begin"/>
          </w:r>
          <w:r>
            <w:instrText xml:space="preserve"> PAGEREF _Toc30468 \h </w:instrText>
          </w:r>
          <w:r>
            <w:fldChar w:fldCharType="separate"/>
          </w:r>
          <w:r>
            <w:t>1</w:t>
          </w:r>
          <w:r>
            <w:fldChar w:fldCharType="end"/>
          </w:r>
          <w:r>
            <w:fldChar w:fldCharType="end"/>
          </w:r>
        </w:p>
        <w:p w14:paraId="558C2042">
          <w:pPr>
            <w:pStyle w:val="20"/>
            <w:tabs>
              <w:tab w:val="right" w:leader="dot" w:pos="8844"/>
            </w:tabs>
            <w:spacing w:line="0" w:lineRule="atLeast"/>
          </w:pPr>
          <w:r>
            <w:fldChar w:fldCharType="begin"/>
          </w:r>
          <w:r>
            <w:instrText xml:space="preserve"> HYPERLINK \l "_Toc3428" </w:instrText>
          </w:r>
          <w:r>
            <w:fldChar w:fldCharType="separate"/>
          </w:r>
          <w:r>
            <w:rPr>
              <w:rFonts w:hint="eastAsia" w:ascii="楷体" w:hAnsi="楷体" w:eastAsia="楷体"/>
              <w:szCs w:val="30"/>
              <w:shd w:val="clear" w:color="auto" w:fill="FFFFFF" w:themeFill="background1"/>
            </w:rPr>
            <w:t>（四）项目内容</w:t>
          </w:r>
          <w:r>
            <w:tab/>
          </w:r>
          <w:r>
            <w:fldChar w:fldCharType="begin"/>
          </w:r>
          <w:r>
            <w:instrText xml:space="preserve"> PAGEREF _Toc3428 \h </w:instrText>
          </w:r>
          <w:r>
            <w:fldChar w:fldCharType="separate"/>
          </w:r>
          <w:r>
            <w:t>2</w:t>
          </w:r>
          <w:r>
            <w:fldChar w:fldCharType="end"/>
          </w:r>
          <w:r>
            <w:fldChar w:fldCharType="end"/>
          </w:r>
        </w:p>
        <w:p w14:paraId="2496C42C">
          <w:pPr>
            <w:pStyle w:val="17"/>
            <w:tabs>
              <w:tab w:val="right" w:leader="dot" w:pos="8844"/>
            </w:tabs>
            <w:spacing w:line="0" w:lineRule="atLeast"/>
          </w:pPr>
          <w:r>
            <w:fldChar w:fldCharType="begin"/>
          </w:r>
          <w:r>
            <w:instrText xml:space="preserve"> HYPERLINK \l "_Toc13016" </w:instrText>
          </w:r>
          <w:r>
            <w:fldChar w:fldCharType="separate"/>
          </w:r>
          <w:r>
            <w:rPr>
              <w:rFonts w:hint="eastAsia" w:ascii="黑体" w:hAnsi="宋体" w:eastAsia="黑体" w:cs="宋体"/>
              <w:szCs w:val="30"/>
              <w:shd w:val="clear" w:color="auto" w:fill="FFFFFF" w:themeFill="background1"/>
            </w:rPr>
            <w:t>二、绩效评价工作情况</w:t>
          </w:r>
          <w:r>
            <w:tab/>
          </w:r>
          <w:r>
            <w:fldChar w:fldCharType="begin"/>
          </w:r>
          <w:r>
            <w:instrText xml:space="preserve"> PAGEREF _Toc13016 \h </w:instrText>
          </w:r>
          <w:r>
            <w:fldChar w:fldCharType="separate"/>
          </w:r>
          <w:r>
            <w:t>4</w:t>
          </w:r>
          <w:r>
            <w:fldChar w:fldCharType="end"/>
          </w:r>
          <w:r>
            <w:fldChar w:fldCharType="end"/>
          </w:r>
        </w:p>
        <w:p w14:paraId="6D4BB26B">
          <w:pPr>
            <w:pStyle w:val="20"/>
            <w:tabs>
              <w:tab w:val="right" w:leader="dot" w:pos="8844"/>
            </w:tabs>
            <w:spacing w:line="0" w:lineRule="atLeast"/>
          </w:pPr>
          <w:r>
            <w:fldChar w:fldCharType="begin"/>
          </w:r>
          <w:r>
            <w:instrText xml:space="preserve"> HYPERLINK \l "_Toc26038" </w:instrText>
          </w:r>
          <w:r>
            <w:fldChar w:fldCharType="separate"/>
          </w:r>
          <w:r>
            <w:rPr>
              <w:rFonts w:hint="eastAsia" w:ascii="楷体" w:hAnsi="楷体" w:eastAsia="楷体"/>
              <w:szCs w:val="30"/>
              <w:shd w:val="clear" w:color="auto" w:fill="FFFFFF" w:themeFill="background1"/>
            </w:rPr>
            <w:t>（一）绩效评价目的</w:t>
          </w:r>
          <w:r>
            <w:tab/>
          </w:r>
          <w:r>
            <w:fldChar w:fldCharType="begin"/>
          </w:r>
          <w:r>
            <w:instrText xml:space="preserve"> PAGEREF _Toc26038 \h </w:instrText>
          </w:r>
          <w:r>
            <w:fldChar w:fldCharType="separate"/>
          </w:r>
          <w:r>
            <w:t>5</w:t>
          </w:r>
          <w:r>
            <w:fldChar w:fldCharType="end"/>
          </w:r>
          <w:r>
            <w:fldChar w:fldCharType="end"/>
          </w:r>
        </w:p>
        <w:p w14:paraId="65578678">
          <w:pPr>
            <w:pStyle w:val="20"/>
            <w:tabs>
              <w:tab w:val="right" w:leader="dot" w:pos="8844"/>
            </w:tabs>
            <w:spacing w:line="0" w:lineRule="atLeast"/>
          </w:pPr>
          <w:r>
            <w:fldChar w:fldCharType="begin"/>
          </w:r>
          <w:r>
            <w:instrText xml:space="preserve"> HYPERLINK \l "_Toc3234" </w:instrText>
          </w:r>
          <w:r>
            <w:fldChar w:fldCharType="separate"/>
          </w:r>
          <w:r>
            <w:rPr>
              <w:rFonts w:hint="eastAsia" w:ascii="楷体" w:hAnsi="楷体" w:eastAsia="楷体"/>
              <w:szCs w:val="30"/>
              <w:shd w:val="clear" w:color="auto" w:fill="FFFFFF" w:themeFill="background1"/>
            </w:rPr>
            <w:t>（二）绩效评价主要依据</w:t>
          </w:r>
          <w:r>
            <w:tab/>
          </w:r>
          <w:r>
            <w:fldChar w:fldCharType="begin"/>
          </w:r>
          <w:r>
            <w:instrText xml:space="preserve"> PAGEREF _Toc3234 \h </w:instrText>
          </w:r>
          <w:r>
            <w:fldChar w:fldCharType="separate"/>
          </w:r>
          <w:r>
            <w:t>5</w:t>
          </w:r>
          <w:r>
            <w:fldChar w:fldCharType="end"/>
          </w:r>
          <w:r>
            <w:fldChar w:fldCharType="end"/>
          </w:r>
        </w:p>
        <w:p w14:paraId="69B53283">
          <w:pPr>
            <w:pStyle w:val="20"/>
            <w:tabs>
              <w:tab w:val="right" w:leader="dot" w:pos="8844"/>
            </w:tabs>
            <w:spacing w:line="0" w:lineRule="atLeast"/>
          </w:pPr>
          <w:r>
            <w:fldChar w:fldCharType="begin"/>
          </w:r>
          <w:r>
            <w:instrText xml:space="preserve"> HYPERLINK \l "_Toc7610" </w:instrText>
          </w:r>
          <w:r>
            <w:fldChar w:fldCharType="separate"/>
          </w:r>
          <w:r>
            <w:rPr>
              <w:rFonts w:hint="eastAsia" w:ascii="楷体" w:hAnsi="楷体" w:eastAsia="楷体"/>
              <w:szCs w:val="30"/>
              <w:shd w:val="clear" w:color="auto" w:fill="FFFFFF" w:themeFill="background1"/>
            </w:rPr>
            <w:t>（三）绩效评价原则标准</w:t>
          </w:r>
          <w:r>
            <w:tab/>
          </w:r>
          <w:r>
            <w:fldChar w:fldCharType="begin"/>
          </w:r>
          <w:r>
            <w:instrText xml:space="preserve"> PAGEREF _Toc7610 \h </w:instrText>
          </w:r>
          <w:r>
            <w:fldChar w:fldCharType="separate"/>
          </w:r>
          <w:r>
            <w:t>6</w:t>
          </w:r>
          <w:r>
            <w:fldChar w:fldCharType="end"/>
          </w:r>
          <w:r>
            <w:fldChar w:fldCharType="end"/>
          </w:r>
        </w:p>
        <w:p w14:paraId="5345FCC0">
          <w:pPr>
            <w:pStyle w:val="20"/>
            <w:tabs>
              <w:tab w:val="right" w:leader="dot" w:pos="8844"/>
            </w:tabs>
            <w:spacing w:line="0" w:lineRule="atLeast"/>
          </w:pPr>
          <w:r>
            <w:fldChar w:fldCharType="begin"/>
          </w:r>
          <w:r>
            <w:instrText xml:space="preserve"> HYPERLINK \l "_Toc19338" </w:instrText>
          </w:r>
          <w:r>
            <w:fldChar w:fldCharType="separate"/>
          </w:r>
          <w:r>
            <w:rPr>
              <w:rFonts w:hint="eastAsia" w:ascii="楷体" w:hAnsi="楷体" w:eastAsia="楷体"/>
              <w:szCs w:val="30"/>
              <w:shd w:val="clear" w:color="auto" w:fill="FFFFFF" w:themeFill="background1"/>
            </w:rPr>
            <w:t>（四）绩效评价组织管理</w:t>
          </w:r>
          <w:r>
            <w:tab/>
          </w:r>
          <w:r>
            <w:fldChar w:fldCharType="begin"/>
          </w:r>
          <w:r>
            <w:instrText xml:space="preserve"> PAGEREF _Toc19338 \h </w:instrText>
          </w:r>
          <w:r>
            <w:fldChar w:fldCharType="separate"/>
          </w:r>
          <w:r>
            <w:t>7</w:t>
          </w:r>
          <w:r>
            <w:fldChar w:fldCharType="end"/>
          </w:r>
          <w:r>
            <w:fldChar w:fldCharType="end"/>
          </w:r>
        </w:p>
        <w:p w14:paraId="03063B8C">
          <w:pPr>
            <w:pStyle w:val="20"/>
            <w:tabs>
              <w:tab w:val="right" w:leader="dot" w:pos="8844"/>
            </w:tabs>
            <w:spacing w:line="0" w:lineRule="atLeast"/>
          </w:pPr>
          <w:r>
            <w:fldChar w:fldCharType="begin"/>
          </w:r>
          <w:r>
            <w:instrText xml:space="preserve"> HYPERLINK \l "_Toc1728" </w:instrText>
          </w:r>
          <w:r>
            <w:fldChar w:fldCharType="separate"/>
          </w:r>
          <w:r>
            <w:rPr>
              <w:rFonts w:hint="eastAsia" w:ascii="楷体" w:hAnsi="楷体" w:eastAsia="楷体"/>
              <w:szCs w:val="30"/>
              <w:shd w:val="clear" w:color="auto" w:fill="FFFFFF" w:themeFill="background1"/>
            </w:rPr>
            <w:t>（五）重点评价内容</w:t>
          </w:r>
          <w:r>
            <w:tab/>
          </w:r>
          <w:r>
            <w:fldChar w:fldCharType="begin"/>
          </w:r>
          <w:r>
            <w:instrText xml:space="preserve"> PAGEREF _Toc1728 \h </w:instrText>
          </w:r>
          <w:r>
            <w:fldChar w:fldCharType="separate"/>
          </w:r>
          <w:r>
            <w:t>7</w:t>
          </w:r>
          <w:r>
            <w:fldChar w:fldCharType="end"/>
          </w:r>
          <w:r>
            <w:fldChar w:fldCharType="end"/>
          </w:r>
        </w:p>
        <w:p w14:paraId="2C57BEC3">
          <w:pPr>
            <w:pStyle w:val="20"/>
            <w:tabs>
              <w:tab w:val="right" w:leader="dot" w:pos="8844"/>
            </w:tabs>
            <w:spacing w:line="0" w:lineRule="atLeast"/>
          </w:pPr>
          <w:r>
            <w:fldChar w:fldCharType="begin"/>
          </w:r>
          <w:r>
            <w:instrText xml:space="preserve"> HYPERLINK \l "_Toc3937" </w:instrText>
          </w:r>
          <w:r>
            <w:fldChar w:fldCharType="separate"/>
          </w:r>
          <w:r>
            <w:rPr>
              <w:rFonts w:hint="eastAsia" w:ascii="楷体" w:hAnsi="楷体" w:eastAsia="楷体"/>
              <w:szCs w:val="30"/>
              <w:shd w:val="clear" w:color="auto" w:fill="FFFFFF" w:themeFill="background1"/>
            </w:rPr>
            <w:t>（六）绩效评价指标体系</w:t>
          </w:r>
          <w:r>
            <w:tab/>
          </w:r>
          <w:r>
            <w:fldChar w:fldCharType="begin"/>
          </w:r>
          <w:r>
            <w:instrText xml:space="preserve"> PAGEREF _Toc3937 \h </w:instrText>
          </w:r>
          <w:r>
            <w:fldChar w:fldCharType="separate"/>
          </w:r>
          <w:r>
            <w:t>7</w:t>
          </w:r>
          <w:r>
            <w:fldChar w:fldCharType="end"/>
          </w:r>
          <w:r>
            <w:fldChar w:fldCharType="end"/>
          </w:r>
        </w:p>
        <w:p w14:paraId="7BC3F487">
          <w:pPr>
            <w:pStyle w:val="20"/>
            <w:tabs>
              <w:tab w:val="right" w:leader="dot" w:pos="8844"/>
            </w:tabs>
            <w:spacing w:line="0" w:lineRule="atLeast"/>
          </w:pPr>
          <w:r>
            <w:fldChar w:fldCharType="begin"/>
          </w:r>
          <w:r>
            <w:instrText xml:space="preserve"> HYPERLINK \l "_Toc28197" </w:instrText>
          </w:r>
          <w:r>
            <w:fldChar w:fldCharType="separate"/>
          </w:r>
          <w:r>
            <w:rPr>
              <w:rFonts w:hint="eastAsia" w:ascii="楷体" w:hAnsi="楷体" w:eastAsia="楷体"/>
              <w:szCs w:val="30"/>
              <w:shd w:val="clear" w:color="auto" w:fill="FFFFFF" w:themeFill="background1"/>
            </w:rPr>
            <w:t>（七）绩效评价方法</w:t>
          </w:r>
          <w:r>
            <w:tab/>
          </w:r>
          <w:r>
            <w:fldChar w:fldCharType="begin"/>
          </w:r>
          <w:r>
            <w:instrText xml:space="preserve"> PAGEREF _Toc28197 \h </w:instrText>
          </w:r>
          <w:r>
            <w:fldChar w:fldCharType="separate"/>
          </w:r>
          <w:r>
            <w:t>8</w:t>
          </w:r>
          <w:r>
            <w:fldChar w:fldCharType="end"/>
          </w:r>
          <w:r>
            <w:fldChar w:fldCharType="end"/>
          </w:r>
        </w:p>
        <w:p w14:paraId="31D7901D">
          <w:pPr>
            <w:pStyle w:val="20"/>
            <w:tabs>
              <w:tab w:val="right" w:leader="dot" w:pos="8844"/>
            </w:tabs>
            <w:spacing w:line="0" w:lineRule="atLeast"/>
          </w:pPr>
          <w:r>
            <w:fldChar w:fldCharType="begin"/>
          </w:r>
          <w:r>
            <w:instrText xml:space="preserve"> HYPERLINK \l "_Toc12692" </w:instrText>
          </w:r>
          <w:r>
            <w:fldChar w:fldCharType="separate"/>
          </w:r>
          <w:r>
            <w:rPr>
              <w:rFonts w:hint="eastAsia" w:ascii="楷体" w:hAnsi="楷体" w:eastAsia="楷体"/>
              <w:szCs w:val="30"/>
              <w:shd w:val="clear" w:color="auto" w:fill="FFFFFF" w:themeFill="background1"/>
            </w:rPr>
            <w:t>（八）绩效评价实施过程</w:t>
          </w:r>
          <w:r>
            <w:tab/>
          </w:r>
          <w:r>
            <w:fldChar w:fldCharType="begin"/>
          </w:r>
          <w:r>
            <w:instrText xml:space="preserve"> PAGEREF _Toc12692 \h </w:instrText>
          </w:r>
          <w:r>
            <w:fldChar w:fldCharType="separate"/>
          </w:r>
          <w:r>
            <w:t>9</w:t>
          </w:r>
          <w:r>
            <w:fldChar w:fldCharType="end"/>
          </w:r>
          <w:r>
            <w:fldChar w:fldCharType="end"/>
          </w:r>
        </w:p>
        <w:p w14:paraId="24EB1D23">
          <w:pPr>
            <w:pStyle w:val="17"/>
            <w:tabs>
              <w:tab w:val="right" w:leader="dot" w:pos="8844"/>
            </w:tabs>
            <w:spacing w:line="0" w:lineRule="atLeast"/>
          </w:pPr>
          <w:r>
            <w:fldChar w:fldCharType="begin"/>
          </w:r>
          <w:r>
            <w:instrText xml:space="preserve"> HYPERLINK \l "_Toc11011" </w:instrText>
          </w:r>
          <w:r>
            <w:fldChar w:fldCharType="separate"/>
          </w:r>
          <w:r>
            <w:rPr>
              <w:rFonts w:hint="eastAsia" w:ascii="黑体" w:hAnsi="宋体" w:eastAsia="黑体" w:cs="宋体"/>
              <w:szCs w:val="30"/>
              <w:shd w:val="clear" w:color="auto" w:fill="FFFFFF" w:themeFill="background1"/>
            </w:rPr>
            <w:t>三、绩效情况分析</w:t>
          </w:r>
          <w:r>
            <w:tab/>
          </w:r>
          <w:r>
            <w:fldChar w:fldCharType="begin"/>
          </w:r>
          <w:r>
            <w:instrText xml:space="preserve"> PAGEREF _Toc11011 \h </w:instrText>
          </w:r>
          <w:r>
            <w:fldChar w:fldCharType="separate"/>
          </w:r>
          <w:r>
            <w:t>9</w:t>
          </w:r>
          <w:r>
            <w:fldChar w:fldCharType="end"/>
          </w:r>
          <w:r>
            <w:fldChar w:fldCharType="end"/>
          </w:r>
        </w:p>
        <w:p w14:paraId="588A653C">
          <w:pPr>
            <w:pStyle w:val="20"/>
            <w:tabs>
              <w:tab w:val="right" w:leader="dot" w:pos="8844"/>
            </w:tabs>
            <w:spacing w:line="0" w:lineRule="atLeast"/>
          </w:pPr>
          <w:r>
            <w:fldChar w:fldCharType="begin"/>
          </w:r>
          <w:r>
            <w:instrText xml:space="preserve"> HYPERLINK \l "_Toc2736" </w:instrText>
          </w:r>
          <w:r>
            <w:fldChar w:fldCharType="separate"/>
          </w:r>
          <w:r>
            <w:rPr>
              <w:rFonts w:hint="eastAsia" w:ascii="楷体" w:hAnsi="楷体" w:eastAsia="楷体"/>
              <w:szCs w:val="30"/>
              <w:shd w:val="clear" w:color="auto" w:fill="FFFFFF" w:themeFill="background1"/>
            </w:rPr>
            <w:t>（一）项目决策</w:t>
          </w:r>
          <w:r>
            <w:tab/>
          </w:r>
          <w:r>
            <w:fldChar w:fldCharType="begin"/>
          </w:r>
          <w:r>
            <w:instrText xml:space="preserve"> PAGEREF _Toc2736 \h </w:instrText>
          </w:r>
          <w:r>
            <w:fldChar w:fldCharType="separate"/>
          </w:r>
          <w:r>
            <w:t>9</w:t>
          </w:r>
          <w:r>
            <w:fldChar w:fldCharType="end"/>
          </w:r>
          <w:r>
            <w:fldChar w:fldCharType="end"/>
          </w:r>
        </w:p>
        <w:p w14:paraId="2FC32923">
          <w:pPr>
            <w:pStyle w:val="20"/>
            <w:tabs>
              <w:tab w:val="right" w:leader="dot" w:pos="8844"/>
            </w:tabs>
            <w:spacing w:line="0" w:lineRule="atLeast"/>
          </w:pPr>
          <w:r>
            <w:fldChar w:fldCharType="begin"/>
          </w:r>
          <w:r>
            <w:instrText xml:space="preserve"> HYPERLINK \l "_Toc550" </w:instrText>
          </w:r>
          <w:r>
            <w:fldChar w:fldCharType="separate"/>
          </w:r>
          <w:r>
            <w:rPr>
              <w:rFonts w:hint="eastAsia" w:ascii="楷体" w:hAnsi="楷体" w:eastAsia="楷体"/>
              <w:szCs w:val="30"/>
              <w:shd w:val="clear" w:color="auto" w:fill="FFFFFF" w:themeFill="background1"/>
            </w:rPr>
            <w:t>（二）项目管理</w:t>
          </w:r>
          <w:r>
            <w:tab/>
          </w:r>
          <w:r>
            <w:fldChar w:fldCharType="begin"/>
          </w:r>
          <w:r>
            <w:instrText xml:space="preserve"> PAGEREF _Toc550 \h </w:instrText>
          </w:r>
          <w:r>
            <w:fldChar w:fldCharType="separate"/>
          </w:r>
          <w:r>
            <w:t>12</w:t>
          </w:r>
          <w:r>
            <w:fldChar w:fldCharType="end"/>
          </w:r>
          <w:r>
            <w:fldChar w:fldCharType="end"/>
          </w:r>
        </w:p>
        <w:p w14:paraId="745FA060">
          <w:pPr>
            <w:pStyle w:val="20"/>
            <w:tabs>
              <w:tab w:val="right" w:leader="dot" w:pos="8844"/>
            </w:tabs>
            <w:spacing w:line="0" w:lineRule="atLeast"/>
          </w:pPr>
          <w:r>
            <w:fldChar w:fldCharType="begin"/>
          </w:r>
          <w:r>
            <w:instrText xml:space="preserve"> HYPERLINK \l "_Toc10495" </w:instrText>
          </w:r>
          <w:r>
            <w:fldChar w:fldCharType="separate"/>
          </w:r>
          <w:r>
            <w:rPr>
              <w:rFonts w:hint="eastAsia" w:ascii="楷体" w:hAnsi="楷体" w:eastAsia="楷体"/>
              <w:szCs w:val="30"/>
              <w:shd w:val="clear" w:color="auto" w:fill="FFFFFF" w:themeFill="background1"/>
            </w:rPr>
            <w:t>（三）项目产出</w:t>
          </w:r>
          <w:r>
            <w:tab/>
          </w:r>
          <w:r>
            <w:fldChar w:fldCharType="begin"/>
          </w:r>
          <w:r>
            <w:instrText xml:space="preserve"> PAGEREF _Toc10495 \h </w:instrText>
          </w:r>
          <w:r>
            <w:fldChar w:fldCharType="separate"/>
          </w:r>
          <w:r>
            <w:t>17</w:t>
          </w:r>
          <w:r>
            <w:fldChar w:fldCharType="end"/>
          </w:r>
          <w:r>
            <w:fldChar w:fldCharType="end"/>
          </w:r>
        </w:p>
        <w:p w14:paraId="2D42D621">
          <w:pPr>
            <w:pStyle w:val="20"/>
            <w:tabs>
              <w:tab w:val="right" w:leader="dot" w:pos="8844"/>
            </w:tabs>
            <w:spacing w:line="0" w:lineRule="atLeast"/>
          </w:pPr>
          <w:r>
            <w:fldChar w:fldCharType="begin"/>
          </w:r>
          <w:r>
            <w:instrText xml:space="preserve"> HYPERLINK \l "_Toc23222" </w:instrText>
          </w:r>
          <w:r>
            <w:fldChar w:fldCharType="separate"/>
          </w:r>
          <w:r>
            <w:rPr>
              <w:rFonts w:hint="eastAsia" w:ascii="楷体" w:hAnsi="楷体" w:eastAsia="楷体"/>
              <w:szCs w:val="30"/>
              <w:shd w:val="clear" w:color="auto" w:fill="FFFFFF" w:themeFill="background1"/>
            </w:rPr>
            <w:t>（四）项目效益</w:t>
          </w:r>
          <w:r>
            <w:tab/>
          </w:r>
          <w:r>
            <w:fldChar w:fldCharType="begin"/>
          </w:r>
          <w:r>
            <w:instrText xml:space="preserve"> PAGEREF _Toc23222 \h </w:instrText>
          </w:r>
          <w:r>
            <w:fldChar w:fldCharType="separate"/>
          </w:r>
          <w:r>
            <w:t>19</w:t>
          </w:r>
          <w:r>
            <w:fldChar w:fldCharType="end"/>
          </w:r>
          <w:r>
            <w:fldChar w:fldCharType="end"/>
          </w:r>
        </w:p>
        <w:p w14:paraId="7B732390">
          <w:pPr>
            <w:pStyle w:val="17"/>
            <w:tabs>
              <w:tab w:val="right" w:leader="dot" w:pos="8844"/>
            </w:tabs>
            <w:spacing w:line="0" w:lineRule="atLeast"/>
          </w:pPr>
          <w:r>
            <w:fldChar w:fldCharType="begin"/>
          </w:r>
          <w:r>
            <w:instrText xml:space="preserve"> HYPERLINK \l "_Toc10496" </w:instrText>
          </w:r>
          <w:r>
            <w:fldChar w:fldCharType="separate"/>
          </w:r>
          <w:r>
            <w:rPr>
              <w:rFonts w:hint="eastAsia" w:ascii="黑体" w:hAnsi="宋体" w:eastAsia="黑体" w:cs="宋体"/>
              <w:szCs w:val="30"/>
              <w:shd w:val="clear" w:color="auto" w:fill="FFFFFF" w:themeFill="background1"/>
            </w:rPr>
            <w:t>四、绩效评分结论</w:t>
          </w:r>
          <w:r>
            <w:tab/>
          </w:r>
          <w:r>
            <w:fldChar w:fldCharType="begin"/>
          </w:r>
          <w:r>
            <w:instrText xml:space="preserve"> PAGEREF _Toc10496 \h </w:instrText>
          </w:r>
          <w:r>
            <w:fldChar w:fldCharType="separate"/>
          </w:r>
          <w:r>
            <w:t>21</w:t>
          </w:r>
          <w:r>
            <w:fldChar w:fldCharType="end"/>
          </w:r>
          <w:r>
            <w:fldChar w:fldCharType="end"/>
          </w:r>
        </w:p>
        <w:p w14:paraId="7B336E59">
          <w:pPr>
            <w:pStyle w:val="20"/>
            <w:tabs>
              <w:tab w:val="right" w:leader="dot" w:pos="8844"/>
            </w:tabs>
            <w:spacing w:line="0" w:lineRule="atLeast"/>
          </w:pPr>
          <w:r>
            <w:fldChar w:fldCharType="begin"/>
          </w:r>
          <w:r>
            <w:instrText xml:space="preserve"> HYPERLINK \l "_Toc20800" </w:instrText>
          </w:r>
          <w:r>
            <w:fldChar w:fldCharType="separate"/>
          </w:r>
          <w:r>
            <w:rPr>
              <w:rFonts w:hint="eastAsia" w:ascii="楷体" w:hAnsi="楷体" w:eastAsia="楷体"/>
              <w:szCs w:val="30"/>
              <w:shd w:val="clear" w:color="auto" w:fill="FFFFFF" w:themeFill="background1"/>
            </w:rPr>
            <w:t>（一）评分情况</w:t>
          </w:r>
          <w:r>
            <w:tab/>
          </w:r>
          <w:r>
            <w:fldChar w:fldCharType="begin"/>
          </w:r>
          <w:r>
            <w:instrText xml:space="preserve"> PAGEREF _Toc20800 \h </w:instrText>
          </w:r>
          <w:r>
            <w:fldChar w:fldCharType="separate"/>
          </w:r>
          <w:r>
            <w:t>21</w:t>
          </w:r>
          <w:r>
            <w:fldChar w:fldCharType="end"/>
          </w:r>
          <w:r>
            <w:fldChar w:fldCharType="end"/>
          </w:r>
        </w:p>
        <w:p w14:paraId="2789EF07">
          <w:pPr>
            <w:pStyle w:val="20"/>
            <w:tabs>
              <w:tab w:val="right" w:leader="dot" w:pos="8844"/>
            </w:tabs>
            <w:spacing w:line="0" w:lineRule="atLeast"/>
          </w:pPr>
          <w:r>
            <w:fldChar w:fldCharType="begin"/>
          </w:r>
          <w:r>
            <w:instrText xml:space="preserve"> HYPERLINK \l "_Toc9941" </w:instrText>
          </w:r>
          <w:r>
            <w:fldChar w:fldCharType="separate"/>
          </w:r>
          <w:r>
            <w:rPr>
              <w:rFonts w:hint="eastAsia" w:ascii="楷体" w:hAnsi="楷体" w:eastAsia="楷体"/>
              <w:szCs w:val="30"/>
              <w:shd w:val="clear" w:color="auto" w:fill="FFFFFF" w:themeFill="background1"/>
            </w:rPr>
            <w:t>（二）综合结论</w:t>
          </w:r>
          <w:r>
            <w:tab/>
          </w:r>
          <w:r>
            <w:fldChar w:fldCharType="begin"/>
          </w:r>
          <w:r>
            <w:instrText xml:space="preserve"> PAGEREF _Toc9941 \h </w:instrText>
          </w:r>
          <w:r>
            <w:fldChar w:fldCharType="separate"/>
          </w:r>
          <w:r>
            <w:t>22</w:t>
          </w:r>
          <w:r>
            <w:fldChar w:fldCharType="end"/>
          </w:r>
          <w:r>
            <w:fldChar w:fldCharType="end"/>
          </w:r>
        </w:p>
        <w:p w14:paraId="37CDD89C">
          <w:pPr>
            <w:pStyle w:val="17"/>
            <w:tabs>
              <w:tab w:val="right" w:leader="dot" w:pos="8844"/>
            </w:tabs>
            <w:spacing w:line="0" w:lineRule="atLeast"/>
          </w:pPr>
          <w:r>
            <w:fldChar w:fldCharType="begin"/>
          </w:r>
          <w:r>
            <w:instrText xml:space="preserve"> HYPERLINK \l "_Toc25606" </w:instrText>
          </w:r>
          <w:r>
            <w:fldChar w:fldCharType="separate"/>
          </w:r>
          <w:r>
            <w:rPr>
              <w:rFonts w:hint="eastAsia" w:ascii="黑体" w:hAnsi="宋体" w:eastAsia="黑体" w:cs="宋体"/>
              <w:szCs w:val="30"/>
              <w:shd w:val="clear" w:color="auto" w:fill="FFFFFF" w:themeFill="background1"/>
            </w:rPr>
            <w:t>五、存在的主要问题和不足</w:t>
          </w:r>
          <w:r>
            <w:tab/>
          </w:r>
          <w:r>
            <w:fldChar w:fldCharType="begin"/>
          </w:r>
          <w:r>
            <w:instrText xml:space="preserve"> PAGEREF _Toc25606 \h </w:instrText>
          </w:r>
          <w:r>
            <w:fldChar w:fldCharType="separate"/>
          </w:r>
          <w:r>
            <w:t>22</w:t>
          </w:r>
          <w:r>
            <w:fldChar w:fldCharType="end"/>
          </w:r>
          <w:r>
            <w:fldChar w:fldCharType="end"/>
          </w:r>
        </w:p>
        <w:p w14:paraId="2DED351C">
          <w:pPr>
            <w:pStyle w:val="20"/>
            <w:tabs>
              <w:tab w:val="right" w:leader="dot" w:pos="8844"/>
            </w:tabs>
            <w:spacing w:line="0" w:lineRule="atLeast"/>
          </w:pPr>
          <w:r>
            <w:fldChar w:fldCharType="begin"/>
          </w:r>
          <w:r>
            <w:instrText xml:space="preserve"> HYPERLINK \l "_Toc14292" </w:instrText>
          </w:r>
          <w:r>
            <w:fldChar w:fldCharType="separate"/>
          </w:r>
          <w:r>
            <w:rPr>
              <w:rFonts w:hint="eastAsia" w:ascii="楷体" w:hAnsi="楷体" w:eastAsia="楷体"/>
              <w:szCs w:val="30"/>
              <w:shd w:val="clear" w:color="auto" w:fill="FFFFFF" w:themeFill="background1"/>
            </w:rPr>
            <w:t>（一）绩效目标导向理念仍未深化，目标值谋划不足</w:t>
          </w:r>
          <w:r>
            <w:tab/>
          </w:r>
          <w:r>
            <w:fldChar w:fldCharType="begin"/>
          </w:r>
          <w:r>
            <w:instrText xml:space="preserve"> PAGEREF _Toc14292 \h </w:instrText>
          </w:r>
          <w:r>
            <w:fldChar w:fldCharType="separate"/>
          </w:r>
          <w:r>
            <w:t>22</w:t>
          </w:r>
          <w:r>
            <w:fldChar w:fldCharType="end"/>
          </w:r>
          <w:r>
            <w:fldChar w:fldCharType="end"/>
          </w:r>
        </w:p>
        <w:p w14:paraId="6FF33DFC">
          <w:pPr>
            <w:pStyle w:val="20"/>
            <w:tabs>
              <w:tab w:val="right" w:leader="dot" w:pos="8844"/>
            </w:tabs>
            <w:spacing w:line="0" w:lineRule="atLeast"/>
          </w:pPr>
          <w:r>
            <w:fldChar w:fldCharType="begin"/>
          </w:r>
          <w:r>
            <w:instrText xml:space="preserve"> HYPERLINK \l "_Toc2743" </w:instrText>
          </w:r>
          <w:r>
            <w:fldChar w:fldCharType="separate"/>
          </w:r>
          <w:r>
            <w:rPr>
              <w:rFonts w:hint="eastAsia" w:ascii="楷体" w:hAnsi="楷体" w:eastAsia="楷体"/>
              <w:szCs w:val="30"/>
              <w:shd w:val="clear" w:color="auto" w:fill="FFFFFF" w:themeFill="background1"/>
            </w:rPr>
            <w:t>（二）资金分配与需求的匹配性偏差，部分资金沉淀</w:t>
          </w:r>
          <w:r>
            <w:tab/>
          </w:r>
          <w:r>
            <w:fldChar w:fldCharType="begin"/>
          </w:r>
          <w:r>
            <w:instrText xml:space="preserve"> PAGEREF _Toc2743 \h </w:instrText>
          </w:r>
          <w:r>
            <w:fldChar w:fldCharType="separate"/>
          </w:r>
          <w:r>
            <w:t>23</w:t>
          </w:r>
          <w:r>
            <w:fldChar w:fldCharType="end"/>
          </w:r>
          <w:r>
            <w:fldChar w:fldCharType="end"/>
          </w:r>
        </w:p>
        <w:p w14:paraId="3077D396">
          <w:pPr>
            <w:pStyle w:val="20"/>
            <w:tabs>
              <w:tab w:val="right" w:leader="dot" w:pos="8844"/>
            </w:tabs>
            <w:spacing w:line="0" w:lineRule="atLeast"/>
          </w:pPr>
          <w:r>
            <w:fldChar w:fldCharType="begin"/>
          </w:r>
          <w:r>
            <w:instrText xml:space="preserve"> HYPERLINK \l "_Toc5593" </w:instrText>
          </w:r>
          <w:r>
            <w:fldChar w:fldCharType="separate"/>
          </w:r>
          <w:r>
            <w:rPr>
              <w:rFonts w:hint="eastAsia" w:ascii="楷体" w:hAnsi="楷体" w:eastAsia="楷体"/>
              <w:szCs w:val="30"/>
              <w:shd w:val="clear" w:color="auto" w:fill="FFFFFF" w:themeFill="background1"/>
            </w:rPr>
            <w:t>（三）未严格执行档案管理规定，部分资料归档不全</w:t>
          </w:r>
          <w:r>
            <w:tab/>
          </w:r>
          <w:r>
            <w:fldChar w:fldCharType="begin"/>
          </w:r>
          <w:r>
            <w:instrText xml:space="preserve"> PAGEREF _Toc5593 \h </w:instrText>
          </w:r>
          <w:r>
            <w:fldChar w:fldCharType="separate"/>
          </w:r>
          <w:r>
            <w:t>24</w:t>
          </w:r>
          <w:r>
            <w:fldChar w:fldCharType="end"/>
          </w:r>
          <w:r>
            <w:fldChar w:fldCharType="end"/>
          </w:r>
        </w:p>
        <w:p w14:paraId="7FF9C13A">
          <w:pPr>
            <w:pStyle w:val="17"/>
            <w:tabs>
              <w:tab w:val="right" w:leader="dot" w:pos="8844"/>
            </w:tabs>
            <w:spacing w:line="0" w:lineRule="atLeast"/>
          </w:pPr>
          <w:r>
            <w:fldChar w:fldCharType="begin"/>
          </w:r>
          <w:r>
            <w:instrText xml:space="preserve"> HYPERLINK \l "_Toc23808" </w:instrText>
          </w:r>
          <w:r>
            <w:fldChar w:fldCharType="separate"/>
          </w:r>
          <w:r>
            <w:rPr>
              <w:rFonts w:hint="eastAsia" w:ascii="黑体" w:hAnsi="宋体" w:eastAsia="黑体" w:cs="宋体"/>
              <w:szCs w:val="30"/>
              <w:shd w:val="clear" w:color="auto" w:fill="FFFFFF" w:themeFill="background1"/>
            </w:rPr>
            <w:t>六、主要建议</w:t>
          </w:r>
          <w:r>
            <w:tab/>
          </w:r>
          <w:r>
            <w:fldChar w:fldCharType="begin"/>
          </w:r>
          <w:r>
            <w:instrText xml:space="preserve"> PAGEREF _Toc23808 \h </w:instrText>
          </w:r>
          <w:r>
            <w:fldChar w:fldCharType="separate"/>
          </w:r>
          <w:r>
            <w:t>24</w:t>
          </w:r>
          <w:r>
            <w:fldChar w:fldCharType="end"/>
          </w:r>
          <w:r>
            <w:fldChar w:fldCharType="end"/>
          </w:r>
        </w:p>
        <w:p w14:paraId="621E0888">
          <w:pPr>
            <w:pStyle w:val="20"/>
            <w:tabs>
              <w:tab w:val="right" w:leader="dot" w:pos="8844"/>
            </w:tabs>
            <w:spacing w:line="0" w:lineRule="atLeast"/>
          </w:pPr>
          <w:r>
            <w:fldChar w:fldCharType="begin"/>
          </w:r>
          <w:r>
            <w:instrText xml:space="preserve"> HYPERLINK \l "_Toc12823" </w:instrText>
          </w:r>
          <w:r>
            <w:fldChar w:fldCharType="separate"/>
          </w:r>
          <w:r>
            <w:rPr>
              <w:rFonts w:hint="eastAsia" w:ascii="楷体" w:hAnsi="楷体" w:eastAsia="楷体"/>
              <w:szCs w:val="30"/>
              <w:shd w:val="clear" w:color="auto" w:fill="FFFFFF" w:themeFill="background1"/>
            </w:rPr>
            <w:t>（一）重视绩效目标前置作用，推进绩效关口前移</w:t>
          </w:r>
          <w:r>
            <w:tab/>
          </w:r>
          <w:r>
            <w:fldChar w:fldCharType="begin"/>
          </w:r>
          <w:r>
            <w:instrText xml:space="preserve"> PAGEREF _Toc12823 \h </w:instrText>
          </w:r>
          <w:r>
            <w:fldChar w:fldCharType="separate"/>
          </w:r>
          <w:r>
            <w:t>24</w:t>
          </w:r>
          <w:r>
            <w:fldChar w:fldCharType="end"/>
          </w:r>
          <w:r>
            <w:fldChar w:fldCharType="end"/>
          </w:r>
        </w:p>
        <w:p w14:paraId="039553EF">
          <w:pPr>
            <w:pStyle w:val="20"/>
            <w:tabs>
              <w:tab w:val="right" w:leader="dot" w:pos="8844"/>
            </w:tabs>
            <w:spacing w:line="0" w:lineRule="atLeast"/>
          </w:pPr>
          <w:r>
            <w:fldChar w:fldCharType="begin"/>
          </w:r>
          <w:r>
            <w:instrText xml:space="preserve"> HYPERLINK \l "_Toc18072" </w:instrText>
          </w:r>
          <w:r>
            <w:fldChar w:fldCharType="separate"/>
          </w:r>
          <w:r>
            <w:rPr>
              <w:rFonts w:hint="eastAsia" w:ascii="楷体" w:hAnsi="楷体" w:eastAsia="楷体"/>
              <w:szCs w:val="30"/>
              <w:shd w:val="clear" w:color="auto" w:fill="FFFFFF" w:themeFill="background1"/>
            </w:rPr>
            <w:t>（二）优化资金分配管理方式，充分发挥资金效益</w:t>
          </w:r>
          <w:r>
            <w:tab/>
          </w:r>
          <w:r>
            <w:fldChar w:fldCharType="begin"/>
          </w:r>
          <w:r>
            <w:instrText xml:space="preserve"> PAGEREF _Toc18072 \h </w:instrText>
          </w:r>
          <w:r>
            <w:fldChar w:fldCharType="separate"/>
          </w:r>
          <w:r>
            <w:t>25</w:t>
          </w:r>
          <w:r>
            <w:fldChar w:fldCharType="end"/>
          </w:r>
          <w:r>
            <w:fldChar w:fldCharType="end"/>
          </w:r>
        </w:p>
        <w:p w14:paraId="2A13CA1A">
          <w:pPr>
            <w:pStyle w:val="20"/>
            <w:tabs>
              <w:tab w:val="right" w:leader="dot" w:pos="8844"/>
            </w:tabs>
            <w:spacing w:line="0" w:lineRule="atLeast"/>
          </w:pPr>
          <w:r>
            <w:fldChar w:fldCharType="begin"/>
          </w:r>
          <w:r>
            <w:instrText xml:space="preserve"> HYPERLINK \l "_Toc21365" </w:instrText>
          </w:r>
          <w:r>
            <w:fldChar w:fldCharType="separate"/>
          </w:r>
          <w:r>
            <w:rPr>
              <w:rFonts w:hint="eastAsia" w:ascii="楷体" w:hAnsi="楷体" w:eastAsia="楷体"/>
              <w:szCs w:val="30"/>
              <w:shd w:val="clear" w:color="auto" w:fill="FFFFFF" w:themeFill="background1"/>
            </w:rPr>
            <w:t>（三）严格执行各类档案管理制度，及时完成归档工作</w:t>
          </w:r>
          <w:r>
            <w:tab/>
          </w:r>
          <w:r>
            <w:fldChar w:fldCharType="begin"/>
          </w:r>
          <w:r>
            <w:instrText xml:space="preserve"> PAGEREF _Toc21365 \h </w:instrText>
          </w:r>
          <w:r>
            <w:fldChar w:fldCharType="separate"/>
          </w:r>
          <w:r>
            <w:t>26</w:t>
          </w:r>
          <w:r>
            <w:fldChar w:fldCharType="end"/>
          </w:r>
          <w:r>
            <w:fldChar w:fldCharType="end"/>
          </w:r>
        </w:p>
        <w:p w14:paraId="5C890C48">
          <w:pPr>
            <w:pStyle w:val="17"/>
            <w:tabs>
              <w:tab w:val="right" w:leader="dot" w:pos="8844"/>
            </w:tabs>
            <w:spacing w:line="0" w:lineRule="atLeast"/>
          </w:pPr>
          <w:r>
            <w:fldChar w:fldCharType="begin"/>
          </w:r>
          <w:r>
            <w:instrText xml:space="preserve"> HYPERLINK \l "_Toc31921" </w:instrText>
          </w:r>
          <w:r>
            <w:fldChar w:fldCharType="separate"/>
          </w:r>
          <w:r>
            <w:rPr>
              <w:rFonts w:hint="eastAsia" w:ascii="黑体" w:hAnsi="宋体" w:eastAsia="黑体" w:cs="宋体"/>
              <w:szCs w:val="30"/>
              <w:shd w:val="clear" w:color="auto" w:fill="FFFFFF" w:themeFill="background1"/>
            </w:rPr>
            <w:t>七、附件</w:t>
          </w:r>
          <w:r>
            <w:tab/>
          </w:r>
          <w:r>
            <w:fldChar w:fldCharType="begin"/>
          </w:r>
          <w:r>
            <w:instrText xml:space="preserve"> PAGEREF _Toc31921 \h </w:instrText>
          </w:r>
          <w:r>
            <w:fldChar w:fldCharType="separate"/>
          </w:r>
          <w:r>
            <w:t>27</w:t>
          </w:r>
          <w:r>
            <w:fldChar w:fldCharType="end"/>
          </w:r>
          <w:r>
            <w:fldChar w:fldCharType="end"/>
          </w:r>
        </w:p>
        <w:p w14:paraId="75B625A2">
          <w:pPr>
            <w:pStyle w:val="17"/>
            <w:tabs>
              <w:tab w:val="right" w:leader="dot" w:pos="8834"/>
            </w:tabs>
            <w:adjustRightInd w:val="0"/>
            <w:snapToGrid w:val="0"/>
            <w:spacing w:before="0" w:after="0" w:line="600" w:lineRule="exact"/>
            <w:contextualSpacing/>
            <w:rPr>
              <w:rFonts w:ascii="微软雅黑" w:eastAsia="微软雅黑"/>
              <w:sz w:val="44"/>
              <w:szCs w:val="44"/>
              <w:shd w:val="clear" w:color="auto" w:fill="FFFFFF" w:themeFill="background1"/>
            </w:rPr>
          </w:pPr>
          <w:r>
            <w:rPr>
              <w:rFonts w:ascii="楷体" w:hAnsi="楷体" w:eastAsia="楷体"/>
              <w:b w:val="0"/>
              <w:sz w:val="24"/>
              <w:szCs w:val="24"/>
              <w:shd w:val="clear" w:color="auto" w:fill="FFFFFF" w:themeFill="background1"/>
            </w:rPr>
            <w:fldChar w:fldCharType="end"/>
          </w:r>
        </w:p>
      </w:sdtContent>
    </w:sdt>
    <w:p w14:paraId="2917272E">
      <w:pPr>
        <w:widowControl/>
        <w:adjustRightInd w:val="0"/>
        <w:snapToGrid w:val="0"/>
        <w:spacing w:before="150" w:after="100" w:afterAutospacing="1" w:line="600" w:lineRule="exact"/>
        <w:jc w:val="center"/>
        <w:rPr>
          <w:rFonts w:ascii="微软雅黑" w:eastAsia="微软雅黑"/>
          <w:sz w:val="44"/>
          <w:szCs w:val="44"/>
          <w:shd w:val="clear" w:color="auto" w:fill="FFFFFF" w:themeFill="background1"/>
        </w:rPr>
        <w:sectPr>
          <w:type w:val="oddPage"/>
          <w:pgSz w:w="11906" w:h="16838"/>
          <w:pgMar w:top="2098" w:right="1474" w:bottom="1985" w:left="1588" w:header="851" w:footer="1474" w:gutter="0"/>
          <w:pgNumType w:start="1"/>
          <w:cols w:space="425" w:num="1"/>
          <w:docGrid w:type="linesAndChars" w:linePitch="579" w:charSpace="3247"/>
        </w:sectPr>
      </w:pPr>
      <w:bookmarkStart w:id="1" w:name="_Toc13377"/>
      <w:bookmarkEnd w:id="1"/>
      <w:bookmarkStart w:id="2" w:name="_Toc29523"/>
      <w:bookmarkEnd w:id="2"/>
      <w:bookmarkStart w:id="3" w:name="_Hlk525313924"/>
    </w:p>
    <w:p w14:paraId="397E84B2">
      <w:pPr>
        <w:spacing w:line="600" w:lineRule="exact"/>
        <w:jc w:val="center"/>
        <w:rPr>
          <w:b/>
          <w:sz w:val="48"/>
          <w:szCs w:val="48"/>
          <w:shd w:val="clear" w:color="auto" w:fill="FFFFFF" w:themeFill="background1"/>
        </w:rPr>
      </w:pPr>
      <w:r>
        <w:rPr>
          <w:rFonts w:hint="eastAsia" w:ascii="微软雅黑" w:eastAsia="微软雅黑"/>
          <w:sz w:val="44"/>
          <w:szCs w:val="44"/>
          <w:shd w:val="clear" w:color="auto" w:fill="FFFFFF" w:themeFill="background1"/>
        </w:rPr>
        <w:t>重庆高新区2020年就业补助项目</w:t>
      </w:r>
    </w:p>
    <w:p w14:paraId="61883B41">
      <w:pPr>
        <w:spacing w:line="600" w:lineRule="exact"/>
        <w:jc w:val="center"/>
        <w:outlineLvl w:val="0"/>
        <w:rPr>
          <w:rFonts w:ascii="微软雅黑" w:eastAsia="微软雅黑"/>
          <w:sz w:val="44"/>
          <w:szCs w:val="44"/>
          <w:shd w:val="clear" w:color="auto" w:fill="FFFFFF" w:themeFill="background1"/>
        </w:rPr>
      </w:pPr>
      <w:bookmarkStart w:id="4" w:name="_Toc25022"/>
      <w:r>
        <w:rPr>
          <w:rFonts w:hint="eastAsia" w:ascii="微软雅黑" w:eastAsia="微软雅黑"/>
          <w:sz w:val="44"/>
          <w:szCs w:val="44"/>
          <w:shd w:val="clear" w:color="auto" w:fill="FFFFFF" w:themeFill="background1"/>
        </w:rPr>
        <w:t>绩效评价报告摘要</w:t>
      </w:r>
      <w:bookmarkEnd w:id="4"/>
    </w:p>
    <w:p w14:paraId="10EBEB32">
      <w:pPr>
        <w:pStyle w:val="15"/>
      </w:pPr>
    </w:p>
    <w:p w14:paraId="1AA59255">
      <w:pPr>
        <w:spacing w:line="600" w:lineRule="exact"/>
        <w:ind w:firstLine="630" w:firstLineChars="200"/>
        <w:rPr>
          <w:rFonts w:ascii="黑体" w:hAnsi="黑体" w:eastAsia="黑体"/>
          <w:szCs w:val="30"/>
          <w:shd w:val="clear" w:color="auto" w:fill="FFFFFF" w:themeFill="background1"/>
        </w:rPr>
      </w:pPr>
      <w:r>
        <w:rPr>
          <w:rFonts w:hint="eastAsia" w:ascii="黑体" w:hAnsi="黑体" w:eastAsia="黑体"/>
          <w:szCs w:val="30"/>
          <w:shd w:val="clear" w:color="auto" w:fill="FFFFFF" w:themeFill="background1"/>
        </w:rPr>
        <w:t>一、项目基本情况</w:t>
      </w:r>
    </w:p>
    <w:p w14:paraId="163404E5">
      <w:pPr>
        <w:adjustRightInd w:val="0"/>
        <w:snapToGrid w:val="0"/>
        <w:spacing w:line="600" w:lineRule="exact"/>
        <w:ind w:firstLine="630" w:firstLineChars="200"/>
        <w:jc w:val="left"/>
        <w:rPr>
          <w:rFonts w:hAnsi="仿宋" w:cs="宋体"/>
          <w:color w:val="000000"/>
          <w:kern w:val="2"/>
          <w:szCs w:val="30"/>
        </w:rPr>
      </w:pPr>
      <w:r>
        <w:rPr>
          <w:rFonts w:hint="eastAsia" w:hAnsi="仿宋"/>
          <w:szCs w:val="30"/>
          <w:shd w:val="clear" w:color="auto" w:fill="FFFFFF" w:themeFill="background1"/>
        </w:rPr>
        <w:t>（一）项目名称：重庆高新区20</w:t>
      </w:r>
      <w:bookmarkStart w:id="51" w:name="_GoBack"/>
      <w:bookmarkEnd w:id="51"/>
      <w:r>
        <w:rPr>
          <w:rFonts w:hint="eastAsia" w:hAnsi="仿宋"/>
          <w:szCs w:val="30"/>
          <w:shd w:val="clear" w:color="auto" w:fill="FFFFFF" w:themeFill="background1"/>
        </w:rPr>
        <w:t>20年就业补助项目（以下简称“就业补助项目”）。</w:t>
      </w:r>
    </w:p>
    <w:p w14:paraId="003EC273">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（二）年度资金预算：根据渝高新财预〔2020〕223号、渝高新财预〔2020〕226号、渝高财预〔2020〕0002号及渝高新财预〔2020〕126号文件显示，重庆高新区2020年就业补助项目年度资金预算共4,232.40万元。</w:t>
      </w:r>
    </w:p>
    <w:p w14:paraId="0CA2F8B0">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（三）项目主管部门及实施单位：项目主管部门及实施单位均为重庆高新区政务服务和社会事务中心（以下简称“区政务中心”）。</w:t>
      </w:r>
    </w:p>
    <w:p w14:paraId="708500E8">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（四）项目内容：重庆高新区2020年就业补助资金仅涉及个人和单位补贴中的社会保险补贴、就业见习补贴以及公共就业服务能力建设补助中的就业创业服务补助。</w:t>
      </w:r>
    </w:p>
    <w:p w14:paraId="683B4452">
      <w:pPr>
        <w:spacing w:line="600" w:lineRule="exact"/>
        <w:ind w:firstLine="630" w:firstLineChars="200"/>
        <w:rPr>
          <w:rFonts w:ascii="黑体" w:hAnsi="黑体" w:eastAsia="黑体"/>
          <w:szCs w:val="30"/>
          <w:shd w:val="clear" w:color="auto" w:fill="FFFFFF" w:themeFill="background1"/>
        </w:rPr>
      </w:pPr>
      <w:r>
        <w:rPr>
          <w:rFonts w:hint="eastAsia" w:ascii="黑体" w:hAnsi="黑体" w:eastAsia="黑体"/>
          <w:szCs w:val="30"/>
          <w:shd w:val="clear" w:color="auto" w:fill="FFFFFF" w:themeFill="background1"/>
        </w:rPr>
        <w:t>二、绩效评分结果</w:t>
      </w:r>
    </w:p>
    <w:p w14:paraId="63282F55">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通过综合评价，重庆高新区2020年就业补助项目综合得分为85.50分，评价等级为“良”。具体评分情况如下:</w:t>
      </w:r>
    </w:p>
    <w:tbl>
      <w:tblPr>
        <w:tblStyle w:val="24"/>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2223"/>
        <w:gridCol w:w="2169"/>
        <w:gridCol w:w="2187"/>
      </w:tblGrid>
      <w:tr w14:paraId="5B64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1C5B4AB7">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一级指标</w:t>
            </w:r>
          </w:p>
        </w:tc>
        <w:tc>
          <w:tcPr>
            <w:tcW w:w="2223" w:type="dxa"/>
            <w:vAlign w:val="center"/>
          </w:tcPr>
          <w:p w14:paraId="19F13174">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标准分值</w:t>
            </w:r>
          </w:p>
        </w:tc>
        <w:tc>
          <w:tcPr>
            <w:tcW w:w="2169" w:type="dxa"/>
            <w:vAlign w:val="center"/>
          </w:tcPr>
          <w:p w14:paraId="68A2FB83">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评价得分</w:t>
            </w:r>
          </w:p>
        </w:tc>
        <w:tc>
          <w:tcPr>
            <w:tcW w:w="2187" w:type="dxa"/>
            <w:vAlign w:val="center"/>
          </w:tcPr>
          <w:p w14:paraId="4B0E6622">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得分率</w:t>
            </w:r>
          </w:p>
        </w:tc>
      </w:tr>
      <w:tr w14:paraId="4552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66E25E8C">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决策</w:t>
            </w:r>
          </w:p>
        </w:tc>
        <w:tc>
          <w:tcPr>
            <w:tcW w:w="2223" w:type="dxa"/>
            <w:vAlign w:val="center"/>
          </w:tcPr>
          <w:p w14:paraId="18B4A786">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20</w:t>
            </w:r>
          </w:p>
        </w:tc>
        <w:tc>
          <w:tcPr>
            <w:tcW w:w="2169" w:type="dxa"/>
            <w:vAlign w:val="center"/>
          </w:tcPr>
          <w:p w14:paraId="30D88AE4">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14.00</w:t>
            </w:r>
          </w:p>
        </w:tc>
        <w:tc>
          <w:tcPr>
            <w:tcW w:w="2187" w:type="dxa"/>
            <w:vAlign w:val="center"/>
          </w:tcPr>
          <w:p w14:paraId="24D9522C">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70.00%</w:t>
            </w:r>
          </w:p>
        </w:tc>
      </w:tr>
      <w:tr w14:paraId="4096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238BE67E">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过程</w:t>
            </w:r>
          </w:p>
        </w:tc>
        <w:tc>
          <w:tcPr>
            <w:tcW w:w="2223" w:type="dxa"/>
            <w:vAlign w:val="center"/>
          </w:tcPr>
          <w:p w14:paraId="004DE88C">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20</w:t>
            </w:r>
          </w:p>
        </w:tc>
        <w:tc>
          <w:tcPr>
            <w:tcW w:w="2169" w:type="dxa"/>
            <w:vAlign w:val="center"/>
          </w:tcPr>
          <w:p w14:paraId="0B4C956D">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15.50</w:t>
            </w:r>
          </w:p>
        </w:tc>
        <w:tc>
          <w:tcPr>
            <w:tcW w:w="2187" w:type="dxa"/>
            <w:vAlign w:val="center"/>
          </w:tcPr>
          <w:p w14:paraId="3E555B81">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77.50%</w:t>
            </w:r>
          </w:p>
        </w:tc>
      </w:tr>
      <w:tr w14:paraId="5B97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67236A30">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产出</w:t>
            </w:r>
          </w:p>
        </w:tc>
        <w:tc>
          <w:tcPr>
            <w:tcW w:w="2223" w:type="dxa"/>
            <w:vAlign w:val="center"/>
          </w:tcPr>
          <w:p w14:paraId="47A2492D">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30</w:t>
            </w:r>
          </w:p>
        </w:tc>
        <w:tc>
          <w:tcPr>
            <w:tcW w:w="2169" w:type="dxa"/>
            <w:vAlign w:val="center"/>
          </w:tcPr>
          <w:p w14:paraId="5FDF8E01">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30.00</w:t>
            </w:r>
          </w:p>
        </w:tc>
        <w:tc>
          <w:tcPr>
            <w:tcW w:w="2187" w:type="dxa"/>
            <w:vAlign w:val="center"/>
          </w:tcPr>
          <w:p w14:paraId="213CA183">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100.00%</w:t>
            </w:r>
          </w:p>
        </w:tc>
      </w:tr>
      <w:tr w14:paraId="7AEC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01D623E3">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效益</w:t>
            </w:r>
          </w:p>
        </w:tc>
        <w:tc>
          <w:tcPr>
            <w:tcW w:w="2223" w:type="dxa"/>
            <w:vAlign w:val="center"/>
          </w:tcPr>
          <w:p w14:paraId="7DFEF26B">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30</w:t>
            </w:r>
          </w:p>
        </w:tc>
        <w:tc>
          <w:tcPr>
            <w:tcW w:w="2169" w:type="dxa"/>
            <w:vAlign w:val="center"/>
          </w:tcPr>
          <w:p w14:paraId="3A879947">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26.00</w:t>
            </w:r>
          </w:p>
        </w:tc>
        <w:tc>
          <w:tcPr>
            <w:tcW w:w="2187" w:type="dxa"/>
            <w:vAlign w:val="center"/>
          </w:tcPr>
          <w:p w14:paraId="130283BD">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86.67%</w:t>
            </w:r>
          </w:p>
        </w:tc>
      </w:tr>
      <w:tr w14:paraId="6832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54B0E5C0">
            <w:pPr>
              <w:snapToGrid w:val="0"/>
              <w:jc w:val="center"/>
              <w:rPr>
                <w:rFonts w:hAnsi="仿宋"/>
                <w:sz w:val="24"/>
                <w:szCs w:val="24"/>
                <w:shd w:val="clear" w:color="auto" w:fill="FFFFFF" w:themeFill="background1"/>
              </w:rPr>
            </w:pPr>
            <w:r>
              <w:rPr>
                <w:rFonts w:hint="eastAsia" w:hAnsi="仿宋"/>
                <w:b/>
                <w:bCs/>
                <w:sz w:val="24"/>
                <w:szCs w:val="24"/>
                <w:shd w:val="clear" w:color="auto" w:fill="FFFFFF" w:themeFill="background1"/>
              </w:rPr>
              <w:t>小计</w:t>
            </w:r>
          </w:p>
        </w:tc>
        <w:tc>
          <w:tcPr>
            <w:tcW w:w="2223" w:type="dxa"/>
            <w:vAlign w:val="center"/>
          </w:tcPr>
          <w:p w14:paraId="67EE2511">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100</w:t>
            </w:r>
          </w:p>
        </w:tc>
        <w:tc>
          <w:tcPr>
            <w:tcW w:w="2169" w:type="dxa"/>
            <w:vAlign w:val="center"/>
          </w:tcPr>
          <w:p w14:paraId="3E9C56C8">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85.50</w:t>
            </w:r>
          </w:p>
        </w:tc>
        <w:tc>
          <w:tcPr>
            <w:tcW w:w="2187" w:type="dxa"/>
            <w:vAlign w:val="center"/>
          </w:tcPr>
          <w:p w14:paraId="27CF0586">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85.50%</w:t>
            </w:r>
          </w:p>
        </w:tc>
      </w:tr>
    </w:tbl>
    <w:p w14:paraId="3A18F131">
      <w:pPr>
        <w:spacing w:line="600" w:lineRule="exact"/>
        <w:ind w:firstLine="630" w:firstLineChars="200"/>
        <w:rPr>
          <w:rFonts w:ascii="黑体" w:hAnsi="黑体" w:eastAsia="黑体"/>
          <w:szCs w:val="30"/>
          <w:shd w:val="clear" w:color="auto" w:fill="FFFFFF" w:themeFill="background1"/>
        </w:rPr>
      </w:pPr>
      <w:r>
        <w:rPr>
          <w:rFonts w:hint="eastAsia" w:ascii="黑体" w:hAnsi="黑体" w:eastAsia="黑体"/>
          <w:szCs w:val="30"/>
          <w:shd w:val="clear" w:color="auto" w:fill="FFFFFF" w:themeFill="background1"/>
        </w:rPr>
        <w:t>三、综合结论</w:t>
      </w:r>
    </w:p>
    <w:p w14:paraId="647FBE8A">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通过绩效分析，综合评价认为：</w:t>
      </w:r>
    </w:p>
    <w:p w14:paraId="31545EC4">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lang w:eastAsia="zh-CN"/>
        </w:rPr>
        <w:t>截至</w:t>
      </w:r>
      <w:r>
        <w:rPr>
          <w:rFonts w:hint="eastAsia" w:hAnsi="仿宋"/>
          <w:szCs w:val="30"/>
          <w:shd w:val="clear" w:color="auto" w:fill="FFFFFF" w:themeFill="background1"/>
        </w:rPr>
        <w:t>2020年12月底，重庆高新区2020年就业补助项目较好完成了年初各项目标任务。通过项目的实施，不仅促使就业创业结构更加合理，就业创业体系也得以日益完善。同时，缓解了社会压力，对保持就业创业局势和社会稳定起到了促进作用。在项目管理过程中，相关部门注重过程管理，及时制定相关制度，提高了资金使用效益。但也存在以下问题和不足括：绩效目标导向理念仍未深化，目标值谋划不足；资金分配与需求的匹配性偏差，部分资金沉淀；未严格执行档案管理规定，部分资料归档不全。</w:t>
      </w:r>
    </w:p>
    <w:p w14:paraId="6330F7DE">
      <w:pPr>
        <w:spacing w:line="600" w:lineRule="exact"/>
        <w:ind w:firstLine="630" w:firstLineChars="200"/>
        <w:rPr>
          <w:rFonts w:ascii="黑体" w:hAnsi="黑体" w:eastAsia="黑体"/>
          <w:szCs w:val="30"/>
          <w:shd w:val="clear" w:color="auto" w:fill="FFFFFF" w:themeFill="background1"/>
        </w:rPr>
      </w:pPr>
      <w:r>
        <w:rPr>
          <w:rFonts w:hint="eastAsia" w:ascii="黑体" w:hAnsi="黑体" w:eastAsia="黑体"/>
          <w:szCs w:val="30"/>
          <w:shd w:val="clear" w:color="auto" w:fill="FFFFFF" w:themeFill="background1"/>
        </w:rPr>
        <w:t>四、存在的主要问题和不足</w:t>
      </w:r>
    </w:p>
    <w:p w14:paraId="1AF8B749">
      <w:pPr>
        <w:overflowPunct w:val="0"/>
        <w:adjustRightInd w:val="0"/>
        <w:snapToGrid w:val="0"/>
        <w:spacing w:line="600" w:lineRule="exact"/>
        <w:ind w:firstLine="632"/>
        <w:rPr>
          <w:rFonts w:ascii="楷体" w:hAnsi="楷体" w:eastAsia="楷体"/>
          <w:szCs w:val="30"/>
        </w:rPr>
      </w:pPr>
      <w:r>
        <w:rPr>
          <w:rFonts w:hint="eastAsia" w:ascii="楷体" w:hAnsi="楷体" w:eastAsia="楷体"/>
          <w:szCs w:val="30"/>
        </w:rPr>
        <w:t>（一）绩效目标导向理念仍未深化，目标值谋划不足</w:t>
      </w:r>
    </w:p>
    <w:p w14:paraId="71CF5A8F">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一是指标目标值不明确。在产出数量指标中，各项补贴人员数量指标年初未设定预期目标值，而是以年终实际完成情况作为年初目标值参照，反设年初预期目标值。评价认为，此种绩效目标设置方式不利于后期对项目实施绩效监控和绩效评价工作。</w:t>
      </w:r>
    </w:p>
    <w:p w14:paraId="2F2A8E8A">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是部分绩效指标分解不全面。产出质量三级指标仅1项，为“劳动监察投诉结案率”，未根据项目实际补贴补助种类分项设置产出质量指标，“劳动监察投诉结案率”无法全面反应各类补贴补助资金执行后的产出质量。同时，项目未设置产出时效和产出成本指标。</w:t>
      </w:r>
    </w:p>
    <w:p w14:paraId="421CB459">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三是绩效自评质量不高。通过区政务中心向区级财政部门报送的项目绩效自评报告和自评佐证材料，自评报告多为工作完成情况的总结，未能针对项目资金支出情况、项目过程管理情况、绩效目标完成情况进行详细分析，并提出下一步的改进措施，且自评佐证材料中涉及项目过程管理材料较少。</w:t>
      </w:r>
    </w:p>
    <w:p w14:paraId="5817DC3A">
      <w:pPr>
        <w:overflowPunct w:val="0"/>
        <w:adjustRightInd w:val="0"/>
        <w:snapToGrid w:val="0"/>
        <w:spacing w:line="600" w:lineRule="exact"/>
        <w:ind w:firstLine="632"/>
        <w:rPr>
          <w:rFonts w:ascii="楷体" w:hAnsi="楷体" w:eastAsia="楷体"/>
          <w:szCs w:val="30"/>
        </w:rPr>
      </w:pPr>
      <w:r>
        <w:rPr>
          <w:rFonts w:hint="eastAsia" w:ascii="楷体" w:hAnsi="楷体" w:eastAsia="楷体"/>
          <w:szCs w:val="30"/>
        </w:rPr>
        <w:t>（二）资金分配与需求的匹配性偏差，部分资金沉淀</w:t>
      </w:r>
    </w:p>
    <w:p w14:paraId="7C00DC02">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一是预算资金分配不够精准，预算执行监控不到位。2020 年高新区就业补助资金支出率为19.76%，其中中央就业补助资金支出率为 3.09%，区级就业补助资金支出率为19.01%。各类别资金支出率存在不同程度差异，一方面反映出预算编制科学性合理性还有欠缺，资金分配额度与年度目标不相适；另一方面反映出区级主管部门对项目预算执行过程的监控力度不够，未能会同财政相关部门根据资金支出情况及时调整预算安排。</w:t>
      </w:r>
    </w:p>
    <w:p w14:paraId="41A3A168">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是资金分配合理性不足，根据市、区就业补助资金管理办法，中央财政和市财政就业补助资金实行因素法和项目法相结合的办法分配，2020年，因受新冠疫情原因影响，高新区就业补助资金支出率低，复工后相关部门未根据上述资金分配方法及时调整项目预算。同时，区政务中心未给出项目涉及各镇街具体的资金需求测算依据，也未能给出就业补助资金年初预算分配的测算依据，资金分配合理性不足。</w:t>
      </w:r>
    </w:p>
    <w:p w14:paraId="41EE5195">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上述情况均从不同程度影响了财政资金的使用效益，导致资金年度支出率不高，部分资金出现沉淀，值得相关部门引起重视。</w:t>
      </w:r>
    </w:p>
    <w:p w14:paraId="6BDEA20F">
      <w:pPr>
        <w:overflowPunct w:val="0"/>
        <w:adjustRightInd w:val="0"/>
        <w:snapToGrid w:val="0"/>
        <w:spacing w:line="600" w:lineRule="exact"/>
        <w:ind w:firstLine="632"/>
        <w:rPr>
          <w:rFonts w:ascii="楷体" w:hAnsi="楷体" w:eastAsia="楷体"/>
          <w:szCs w:val="30"/>
        </w:rPr>
      </w:pPr>
      <w:r>
        <w:rPr>
          <w:rFonts w:hint="eastAsia" w:ascii="楷体" w:hAnsi="楷体" w:eastAsia="楷体"/>
          <w:szCs w:val="30"/>
        </w:rPr>
        <w:t>（三）未严格执行档案管理规定，部分资料归档不全</w:t>
      </w:r>
    </w:p>
    <w:p w14:paraId="7A18CD1F">
      <w:pPr>
        <w:adjustRightInd w:val="0"/>
        <w:snapToGrid w:val="0"/>
        <w:spacing w:line="600" w:lineRule="exact"/>
        <w:ind w:firstLine="630" w:firstLineChars="200"/>
        <w:jc w:val="left"/>
        <w:rPr>
          <w:rFonts w:hAnsi="仿宋"/>
          <w:szCs w:val="30"/>
          <w:shd w:val="clear" w:color="auto" w:fill="FFFFFF" w:themeFill="background1"/>
        </w:rPr>
      </w:pPr>
      <w:bookmarkStart w:id="5" w:name="_Hlk43881716"/>
      <w:r>
        <w:rPr>
          <w:rFonts w:hint="eastAsia" w:hAnsi="仿宋"/>
          <w:szCs w:val="30"/>
          <w:shd w:val="clear" w:color="auto" w:fill="FFFFFF" w:themeFill="background1"/>
        </w:rPr>
        <w:t>一是根据《就业相关服务及政策经办工作手册》规定，相关部门应对社会保险补贴审核表以及就业政策享受情况告知函送达回执及时归档保存，但评价人员在抽查的会保险补贴归档资料中并未发现上述材料。</w:t>
      </w:r>
    </w:p>
    <w:p w14:paraId="323ADFB0">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二是因岗位变动过程中前后任经办人员资料交接工作不完善，导致现任经办人员对2020年项目实施情况了解程度不高，部分资料暂不知存放于何处，评价中无法提供。</w:t>
      </w:r>
    </w:p>
    <w:bookmarkEnd w:id="5"/>
    <w:p w14:paraId="70DAB4BC">
      <w:pPr>
        <w:spacing w:line="600" w:lineRule="exact"/>
        <w:ind w:firstLine="630" w:firstLineChars="200"/>
        <w:rPr>
          <w:rFonts w:ascii="黑体" w:hAnsi="黑体" w:eastAsia="黑体"/>
          <w:szCs w:val="30"/>
          <w:shd w:val="clear" w:color="auto" w:fill="FFFFFF" w:themeFill="background1"/>
        </w:rPr>
      </w:pPr>
      <w:r>
        <w:rPr>
          <w:rFonts w:hint="eastAsia" w:ascii="黑体" w:hAnsi="黑体" w:eastAsia="黑体"/>
          <w:szCs w:val="30"/>
          <w:shd w:val="clear" w:color="auto" w:fill="FFFFFF" w:themeFill="background1"/>
        </w:rPr>
        <w:t>五、主要建议</w:t>
      </w:r>
    </w:p>
    <w:bookmarkEnd w:id="3"/>
    <w:p w14:paraId="3010FB06">
      <w:pPr>
        <w:overflowPunct w:val="0"/>
        <w:adjustRightInd w:val="0"/>
        <w:snapToGrid w:val="0"/>
        <w:spacing w:line="600" w:lineRule="exact"/>
        <w:ind w:firstLine="632"/>
        <w:rPr>
          <w:rFonts w:ascii="楷体" w:hAnsi="楷体" w:eastAsia="楷体"/>
          <w:szCs w:val="30"/>
        </w:rPr>
      </w:pPr>
      <w:r>
        <w:rPr>
          <w:rFonts w:hint="eastAsia" w:ascii="楷体" w:hAnsi="楷体" w:eastAsia="楷体"/>
          <w:szCs w:val="30"/>
        </w:rPr>
        <w:t>（一）重视绩效目标前置作用，推进绩效关口前移</w:t>
      </w:r>
    </w:p>
    <w:p w14:paraId="1DFE8D61">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一是完善项目支出绩效目标和指标的设置，加强对绩效目标与指标的理解，项目业务主管部门应依据项目支出的功能特性， 通过收集上年度相关基准数据，预计项目实施在一定时期内所要达到的总体产出和效果，结合就业工作总体目标，确定各级就业补助资金项目所要实现的总体目标，并根据从中概括、提炼出最能反映总体目标预期实现程度的关键性指标，及时确定各项产出及效益指标的目标值，为后续预算绩效管理工作提供基础保障。</w:t>
      </w:r>
    </w:p>
    <w:p w14:paraId="05668FEC">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是总结梳理高新区就业补助资金项目近年实施涉及的绩效目标及绩效指标值，形成该类绩效指标及指标值标准体系，涵盖“历史值最高值、最低值、平均值”等，为下一年度项目预算编制和绩效目标及绩效指标设置提供参考。</w:t>
      </w:r>
    </w:p>
    <w:p w14:paraId="02B91A27">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三是及时分解下达就业目标指标，区级业务主管部门应按照上级主管部门要求，在区级就业目标任务的基础上，全面分解各镇街就业目标和指标任务，并适时对各镇街就业目标指标完成情况进行监控，确保就业目标指标分解全面、可考核。</w:t>
      </w:r>
    </w:p>
    <w:p w14:paraId="299E99F9">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四是加强绩效管理工作培训指导，可通过聘请第三方进行系统的绩效目标申报和绩效自评辅导培训，切实提升项目业务部门绩效管理工作水平。</w:t>
      </w:r>
    </w:p>
    <w:p w14:paraId="3EB98130">
      <w:pPr>
        <w:overflowPunct w:val="0"/>
        <w:adjustRightInd w:val="0"/>
        <w:snapToGrid w:val="0"/>
        <w:spacing w:line="600" w:lineRule="exact"/>
        <w:ind w:firstLine="632"/>
        <w:rPr>
          <w:rFonts w:ascii="楷体" w:hAnsi="楷体" w:eastAsia="楷体"/>
          <w:szCs w:val="30"/>
        </w:rPr>
      </w:pPr>
      <w:r>
        <w:rPr>
          <w:rFonts w:hint="eastAsia" w:ascii="楷体" w:hAnsi="楷体" w:eastAsia="楷体"/>
          <w:szCs w:val="30"/>
        </w:rPr>
        <w:t>（二）优化资金分配管理方式，充分发挥资金效益</w:t>
      </w:r>
    </w:p>
    <w:p w14:paraId="06BBFA39">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一是科学谋划本级资金分配工作。在中央、市转移支付资金 下达的基础上，项目主管部门应按照就业资金管理办法中关于基础因素、投入因素、绩效因素和结余因素的考量，参考历年资金支出情况，根据年度就业整体形势和重点工作任务，通过专题调研、专家论证等形式，适当调整分配资金选择的因素和权重，确定详细的资金分配测算方式方法，科学谋划各级就业资金分配，确保资金分配科学合理，符合实际。</w:t>
      </w:r>
    </w:p>
    <w:p w14:paraId="67EEAA3C">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是项目主管部门应建立就业资金监控协调机制，及时跟踪全区就业资金支出进度情况，定期对于资金支出滞后的情况进行原因分析和预警，对于支出进度偏差较大的事项及时进行资金分配调整，并统筹测算后续需求，避免出现全区资金支出不平衡的情况。</w:t>
      </w:r>
    </w:p>
    <w:p w14:paraId="53057FC6">
      <w:pPr>
        <w:overflowPunct w:val="0"/>
        <w:adjustRightInd w:val="0"/>
        <w:snapToGrid w:val="0"/>
        <w:spacing w:line="600" w:lineRule="exact"/>
        <w:ind w:firstLine="632"/>
        <w:rPr>
          <w:rFonts w:ascii="楷体" w:hAnsi="楷体" w:eastAsia="楷体"/>
          <w:szCs w:val="30"/>
        </w:rPr>
      </w:pPr>
      <w:r>
        <w:rPr>
          <w:rFonts w:hint="eastAsia" w:ascii="楷体" w:hAnsi="楷体" w:eastAsia="楷体"/>
          <w:szCs w:val="30"/>
        </w:rPr>
        <w:t>（三）严格执行各类档案管理制度，及时完成归档工作</w:t>
      </w:r>
    </w:p>
    <w:p w14:paraId="7C7C8F03">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一是相关部门要在前期的资料收集中进行明确分工，将责任落实到位，促使每一环节的工作都能够高质量完成。针对项目资料归档工作的开展，可以将前期的资料收集工作划分为纸质资料收集和电子资料收集，不同的资料收集任务安排特定的工作人员。</w:t>
      </w:r>
    </w:p>
    <w:p w14:paraId="3E359A53">
      <w:pPr>
        <w:adjustRightInd w:val="0"/>
        <w:snapToGrid w:val="0"/>
        <w:spacing w:line="600" w:lineRule="exact"/>
        <w:ind w:firstLine="630" w:firstLineChars="200"/>
        <w:jc w:val="left"/>
        <w:rPr>
          <w:rFonts w:hAnsi="仿宋"/>
          <w:szCs w:val="30"/>
          <w:shd w:val="clear" w:color="auto" w:fill="FFFFFF" w:themeFill="background1"/>
        </w:rPr>
      </w:pPr>
      <w:r>
        <w:rPr>
          <w:rFonts w:hint="eastAsia" w:hAnsi="仿宋"/>
          <w:szCs w:val="30"/>
          <w:shd w:val="clear" w:color="auto" w:fill="FFFFFF" w:themeFill="background1"/>
        </w:rPr>
        <w:t>二是加强专业化档案管理工作人员的培训。加强专业化档案工作人员的培训，具体而言，整个培训工作可以分三阶段进行。在第一阶段，主要引导工作人员对资料归档工作环境进行全面熟悉，了解整体工作流程，并完成对项目资料归档工作的初步认识。在第二阶段，重点针对资料归档中各个环节的工作内容进行技能培训，这是整个培训工作的重中之重，通过这一阶段培训工作的开展，促使工作人员能够熟练掌握资料归档工作中的各项技能，并高效参与到具体工作的实施过程中。第三阶段为查漏补缺阶段，在这一阶段中，要通过全面的观察和了解，查找工作人员在具体工作执行过程中仍然存在的不足之处，并有针对性进行在此培训，强化技能，进而不断提升其工作效率。</w:t>
      </w:r>
    </w:p>
    <w:p w14:paraId="350F924A">
      <w:pPr>
        <w:pStyle w:val="10"/>
        <w:adjustRightInd w:val="0"/>
        <w:snapToGrid w:val="0"/>
        <w:spacing w:line="600" w:lineRule="exact"/>
        <w:ind w:left="0"/>
        <w:rPr>
          <w:rFonts w:hAnsi="仿宋" w:cs="宋体"/>
          <w:color w:val="000000"/>
          <w:kern w:val="2"/>
          <w:highlight w:val="yellow"/>
          <w:lang w:eastAsia="zh-CN"/>
        </w:rPr>
        <w:sectPr>
          <w:footerReference r:id="rId3" w:type="default"/>
          <w:footerReference r:id="rId4" w:type="even"/>
          <w:pgSz w:w="11906" w:h="16838"/>
          <w:pgMar w:top="2098" w:right="1474" w:bottom="1985" w:left="1588" w:header="851" w:footer="1474" w:gutter="0"/>
          <w:pgNumType w:fmt="lowerRoman" w:start="1"/>
          <w:cols w:space="425" w:num="1"/>
          <w:docGrid w:type="linesAndChars" w:linePitch="579" w:charSpace="3247"/>
        </w:sectPr>
      </w:pPr>
    </w:p>
    <w:p w14:paraId="1965AB79">
      <w:pPr>
        <w:widowControl/>
        <w:spacing w:line="600" w:lineRule="exact"/>
        <w:jc w:val="center"/>
        <w:rPr>
          <w:rFonts w:ascii="微软雅黑" w:eastAsia="微软雅黑"/>
          <w:sz w:val="44"/>
          <w:szCs w:val="44"/>
          <w:shd w:val="clear" w:color="auto" w:fill="FFFFFF" w:themeFill="background1"/>
        </w:rPr>
      </w:pPr>
      <w:r>
        <w:rPr>
          <w:rFonts w:hint="eastAsia" w:ascii="微软雅黑" w:eastAsia="微软雅黑"/>
          <w:sz w:val="44"/>
          <w:szCs w:val="44"/>
          <w:shd w:val="clear" w:color="auto" w:fill="FFFFFF" w:themeFill="background1"/>
        </w:rPr>
        <w:t>重庆高新区2020年就业补助项目</w:t>
      </w:r>
    </w:p>
    <w:p w14:paraId="0A8CF769">
      <w:pPr>
        <w:widowControl/>
        <w:adjustRightInd w:val="0"/>
        <w:snapToGrid w:val="0"/>
        <w:spacing w:line="600" w:lineRule="exact"/>
        <w:jc w:val="center"/>
        <w:outlineLvl w:val="0"/>
        <w:rPr>
          <w:rFonts w:ascii="微软雅黑" w:eastAsia="微软雅黑"/>
          <w:sz w:val="44"/>
          <w:szCs w:val="44"/>
          <w:shd w:val="clear" w:color="auto" w:fill="FFFFFF" w:themeFill="background1"/>
        </w:rPr>
      </w:pPr>
      <w:bookmarkStart w:id="6" w:name="_Toc12358"/>
      <w:r>
        <w:rPr>
          <w:rFonts w:hint="eastAsia" w:ascii="微软雅黑" w:eastAsia="微软雅黑"/>
          <w:sz w:val="44"/>
          <w:szCs w:val="44"/>
          <w:shd w:val="clear" w:color="auto" w:fill="FFFFFF" w:themeFill="background1"/>
        </w:rPr>
        <w:t>绩效评价报告正文</w:t>
      </w:r>
      <w:bookmarkEnd w:id="6"/>
    </w:p>
    <w:p w14:paraId="67DB6ADA">
      <w:pPr>
        <w:widowControl/>
        <w:spacing w:line="600" w:lineRule="exact"/>
        <w:jc w:val="center"/>
        <w:rPr>
          <w:rFonts w:ascii="微软雅黑" w:eastAsia="微软雅黑"/>
          <w:sz w:val="44"/>
          <w:szCs w:val="44"/>
          <w:shd w:val="clear" w:color="auto" w:fill="FFFFFF" w:themeFill="background1"/>
        </w:rPr>
      </w:pPr>
    </w:p>
    <w:p w14:paraId="1799A125">
      <w:pPr>
        <w:spacing w:line="600" w:lineRule="exact"/>
        <w:ind w:firstLine="630" w:firstLineChars="200"/>
        <w:rPr>
          <w:rFonts w:hAnsi="仿宋" w:cs="宋体"/>
          <w:color w:val="000000"/>
          <w:kern w:val="2"/>
          <w:szCs w:val="30"/>
        </w:rPr>
      </w:pPr>
      <w:bookmarkStart w:id="7" w:name="_Hlk15292536"/>
      <w:r>
        <w:rPr>
          <w:rFonts w:hint="eastAsia" w:hAnsi="仿宋" w:cs="宋体"/>
          <w:color w:val="000000"/>
          <w:kern w:val="2"/>
          <w:szCs w:val="30"/>
        </w:rPr>
        <w:t>为加强财政资金管理，提高财政资金使用效益，根据《重庆市财政局关于印发&lt;重庆市市级政策和项目预算绩效管理办法（试行）&gt;的通知》（渝财绩〔2019〕19号）文件的要求，高新区财政局委托云南云岭天成会计师事务所有限公司对重庆高新区2020年就业补助项目进行了绩效评价。现将评价情况报告如下：</w:t>
      </w:r>
    </w:p>
    <w:bookmarkEnd w:id="7"/>
    <w:p w14:paraId="13C79A7D">
      <w:pPr>
        <w:spacing w:line="600" w:lineRule="exact"/>
        <w:ind w:firstLine="630" w:firstLineChars="200"/>
        <w:outlineLvl w:val="0"/>
        <w:rPr>
          <w:rFonts w:ascii="黑体" w:hAnsi="宋体" w:eastAsia="黑体" w:cs="宋体"/>
          <w:szCs w:val="30"/>
          <w:shd w:val="clear" w:color="auto" w:fill="FFFFFF" w:themeFill="background1"/>
        </w:rPr>
      </w:pPr>
      <w:bookmarkStart w:id="8" w:name="_Toc29467"/>
      <w:r>
        <w:rPr>
          <w:rFonts w:hint="eastAsia" w:ascii="黑体" w:hAnsi="宋体" w:eastAsia="黑体" w:cs="宋体"/>
          <w:szCs w:val="30"/>
          <w:shd w:val="clear" w:color="auto" w:fill="FFFFFF" w:themeFill="background1"/>
        </w:rPr>
        <w:t>一、项目基本情况</w:t>
      </w:r>
      <w:bookmarkEnd w:id="8"/>
    </w:p>
    <w:p w14:paraId="3077A7AD">
      <w:pPr>
        <w:spacing w:line="600" w:lineRule="exact"/>
        <w:ind w:firstLine="630" w:firstLineChars="200"/>
        <w:outlineLvl w:val="1"/>
        <w:rPr>
          <w:rFonts w:ascii="楷体" w:hAnsi="楷体" w:eastAsia="楷体"/>
          <w:szCs w:val="30"/>
          <w:shd w:val="clear" w:color="auto" w:fill="FFFFFF" w:themeFill="background1"/>
        </w:rPr>
      </w:pPr>
      <w:bookmarkStart w:id="9" w:name="_Toc29699"/>
      <w:r>
        <w:rPr>
          <w:rFonts w:hint="eastAsia" w:ascii="楷体" w:hAnsi="楷体" w:eastAsia="楷体"/>
          <w:szCs w:val="30"/>
          <w:shd w:val="clear" w:color="auto" w:fill="FFFFFF" w:themeFill="background1"/>
        </w:rPr>
        <w:t>（一）项目名称</w:t>
      </w:r>
      <w:bookmarkEnd w:id="9"/>
    </w:p>
    <w:p w14:paraId="4B00E497">
      <w:pPr>
        <w:spacing w:line="600" w:lineRule="exact"/>
        <w:ind w:firstLine="630" w:firstLineChars="200"/>
        <w:rPr>
          <w:rFonts w:hAnsi="仿宋" w:cs="宋体"/>
          <w:color w:val="000000"/>
          <w:kern w:val="2"/>
          <w:szCs w:val="30"/>
        </w:rPr>
      </w:pPr>
      <w:r>
        <w:rPr>
          <w:rFonts w:hint="eastAsia" w:hAnsi="仿宋" w:cs="宋体"/>
          <w:color w:val="000000"/>
          <w:kern w:val="2"/>
          <w:szCs w:val="30"/>
        </w:rPr>
        <w:t>项目名称：重庆高新区2020年就业补助项目（以下简称“就业补助项目”）。</w:t>
      </w:r>
    </w:p>
    <w:p w14:paraId="6176EABE">
      <w:pPr>
        <w:spacing w:line="600" w:lineRule="exact"/>
        <w:ind w:firstLine="630" w:firstLineChars="200"/>
        <w:outlineLvl w:val="1"/>
        <w:rPr>
          <w:rFonts w:ascii="楷体" w:hAnsi="楷体" w:eastAsia="楷体"/>
          <w:szCs w:val="30"/>
          <w:shd w:val="clear" w:color="auto" w:fill="FFFFFF" w:themeFill="background1"/>
        </w:rPr>
      </w:pPr>
      <w:bookmarkStart w:id="10" w:name="_Toc22277"/>
      <w:r>
        <w:rPr>
          <w:rFonts w:hint="eastAsia" w:ascii="楷体" w:hAnsi="楷体" w:eastAsia="楷体"/>
          <w:szCs w:val="30"/>
          <w:shd w:val="clear" w:color="auto" w:fill="FFFFFF" w:themeFill="background1"/>
        </w:rPr>
        <w:t>（二）年度资金预算</w:t>
      </w:r>
      <w:bookmarkEnd w:id="10"/>
    </w:p>
    <w:p w14:paraId="5AB57247">
      <w:pPr>
        <w:spacing w:line="600" w:lineRule="exact"/>
        <w:ind w:firstLine="630" w:firstLineChars="200"/>
        <w:rPr>
          <w:rFonts w:hAnsi="仿宋" w:cs="宋体"/>
          <w:color w:val="000000"/>
          <w:kern w:val="2"/>
          <w:szCs w:val="30"/>
        </w:rPr>
      </w:pPr>
      <w:r>
        <w:rPr>
          <w:rFonts w:hint="eastAsia" w:hAnsi="仿宋" w:cs="宋体"/>
          <w:color w:val="000000"/>
          <w:kern w:val="2"/>
          <w:szCs w:val="30"/>
        </w:rPr>
        <w:t>根据渝高新财预〔2020〕223号、渝高新财预〔2020〕226号、渝高财预〔2020〕0002号及渝高新财预〔2020〕126号文件显示，重庆高新区2020年就业补助项目年度资金预算共4,232.40万元，其中：中央资金2809.00万元，市级资金800.00万元，区级资金623.40万元。</w:t>
      </w:r>
    </w:p>
    <w:p w14:paraId="102D22C3">
      <w:pPr>
        <w:spacing w:line="600" w:lineRule="exact"/>
        <w:ind w:firstLine="630" w:firstLineChars="200"/>
        <w:outlineLvl w:val="1"/>
        <w:rPr>
          <w:rFonts w:ascii="楷体" w:hAnsi="楷体" w:eastAsia="楷体"/>
          <w:szCs w:val="30"/>
          <w:shd w:val="clear" w:color="auto" w:fill="FFFFFF" w:themeFill="background1"/>
        </w:rPr>
      </w:pPr>
      <w:bookmarkStart w:id="11" w:name="_Toc30468"/>
      <w:r>
        <w:rPr>
          <w:rFonts w:hint="eastAsia" w:ascii="楷体" w:hAnsi="楷体" w:eastAsia="楷体"/>
          <w:szCs w:val="30"/>
          <w:shd w:val="clear" w:color="auto" w:fill="FFFFFF" w:themeFill="background1"/>
        </w:rPr>
        <w:t>（三）项目主管部门及实施单位</w:t>
      </w:r>
      <w:bookmarkEnd w:id="11"/>
    </w:p>
    <w:p w14:paraId="3B1C436A">
      <w:pPr>
        <w:spacing w:line="600" w:lineRule="exact"/>
        <w:ind w:firstLine="630" w:firstLineChars="200"/>
        <w:rPr>
          <w:rFonts w:hAnsi="仿宋" w:cs="宋体"/>
          <w:color w:val="000000"/>
          <w:kern w:val="2"/>
          <w:szCs w:val="30"/>
        </w:rPr>
      </w:pPr>
      <w:r>
        <w:rPr>
          <w:rFonts w:hint="eastAsia" w:hAnsi="仿宋" w:cs="宋体"/>
          <w:color w:val="000000"/>
          <w:kern w:val="2"/>
          <w:szCs w:val="30"/>
        </w:rPr>
        <w:t>项目主管部门及实施单位均为重庆高新区政务服务和社会事务中心（以下简称“区政务中心”）。</w:t>
      </w:r>
    </w:p>
    <w:p w14:paraId="5B65A40B">
      <w:pPr>
        <w:spacing w:line="600" w:lineRule="exact"/>
        <w:ind w:firstLine="630" w:firstLineChars="200"/>
        <w:outlineLvl w:val="1"/>
        <w:rPr>
          <w:rFonts w:ascii="楷体" w:hAnsi="楷体" w:eastAsia="楷体"/>
          <w:szCs w:val="30"/>
          <w:shd w:val="clear" w:color="auto" w:fill="FFFFFF" w:themeFill="background1"/>
        </w:rPr>
      </w:pPr>
      <w:bookmarkStart w:id="12" w:name="_Toc3428"/>
      <w:r>
        <w:rPr>
          <w:rFonts w:hint="eastAsia" w:ascii="楷体" w:hAnsi="楷体" w:eastAsia="楷体"/>
          <w:szCs w:val="30"/>
          <w:shd w:val="clear" w:color="auto" w:fill="FFFFFF" w:themeFill="background1"/>
        </w:rPr>
        <w:t>（四）项目内容</w:t>
      </w:r>
      <w:bookmarkEnd w:id="12"/>
    </w:p>
    <w:p w14:paraId="3A9FA021">
      <w:pPr>
        <w:spacing w:line="600" w:lineRule="exact"/>
        <w:ind w:firstLine="630" w:firstLineChars="200"/>
        <w:rPr>
          <w:rFonts w:hAnsi="仿宋" w:cs="宋体"/>
          <w:color w:val="000000"/>
          <w:kern w:val="2"/>
          <w:szCs w:val="30"/>
        </w:rPr>
      </w:pPr>
      <w:r>
        <w:rPr>
          <w:rFonts w:hint="eastAsia" w:hAnsi="仿宋" w:cs="宋体"/>
          <w:color w:val="000000"/>
          <w:kern w:val="2"/>
          <w:szCs w:val="30"/>
        </w:rPr>
        <w:t>依据《重庆市财政局 重庆市人力资源和社会保障局关于印发&lt;重庆市就业补助资金管理办法&gt;的通知》（渝财规〔2019〕15号）相关规定，就业补助资金分为对个人和单位补贴、公共就业服务能力建设补助两类。其中，对个人和单位的补贴资金用于职业培训补贴、职业技能鉴定补贴、社会保险补贴、公益性岗位补贴、企业吸纳重点群体就业岗位补贴、就业见习补贴、求职创业补贴、低保就业补贴、创业补贴，以及经市政府批准的其他项目支出。公共就业服务能力建设补助用于就业创业服务补助和高技能人才培养补助等支出。</w:t>
      </w:r>
    </w:p>
    <w:p w14:paraId="24A96E89">
      <w:pPr>
        <w:spacing w:line="600" w:lineRule="exact"/>
        <w:ind w:firstLine="630" w:firstLineChars="200"/>
        <w:rPr>
          <w:rFonts w:hAnsi="仿宋" w:cs="宋体"/>
          <w:color w:val="000000"/>
          <w:kern w:val="2"/>
          <w:szCs w:val="30"/>
        </w:rPr>
      </w:pPr>
      <w:r>
        <w:rPr>
          <w:rFonts w:hint="eastAsia" w:hAnsi="仿宋" w:cs="宋体"/>
          <w:color w:val="000000"/>
          <w:kern w:val="2"/>
          <w:szCs w:val="30"/>
        </w:rPr>
        <w:t>重庆高新区2020年就业补助资金仅涉及个人和单位补贴中的社会保险补贴、就业见习补贴以及公共就业服务能力建设补助中的就业创业服务补助。各项补贴补助具体内容如下：</w:t>
      </w:r>
    </w:p>
    <w:p w14:paraId="7A945045">
      <w:pPr>
        <w:spacing w:line="600" w:lineRule="exact"/>
        <w:ind w:firstLine="630" w:firstLineChars="200"/>
        <w:rPr>
          <w:rFonts w:hAnsi="仿宋" w:cs="宋体"/>
          <w:color w:val="000000"/>
          <w:kern w:val="2"/>
          <w:szCs w:val="30"/>
        </w:rPr>
      </w:pPr>
      <w:r>
        <w:rPr>
          <w:rFonts w:hint="eastAsia" w:hAnsi="仿宋" w:cs="宋体"/>
          <w:color w:val="000000"/>
          <w:kern w:val="2"/>
          <w:szCs w:val="30"/>
        </w:rPr>
        <w:t>1.社会保险补贴</w:t>
      </w:r>
    </w:p>
    <w:p w14:paraId="44E9346C">
      <w:pPr>
        <w:adjustRightInd w:val="0"/>
        <w:snapToGrid w:val="0"/>
        <w:spacing w:line="600" w:lineRule="exact"/>
        <w:ind w:firstLine="630" w:firstLineChars="200"/>
      </w:pPr>
      <w:r>
        <w:rPr>
          <w:rFonts w:hint="eastAsia" w:hAnsi="仿宋" w:cs="宋体"/>
          <w:color w:val="000000"/>
          <w:kern w:val="2"/>
          <w:szCs w:val="30"/>
        </w:rPr>
        <w:t>（1）补贴对象：享受社会保险补贴的人员范围包括登记失业的“4050”人员、低保家庭人员、零就业家庭人员、离校2年内的高校毕业生等就业困难人员。</w:t>
      </w:r>
    </w:p>
    <w:p w14:paraId="1534C1F3">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2）补贴标准：个人社会保险补贴标准为“按其实际缴纳职工养老保险费、职工医疗保险（含大额医疗保险）费的2/3计算”；用人单位社会保险补贴标准为“按用人单位实际为招用人员缴纳的职工养老保险费、职工医疗保险（含大额医疗保险）及生育保险费、失业保险费和工伤保险费计算，个人应缴纳的社会保险费仍由本人负担”。</w:t>
      </w:r>
    </w:p>
    <w:p w14:paraId="50A599B2">
      <w:pPr>
        <w:adjustRightInd w:val="0"/>
        <w:snapToGrid w:val="0"/>
        <w:spacing w:line="600" w:lineRule="exact"/>
        <w:ind w:firstLine="630" w:firstLineChars="200"/>
      </w:pPr>
      <w:r>
        <w:rPr>
          <w:rFonts w:hint="eastAsia" w:hAnsi="仿宋" w:cs="宋体"/>
          <w:color w:val="000000"/>
          <w:kern w:val="2"/>
          <w:szCs w:val="30"/>
        </w:rPr>
        <w:t>（3）补贴期限：除对距法定退休年龄不足5年的就业困难人员可延长至退休外，其余人员最长不超过3年（以初次核定其享受社会保险补贴时年龄为准）。</w:t>
      </w:r>
    </w:p>
    <w:p w14:paraId="6F3B31F6">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（4）补贴原则：社会保险补贴实行“先缴后补”的原则。</w:t>
      </w:r>
    </w:p>
    <w:p w14:paraId="6D36372C">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2.就业见习补贴</w:t>
      </w:r>
    </w:p>
    <w:p w14:paraId="25FD10D3">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（1）补贴对象：享受就业见习补贴的人员包括离校2年内未就业高校毕业生、高校毕业学年在校生和16-24岁登记失业的失业青年等，老工业基地、国家级贫困县可将见习对象范围扩大到离校未就业中职毕业生。</w:t>
      </w:r>
    </w:p>
    <w:p w14:paraId="68CF12EB">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2）补贴标准及期限：a.就业见习补贴按青年就业见习人员每人每月1300元标准划拨给青年就业见习基地，就业见习留用就业率达到50%以上的，留用人员就业见习补贴标准按每人每月1500元执行，就业见习补贴期限按见习人员实际见习月数计算，最长不超过12个月；b.人身意外伤害保险补贴按就业见习人员每人100元标准一次性划拨给青年就业见习基地；c.同一见习人员只能申报一次就业见习补贴。</w:t>
      </w:r>
    </w:p>
    <w:p w14:paraId="1732E999">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3）申报要求：青年就业见习基地在青年就业见习人员见习结束后，必须及时通过见习系统预约申报就业见习补贴，按预约时间到区县（自治县）人力社保部门提交纸质申报材料,有以下几点要求：a.青年就业见习基地为青年就业见习人员首次申报补贴时间必须在见习结束后60天内，首次申报过程中退回修改在15天内。超过60天视为放弃申报；b.青年就业见习管理系统内的信息必须真实、准确，否则视为不合格。</w:t>
      </w:r>
    </w:p>
    <w:p w14:paraId="7FA178E0">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4）补贴月数计算：见习月数是自见习协议开始时间起连续计算，时间为1-12个月。补贴月数计算有以下几种要求：a.补贴发放月数最长不超过12个月；b.超出见习协议结束日期的部分不计算补贴；c.见习期必须足月才能发放补贴，足月是指见习当天到下月的前1天为足月；d.首、末两个月相加见习时间足月且基本生活费相加达到我市职工月最低工资标准第一档的基本生活费，补贴合并算为1个月；e.青年就业见习人员从留用当月开始不计算补贴。</w:t>
      </w:r>
    </w:p>
    <w:p w14:paraId="7DD2C5E8">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3.就业创业服务补助</w:t>
      </w:r>
    </w:p>
    <w:p w14:paraId="4A172407">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（1）补助对象：a.创业孵化基地；b.提供公共创业服务的创业导师；c.向社会购买基本就业创业服务成果；d.开展招聘活动和创业服务的公共就业创业服务机构。</w:t>
      </w:r>
    </w:p>
    <w:p w14:paraId="47DD5183">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（2）补助标准：就业创业服务补助支出在就业补助资金总支出的所占比例原则上不超过15%。</w:t>
      </w:r>
    </w:p>
    <w:p w14:paraId="2DD0365D">
      <w:pPr>
        <w:spacing w:line="600" w:lineRule="exact"/>
        <w:ind w:firstLine="630" w:firstLineChars="200"/>
        <w:outlineLvl w:val="0"/>
        <w:rPr>
          <w:rFonts w:ascii="黑体" w:hAnsi="宋体" w:eastAsia="黑体" w:cs="宋体"/>
          <w:szCs w:val="30"/>
          <w:shd w:val="clear" w:color="auto" w:fill="FFFFFF" w:themeFill="background1"/>
        </w:rPr>
      </w:pPr>
      <w:bookmarkStart w:id="13" w:name="_Toc13016"/>
      <w:r>
        <w:rPr>
          <w:rFonts w:hint="eastAsia" w:ascii="黑体" w:hAnsi="宋体" w:eastAsia="黑体" w:cs="宋体"/>
          <w:szCs w:val="30"/>
          <w:shd w:val="clear" w:color="auto" w:fill="FFFFFF" w:themeFill="background1"/>
        </w:rPr>
        <w:t>二、绩效评价工作情况</w:t>
      </w:r>
      <w:bookmarkEnd w:id="13"/>
    </w:p>
    <w:p w14:paraId="184CA524">
      <w:pPr>
        <w:spacing w:line="600" w:lineRule="exact"/>
        <w:ind w:firstLine="630" w:firstLineChars="200"/>
        <w:outlineLvl w:val="1"/>
        <w:rPr>
          <w:rFonts w:ascii="楷体" w:hAnsi="楷体" w:eastAsia="楷体"/>
          <w:szCs w:val="30"/>
          <w:shd w:val="clear" w:color="auto" w:fill="FFFFFF" w:themeFill="background1"/>
        </w:rPr>
      </w:pPr>
      <w:bookmarkStart w:id="14" w:name="_Toc26038"/>
      <w:r>
        <w:rPr>
          <w:rFonts w:hint="eastAsia" w:ascii="楷体" w:hAnsi="楷体" w:eastAsia="楷体"/>
          <w:szCs w:val="30"/>
          <w:shd w:val="clear" w:color="auto" w:fill="FFFFFF" w:themeFill="background1"/>
        </w:rPr>
        <w:t>（一）绩效评价目的</w:t>
      </w:r>
      <w:bookmarkEnd w:id="14"/>
    </w:p>
    <w:p w14:paraId="37C5DC95">
      <w:pPr>
        <w:spacing w:line="600" w:lineRule="exact"/>
        <w:ind w:firstLine="630" w:firstLineChars="200"/>
        <w:rPr>
          <w:rFonts w:hAnsi="仿宋" w:cs="宋体"/>
          <w:color w:val="000000"/>
          <w:kern w:val="2"/>
          <w:szCs w:val="30"/>
        </w:rPr>
      </w:pPr>
      <w:r>
        <w:rPr>
          <w:rFonts w:hint="eastAsia" w:hAnsi="仿宋" w:cs="宋体"/>
          <w:color w:val="000000"/>
          <w:kern w:val="2"/>
          <w:szCs w:val="30"/>
        </w:rPr>
        <w:t>本项目主要是依据财政支出绩效评价的理论与方法，结合专项资金项目的特点，按照市级预算绩效管理重点突破领域的总体要求，坚持问题导向、目标导向、效果导向，分析就业补助项目在资金管理、项目管理、绩效管理方面存在的问题，深挖症结根源，为规范预算分配，优化财政支出结构提出针对性的改进措施，并以此项目为试点，举一反三，为社保领域其他重点项目提供资金管理和绩效管理改进思路，提升预算绩效管理水平。</w:t>
      </w:r>
    </w:p>
    <w:p w14:paraId="57E5CA63">
      <w:pPr>
        <w:spacing w:line="600" w:lineRule="exact"/>
        <w:ind w:firstLine="630" w:firstLineChars="200"/>
        <w:outlineLvl w:val="1"/>
        <w:rPr>
          <w:rFonts w:ascii="楷体" w:hAnsi="楷体" w:eastAsia="楷体"/>
          <w:szCs w:val="30"/>
          <w:shd w:val="clear" w:color="auto" w:fill="FFFFFF" w:themeFill="background1"/>
        </w:rPr>
      </w:pPr>
      <w:bookmarkStart w:id="15" w:name="_Toc3234"/>
      <w:r>
        <w:rPr>
          <w:rFonts w:hint="eastAsia" w:ascii="楷体" w:hAnsi="楷体" w:eastAsia="楷体"/>
          <w:szCs w:val="30"/>
          <w:shd w:val="clear" w:color="auto" w:fill="FFFFFF" w:themeFill="background1"/>
        </w:rPr>
        <w:t>（二）绩效评价主要依据</w:t>
      </w:r>
      <w:bookmarkEnd w:id="15"/>
    </w:p>
    <w:p w14:paraId="328D7AF9">
      <w:pPr>
        <w:spacing w:line="600" w:lineRule="exact"/>
        <w:ind w:firstLine="630" w:firstLineChars="200"/>
        <w:rPr>
          <w:rFonts w:hAnsi="仿宋" w:cs="宋体"/>
          <w:color w:val="000000"/>
          <w:kern w:val="2"/>
          <w:szCs w:val="30"/>
        </w:rPr>
      </w:pPr>
      <w:r>
        <w:rPr>
          <w:rFonts w:hint="eastAsia" w:hAnsi="仿宋" w:cs="宋体"/>
          <w:color w:val="000000"/>
          <w:kern w:val="2"/>
          <w:szCs w:val="30"/>
        </w:rPr>
        <w:t>1.《国务院关于进一步做好新形势下就业创业工作的意见》</w:t>
      </w:r>
    </w:p>
    <w:p w14:paraId="303C8BE2">
      <w:pPr>
        <w:spacing w:line="600" w:lineRule="exact"/>
        <w:rPr>
          <w:rFonts w:hAnsi="仿宋" w:cs="宋体"/>
          <w:color w:val="000000"/>
          <w:kern w:val="2"/>
          <w:szCs w:val="30"/>
        </w:rPr>
      </w:pPr>
      <w:r>
        <w:rPr>
          <w:rFonts w:hint="eastAsia" w:hAnsi="仿宋" w:cs="宋体"/>
          <w:color w:val="000000"/>
          <w:kern w:val="2"/>
          <w:szCs w:val="30"/>
        </w:rPr>
        <w:t>（国发〔2015〕23号）；</w:t>
      </w:r>
    </w:p>
    <w:p w14:paraId="00C8456A">
      <w:pPr>
        <w:spacing w:line="600" w:lineRule="exact"/>
        <w:ind w:firstLine="630" w:firstLineChars="200"/>
        <w:rPr>
          <w:rFonts w:hAnsi="仿宋" w:cs="宋体"/>
          <w:color w:val="000000"/>
          <w:kern w:val="2"/>
          <w:szCs w:val="30"/>
        </w:rPr>
      </w:pPr>
      <w:r>
        <w:rPr>
          <w:rFonts w:hint="eastAsia" w:hAnsi="仿宋" w:cs="宋体"/>
          <w:color w:val="000000"/>
          <w:kern w:val="2"/>
          <w:szCs w:val="30"/>
        </w:rPr>
        <w:t>2.《关于印发《重庆市就业补助资金管理办法》的通知》（渝</w:t>
      </w:r>
    </w:p>
    <w:p w14:paraId="6F92ADA8">
      <w:pPr>
        <w:spacing w:line="600" w:lineRule="exact"/>
        <w:rPr>
          <w:rFonts w:hAnsi="仿宋" w:cs="宋体"/>
          <w:color w:val="000000"/>
          <w:kern w:val="2"/>
          <w:szCs w:val="30"/>
        </w:rPr>
      </w:pPr>
      <w:r>
        <w:rPr>
          <w:rFonts w:hint="eastAsia" w:hAnsi="仿宋" w:cs="宋体"/>
          <w:color w:val="000000"/>
          <w:kern w:val="2"/>
          <w:szCs w:val="30"/>
        </w:rPr>
        <w:t>财规〔2019〕15号）；</w:t>
      </w:r>
    </w:p>
    <w:p w14:paraId="1D174B97">
      <w:pPr>
        <w:spacing w:line="600" w:lineRule="exact"/>
        <w:ind w:firstLine="630" w:firstLineChars="200"/>
        <w:rPr>
          <w:rFonts w:hAnsi="仿宋" w:cs="宋体"/>
          <w:color w:val="000000"/>
          <w:kern w:val="2"/>
          <w:szCs w:val="30"/>
        </w:rPr>
      </w:pPr>
      <w:r>
        <w:rPr>
          <w:rFonts w:hint="eastAsia" w:hAnsi="仿宋" w:cs="宋体"/>
          <w:color w:val="000000"/>
          <w:kern w:val="2"/>
          <w:szCs w:val="30"/>
        </w:rPr>
        <w:t>3.《关于下达2020年就业补助资金预算的通知》（财社〔2020〕</w:t>
      </w:r>
    </w:p>
    <w:p w14:paraId="262873DC">
      <w:pPr>
        <w:spacing w:line="600" w:lineRule="exact"/>
        <w:rPr>
          <w:rFonts w:hAnsi="仿宋" w:cs="宋体"/>
          <w:color w:val="000000"/>
          <w:kern w:val="2"/>
          <w:szCs w:val="30"/>
        </w:rPr>
      </w:pPr>
      <w:r>
        <w:rPr>
          <w:rFonts w:hint="eastAsia" w:hAnsi="仿宋" w:cs="宋体"/>
          <w:color w:val="000000"/>
          <w:kern w:val="2"/>
          <w:szCs w:val="30"/>
        </w:rPr>
        <w:t>28号）；</w:t>
      </w:r>
    </w:p>
    <w:p w14:paraId="5D27A715">
      <w:pPr>
        <w:spacing w:line="600" w:lineRule="exact"/>
        <w:ind w:firstLine="630" w:firstLineChars="200"/>
        <w:rPr>
          <w:rFonts w:hAnsi="仿宋" w:cs="宋体"/>
          <w:color w:val="000000"/>
          <w:kern w:val="2"/>
          <w:szCs w:val="30"/>
        </w:rPr>
      </w:pPr>
      <w:r>
        <w:rPr>
          <w:rFonts w:hint="eastAsia" w:hAnsi="仿宋" w:cs="宋体"/>
          <w:color w:val="000000"/>
          <w:kern w:val="2"/>
          <w:szCs w:val="30"/>
        </w:rPr>
        <w:t>4.《关于拨付工业企业结构调整专项奖补资金用于稳定就业</w:t>
      </w:r>
    </w:p>
    <w:p w14:paraId="05321EF8">
      <w:pPr>
        <w:spacing w:line="600" w:lineRule="exact"/>
        <w:rPr>
          <w:rFonts w:hAnsi="仿宋" w:cs="宋体"/>
          <w:color w:val="000000"/>
          <w:kern w:val="2"/>
          <w:szCs w:val="30"/>
        </w:rPr>
      </w:pPr>
      <w:r>
        <w:rPr>
          <w:rFonts w:hint="eastAsia" w:hAnsi="仿宋" w:cs="宋体"/>
          <w:color w:val="000000"/>
          <w:kern w:val="2"/>
          <w:szCs w:val="30"/>
        </w:rPr>
        <w:t>的通知》（财建〔2019〕647号）；</w:t>
      </w:r>
    </w:p>
    <w:p w14:paraId="78E78A84">
      <w:pPr>
        <w:spacing w:line="600" w:lineRule="exact"/>
        <w:ind w:firstLine="630" w:firstLineChars="200"/>
        <w:rPr>
          <w:rFonts w:hAnsi="仿宋" w:cs="宋体"/>
          <w:color w:val="000000"/>
          <w:kern w:val="2"/>
          <w:szCs w:val="30"/>
        </w:rPr>
      </w:pPr>
      <w:r>
        <w:rPr>
          <w:rFonts w:hint="eastAsia" w:hAnsi="仿宋" w:cs="宋体"/>
          <w:color w:val="000000"/>
          <w:kern w:val="2"/>
          <w:szCs w:val="30"/>
        </w:rPr>
        <w:t>5.《关于进一步加大就业扶贫政策支持力度和落实力度的通</w:t>
      </w:r>
    </w:p>
    <w:p w14:paraId="08D031A5">
      <w:pPr>
        <w:spacing w:line="600" w:lineRule="exact"/>
        <w:rPr>
          <w:rFonts w:hAnsi="仿宋" w:cs="宋体"/>
          <w:color w:val="000000"/>
          <w:kern w:val="2"/>
          <w:szCs w:val="30"/>
        </w:rPr>
      </w:pPr>
      <w:r>
        <w:rPr>
          <w:rFonts w:hint="eastAsia" w:hAnsi="仿宋" w:cs="宋体"/>
          <w:color w:val="000000"/>
          <w:kern w:val="2"/>
          <w:szCs w:val="30"/>
        </w:rPr>
        <w:t>知》（渝人社发〔2018〕210号）；</w:t>
      </w:r>
    </w:p>
    <w:p w14:paraId="45D0FDF3">
      <w:pPr>
        <w:spacing w:line="600" w:lineRule="exact"/>
        <w:ind w:firstLine="630" w:firstLineChars="200"/>
        <w:rPr>
          <w:rFonts w:hAnsi="仿宋" w:cs="宋体"/>
          <w:color w:val="000000"/>
          <w:kern w:val="2"/>
          <w:szCs w:val="30"/>
        </w:rPr>
      </w:pPr>
      <w:r>
        <w:rPr>
          <w:rFonts w:hint="eastAsia" w:hAnsi="仿宋" w:cs="宋体"/>
          <w:color w:val="000000"/>
          <w:kern w:val="2"/>
          <w:szCs w:val="30"/>
        </w:rPr>
        <w:t>6.《重庆市财政局、民政局关于进一步完善就业相关扶持政</w:t>
      </w:r>
    </w:p>
    <w:p w14:paraId="4B1183FC">
      <w:pPr>
        <w:spacing w:line="600" w:lineRule="exact"/>
        <w:rPr>
          <w:rFonts w:hAnsi="仿宋" w:cs="宋体"/>
          <w:color w:val="000000"/>
          <w:kern w:val="2"/>
          <w:szCs w:val="30"/>
        </w:rPr>
      </w:pPr>
      <w:r>
        <w:rPr>
          <w:rFonts w:hint="eastAsia" w:hAnsi="仿宋" w:cs="宋体"/>
          <w:color w:val="000000"/>
          <w:kern w:val="2"/>
          <w:szCs w:val="30"/>
        </w:rPr>
        <w:t>策申领程序的通知》（渝人社发〔2018〕174号）；</w:t>
      </w:r>
    </w:p>
    <w:p w14:paraId="56961EFB">
      <w:pPr>
        <w:spacing w:line="600" w:lineRule="exact"/>
        <w:ind w:firstLine="630" w:firstLineChars="200"/>
        <w:rPr>
          <w:rFonts w:hAnsi="仿宋" w:cs="宋体"/>
          <w:color w:val="000000"/>
          <w:kern w:val="2"/>
          <w:szCs w:val="30"/>
        </w:rPr>
      </w:pPr>
      <w:r>
        <w:rPr>
          <w:rFonts w:hint="eastAsia" w:hAnsi="仿宋" w:cs="宋体"/>
          <w:color w:val="000000"/>
          <w:kern w:val="2"/>
          <w:szCs w:val="30"/>
        </w:rPr>
        <w:t>7.《就业相关服务及政策经办工作手册》；</w:t>
      </w:r>
    </w:p>
    <w:p w14:paraId="381F38F0">
      <w:pPr>
        <w:spacing w:line="600" w:lineRule="exact"/>
        <w:ind w:firstLine="630" w:firstLineChars="200"/>
        <w:rPr>
          <w:rFonts w:hAnsi="仿宋" w:cs="宋体"/>
          <w:color w:val="000000"/>
          <w:kern w:val="2"/>
          <w:szCs w:val="30"/>
        </w:rPr>
      </w:pPr>
      <w:r>
        <w:rPr>
          <w:rFonts w:hint="eastAsia" w:hAnsi="仿宋" w:cs="宋体"/>
          <w:color w:val="000000"/>
          <w:kern w:val="2"/>
          <w:szCs w:val="30"/>
        </w:rPr>
        <w:t>8.《重庆高新区就业补助资金青年就业见习工作规程（2019）》；</w:t>
      </w:r>
    </w:p>
    <w:p w14:paraId="0F1AD482">
      <w:pPr>
        <w:spacing w:line="600" w:lineRule="exact"/>
        <w:ind w:firstLine="630" w:firstLineChars="200"/>
        <w:rPr>
          <w:rFonts w:hAnsi="仿宋" w:cs="宋体"/>
          <w:color w:val="000000"/>
          <w:kern w:val="2"/>
          <w:szCs w:val="30"/>
        </w:rPr>
      </w:pPr>
      <w:r>
        <w:rPr>
          <w:rFonts w:hint="eastAsia" w:hAnsi="仿宋" w:cs="宋体"/>
          <w:color w:val="000000"/>
          <w:kern w:val="2"/>
          <w:szCs w:val="30"/>
        </w:rPr>
        <w:t>9.区政务中心提供的档案、凭证、合同等相关资料；</w:t>
      </w:r>
    </w:p>
    <w:p w14:paraId="7632DF4C">
      <w:pPr>
        <w:spacing w:line="600" w:lineRule="exact"/>
        <w:ind w:firstLine="630" w:firstLineChars="200"/>
        <w:rPr>
          <w:rFonts w:hAnsi="仿宋" w:cs="宋体"/>
          <w:color w:val="000000"/>
          <w:kern w:val="2"/>
          <w:szCs w:val="30"/>
        </w:rPr>
      </w:pPr>
      <w:r>
        <w:rPr>
          <w:rFonts w:hint="eastAsia" w:hAnsi="仿宋" w:cs="宋体"/>
          <w:color w:val="000000"/>
          <w:kern w:val="2"/>
          <w:szCs w:val="30"/>
        </w:rPr>
        <w:t>10.区财政局提供的相关资料；</w:t>
      </w:r>
    </w:p>
    <w:p w14:paraId="0F30C0B8">
      <w:pPr>
        <w:spacing w:line="600" w:lineRule="exact"/>
        <w:ind w:firstLine="630" w:firstLineChars="200"/>
        <w:rPr>
          <w:rFonts w:hAnsi="仿宋" w:cs="宋体"/>
          <w:color w:val="000000"/>
          <w:kern w:val="2"/>
          <w:szCs w:val="30"/>
        </w:rPr>
      </w:pPr>
      <w:r>
        <w:rPr>
          <w:rFonts w:hint="eastAsia" w:hAnsi="仿宋" w:cs="宋体"/>
          <w:color w:val="000000"/>
          <w:kern w:val="2"/>
          <w:szCs w:val="30"/>
        </w:rPr>
        <w:t>11.评价小组现场调查中获取的其他资料。</w:t>
      </w:r>
    </w:p>
    <w:p w14:paraId="20B30297">
      <w:pPr>
        <w:spacing w:line="600" w:lineRule="exact"/>
        <w:ind w:firstLine="630" w:firstLineChars="200"/>
        <w:outlineLvl w:val="1"/>
        <w:rPr>
          <w:rFonts w:ascii="楷体" w:hAnsi="楷体" w:eastAsia="楷体"/>
          <w:szCs w:val="30"/>
          <w:shd w:val="clear" w:color="auto" w:fill="FFFFFF" w:themeFill="background1"/>
        </w:rPr>
      </w:pPr>
      <w:bookmarkStart w:id="16" w:name="_Toc7610"/>
      <w:r>
        <w:rPr>
          <w:rFonts w:hint="eastAsia" w:ascii="楷体" w:hAnsi="楷体" w:eastAsia="楷体"/>
          <w:szCs w:val="30"/>
          <w:shd w:val="clear" w:color="auto" w:fill="FFFFFF" w:themeFill="background1"/>
        </w:rPr>
        <w:t>（三）绩效评价原则标准</w:t>
      </w:r>
      <w:bookmarkEnd w:id="16"/>
    </w:p>
    <w:p w14:paraId="2E6265F2">
      <w:pPr>
        <w:spacing w:line="600" w:lineRule="exact"/>
        <w:ind w:firstLine="630" w:firstLineChars="200"/>
        <w:rPr>
          <w:rFonts w:hAnsi="仿宋" w:cs="宋体"/>
          <w:color w:val="000000"/>
          <w:kern w:val="2"/>
          <w:szCs w:val="30"/>
        </w:rPr>
      </w:pPr>
      <w:r>
        <w:rPr>
          <w:rFonts w:hint="eastAsia" w:hAnsi="仿宋" w:cs="宋体"/>
          <w:color w:val="000000"/>
          <w:kern w:val="2"/>
          <w:szCs w:val="30"/>
        </w:rPr>
        <w:t>评价工作秉承科学规范、客观公正、依据充分、成本效益的原则，采取计划标准、行业标准、历史标准相结合的方式开展绩效评价。</w:t>
      </w:r>
    </w:p>
    <w:p w14:paraId="2260626D">
      <w:pPr>
        <w:spacing w:line="600" w:lineRule="exact"/>
        <w:ind w:firstLine="630" w:firstLineChars="200"/>
        <w:rPr>
          <w:rFonts w:hAnsi="仿宋" w:cs="宋体"/>
          <w:color w:val="000000"/>
          <w:kern w:val="2"/>
          <w:szCs w:val="30"/>
        </w:rPr>
      </w:pPr>
      <w:r>
        <w:rPr>
          <w:rFonts w:hint="eastAsia" w:hAnsi="仿宋" w:cs="宋体"/>
          <w:color w:val="000000"/>
          <w:kern w:val="2"/>
          <w:szCs w:val="30"/>
        </w:rPr>
        <w:t>1.绩效评价原则</w:t>
      </w:r>
    </w:p>
    <w:p w14:paraId="35A3FECC">
      <w:pPr>
        <w:spacing w:line="600" w:lineRule="exact"/>
        <w:ind w:firstLine="630" w:firstLineChars="200"/>
        <w:rPr>
          <w:rFonts w:hAnsi="仿宋" w:cs="宋体"/>
          <w:color w:val="000000"/>
          <w:kern w:val="2"/>
          <w:szCs w:val="30"/>
        </w:rPr>
      </w:pPr>
      <w:r>
        <w:rPr>
          <w:rFonts w:hint="eastAsia" w:hAnsi="仿宋" w:cs="宋体"/>
          <w:color w:val="000000"/>
          <w:kern w:val="2"/>
          <w:szCs w:val="30"/>
        </w:rPr>
        <w:t>科学规范原则。评价工作应通过规范的程序，采用定性与定量相结合的评价方法，科学、合理地进行。</w:t>
      </w:r>
    </w:p>
    <w:p w14:paraId="34FCB26F">
      <w:pPr>
        <w:spacing w:line="600" w:lineRule="exact"/>
        <w:ind w:firstLine="630" w:firstLineChars="200"/>
        <w:rPr>
          <w:rFonts w:hAnsi="仿宋" w:cs="宋体"/>
          <w:color w:val="000000"/>
          <w:kern w:val="2"/>
          <w:szCs w:val="30"/>
        </w:rPr>
      </w:pPr>
      <w:r>
        <w:rPr>
          <w:rFonts w:hint="eastAsia" w:hAnsi="仿宋" w:cs="宋体"/>
          <w:color w:val="000000"/>
          <w:kern w:val="2"/>
          <w:szCs w:val="30"/>
        </w:rPr>
        <w:t>客观公正原则。评价应以相关法律、法规、规章以及财政部门有关文件等为依据，按照“公开、公平、公正”的原则进行。</w:t>
      </w:r>
    </w:p>
    <w:p w14:paraId="4E6FF470">
      <w:pPr>
        <w:spacing w:line="600" w:lineRule="exact"/>
        <w:ind w:firstLine="630" w:firstLineChars="200"/>
        <w:rPr>
          <w:rFonts w:hAnsi="仿宋" w:cs="宋体"/>
          <w:color w:val="000000"/>
          <w:kern w:val="2"/>
          <w:szCs w:val="30"/>
        </w:rPr>
      </w:pPr>
      <w:r>
        <w:rPr>
          <w:rFonts w:hint="eastAsia" w:hAnsi="仿宋" w:cs="宋体"/>
          <w:color w:val="000000"/>
          <w:kern w:val="2"/>
          <w:szCs w:val="30"/>
        </w:rPr>
        <w:t>依据充分原则。在评价过程中，应收集足够的相关文件及资料，并要通过现场调研，为评价结论提供充分的依据支持。</w:t>
      </w:r>
    </w:p>
    <w:p w14:paraId="2E4CA09B">
      <w:pPr>
        <w:spacing w:line="600" w:lineRule="exact"/>
        <w:ind w:firstLine="630" w:firstLineChars="200"/>
        <w:rPr>
          <w:rFonts w:hAnsi="仿宋" w:cs="宋体"/>
          <w:color w:val="000000"/>
          <w:kern w:val="2"/>
          <w:szCs w:val="30"/>
        </w:rPr>
      </w:pPr>
      <w:r>
        <w:rPr>
          <w:rFonts w:hint="eastAsia" w:hAnsi="仿宋" w:cs="宋体"/>
          <w:color w:val="000000"/>
          <w:kern w:val="2"/>
          <w:szCs w:val="30"/>
        </w:rPr>
        <w:t>成本效益原则。评价工作的重点是评价项目立项的合理性和预算的准确性，在开展评价工作过程中，要注意控制成本、节约经费，提高评价工作的效率和效益。</w:t>
      </w:r>
    </w:p>
    <w:p w14:paraId="264B3271">
      <w:pPr>
        <w:spacing w:line="600" w:lineRule="exact"/>
        <w:ind w:firstLine="630" w:firstLineChars="200"/>
        <w:rPr>
          <w:rFonts w:hAnsi="仿宋" w:cs="宋体"/>
          <w:color w:val="000000"/>
          <w:kern w:val="2"/>
          <w:szCs w:val="30"/>
        </w:rPr>
      </w:pPr>
      <w:r>
        <w:rPr>
          <w:rFonts w:hint="eastAsia" w:hAnsi="仿宋" w:cs="宋体"/>
          <w:color w:val="000000"/>
          <w:kern w:val="2"/>
          <w:szCs w:val="30"/>
        </w:rPr>
        <w:t>2.绩效评价标准</w:t>
      </w:r>
    </w:p>
    <w:p w14:paraId="60737894">
      <w:pPr>
        <w:spacing w:line="600" w:lineRule="exact"/>
        <w:ind w:firstLine="630" w:firstLineChars="200"/>
        <w:rPr>
          <w:rFonts w:hAnsi="仿宋" w:cs="宋体"/>
          <w:color w:val="000000"/>
          <w:kern w:val="2"/>
          <w:szCs w:val="30"/>
        </w:rPr>
      </w:pPr>
      <w:r>
        <w:rPr>
          <w:rFonts w:hint="eastAsia" w:hAnsi="仿宋" w:cs="宋体"/>
          <w:color w:val="000000"/>
          <w:kern w:val="2"/>
          <w:szCs w:val="30"/>
        </w:rPr>
        <w:t>计划标准。指以预先制定的目标、计划、预算、定额等作为评价标准。</w:t>
      </w:r>
    </w:p>
    <w:p w14:paraId="0622D464">
      <w:pPr>
        <w:spacing w:line="600" w:lineRule="exact"/>
        <w:ind w:firstLine="630" w:firstLineChars="200"/>
        <w:rPr>
          <w:rFonts w:hAnsi="仿宋" w:cs="宋体"/>
          <w:color w:val="000000"/>
          <w:kern w:val="2"/>
          <w:szCs w:val="30"/>
        </w:rPr>
      </w:pPr>
      <w:r>
        <w:rPr>
          <w:rFonts w:hint="eastAsia" w:hAnsi="仿宋" w:cs="宋体"/>
          <w:color w:val="000000"/>
          <w:kern w:val="2"/>
          <w:szCs w:val="30"/>
        </w:rPr>
        <w:t>行业标准。指参照国家公布的行业指标数据制定的评价标准。</w:t>
      </w:r>
    </w:p>
    <w:p w14:paraId="5E2DEA9B">
      <w:pPr>
        <w:spacing w:line="600" w:lineRule="exact"/>
        <w:ind w:firstLine="630" w:firstLineChars="200"/>
        <w:rPr>
          <w:rFonts w:hAnsi="仿宋" w:cs="宋体"/>
          <w:color w:val="000000"/>
          <w:kern w:val="2"/>
          <w:szCs w:val="30"/>
        </w:rPr>
      </w:pPr>
      <w:r>
        <w:rPr>
          <w:rFonts w:hint="eastAsia" w:hAnsi="仿宋" w:cs="宋体"/>
          <w:color w:val="000000"/>
          <w:kern w:val="2"/>
          <w:szCs w:val="30"/>
        </w:rPr>
        <w:t>历史标准。指参照历史数据制定的评价标准。</w:t>
      </w:r>
    </w:p>
    <w:p w14:paraId="1B607437">
      <w:pPr>
        <w:spacing w:line="600" w:lineRule="exact"/>
        <w:ind w:firstLine="630" w:firstLineChars="200"/>
        <w:outlineLvl w:val="1"/>
        <w:rPr>
          <w:rFonts w:ascii="楷体" w:hAnsi="楷体" w:eastAsia="楷体"/>
          <w:szCs w:val="30"/>
          <w:shd w:val="clear" w:color="auto" w:fill="FFFFFF" w:themeFill="background1"/>
        </w:rPr>
      </w:pPr>
      <w:bookmarkStart w:id="17" w:name="_Toc19338"/>
      <w:r>
        <w:rPr>
          <w:rFonts w:hint="eastAsia" w:ascii="楷体" w:hAnsi="楷体" w:eastAsia="楷体"/>
          <w:szCs w:val="30"/>
          <w:shd w:val="clear" w:color="auto" w:fill="FFFFFF" w:themeFill="background1"/>
        </w:rPr>
        <w:t>（四）绩效评价组织管理</w:t>
      </w:r>
      <w:bookmarkEnd w:id="17"/>
    </w:p>
    <w:p w14:paraId="0026F6E7">
      <w:pPr>
        <w:spacing w:line="600" w:lineRule="exact"/>
        <w:ind w:firstLine="630" w:firstLineChars="200"/>
        <w:rPr>
          <w:rFonts w:hAnsi="仿宋" w:cs="宋体"/>
          <w:color w:val="000000"/>
          <w:kern w:val="2"/>
          <w:szCs w:val="30"/>
        </w:rPr>
      </w:pPr>
      <w:r>
        <w:rPr>
          <w:rFonts w:hint="eastAsia" w:hAnsi="仿宋" w:cs="宋体"/>
          <w:color w:val="000000"/>
          <w:kern w:val="2"/>
          <w:szCs w:val="30"/>
        </w:rPr>
        <w:t>本次评价工作由高新区财政局统一组织牵头，委托云南云岭天成会计师事务所有限公司进行项目的具体评价实施。</w:t>
      </w:r>
    </w:p>
    <w:p w14:paraId="47904CB8">
      <w:pPr>
        <w:spacing w:line="600" w:lineRule="exact"/>
        <w:ind w:firstLine="630" w:firstLineChars="200"/>
        <w:outlineLvl w:val="1"/>
        <w:rPr>
          <w:rFonts w:ascii="楷体" w:hAnsi="楷体" w:eastAsia="楷体"/>
          <w:szCs w:val="30"/>
          <w:shd w:val="clear" w:color="auto" w:fill="FFFFFF" w:themeFill="background1"/>
        </w:rPr>
      </w:pPr>
      <w:bookmarkStart w:id="18" w:name="_Toc1728"/>
      <w:r>
        <w:rPr>
          <w:rFonts w:hint="eastAsia" w:ascii="楷体" w:hAnsi="楷体" w:eastAsia="楷体"/>
          <w:szCs w:val="30"/>
          <w:shd w:val="clear" w:color="auto" w:fill="FFFFFF" w:themeFill="background1"/>
        </w:rPr>
        <w:t>（五）重点评价内容</w:t>
      </w:r>
      <w:bookmarkEnd w:id="18"/>
    </w:p>
    <w:p w14:paraId="5551D5D5">
      <w:pPr>
        <w:spacing w:line="600" w:lineRule="exact"/>
        <w:ind w:firstLine="630" w:firstLineChars="200"/>
        <w:rPr>
          <w:rFonts w:hAnsi="仿宋" w:cs="宋体"/>
          <w:color w:val="000000"/>
          <w:kern w:val="2"/>
          <w:szCs w:val="30"/>
        </w:rPr>
      </w:pPr>
      <w:r>
        <w:rPr>
          <w:rFonts w:hint="eastAsia" w:hAnsi="仿宋" w:cs="宋体"/>
          <w:color w:val="000000"/>
          <w:kern w:val="2"/>
          <w:szCs w:val="30"/>
        </w:rPr>
        <w:t>本次评价以项目2020年度资金安排使用和绩效管理情况为重点，主要评价绩效目标设定及完成情况，项目立项规范性，项目资金投入和使用情况，项目运营管理、资金管理、项目产出、项目效果等内容，从数量、质量、时效、成本、效益等方面衡量项目预算安排资金使用效果。</w:t>
      </w:r>
    </w:p>
    <w:p w14:paraId="031FC0FD">
      <w:pPr>
        <w:spacing w:line="600" w:lineRule="exact"/>
        <w:ind w:firstLine="630" w:firstLineChars="200"/>
        <w:outlineLvl w:val="1"/>
        <w:rPr>
          <w:rFonts w:ascii="楷体" w:hAnsi="楷体" w:eastAsia="楷体"/>
          <w:szCs w:val="30"/>
          <w:shd w:val="clear" w:color="auto" w:fill="FFFFFF" w:themeFill="background1"/>
        </w:rPr>
      </w:pPr>
      <w:bookmarkStart w:id="19" w:name="_Toc3937"/>
      <w:r>
        <w:rPr>
          <w:rFonts w:hint="eastAsia" w:ascii="楷体" w:hAnsi="楷体" w:eastAsia="楷体"/>
          <w:szCs w:val="30"/>
          <w:shd w:val="clear" w:color="auto" w:fill="FFFFFF" w:themeFill="background1"/>
        </w:rPr>
        <w:t>（六）绩效评价指标体系</w:t>
      </w:r>
      <w:bookmarkEnd w:id="19"/>
    </w:p>
    <w:p w14:paraId="7521BCA6">
      <w:pPr>
        <w:spacing w:line="600" w:lineRule="exact"/>
        <w:ind w:firstLine="630" w:firstLineChars="200"/>
        <w:rPr>
          <w:rFonts w:hAnsi="仿宋" w:cs="宋体"/>
          <w:color w:val="000000"/>
          <w:kern w:val="2"/>
          <w:szCs w:val="30"/>
        </w:rPr>
      </w:pPr>
      <w:r>
        <w:rPr>
          <w:rFonts w:hint="eastAsia" w:hAnsi="仿宋" w:cs="宋体"/>
          <w:color w:val="000000"/>
          <w:kern w:val="2"/>
          <w:szCs w:val="30"/>
        </w:rPr>
        <w:t>根据评价目的和原则，结合重庆高新区2020年就业补助项目特点，在与区级相关部门充分交流、讨论、征求意见的基础上，形成就业补助项目绩效评价指标体系，该指标体系由四级指标构成，其中：一级指标4个、二级指标10个、三级指标21个、四级指标（细项指标）48个。一级指标及分值构成如下：</w:t>
      </w:r>
    </w:p>
    <w:tbl>
      <w:tblPr>
        <w:tblStyle w:val="23"/>
        <w:tblW w:w="7938" w:type="dxa"/>
        <w:jc w:val="center"/>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108" w:type="dxa"/>
          <w:bottom w:w="0" w:type="dxa"/>
          <w:right w:w="108" w:type="dxa"/>
        </w:tblCellMar>
      </w:tblPr>
      <w:tblGrid>
        <w:gridCol w:w="1659"/>
        <w:gridCol w:w="1134"/>
        <w:gridCol w:w="1134"/>
        <w:gridCol w:w="1418"/>
        <w:gridCol w:w="1134"/>
        <w:gridCol w:w="1459"/>
      </w:tblGrid>
      <w:tr w14:paraId="6DF5C3D9">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659" w:type="dxa"/>
            <w:vAlign w:val="center"/>
          </w:tcPr>
          <w:p w14:paraId="7301D0B0">
            <w:pPr>
              <w:adjustRightInd w:val="0"/>
              <w:snapToGrid w:val="0"/>
              <w:spacing w:line="600" w:lineRule="exact"/>
              <w:jc w:val="center"/>
              <w:rPr>
                <w:rFonts w:ascii="宋体" w:hAnsi="宋体" w:eastAsia="宋体"/>
                <w:b/>
                <w:bCs/>
                <w:kern w:val="2"/>
                <w:sz w:val="24"/>
                <w:szCs w:val="24"/>
              </w:rPr>
            </w:pPr>
            <w:r>
              <w:rPr>
                <w:rFonts w:hint="eastAsia" w:ascii="宋体" w:hAnsi="宋体" w:eastAsia="宋体"/>
                <w:b/>
                <w:bCs/>
                <w:kern w:val="2"/>
                <w:sz w:val="24"/>
                <w:szCs w:val="24"/>
              </w:rPr>
              <w:t>一级指标</w:t>
            </w:r>
          </w:p>
        </w:tc>
        <w:tc>
          <w:tcPr>
            <w:tcW w:w="1134" w:type="dxa"/>
            <w:vAlign w:val="center"/>
          </w:tcPr>
          <w:p w14:paraId="40575D3B">
            <w:pPr>
              <w:adjustRightInd w:val="0"/>
              <w:snapToGrid w:val="0"/>
              <w:spacing w:line="600" w:lineRule="exact"/>
              <w:jc w:val="center"/>
              <w:rPr>
                <w:rFonts w:ascii="宋体" w:hAnsi="宋体" w:eastAsia="宋体"/>
                <w:b/>
                <w:bCs/>
                <w:kern w:val="2"/>
                <w:sz w:val="24"/>
                <w:szCs w:val="24"/>
              </w:rPr>
            </w:pPr>
            <w:r>
              <w:rPr>
                <w:rFonts w:hint="eastAsia" w:ascii="宋体" w:hAnsi="宋体" w:eastAsia="宋体"/>
                <w:b/>
                <w:bCs/>
                <w:kern w:val="2"/>
                <w:sz w:val="24"/>
                <w:szCs w:val="24"/>
              </w:rPr>
              <w:t>决策</w:t>
            </w:r>
          </w:p>
        </w:tc>
        <w:tc>
          <w:tcPr>
            <w:tcW w:w="1134" w:type="dxa"/>
            <w:vAlign w:val="center"/>
          </w:tcPr>
          <w:p w14:paraId="74610B62">
            <w:pPr>
              <w:adjustRightInd w:val="0"/>
              <w:snapToGrid w:val="0"/>
              <w:spacing w:line="600" w:lineRule="exact"/>
              <w:jc w:val="center"/>
              <w:rPr>
                <w:rFonts w:ascii="宋体" w:hAnsi="宋体" w:eastAsia="宋体"/>
                <w:b/>
                <w:bCs/>
                <w:kern w:val="2"/>
                <w:sz w:val="24"/>
                <w:szCs w:val="24"/>
              </w:rPr>
            </w:pPr>
            <w:r>
              <w:rPr>
                <w:rFonts w:hint="eastAsia" w:ascii="宋体" w:hAnsi="宋体" w:eastAsia="宋体"/>
                <w:b/>
                <w:bCs/>
                <w:kern w:val="2"/>
                <w:sz w:val="24"/>
                <w:szCs w:val="24"/>
              </w:rPr>
              <w:t>过程</w:t>
            </w:r>
          </w:p>
        </w:tc>
        <w:tc>
          <w:tcPr>
            <w:tcW w:w="1418" w:type="dxa"/>
            <w:vAlign w:val="center"/>
          </w:tcPr>
          <w:p w14:paraId="34F6FF65">
            <w:pPr>
              <w:adjustRightInd w:val="0"/>
              <w:snapToGrid w:val="0"/>
              <w:spacing w:line="600" w:lineRule="exact"/>
              <w:jc w:val="center"/>
              <w:rPr>
                <w:rFonts w:ascii="宋体" w:hAnsi="宋体" w:eastAsia="宋体"/>
                <w:b/>
                <w:bCs/>
                <w:kern w:val="2"/>
                <w:sz w:val="24"/>
                <w:szCs w:val="24"/>
              </w:rPr>
            </w:pPr>
            <w:r>
              <w:rPr>
                <w:rFonts w:hint="eastAsia" w:ascii="宋体" w:hAnsi="宋体" w:eastAsia="宋体"/>
                <w:b/>
                <w:bCs/>
                <w:kern w:val="2"/>
                <w:sz w:val="24"/>
                <w:szCs w:val="24"/>
              </w:rPr>
              <w:t>产出</w:t>
            </w:r>
          </w:p>
        </w:tc>
        <w:tc>
          <w:tcPr>
            <w:tcW w:w="1134" w:type="dxa"/>
            <w:vAlign w:val="center"/>
          </w:tcPr>
          <w:p w14:paraId="14A0CDB3">
            <w:pPr>
              <w:adjustRightInd w:val="0"/>
              <w:snapToGrid w:val="0"/>
              <w:spacing w:line="600" w:lineRule="exact"/>
              <w:jc w:val="center"/>
              <w:rPr>
                <w:rFonts w:ascii="宋体" w:hAnsi="宋体" w:eastAsia="宋体"/>
                <w:b/>
                <w:bCs/>
                <w:kern w:val="2"/>
                <w:sz w:val="24"/>
                <w:szCs w:val="24"/>
              </w:rPr>
            </w:pPr>
            <w:r>
              <w:rPr>
                <w:rFonts w:hint="eastAsia" w:ascii="宋体" w:hAnsi="宋体" w:eastAsia="宋体"/>
                <w:b/>
                <w:bCs/>
                <w:kern w:val="2"/>
                <w:sz w:val="24"/>
                <w:szCs w:val="24"/>
              </w:rPr>
              <w:t>效益</w:t>
            </w:r>
          </w:p>
        </w:tc>
        <w:tc>
          <w:tcPr>
            <w:tcW w:w="1459" w:type="dxa"/>
            <w:vAlign w:val="center"/>
          </w:tcPr>
          <w:p w14:paraId="664EA0BE">
            <w:pPr>
              <w:adjustRightInd w:val="0"/>
              <w:snapToGrid w:val="0"/>
              <w:spacing w:line="600" w:lineRule="exact"/>
              <w:jc w:val="center"/>
              <w:rPr>
                <w:rFonts w:ascii="宋体" w:hAnsi="宋体" w:eastAsia="宋体"/>
                <w:b/>
                <w:bCs/>
                <w:kern w:val="2"/>
                <w:sz w:val="24"/>
                <w:szCs w:val="24"/>
              </w:rPr>
            </w:pPr>
            <w:r>
              <w:rPr>
                <w:rFonts w:hint="eastAsia" w:ascii="宋体" w:hAnsi="宋体" w:eastAsia="宋体"/>
                <w:b/>
                <w:bCs/>
                <w:kern w:val="2"/>
                <w:sz w:val="24"/>
                <w:szCs w:val="24"/>
              </w:rPr>
              <w:t>合计</w:t>
            </w:r>
          </w:p>
        </w:tc>
      </w:tr>
      <w:tr w14:paraId="300FF1C9">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659" w:type="dxa"/>
            <w:vAlign w:val="center"/>
          </w:tcPr>
          <w:p w14:paraId="6ADF76ED">
            <w:pPr>
              <w:adjustRightInd w:val="0"/>
              <w:snapToGrid w:val="0"/>
              <w:spacing w:line="600" w:lineRule="exact"/>
              <w:ind w:firstLine="127" w:firstLineChars="50"/>
              <w:jc w:val="center"/>
              <w:rPr>
                <w:rFonts w:ascii="宋体" w:hAnsi="宋体" w:eastAsia="宋体"/>
                <w:b/>
                <w:bCs/>
                <w:kern w:val="2"/>
                <w:sz w:val="24"/>
                <w:szCs w:val="24"/>
              </w:rPr>
            </w:pPr>
            <w:r>
              <w:rPr>
                <w:rFonts w:hint="eastAsia" w:ascii="宋体" w:hAnsi="宋体" w:eastAsia="宋体"/>
                <w:b/>
                <w:bCs/>
                <w:kern w:val="2"/>
                <w:sz w:val="24"/>
                <w:szCs w:val="24"/>
              </w:rPr>
              <w:t>分值</w:t>
            </w:r>
          </w:p>
        </w:tc>
        <w:tc>
          <w:tcPr>
            <w:tcW w:w="1134" w:type="dxa"/>
            <w:vAlign w:val="center"/>
          </w:tcPr>
          <w:p w14:paraId="3F779650">
            <w:pPr>
              <w:adjustRightInd w:val="0"/>
              <w:snapToGrid w:val="0"/>
              <w:spacing w:line="600" w:lineRule="exact"/>
              <w:jc w:val="center"/>
              <w:rPr>
                <w:rFonts w:ascii="Arial Narrow" w:hAnsi="Arial Narrow" w:eastAsia="宋体"/>
                <w:b/>
                <w:bCs/>
                <w:kern w:val="2"/>
                <w:sz w:val="24"/>
                <w:szCs w:val="24"/>
              </w:rPr>
            </w:pPr>
            <w:r>
              <w:rPr>
                <w:rFonts w:ascii="Arial Narrow" w:hAnsi="Arial Narrow" w:eastAsia="宋体"/>
                <w:b/>
                <w:bCs/>
                <w:kern w:val="2"/>
                <w:sz w:val="24"/>
                <w:szCs w:val="24"/>
              </w:rPr>
              <w:t>2</w:t>
            </w:r>
            <w:r>
              <w:rPr>
                <w:rFonts w:hint="eastAsia" w:ascii="Arial Narrow" w:hAnsi="Arial Narrow" w:eastAsia="宋体"/>
                <w:b/>
                <w:bCs/>
                <w:kern w:val="2"/>
                <w:sz w:val="24"/>
                <w:szCs w:val="24"/>
              </w:rPr>
              <w:t>0</w:t>
            </w:r>
          </w:p>
        </w:tc>
        <w:tc>
          <w:tcPr>
            <w:tcW w:w="1134" w:type="dxa"/>
            <w:vAlign w:val="center"/>
          </w:tcPr>
          <w:p w14:paraId="751EFE84">
            <w:pPr>
              <w:adjustRightInd w:val="0"/>
              <w:snapToGrid w:val="0"/>
              <w:spacing w:line="600" w:lineRule="exact"/>
              <w:jc w:val="center"/>
              <w:rPr>
                <w:rFonts w:ascii="Arial Narrow" w:hAnsi="Arial Narrow" w:eastAsia="宋体"/>
                <w:b/>
                <w:bCs/>
                <w:kern w:val="2"/>
                <w:sz w:val="24"/>
                <w:szCs w:val="24"/>
              </w:rPr>
            </w:pPr>
            <w:r>
              <w:rPr>
                <w:rFonts w:ascii="Arial Narrow" w:hAnsi="Arial Narrow" w:eastAsia="宋体"/>
                <w:b/>
                <w:bCs/>
                <w:kern w:val="2"/>
                <w:sz w:val="24"/>
                <w:szCs w:val="24"/>
              </w:rPr>
              <w:t>2</w:t>
            </w:r>
            <w:r>
              <w:rPr>
                <w:rFonts w:hint="eastAsia" w:ascii="Arial Narrow" w:hAnsi="Arial Narrow" w:eastAsia="宋体"/>
                <w:b/>
                <w:bCs/>
                <w:kern w:val="2"/>
                <w:sz w:val="24"/>
                <w:szCs w:val="24"/>
              </w:rPr>
              <w:t>0</w:t>
            </w:r>
          </w:p>
        </w:tc>
        <w:tc>
          <w:tcPr>
            <w:tcW w:w="1418" w:type="dxa"/>
            <w:vAlign w:val="center"/>
          </w:tcPr>
          <w:p w14:paraId="7442867E">
            <w:pPr>
              <w:adjustRightInd w:val="0"/>
              <w:snapToGrid w:val="0"/>
              <w:spacing w:line="600" w:lineRule="exact"/>
              <w:jc w:val="center"/>
              <w:rPr>
                <w:rFonts w:ascii="Arial Narrow" w:hAnsi="Arial Narrow" w:eastAsia="宋体"/>
                <w:b/>
                <w:bCs/>
                <w:kern w:val="2"/>
                <w:sz w:val="24"/>
                <w:szCs w:val="24"/>
              </w:rPr>
            </w:pPr>
            <w:r>
              <w:rPr>
                <w:rFonts w:ascii="Arial Narrow" w:hAnsi="Arial Narrow" w:eastAsia="宋体"/>
                <w:b/>
                <w:bCs/>
                <w:kern w:val="2"/>
                <w:sz w:val="24"/>
                <w:szCs w:val="24"/>
              </w:rPr>
              <w:t>3</w:t>
            </w:r>
            <w:r>
              <w:rPr>
                <w:rFonts w:hint="eastAsia" w:ascii="Arial Narrow" w:hAnsi="Arial Narrow" w:eastAsia="宋体"/>
                <w:b/>
                <w:bCs/>
                <w:kern w:val="2"/>
                <w:sz w:val="24"/>
                <w:szCs w:val="24"/>
              </w:rPr>
              <w:t>0</w:t>
            </w:r>
          </w:p>
        </w:tc>
        <w:tc>
          <w:tcPr>
            <w:tcW w:w="1134" w:type="dxa"/>
            <w:vAlign w:val="center"/>
          </w:tcPr>
          <w:p w14:paraId="30367E83">
            <w:pPr>
              <w:adjustRightInd w:val="0"/>
              <w:snapToGrid w:val="0"/>
              <w:spacing w:line="600" w:lineRule="exact"/>
              <w:jc w:val="center"/>
              <w:rPr>
                <w:rFonts w:ascii="Arial Narrow" w:hAnsi="Arial Narrow" w:eastAsia="宋体"/>
                <w:b/>
                <w:bCs/>
                <w:kern w:val="2"/>
                <w:sz w:val="24"/>
                <w:szCs w:val="24"/>
              </w:rPr>
            </w:pPr>
            <w:r>
              <w:rPr>
                <w:rFonts w:hint="eastAsia" w:ascii="Arial Narrow" w:hAnsi="Arial Narrow" w:eastAsia="宋体"/>
                <w:b/>
                <w:bCs/>
                <w:kern w:val="2"/>
                <w:sz w:val="24"/>
                <w:szCs w:val="24"/>
              </w:rPr>
              <w:t>30</w:t>
            </w:r>
          </w:p>
        </w:tc>
        <w:tc>
          <w:tcPr>
            <w:tcW w:w="1459" w:type="dxa"/>
            <w:vAlign w:val="center"/>
          </w:tcPr>
          <w:p w14:paraId="54C800C0">
            <w:pPr>
              <w:adjustRightInd w:val="0"/>
              <w:snapToGrid w:val="0"/>
              <w:spacing w:line="600" w:lineRule="exact"/>
              <w:jc w:val="center"/>
              <w:rPr>
                <w:rFonts w:ascii="Arial Narrow" w:hAnsi="Arial Narrow" w:eastAsia="宋体"/>
                <w:b/>
                <w:bCs/>
                <w:kern w:val="2"/>
                <w:sz w:val="24"/>
                <w:szCs w:val="24"/>
              </w:rPr>
            </w:pPr>
            <w:r>
              <w:rPr>
                <w:rFonts w:ascii="Arial Narrow" w:hAnsi="Arial Narrow" w:eastAsia="宋体"/>
                <w:b/>
                <w:bCs/>
                <w:kern w:val="2"/>
                <w:sz w:val="24"/>
                <w:szCs w:val="24"/>
              </w:rPr>
              <w:t>100</w:t>
            </w:r>
          </w:p>
        </w:tc>
      </w:tr>
    </w:tbl>
    <w:p w14:paraId="7B900291">
      <w:pPr>
        <w:spacing w:line="600" w:lineRule="exact"/>
        <w:ind w:firstLine="630" w:firstLineChars="200"/>
        <w:rPr>
          <w:rFonts w:hAnsi="仿宋" w:cs="宋体"/>
          <w:color w:val="000000"/>
          <w:kern w:val="2"/>
          <w:szCs w:val="30"/>
        </w:rPr>
      </w:pPr>
      <w:r>
        <w:rPr>
          <w:rFonts w:hint="eastAsia" w:hAnsi="仿宋" w:cs="宋体"/>
          <w:color w:val="000000"/>
          <w:kern w:val="2"/>
          <w:szCs w:val="30"/>
        </w:rPr>
        <w:t>具体指标体系，详见附件1。</w:t>
      </w:r>
    </w:p>
    <w:p w14:paraId="2A0D3F6C">
      <w:pPr>
        <w:spacing w:line="600" w:lineRule="exact"/>
        <w:ind w:firstLine="630" w:firstLineChars="200"/>
        <w:rPr>
          <w:rFonts w:hAnsi="仿宋" w:cs="宋体"/>
          <w:color w:val="000000"/>
          <w:kern w:val="2"/>
          <w:szCs w:val="30"/>
        </w:rPr>
      </w:pPr>
      <w:r>
        <w:rPr>
          <w:rFonts w:hint="eastAsia" w:hAnsi="仿宋" w:cs="宋体"/>
          <w:color w:val="000000"/>
          <w:kern w:val="2"/>
          <w:szCs w:val="30"/>
        </w:rPr>
        <w:t>绩效评价实行100分制，评价结果设四个等级：优（≥90分）；良（≥80分，＜90分）；中（≥60分，＜80分）；差（＜60分）。</w:t>
      </w:r>
    </w:p>
    <w:p w14:paraId="733D4717">
      <w:pPr>
        <w:spacing w:line="600" w:lineRule="exact"/>
        <w:ind w:firstLine="630" w:firstLineChars="200"/>
        <w:outlineLvl w:val="1"/>
        <w:rPr>
          <w:rFonts w:ascii="楷体" w:hAnsi="楷体" w:eastAsia="楷体"/>
          <w:szCs w:val="30"/>
          <w:shd w:val="clear" w:color="auto" w:fill="FFFFFF" w:themeFill="background1"/>
        </w:rPr>
      </w:pPr>
      <w:bookmarkStart w:id="20" w:name="_Toc28197"/>
      <w:bookmarkStart w:id="21" w:name="_Toc42503810"/>
      <w:r>
        <w:rPr>
          <w:rFonts w:hint="eastAsia" w:ascii="楷体" w:hAnsi="楷体" w:eastAsia="楷体"/>
          <w:szCs w:val="30"/>
          <w:shd w:val="clear" w:color="auto" w:fill="FFFFFF" w:themeFill="background1"/>
        </w:rPr>
        <w:t>（七）绩效评价方法</w:t>
      </w:r>
      <w:bookmarkEnd w:id="20"/>
      <w:bookmarkEnd w:id="21"/>
    </w:p>
    <w:p w14:paraId="44CA84A4">
      <w:pPr>
        <w:spacing w:line="600" w:lineRule="exact"/>
        <w:ind w:firstLine="630" w:firstLineChars="200"/>
        <w:rPr>
          <w:rFonts w:hAnsi="仿宋" w:cs="宋体"/>
          <w:color w:val="000000"/>
          <w:kern w:val="2"/>
          <w:szCs w:val="30"/>
        </w:rPr>
      </w:pPr>
      <w:r>
        <w:rPr>
          <w:rFonts w:hint="eastAsia" w:hAnsi="仿宋" w:cs="宋体"/>
          <w:color w:val="000000"/>
          <w:kern w:val="2"/>
          <w:szCs w:val="30"/>
        </w:rPr>
        <w:t>本次评价紧紧围绕“就业补助项目”的特点，确定本次绩效评价方法。本项目绩效评价综合采用预定目标与实施效果比较法、成本效益分析法、因素分析法、专家评审法、现场核查法等进行评价， 以对项目资金的使用过程和效果做出全面、准确和客观地评价。</w:t>
      </w:r>
    </w:p>
    <w:p w14:paraId="6A7CF57D">
      <w:pPr>
        <w:spacing w:line="600" w:lineRule="exact"/>
        <w:ind w:firstLine="630" w:firstLineChars="200"/>
        <w:rPr>
          <w:rFonts w:hAnsi="仿宋" w:cs="宋体"/>
          <w:color w:val="000000"/>
          <w:kern w:val="2"/>
          <w:szCs w:val="30"/>
        </w:rPr>
      </w:pPr>
      <w:r>
        <w:rPr>
          <w:rFonts w:hint="eastAsia" w:hAnsi="仿宋" w:cs="宋体"/>
          <w:color w:val="000000"/>
          <w:kern w:val="2"/>
          <w:szCs w:val="30"/>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710E480A">
      <w:pPr>
        <w:spacing w:line="600" w:lineRule="exact"/>
        <w:ind w:firstLine="630" w:firstLineChars="200"/>
        <w:rPr>
          <w:rFonts w:hAnsi="仿宋" w:cs="宋体"/>
          <w:color w:val="000000"/>
          <w:kern w:val="2"/>
          <w:szCs w:val="30"/>
        </w:rPr>
      </w:pPr>
      <w:bookmarkStart w:id="22" w:name="_Toc42503811"/>
      <w:r>
        <w:rPr>
          <w:rFonts w:hint="eastAsia" w:hAnsi="仿宋" w:cs="宋体"/>
          <w:color w:val="000000"/>
          <w:kern w:val="2"/>
          <w:szCs w:val="30"/>
        </w:rPr>
        <w:t>成本效益分析法。是指将一定时期内的支出与效益进行对比分析以评价绩效目标实现程度。</w:t>
      </w:r>
    </w:p>
    <w:p w14:paraId="679F6C49">
      <w:pPr>
        <w:spacing w:line="600" w:lineRule="exact"/>
        <w:ind w:firstLine="630" w:firstLineChars="200"/>
        <w:rPr>
          <w:rFonts w:hAnsi="仿宋" w:cs="宋体"/>
          <w:color w:val="000000"/>
          <w:kern w:val="2"/>
          <w:szCs w:val="30"/>
        </w:rPr>
      </w:pPr>
      <w:r>
        <w:rPr>
          <w:rFonts w:hint="eastAsia" w:hAnsi="仿宋" w:cs="宋体"/>
          <w:color w:val="000000"/>
          <w:kern w:val="2"/>
          <w:szCs w:val="30"/>
        </w:rPr>
        <w:t>因素分析法。是指通过综合分析影响绩效目标实现、 实施效果的内外部因素的方法。</w:t>
      </w:r>
    </w:p>
    <w:p w14:paraId="4331F181">
      <w:pPr>
        <w:spacing w:line="600" w:lineRule="exact"/>
        <w:ind w:firstLine="630" w:firstLineChars="200"/>
        <w:rPr>
          <w:rFonts w:hAnsi="仿宋" w:cs="宋体"/>
          <w:color w:val="000000"/>
          <w:kern w:val="2"/>
          <w:szCs w:val="30"/>
        </w:rPr>
      </w:pPr>
      <w:r>
        <w:rPr>
          <w:rFonts w:hint="eastAsia" w:hAnsi="仿宋" w:cs="宋体"/>
          <w:color w:val="000000"/>
          <w:kern w:val="2"/>
          <w:szCs w:val="30"/>
        </w:rPr>
        <w:t>专家评审法。通过社会保障、绩效管理、财务管理等相关领域的专家依据专业知识对财政支出绩效进行分析，并形成评价意见。</w:t>
      </w:r>
    </w:p>
    <w:p w14:paraId="150A9483">
      <w:pPr>
        <w:spacing w:line="600" w:lineRule="exact"/>
        <w:ind w:firstLine="630" w:firstLineChars="200"/>
      </w:pPr>
      <w:r>
        <w:rPr>
          <w:rFonts w:hint="eastAsia" w:hAnsi="仿宋" w:cs="宋体"/>
          <w:color w:val="000000"/>
          <w:kern w:val="2"/>
          <w:szCs w:val="30"/>
        </w:rPr>
        <w:t>现场核查法。现场评价小组与项目实施的相关单位， 包括各级主管单位、实施（用款）单位等进行深入沟通交流，实事求是核查其财务情况、项目管理情况和绩效表现等相关资料， 对项目进行核实。</w:t>
      </w:r>
    </w:p>
    <w:p w14:paraId="7E74173D">
      <w:pPr>
        <w:spacing w:line="600" w:lineRule="exact"/>
        <w:ind w:firstLine="630" w:firstLineChars="200"/>
        <w:outlineLvl w:val="1"/>
        <w:rPr>
          <w:rFonts w:ascii="楷体" w:hAnsi="楷体" w:eastAsia="楷体"/>
          <w:szCs w:val="30"/>
          <w:shd w:val="clear" w:color="auto" w:fill="FFFFFF" w:themeFill="background1"/>
        </w:rPr>
      </w:pPr>
      <w:bookmarkStart w:id="23" w:name="_Toc12692"/>
      <w:r>
        <w:rPr>
          <w:rFonts w:hint="eastAsia" w:ascii="楷体" w:hAnsi="楷体" w:eastAsia="楷体"/>
          <w:szCs w:val="30"/>
          <w:shd w:val="clear" w:color="auto" w:fill="FFFFFF" w:themeFill="background1"/>
        </w:rPr>
        <w:t>（八）绩效评价实施过程</w:t>
      </w:r>
      <w:bookmarkEnd w:id="22"/>
      <w:bookmarkEnd w:id="23"/>
    </w:p>
    <w:p w14:paraId="5AEBC2F8">
      <w:pPr>
        <w:spacing w:line="600" w:lineRule="exact"/>
        <w:ind w:firstLine="630" w:firstLineChars="200"/>
        <w:rPr>
          <w:rFonts w:hAnsi="仿宋" w:cs="宋体"/>
          <w:color w:val="000000"/>
          <w:kern w:val="2"/>
          <w:szCs w:val="30"/>
        </w:rPr>
      </w:pPr>
      <w:r>
        <w:rPr>
          <w:rFonts w:hint="eastAsia" w:hAnsi="仿宋" w:cs="宋体"/>
          <w:color w:val="000000"/>
          <w:kern w:val="2"/>
          <w:szCs w:val="30"/>
        </w:rPr>
        <w:t>评价工作主要经过以下过程：</w:t>
      </w:r>
    </w:p>
    <w:p w14:paraId="64CF70D2">
      <w:pPr>
        <w:spacing w:line="600" w:lineRule="exact"/>
        <w:ind w:firstLine="630" w:firstLineChars="200"/>
        <w:rPr>
          <w:rFonts w:hAnsi="仿宋" w:cs="宋体"/>
          <w:color w:val="000000"/>
          <w:kern w:val="2"/>
          <w:szCs w:val="30"/>
        </w:rPr>
      </w:pPr>
      <w:r>
        <w:rPr>
          <w:rFonts w:hint="eastAsia" w:hAnsi="仿宋" w:cs="宋体"/>
          <w:color w:val="000000"/>
          <w:kern w:val="2"/>
          <w:szCs w:val="30"/>
        </w:rPr>
        <w:t>1.前期准备。成立评价工作组，并对就业补助项目相关资料进行深入学习，与区财政局就绩效评价工作开展讨论，形成绩效评价方案，明确绩效评价指标体系。</w:t>
      </w:r>
    </w:p>
    <w:p w14:paraId="6A73D23F">
      <w:pPr>
        <w:spacing w:line="600" w:lineRule="exact"/>
        <w:ind w:firstLine="630" w:firstLineChars="200"/>
        <w:rPr>
          <w:rFonts w:hAnsi="仿宋" w:cs="宋体"/>
          <w:color w:val="000000"/>
          <w:kern w:val="2"/>
          <w:szCs w:val="30"/>
        </w:rPr>
      </w:pPr>
      <w:r>
        <w:rPr>
          <w:rFonts w:hint="eastAsia" w:hAnsi="仿宋" w:cs="宋体"/>
          <w:color w:val="000000"/>
          <w:kern w:val="2"/>
          <w:szCs w:val="30"/>
        </w:rPr>
        <w:t>2.组织实施。评价小组人员进入项目现场，开展实地调研、问卷调查，对项目资料、财务资料进行查证核对。</w:t>
      </w:r>
    </w:p>
    <w:p w14:paraId="611ED5BA">
      <w:pPr>
        <w:spacing w:line="600" w:lineRule="exact"/>
        <w:ind w:firstLine="630" w:firstLineChars="200"/>
        <w:rPr>
          <w:rFonts w:hAnsi="仿宋" w:cs="宋体"/>
          <w:color w:val="000000"/>
          <w:kern w:val="2"/>
          <w:szCs w:val="30"/>
        </w:rPr>
      </w:pPr>
      <w:r>
        <w:rPr>
          <w:rFonts w:hint="eastAsia" w:hAnsi="仿宋" w:cs="宋体"/>
          <w:color w:val="000000"/>
          <w:kern w:val="2"/>
          <w:szCs w:val="30"/>
        </w:rPr>
        <w:t>3.分析评价。对收集的相关数据、资料、信息进行梳理、分析和甄别，按评价指标体系对项目进行综合评价，将评价结果与有关部门沟通讨论并修正，形成正式评价结论。</w:t>
      </w:r>
    </w:p>
    <w:p w14:paraId="3A848710">
      <w:pPr>
        <w:spacing w:line="600" w:lineRule="exact"/>
        <w:ind w:firstLine="630" w:firstLineChars="200"/>
        <w:rPr>
          <w:rFonts w:hAnsi="仿宋" w:cs="宋体"/>
          <w:color w:val="000000"/>
          <w:kern w:val="2"/>
          <w:szCs w:val="30"/>
        </w:rPr>
      </w:pPr>
      <w:r>
        <w:rPr>
          <w:rFonts w:hint="eastAsia" w:hAnsi="仿宋" w:cs="宋体"/>
          <w:color w:val="000000"/>
          <w:kern w:val="2"/>
          <w:szCs w:val="30"/>
        </w:rPr>
        <w:t>4.编写报告。根据评价结论，编写绩效评价报告（征求意见稿）。就绩效评价报告（征求意见稿）与区财政局和实施部门等进行沟通，几方无异议后出具正式绩效评价报告。</w:t>
      </w:r>
    </w:p>
    <w:p w14:paraId="77A929D0">
      <w:pPr>
        <w:spacing w:line="600" w:lineRule="exact"/>
        <w:ind w:firstLine="630" w:firstLineChars="200"/>
        <w:outlineLvl w:val="0"/>
        <w:rPr>
          <w:rFonts w:ascii="黑体" w:hAnsi="宋体" w:eastAsia="黑体" w:cs="宋体"/>
          <w:szCs w:val="30"/>
          <w:shd w:val="clear" w:color="auto" w:fill="FFFFFF" w:themeFill="background1"/>
        </w:rPr>
      </w:pPr>
      <w:bookmarkStart w:id="24" w:name="_Toc11011"/>
      <w:r>
        <w:rPr>
          <w:rFonts w:hint="eastAsia" w:ascii="黑体" w:hAnsi="宋体" w:eastAsia="黑体" w:cs="宋体"/>
          <w:szCs w:val="30"/>
          <w:shd w:val="clear" w:color="auto" w:fill="FFFFFF" w:themeFill="background1"/>
        </w:rPr>
        <w:t>三、绩效情况分析</w:t>
      </w:r>
      <w:bookmarkEnd w:id="24"/>
    </w:p>
    <w:p w14:paraId="03F9D2AA">
      <w:pPr>
        <w:spacing w:line="600" w:lineRule="exact"/>
        <w:ind w:firstLine="630" w:firstLineChars="200"/>
        <w:rPr>
          <w:rFonts w:hAnsi="仿宋" w:cs="宋体"/>
          <w:color w:val="000000"/>
          <w:kern w:val="2"/>
          <w:szCs w:val="30"/>
        </w:rPr>
      </w:pPr>
      <w:r>
        <w:rPr>
          <w:rFonts w:hint="eastAsia" w:hAnsi="仿宋" w:cs="宋体"/>
          <w:color w:val="000000"/>
          <w:kern w:val="2"/>
          <w:szCs w:val="30"/>
        </w:rPr>
        <w:t>根据绩效评价指标，按“决策——过程——产出——效益”（即项目决策、项目管理、项目完成情况、项目效益）逐项分析评价如下：</w:t>
      </w:r>
    </w:p>
    <w:p w14:paraId="096F279E">
      <w:pPr>
        <w:spacing w:line="600" w:lineRule="exact"/>
        <w:ind w:firstLine="630" w:firstLineChars="200"/>
        <w:outlineLvl w:val="1"/>
        <w:rPr>
          <w:rFonts w:ascii="楷体" w:hAnsi="楷体" w:eastAsia="楷体"/>
          <w:szCs w:val="30"/>
          <w:shd w:val="clear" w:color="auto" w:fill="FFFFFF" w:themeFill="background1"/>
        </w:rPr>
      </w:pPr>
      <w:bookmarkStart w:id="25" w:name="_Toc42503813"/>
      <w:bookmarkStart w:id="26" w:name="_Toc2736"/>
      <w:r>
        <w:rPr>
          <w:rFonts w:hint="eastAsia" w:ascii="楷体" w:hAnsi="楷体" w:eastAsia="楷体"/>
          <w:szCs w:val="30"/>
          <w:shd w:val="clear" w:color="auto" w:fill="FFFFFF" w:themeFill="background1"/>
        </w:rPr>
        <w:t>（一）项目</w:t>
      </w:r>
      <w:bookmarkEnd w:id="25"/>
      <w:r>
        <w:rPr>
          <w:rFonts w:hint="eastAsia" w:ascii="楷体" w:hAnsi="楷体" w:eastAsia="楷体"/>
          <w:szCs w:val="30"/>
          <w:shd w:val="clear" w:color="auto" w:fill="FFFFFF" w:themeFill="background1"/>
        </w:rPr>
        <w:t>决策</w:t>
      </w:r>
      <w:bookmarkEnd w:id="26"/>
    </w:p>
    <w:p w14:paraId="68482668">
      <w:pPr>
        <w:spacing w:line="600" w:lineRule="exact"/>
        <w:ind w:firstLine="630" w:firstLineChars="200"/>
        <w:rPr>
          <w:rFonts w:hAnsi="仿宋" w:cs="宋体"/>
          <w:color w:val="000000"/>
          <w:kern w:val="2"/>
          <w:szCs w:val="30"/>
        </w:rPr>
      </w:pPr>
      <w:bookmarkStart w:id="27" w:name="_Toc42503814"/>
      <w:r>
        <w:rPr>
          <w:rFonts w:hint="eastAsia" w:hAnsi="仿宋" w:cs="宋体"/>
          <w:color w:val="000000"/>
          <w:kern w:val="2"/>
          <w:szCs w:val="30"/>
        </w:rPr>
        <w:t>1.项目立项情况</w:t>
      </w:r>
      <w:bookmarkEnd w:id="27"/>
    </w:p>
    <w:p w14:paraId="65F1E95B">
      <w:pPr>
        <w:spacing w:line="600" w:lineRule="exact"/>
        <w:ind w:firstLine="630" w:firstLineChars="200"/>
        <w:rPr>
          <w:rFonts w:hAnsi="仿宋" w:cs="宋体"/>
          <w:color w:val="000000"/>
          <w:kern w:val="2"/>
          <w:szCs w:val="30"/>
        </w:rPr>
      </w:pPr>
      <w:r>
        <w:rPr>
          <w:rFonts w:hint="eastAsia" w:hAnsi="仿宋" w:cs="宋体"/>
          <w:color w:val="000000"/>
          <w:kern w:val="2"/>
          <w:szCs w:val="30"/>
        </w:rPr>
        <w:t>就业补助项目是为贯彻落实《国务院关于进一步做好稳就业工作的意见》(国发〔2019〕28号) 和《重庆市人民政府办公厅关于应对新冠肺炎疫情影响进一步稳定和促进就业的实施意见》（渝府办发〔2020〕62号）文件精神，落实国家和市普惠性就业创业政策，促进各类劳动者公平就业，保障就业工作，通过中央、市转移支付资金下达至高新区及高新区本级财政出资的专项资金项目。高新区通过结合当地实际情况，深入基层考察的方式，确定项目实施内容、实施方式及实施范围，相关手续较为完善。此外，高新区虽未对项目实施制定实施方案，但严格执行上级文件规定的同时还制定有各类补贴补助流程、管理办法等。</w:t>
      </w:r>
    </w:p>
    <w:p w14:paraId="71F671AD">
      <w:pPr>
        <w:spacing w:line="600" w:lineRule="exact"/>
        <w:ind w:firstLine="630" w:firstLineChars="200"/>
        <w:rPr>
          <w:rFonts w:hAnsi="仿宋" w:cs="宋体"/>
          <w:color w:val="000000"/>
          <w:kern w:val="2"/>
          <w:szCs w:val="30"/>
        </w:rPr>
      </w:pPr>
      <w:r>
        <w:rPr>
          <w:rFonts w:hint="eastAsia" w:hAnsi="仿宋" w:cs="宋体"/>
          <w:color w:val="000000"/>
          <w:kern w:val="2"/>
          <w:szCs w:val="30"/>
        </w:rPr>
        <w:t>因此，评价认为，项目决策依据充分，立项程序规范，符合国家相关法律法规、国民经济发展规划和党委政府决策，项目实施具有必要性、急迫性。</w:t>
      </w:r>
    </w:p>
    <w:p w14:paraId="3E5D0026">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本项指标设定分值8分，经综合评价，指标得分8分。</w:t>
      </w:r>
    </w:p>
    <w:p w14:paraId="71EA4FC5">
      <w:pPr>
        <w:spacing w:line="600" w:lineRule="exact"/>
        <w:ind w:firstLine="630" w:firstLineChars="200"/>
        <w:rPr>
          <w:rFonts w:hAnsi="仿宋" w:cs="宋体"/>
          <w:color w:val="000000"/>
          <w:kern w:val="2"/>
          <w:szCs w:val="30"/>
        </w:rPr>
      </w:pPr>
      <w:bookmarkStart w:id="28" w:name="_Toc42503815"/>
      <w:r>
        <w:rPr>
          <w:rFonts w:hint="eastAsia" w:hAnsi="仿宋" w:cs="宋体"/>
          <w:color w:val="000000"/>
          <w:kern w:val="2"/>
          <w:szCs w:val="30"/>
        </w:rPr>
        <w:t>2.绩效目标设置情况</w:t>
      </w:r>
      <w:bookmarkEnd w:id="28"/>
    </w:p>
    <w:p w14:paraId="11DEE4D9">
      <w:pPr>
        <w:spacing w:line="600" w:lineRule="exact"/>
        <w:ind w:firstLine="630" w:firstLineChars="200"/>
        <w:rPr>
          <w:rFonts w:hAnsi="仿宋" w:cs="宋体"/>
          <w:color w:val="000000"/>
          <w:kern w:val="2"/>
          <w:szCs w:val="30"/>
        </w:rPr>
      </w:pPr>
      <w:r>
        <w:rPr>
          <w:rFonts w:hint="eastAsia" w:hAnsi="仿宋" w:cs="宋体"/>
          <w:color w:val="000000"/>
          <w:kern w:val="2"/>
          <w:szCs w:val="30"/>
        </w:rPr>
        <w:t>重庆高新技术产业开发区管理委员会于2020年刚成立，各职能部门在2020年处于搭建期，因此区政务中心年初未对项目设置绩效目标申报表，但根据其提供的绩效目标自评表显示，项目年度总体目标为“强化责任担当，聚焦统筹推进疫情防控和经济社会发展重点任务，强化落实稳岗就业、职业技能提升、保障企业用工助力企业复工复产等各项工作”。从整体上看，项目年度绩效目标设置较为宽泛笼统，评价小组无法判断项目预期产出效益和效果是否符合正常水平。</w:t>
      </w:r>
    </w:p>
    <w:p w14:paraId="466ED810">
      <w:pPr>
        <w:spacing w:line="600" w:lineRule="exact"/>
        <w:ind w:left="315" w:leftChars="100" w:firstLine="315" w:firstLineChars="100"/>
        <w:rPr>
          <w:rFonts w:hAnsi="仿宋" w:cs="宋体"/>
          <w:color w:val="000000"/>
          <w:kern w:val="2"/>
          <w:szCs w:val="30"/>
        </w:rPr>
      </w:pPr>
      <w:r>
        <w:rPr>
          <w:rFonts w:hint="eastAsia" w:hAnsi="仿宋" w:cs="宋体"/>
          <w:color w:val="000000"/>
          <w:kern w:val="2"/>
          <w:szCs w:val="30"/>
        </w:rPr>
        <w:t>在绩效指标的细化上，区政务中心根据上述绩效目标将其进一步细化为产出数量三级指标9项，分别系“城镇登记失业人员就业人数”“开展职业技能培训人次”“开展‘春风行动’网络招聘会”“累计发布用工岗位”“城镇就业困难人员就业人数”“安排送工专车”“发放信产企业招工补贴”“建立创业导师团队”“建立职业技能专家库”；产出质量三级指标1项，为“劳动监察投诉结案率”；经济效益三级指标1项，为“撬动创业担保贷款金额”;社会效益三级指标4项，分别系“每万元担保贷款贴息新增就业比”“离校未就业应届高校毕业生年底就业率”“资金使用重大违规违纪问题”“城镇调查失业率”；服务对象满意度三级指标1项，为“服务对象满意度”。通过综合审查各项三级指标的指标名称、年度指标值、全年完成值、得分系数、分值权重等内容，评价发现，项目绩效指标整体较为明确、清晰，可衡量性也较好，但存在少数指标设置不规范的情况，如产出数量指标中“发放信产企业招工补贴”应为产出成本指标，而非产出数量指标；产出数量指标及部分效益指标未设置符号。</w:t>
      </w:r>
    </w:p>
    <w:p w14:paraId="75C75029">
      <w:pPr>
        <w:spacing w:line="600" w:lineRule="exact"/>
        <w:ind w:firstLine="630" w:firstLineChars="200"/>
        <w:rPr>
          <w:rFonts w:hAnsi="仿宋" w:cs="宋体"/>
          <w:color w:val="000000"/>
          <w:kern w:val="2"/>
          <w:szCs w:val="30"/>
        </w:rPr>
      </w:pPr>
      <w:r>
        <w:rPr>
          <w:rFonts w:hint="eastAsia" w:hAnsi="仿宋" w:cs="宋体"/>
          <w:color w:val="000000"/>
          <w:kern w:val="2"/>
          <w:szCs w:val="30"/>
        </w:rPr>
        <w:t>综上所述，项目绩效目标设置还需进一步具体明确，且与项目年度产出及效益情况相结合。项目绩效指标细化情况整体较好，但少数指标设置规范性有待加强。</w:t>
      </w:r>
    </w:p>
    <w:p w14:paraId="5E79FC54">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本项指标设定分值4分，经综合评价，指标得分2分。</w:t>
      </w:r>
    </w:p>
    <w:p w14:paraId="0DEBE510">
      <w:pPr>
        <w:spacing w:line="600" w:lineRule="exact"/>
        <w:ind w:firstLine="630" w:firstLineChars="200"/>
        <w:rPr>
          <w:rFonts w:hAnsi="仿宋" w:cs="宋体"/>
          <w:color w:val="000000"/>
          <w:kern w:val="2"/>
          <w:szCs w:val="30"/>
        </w:rPr>
      </w:pPr>
      <w:r>
        <w:rPr>
          <w:rFonts w:hint="eastAsia" w:hAnsi="仿宋" w:cs="宋体"/>
          <w:color w:val="000000"/>
          <w:kern w:val="2"/>
          <w:szCs w:val="30"/>
        </w:rPr>
        <w:t xml:space="preserve"> 3.资金投入情况</w:t>
      </w:r>
    </w:p>
    <w:p w14:paraId="61C544BA">
      <w:pPr>
        <w:spacing w:line="600" w:lineRule="exact"/>
        <w:ind w:firstLine="630" w:firstLineChars="200"/>
        <w:rPr>
          <w:rFonts w:hAnsi="仿宋" w:cs="宋体"/>
          <w:color w:val="000000"/>
          <w:kern w:val="2"/>
          <w:szCs w:val="30"/>
        </w:rPr>
      </w:pPr>
      <w:bookmarkStart w:id="29" w:name="_Toc42503816"/>
      <w:r>
        <w:rPr>
          <w:rFonts w:hint="eastAsia" w:hAnsi="仿宋" w:cs="宋体"/>
          <w:color w:val="000000"/>
          <w:kern w:val="2"/>
          <w:szCs w:val="30"/>
        </w:rPr>
        <w:t>重庆高新区2020年就业补助项目年度资金预算共4,232.40万元，2020年实际下达资金3,549万元。因区政务中心人员变动，2020年部分项目资料未归档保存，评价中无法获取项目预算编制资料。根据区政务中心现任经办人员介绍，项目资金中中央及市对区转移支付部分为上级部门直接下达，区级部分则根据各镇街上报预算需求进行编制，但因区政务中心无法提供各镇街预算上报资料，评价人员无法判断其预算内容及额度与现实情况的匹配合理性。</w:t>
      </w:r>
    </w:p>
    <w:p w14:paraId="59ABF9A7">
      <w:pPr>
        <w:spacing w:line="600" w:lineRule="exact"/>
        <w:ind w:firstLine="630" w:firstLineChars="200"/>
        <w:rPr>
          <w:rFonts w:hAnsi="仿宋" w:cs="宋体"/>
          <w:color w:val="000000"/>
          <w:kern w:val="2"/>
          <w:szCs w:val="30"/>
        </w:rPr>
      </w:pPr>
      <w:r>
        <w:rPr>
          <w:rFonts w:hint="eastAsia" w:hAnsi="仿宋" w:cs="宋体"/>
          <w:color w:val="000000"/>
          <w:kern w:val="2"/>
          <w:szCs w:val="30"/>
        </w:rPr>
        <w:t>此外，根据区政务中心提供的项目各类补贴标准资料分析，项目资金分配额度基本依据上级及本级制定的相关补贴补助标准执行，该部分补贴补助标准均经过有关部门结合当地实际情况制定。</w:t>
      </w:r>
    </w:p>
    <w:p w14:paraId="62531E3C">
      <w:pPr>
        <w:spacing w:line="600" w:lineRule="exact"/>
        <w:ind w:firstLine="630" w:firstLineChars="200"/>
        <w:rPr>
          <w:rFonts w:hAnsi="仿宋" w:cs="宋体"/>
          <w:color w:val="000000"/>
          <w:kern w:val="2"/>
          <w:szCs w:val="30"/>
        </w:rPr>
      </w:pPr>
      <w:r>
        <w:rPr>
          <w:rFonts w:hint="eastAsia" w:hAnsi="仿宋" w:cs="宋体"/>
          <w:color w:val="000000"/>
          <w:kern w:val="2"/>
          <w:szCs w:val="30"/>
        </w:rPr>
        <w:t>结合上述内容，评价认为，现有资料虽无法体现预算编制论证是否充分、标准是否合理，但基本可以较好的反映出资金分配依据充分、额度合理。</w:t>
      </w:r>
    </w:p>
    <w:p w14:paraId="36FDAEF2">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本项指标设定分值8分，经综合评价，指标得分4分。</w:t>
      </w:r>
    </w:p>
    <w:p w14:paraId="051FC194">
      <w:pPr>
        <w:spacing w:line="600" w:lineRule="exact"/>
        <w:ind w:firstLine="630" w:firstLineChars="200"/>
        <w:outlineLvl w:val="1"/>
        <w:rPr>
          <w:rFonts w:ascii="楷体" w:hAnsi="楷体" w:eastAsia="楷体"/>
          <w:szCs w:val="30"/>
          <w:shd w:val="clear" w:color="auto" w:fill="FFFFFF" w:themeFill="background1"/>
        </w:rPr>
      </w:pPr>
      <w:bookmarkStart w:id="30" w:name="_Toc550"/>
      <w:r>
        <w:rPr>
          <w:rFonts w:hint="eastAsia" w:ascii="楷体" w:hAnsi="楷体" w:eastAsia="楷体"/>
          <w:szCs w:val="30"/>
          <w:shd w:val="clear" w:color="auto" w:fill="FFFFFF" w:themeFill="background1"/>
        </w:rPr>
        <w:t>（二）</w:t>
      </w:r>
      <w:bookmarkEnd w:id="29"/>
      <w:r>
        <w:rPr>
          <w:rFonts w:hint="eastAsia" w:ascii="楷体" w:hAnsi="楷体" w:eastAsia="楷体"/>
          <w:szCs w:val="30"/>
          <w:shd w:val="clear" w:color="auto" w:fill="FFFFFF" w:themeFill="background1"/>
        </w:rPr>
        <w:t>项目管理</w:t>
      </w:r>
      <w:bookmarkEnd w:id="30"/>
    </w:p>
    <w:p w14:paraId="799D4DA5">
      <w:pPr>
        <w:spacing w:line="600" w:lineRule="exact"/>
        <w:ind w:firstLine="630" w:firstLineChars="200"/>
        <w:rPr>
          <w:rFonts w:hAnsi="仿宋" w:cs="宋体"/>
          <w:color w:val="000000"/>
          <w:kern w:val="2"/>
          <w:szCs w:val="30"/>
        </w:rPr>
      </w:pPr>
      <w:r>
        <w:rPr>
          <w:rFonts w:hint="eastAsia" w:hAnsi="仿宋" w:cs="宋体"/>
          <w:color w:val="000000"/>
          <w:kern w:val="2"/>
          <w:szCs w:val="30"/>
        </w:rPr>
        <w:t>1.资金管理</w:t>
      </w:r>
    </w:p>
    <w:p w14:paraId="7EC241C0">
      <w:pPr>
        <w:spacing w:line="600" w:lineRule="exact"/>
        <w:ind w:firstLine="630" w:firstLineChars="200"/>
        <w:rPr>
          <w:rFonts w:hAnsi="仿宋" w:cs="宋体"/>
          <w:color w:val="000000"/>
          <w:kern w:val="2"/>
          <w:szCs w:val="30"/>
        </w:rPr>
      </w:pPr>
      <w:r>
        <w:rPr>
          <w:rFonts w:hint="eastAsia" w:hAnsi="仿宋" w:cs="宋体"/>
          <w:color w:val="000000"/>
          <w:kern w:val="2"/>
          <w:szCs w:val="30"/>
        </w:rPr>
        <w:t>（1）资金到位情况</w:t>
      </w:r>
    </w:p>
    <w:p w14:paraId="0B819487">
      <w:pPr>
        <w:spacing w:line="600" w:lineRule="exact"/>
        <w:ind w:firstLine="630" w:firstLineChars="200"/>
        <w:rPr>
          <w:rFonts w:hAnsi="仿宋" w:cs="宋体"/>
          <w:color w:val="000000"/>
          <w:kern w:val="2"/>
          <w:szCs w:val="30"/>
        </w:rPr>
      </w:pPr>
      <w:r>
        <w:rPr>
          <w:rFonts w:hint="eastAsia" w:hAnsi="仿宋" w:cs="宋体"/>
          <w:color w:val="000000"/>
          <w:kern w:val="2"/>
          <w:szCs w:val="30"/>
        </w:rPr>
        <w:t>根据区政务中心提供的项目资金文件、明细账等资料显示，截至2020年12月31日，项目计划投入资金4,232.40万元，应到位资金4,232.40万元，实际到位资金4,232.40万元。</w:t>
      </w:r>
    </w:p>
    <w:p w14:paraId="65DFD313">
      <w:pPr>
        <w:spacing w:line="600" w:lineRule="exact"/>
        <w:ind w:firstLine="630" w:firstLineChars="200"/>
        <w:rPr>
          <w:rFonts w:hAnsi="仿宋" w:cs="宋体"/>
          <w:color w:val="000000"/>
          <w:kern w:val="2"/>
          <w:szCs w:val="30"/>
        </w:rPr>
      </w:pPr>
      <w:r>
        <w:rPr>
          <w:rFonts w:hint="eastAsia" w:hAnsi="仿宋" w:cs="宋体"/>
          <w:color w:val="000000"/>
          <w:kern w:val="2"/>
          <w:szCs w:val="30"/>
        </w:rPr>
        <w:t>根据公式资金到位率=（实际到位资金/计划投入资金）×100%，计算得出资金到位率为100%。另根据公式到位及时率=（及时到位资金/应到位资金）×100%，计算得出资金到位及时率为100%。</w:t>
      </w:r>
    </w:p>
    <w:p w14:paraId="4C0E170A">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本项指标设定分值2分，经综合评价，指标得分2分。</w:t>
      </w:r>
    </w:p>
    <w:p w14:paraId="4313558E">
      <w:pPr>
        <w:spacing w:line="600" w:lineRule="exact"/>
        <w:ind w:firstLine="630" w:firstLineChars="200"/>
        <w:rPr>
          <w:rFonts w:hAnsi="仿宋" w:cs="宋体"/>
          <w:color w:val="000000"/>
          <w:kern w:val="2"/>
          <w:szCs w:val="30"/>
        </w:rPr>
      </w:pPr>
      <w:r>
        <w:rPr>
          <w:rFonts w:hint="eastAsia" w:hAnsi="仿宋" w:cs="宋体"/>
          <w:color w:val="000000"/>
          <w:kern w:val="2"/>
          <w:szCs w:val="30"/>
        </w:rPr>
        <w:t>（2）预算执行情况</w:t>
      </w:r>
    </w:p>
    <w:p w14:paraId="6625D9E3">
      <w:pPr>
        <w:spacing w:line="600" w:lineRule="exact"/>
        <w:ind w:firstLine="630" w:firstLineChars="200"/>
        <w:rPr>
          <w:rFonts w:hAnsi="仿宋" w:cs="宋体"/>
          <w:color w:val="000000"/>
          <w:kern w:val="2"/>
          <w:szCs w:val="30"/>
        </w:rPr>
      </w:pPr>
      <w:r>
        <w:rPr>
          <w:rFonts w:hint="eastAsia" w:hAnsi="仿宋" w:cs="宋体"/>
          <w:color w:val="000000"/>
          <w:kern w:val="2"/>
          <w:szCs w:val="30"/>
        </w:rPr>
        <w:t>根据区政务中心提供的项目明细账、记账凭证及附件等相关资料显示，2020年项目实际支付总额836.20万元,其中：对个人和单位补贴支付金额674.32万元，公共就业服务能力建设补助支付金额161.88万元，各类别资金预算执行情况具体如下:</w:t>
      </w:r>
    </w:p>
    <w:tbl>
      <w:tblPr>
        <w:tblStyle w:val="23"/>
        <w:tblW w:w="8627" w:type="dxa"/>
        <w:jc w:val="center"/>
        <w:tblLayout w:type="fixed"/>
        <w:tblCellMar>
          <w:top w:w="0" w:type="dxa"/>
          <w:left w:w="0" w:type="dxa"/>
          <w:bottom w:w="0" w:type="dxa"/>
          <w:right w:w="0" w:type="dxa"/>
        </w:tblCellMar>
      </w:tblPr>
      <w:tblGrid>
        <w:gridCol w:w="861"/>
        <w:gridCol w:w="1656"/>
        <w:gridCol w:w="2184"/>
        <w:gridCol w:w="2186"/>
        <w:gridCol w:w="1740"/>
      </w:tblGrid>
      <w:tr w14:paraId="0749FFF3">
        <w:tblPrEx>
          <w:tblCellMar>
            <w:top w:w="0" w:type="dxa"/>
            <w:left w:w="0" w:type="dxa"/>
            <w:bottom w:w="0" w:type="dxa"/>
            <w:right w:w="0" w:type="dxa"/>
          </w:tblCellMar>
        </w:tblPrEx>
        <w:trPr>
          <w:trHeight w:val="560" w:hRule="atLeast"/>
          <w:jc w:val="center"/>
        </w:trPr>
        <w:tc>
          <w:tcPr>
            <w:tcW w:w="8627" w:type="dxa"/>
            <w:gridSpan w:val="5"/>
            <w:tcBorders>
              <w:top w:val="nil"/>
              <w:left w:val="nil"/>
              <w:bottom w:val="nil"/>
              <w:right w:val="nil"/>
            </w:tcBorders>
            <w:shd w:val="clear" w:color="auto" w:fill="auto"/>
            <w:noWrap/>
            <w:tcMar>
              <w:top w:w="12" w:type="dxa"/>
              <w:left w:w="12" w:type="dxa"/>
              <w:right w:w="12" w:type="dxa"/>
            </w:tcMar>
            <w:vAlign w:val="center"/>
          </w:tcPr>
          <w:p w14:paraId="4B7D1DC9">
            <w:pPr>
              <w:widowControl/>
              <w:adjustRightInd w:val="0"/>
              <w:snapToGrid w:val="0"/>
              <w:spacing w:line="600" w:lineRule="exact"/>
              <w:jc w:val="center"/>
              <w:textAlignment w:val="center"/>
            </w:pPr>
            <w:r>
              <w:rPr>
                <w:rFonts w:hint="eastAsia" w:hAnsi="仿宋" w:cs="宋体"/>
                <w:color w:val="000000"/>
                <w:kern w:val="2"/>
                <w:szCs w:val="30"/>
              </w:rPr>
              <w:t>重庆高新区2020年就业补助</w:t>
            </w:r>
            <w:r>
              <w:rPr>
                <w:rFonts w:hint="eastAsia"/>
              </w:rPr>
              <w:t>资金预算执行情况表</w:t>
            </w:r>
          </w:p>
          <w:p w14:paraId="3E002C2D">
            <w:pPr>
              <w:pStyle w:val="10"/>
              <w:adjustRightInd w:val="0"/>
              <w:snapToGrid w:val="0"/>
              <w:spacing w:line="600" w:lineRule="exact"/>
              <w:jc w:val="right"/>
            </w:pPr>
            <w:r>
              <w:rPr>
                <w:rFonts w:hint="eastAsia" w:ascii="仿宋" w:hAnsi="仿宋" w:eastAsia="仿宋" w:cs="仿宋"/>
                <w:b/>
                <w:color w:val="000000"/>
                <w:sz w:val="24"/>
                <w:szCs w:val="24"/>
                <w:lang w:eastAsia="zh-CN"/>
              </w:rPr>
              <w:t>单位：万元</w:t>
            </w:r>
          </w:p>
        </w:tc>
      </w:tr>
      <w:tr w14:paraId="0E3292C4">
        <w:tblPrEx>
          <w:tblCellMar>
            <w:top w:w="0" w:type="dxa"/>
            <w:left w:w="0" w:type="dxa"/>
            <w:bottom w:w="0" w:type="dxa"/>
            <w:right w:w="0" w:type="dxa"/>
          </w:tblCellMar>
        </w:tblPrEx>
        <w:trPr>
          <w:trHeight w:val="31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3AFED">
            <w:pPr>
              <w:widowControl/>
              <w:adjustRightInd w:val="0"/>
              <w:snapToGrid w:val="0"/>
              <w:spacing w:line="600" w:lineRule="exact"/>
              <w:jc w:val="center"/>
              <w:textAlignment w:val="center"/>
              <w:rPr>
                <w:rFonts w:hAnsi="仿宋" w:cs="仿宋"/>
                <w:b/>
                <w:color w:val="000000"/>
                <w:sz w:val="24"/>
                <w:szCs w:val="24"/>
              </w:rPr>
            </w:pPr>
            <w:r>
              <w:rPr>
                <w:rFonts w:hint="eastAsia" w:hAnsi="仿宋" w:cs="仿宋"/>
                <w:b/>
                <w:color w:val="000000"/>
                <w:kern w:val="0"/>
                <w:sz w:val="24"/>
                <w:szCs w:val="24"/>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D0192E">
            <w:pPr>
              <w:widowControl/>
              <w:adjustRightInd w:val="0"/>
              <w:snapToGrid w:val="0"/>
              <w:spacing w:line="600" w:lineRule="exact"/>
              <w:jc w:val="center"/>
              <w:textAlignment w:val="center"/>
              <w:rPr>
                <w:rFonts w:hAnsi="仿宋" w:cs="仿宋"/>
                <w:b/>
                <w:color w:val="000000"/>
                <w:sz w:val="24"/>
                <w:szCs w:val="24"/>
              </w:rPr>
            </w:pPr>
            <w:r>
              <w:rPr>
                <w:rFonts w:hint="eastAsia" w:hAnsi="仿宋" w:cs="仿宋"/>
                <w:b/>
                <w:color w:val="000000"/>
                <w:kern w:val="0"/>
                <w:sz w:val="24"/>
                <w:szCs w:val="24"/>
              </w:rPr>
              <w:t>资金来源</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56880">
            <w:pPr>
              <w:widowControl/>
              <w:adjustRightInd w:val="0"/>
              <w:snapToGrid w:val="0"/>
              <w:spacing w:line="600" w:lineRule="exact"/>
              <w:jc w:val="center"/>
              <w:textAlignment w:val="center"/>
              <w:rPr>
                <w:rFonts w:hAnsi="仿宋" w:cs="仿宋"/>
                <w:b/>
                <w:color w:val="000000"/>
                <w:kern w:val="0"/>
                <w:sz w:val="24"/>
                <w:szCs w:val="24"/>
              </w:rPr>
            </w:pPr>
            <w:r>
              <w:rPr>
                <w:rFonts w:hint="eastAsia" w:hAnsi="仿宋" w:cs="仿宋"/>
                <w:b/>
                <w:color w:val="000000"/>
                <w:kern w:val="0"/>
                <w:sz w:val="24"/>
                <w:szCs w:val="24"/>
              </w:rPr>
              <w:t>实际到位金额</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FCDD4">
            <w:pPr>
              <w:widowControl/>
              <w:adjustRightInd w:val="0"/>
              <w:snapToGrid w:val="0"/>
              <w:spacing w:line="600" w:lineRule="exact"/>
              <w:jc w:val="center"/>
              <w:textAlignment w:val="center"/>
              <w:rPr>
                <w:rFonts w:hAnsi="仿宋" w:cs="仿宋"/>
                <w:b/>
                <w:color w:val="000000"/>
                <w:sz w:val="24"/>
                <w:szCs w:val="24"/>
              </w:rPr>
            </w:pPr>
            <w:r>
              <w:rPr>
                <w:rFonts w:hint="eastAsia" w:hAnsi="仿宋" w:cs="仿宋"/>
                <w:b/>
                <w:color w:val="000000"/>
                <w:kern w:val="0"/>
                <w:sz w:val="24"/>
                <w:szCs w:val="24"/>
              </w:rPr>
              <w:t>实际支出金额</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7453E">
            <w:pPr>
              <w:widowControl/>
              <w:adjustRightInd w:val="0"/>
              <w:snapToGrid w:val="0"/>
              <w:spacing w:line="600" w:lineRule="exact"/>
              <w:jc w:val="center"/>
              <w:textAlignment w:val="center"/>
              <w:rPr>
                <w:rFonts w:hAnsi="仿宋" w:cs="仿宋"/>
                <w:b/>
                <w:color w:val="000000"/>
                <w:kern w:val="0"/>
                <w:sz w:val="24"/>
                <w:szCs w:val="24"/>
              </w:rPr>
            </w:pPr>
            <w:r>
              <w:rPr>
                <w:rFonts w:hint="eastAsia" w:hAnsi="仿宋" w:cs="仿宋"/>
                <w:b/>
                <w:color w:val="000000"/>
                <w:kern w:val="0"/>
                <w:sz w:val="24"/>
                <w:szCs w:val="24"/>
              </w:rPr>
              <w:t>预算执行率</w:t>
            </w:r>
          </w:p>
        </w:tc>
      </w:tr>
      <w:tr w14:paraId="4123947C">
        <w:tblPrEx>
          <w:tblCellMar>
            <w:top w:w="0" w:type="dxa"/>
            <w:left w:w="0" w:type="dxa"/>
            <w:bottom w:w="0" w:type="dxa"/>
            <w:right w:w="0" w:type="dxa"/>
          </w:tblCellMar>
        </w:tblPrEx>
        <w:trPr>
          <w:trHeight w:val="31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A8FAA">
            <w:pPr>
              <w:widowControl/>
              <w:adjustRightInd w:val="0"/>
              <w:snapToGrid w:val="0"/>
              <w:spacing w:line="600" w:lineRule="exact"/>
              <w:jc w:val="center"/>
              <w:textAlignment w:val="center"/>
              <w:rPr>
                <w:rFonts w:hAnsi="仿宋" w:cs="仿宋"/>
                <w:color w:val="000000"/>
                <w:sz w:val="24"/>
                <w:szCs w:val="24"/>
              </w:rPr>
            </w:pPr>
            <w:r>
              <w:rPr>
                <w:rFonts w:hint="eastAsia" w:hAnsi="仿宋" w:cs="仿宋"/>
                <w:color w:val="000000"/>
                <w:kern w:val="0"/>
                <w:sz w:val="24"/>
                <w:szCs w:val="24"/>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D5A13">
            <w:pPr>
              <w:widowControl/>
              <w:adjustRightInd w:val="0"/>
              <w:snapToGrid w:val="0"/>
              <w:spacing w:line="600" w:lineRule="exact"/>
              <w:jc w:val="center"/>
              <w:textAlignment w:val="center"/>
              <w:rPr>
                <w:rFonts w:hAnsi="仿宋" w:cs="仿宋"/>
                <w:color w:val="000000"/>
                <w:sz w:val="24"/>
                <w:szCs w:val="24"/>
              </w:rPr>
            </w:pPr>
            <w:r>
              <w:rPr>
                <w:rFonts w:hint="eastAsia" w:hAnsi="仿宋" w:cs="仿宋"/>
                <w:color w:val="000000"/>
                <w:kern w:val="0"/>
                <w:sz w:val="24"/>
                <w:szCs w:val="24"/>
              </w:rPr>
              <w:t>中央资金</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B64E8">
            <w:pPr>
              <w:widowControl/>
              <w:adjustRightInd w:val="0"/>
              <w:snapToGrid w:val="0"/>
              <w:spacing w:line="600" w:lineRule="exact"/>
              <w:jc w:val="right"/>
              <w:textAlignment w:val="center"/>
              <w:rPr>
                <w:rFonts w:hAnsi="仿宋" w:cs="仿宋"/>
                <w:color w:val="000000"/>
                <w:kern w:val="0"/>
                <w:sz w:val="24"/>
                <w:szCs w:val="24"/>
              </w:rPr>
            </w:pPr>
            <w:r>
              <w:rPr>
                <w:rFonts w:hint="eastAsia" w:hAnsi="仿宋" w:cs="仿宋"/>
                <w:color w:val="000000"/>
                <w:kern w:val="0"/>
                <w:sz w:val="24"/>
                <w:szCs w:val="24"/>
              </w:rPr>
              <w:t>2809.00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36867">
            <w:pPr>
              <w:widowControl/>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86.91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C6A3C">
            <w:pPr>
              <w:widowControl/>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3.09%</w:t>
            </w:r>
          </w:p>
        </w:tc>
      </w:tr>
      <w:tr w14:paraId="445A0726">
        <w:tblPrEx>
          <w:tblCellMar>
            <w:top w:w="0" w:type="dxa"/>
            <w:left w:w="0" w:type="dxa"/>
            <w:bottom w:w="0" w:type="dxa"/>
            <w:right w:w="0" w:type="dxa"/>
          </w:tblCellMar>
        </w:tblPrEx>
        <w:trPr>
          <w:trHeight w:val="31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2EDBC9">
            <w:pPr>
              <w:widowControl/>
              <w:adjustRightInd w:val="0"/>
              <w:snapToGrid w:val="0"/>
              <w:spacing w:line="600" w:lineRule="exact"/>
              <w:jc w:val="center"/>
              <w:textAlignment w:val="center"/>
              <w:rPr>
                <w:rFonts w:hAnsi="仿宋" w:cs="仿宋"/>
                <w:color w:val="000000"/>
                <w:sz w:val="24"/>
                <w:szCs w:val="24"/>
              </w:rPr>
            </w:pPr>
            <w:r>
              <w:rPr>
                <w:rFonts w:hint="eastAsia" w:hAnsi="仿宋" w:cs="仿宋"/>
                <w:color w:val="000000"/>
                <w:kern w:val="0"/>
                <w:sz w:val="24"/>
                <w:szCs w:val="24"/>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62CF7">
            <w:pPr>
              <w:widowControl/>
              <w:adjustRightInd w:val="0"/>
              <w:snapToGrid w:val="0"/>
              <w:spacing w:line="600" w:lineRule="exact"/>
              <w:jc w:val="center"/>
              <w:textAlignment w:val="center"/>
              <w:rPr>
                <w:rFonts w:hAnsi="仿宋" w:cs="仿宋"/>
                <w:color w:val="000000"/>
                <w:sz w:val="24"/>
                <w:szCs w:val="24"/>
              </w:rPr>
            </w:pPr>
            <w:r>
              <w:rPr>
                <w:rFonts w:hint="eastAsia" w:hAnsi="仿宋" w:cs="仿宋"/>
                <w:color w:val="000000"/>
                <w:sz w:val="24"/>
                <w:szCs w:val="24"/>
              </w:rPr>
              <w:t>市级资金</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4959E">
            <w:pPr>
              <w:widowControl/>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800.00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E60C3">
            <w:pPr>
              <w:widowControl/>
              <w:wordWrap w:val="0"/>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630.79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76568">
            <w:pPr>
              <w:widowControl/>
              <w:wordWrap w:val="0"/>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78.85%</w:t>
            </w:r>
          </w:p>
        </w:tc>
      </w:tr>
      <w:tr w14:paraId="6DB38C89">
        <w:tblPrEx>
          <w:tblCellMar>
            <w:top w:w="0" w:type="dxa"/>
            <w:left w:w="0" w:type="dxa"/>
            <w:bottom w:w="0" w:type="dxa"/>
            <w:right w:w="0" w:type="dxa"/>
          </w:tblCellMar>
        </w:tblPrEx>
        <w:trPr>
          <w:trHeight w:val="31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180AE">
            <w:pPr>
              <w:widowControl/>
              <w:adjustRightInd w:val="0"/>
              <w:snapToGrid w:val="0"/>
              <w:spacing w:line="600" w:lineRule="exact"/>
              <w:jc w:val="center"/>
              <w:textAlignment w:val="center"/>
              <w:rPr>
                <w:rFonts w:hAnsi="仿宋" w:cs="仿宋"/>
                <w:color w:val="000000"/>
                <w:kern w:val="0"/>
                <w:sz w:val="24"/>
                <w:szCs w:val="24"/>
              </w:rPr>
            </w:pPr>
            <w:r>
              <w:rPr>
                <w:rFonts w:hint="eastAsia" w:hAnsi="仿宋" w:cs="仿宋"/>
                <w:color w:val="000000"/>
                <w:kern w:val="0"/>
                <w:sz w:val="24"/>
                <w:szCs w:val="24"/>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7C6DAD">
            <w:pPr>
              <w:widowControl/>
              <w:adjustRightInd w:val="0"/>
              <w:snapToGrid w:val="0"/>
              <w:spacing w:line="600" w:lineRule="exact"/>
              <w:jc w:val="center"/>
              <w:textAlignment w:val="center"/>
              <w:rPr>
                <w:rFonts w:hAnsi="仿宋" w:cs="仿宋"/>
                <w:color w:val="000000"/>
                <w:sz w:val="24"/>
                <w:szCs w:val="24"/>
              </w:rPr>
            </w:pPr>
            <w:r>
              <w:rPr>
                <w:rFonts w:hint="eastAsia" w:hAnsi="仿宋" w:cs="仿宋"/>
                <w:color w:val="000000"/>
                <w:sz w:val="24"/>
                <w:szCs w:val="24"/>
              </w:rPr>
              <w:t>区级资金</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A7610">
            <w:pPr>
              <w:widowControl/>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623.40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D4123">
            <w:pPr>
              <w:widowControl/>
              <w:wordWrap w:val="0"/>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118.50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12D53">
            <w:pPr>
              <w:widowControl/>
              <w:wordWrap w:val="0"/>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19.01%</w:t>
            </w:r>
          </w:p>
        </w:tc>
      </w:tr>
      <w:tr w14:paraId="49118623">
        <w:tblPrEx>
          <w:tblCellMar>
            <w:top w:w="0" w:type="dxa"/>
            <w:left w:w="0" w:type="dxa"/>
            <w:bottom w:w="0" w:type="dxa"/>
            <w:right w:w="0" w:type="dxa"/>
          </w:tblCellMar>
        </w:tblPrEx>
        <w:trPr>
          <w:trHeight w:val="312" w:hRule="atLeast"/>
          <w:jc w:val="center"/>
        </w:trPr>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41349C">
            <w:pPr>
              <w:widowControl/>
              <w:adjustRightInd w:val="0"/>
              <w:snapToGrid w:val="0"/>
              <w:spacing w:line="600" w:lineRule="exact"/>
              <w:jc w:val="center"/>
              <w:textAlignment w:val="center"/>
              <w:rPr>
                <w:rFonts w:hAnsi="仿宋" w:cs="仿宋"/>
                <w:color w:val="000000"/>
                <w:sz w:val="24"/>
                <w:szCs w:val="24"/>
              </w:rPr>
            </w:pPr>
            <w:r>
              <w:rPr>
                <w:rFonts w:hint="eastAsia" w:hAnsi="仿宋" w:cs="仿宋"/>
                <w:color w:val="000000"/>
                <w:sz w:val="24"/>
                <w:szCs w:val="24"/>
              </w:rPr>
              <w:t>合计</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FE33E">
            <w:pPr>
              <w:widowControl/>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4,232.40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6DDB67">
            <w:pPr>
              <w:widowControl/>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836.20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32A19F">
            <w:pPr>
              <w:widowControl/>
              <w:wordWrap w:val="0"/>
              <w:adjustRightInd w:val="0"/>
              <w:snapToGrid w:val="0"/>
              <w:spacing w:line="600" w:lineRule="exact"/>
              <w:jc w:val="right"/>
              <w:textAlignment w:val="center"/>
              <w:rPr>
                <w:rFonts w:hAnsi="仿宋" w:cs="仿宋"/>
                <w:color w:val="000000"/>
                <w:sz w:val="24"/>
                <w:szCs w:val="24"/>
              </w:rPr>
            </w:pPr>
            <w:r>
              <w:rPr>
                <w:rFonts w:hint="eastAsia" w:hAnsi="仿宋" w:cs="仿宋"/>
                <w:color w:val="000000"/>
                <w:sz w:val="24"/>
                <w:szCs w:val="24"/>
              </w:rPr>
              <w:t>19.76%</w:t>
            </w:r>
          </w:p>
        </w:tc>
      </w:tr>
    </w:tbl>
    <w:p w14:paraId="285653B2">
      <w:pPr>
        <w:spacing w:line="600" w:lineRule="exact"/>
        <w:ind w:firstLine="630" w:firstLineChars="200"/>
        <w:rPr>
          <w:rFonts w:hAnsi="仿宋" w:cs="宋体"/>
          <w:color w:val="000000"/>
          <w:kern w:val="2"/>
          <w:szCs w:val="30"/>
        </w:rPr>
      </w:pPr>
      <w:r>
        <w:rPr>
          <w:rFonts w:hint="eastAsia" w:hAnsi="仿宋" w:cs="宋体"/>
          <w:color w:val="000000"/>
          <w:kern w:val="2"/>
          <w:szCs w:val="30"/>
        </w:rPr>
        <w:t>根据上表所示，项目总体预算执行率偏低，仅为19.76%。通过进一步询问相关人员得知，2020年因为疫情影响，部分工作搁置无法推进，导致项目实际支出金额远低于项目预算到位金额。</w:t>
      </w:r>
    </w:p>
    <w:p w14:paraId="37A1EB79">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本项指标设定分值2分，经综合评价，指标得分0分。</w:t>
      </w:r>
    </w:p>
    <w:p w14:paraId="0FA6EF89">
      <w:pPr>
        <w:spacing w:line="600" w:lineRule="exact"/>
        <w:ind w:firstLine="630" w:firstLineChars="200"/>
        <w:rPr>
          <w:rFonts w:hAnsi="仿宋" w:cs="宋体"/>
          <w:color w:val="000000"/>
          <w:kern w:val="2"/>
          <w:szCs w:val="30"/>
        </w:rPr>
      </w:pPr>
      <w:r>
        <w:rPr>
          <w:rFonts w:hint="eastAsia" w:hAnsi="仿宋" w:cs="宋体"/>
          <w:color w:val="000000"/>
          <w:kern w:val="2"/>
          <w:szCs w:val="30"/>
        </w:rPr>
        <w:t>（3）资金使用合规性</w:t>
      </w:r>
    </w:p>
    <w:p w14:paraId="46DB918D">
      <w:pPr>
        <w:spacing w:line="600" w:lineRule="exact"/>
        <w:ind w:firstLine="630" w:firstLineChars="200"/>
        <w:rPr>
          <w:rFonts w:hAnsi="仿宋" w:cs="宋体"/>
          <w:color w:val="000000"/>
          <w:kern w:val="2"/>
          <w:szCs w:val="30"/>
        </w:rPr>
      </w:pPr>
      <w:r>
        <w:rPr>
          <w:rFonts w:hint="eastAsia" w:hAnsi="仿宋" w:cs="宋体"/>
          <w:color w:val="000000"/>
          <w:kern w:val="2"/>
          <w:szCs w:val="30"/>
        </w:rPr>
        <w:t>在资金使用合规性方面，区政务中心基本根据上级和本级资金文件要求，同时按照自身制定的财务管理制度相关规定执行。</w:t>
      </w:r>
    </w:p>
    <w:p w14:paraId="2692F4D1">
      <w:pPr>
        <w:spacing w:line="600" w:lineRule="exact"/>
        <w:ind w:firstLine="630" w:firstLineChars="200"/>
        <w:rPr>
          <w:rFonts w:hAnsi="仿宋" w:cs="宋体"/>
          <w:color w:val="000000"/>
          <w:kern w:val="2"/>
          <w:szCs w:val="30"/>
        </w:rPr>
      </w:pPr>
      <w:r>
        <w:rPr>
          <w:rFonts w:hint="eastAsia" w:hAnsi="仿宋" w:cs="宋体"/>
          <w:color w:val="000000"/>
          <w:kern w:val="2"/>
          <w:szCs w:val="30"/>
        </w:rPr>
        <w:t>评价小组通过抽查项目记账凭证发现，项目资金审批程序完善，审批手续齐全。资金使用过程中，区政务中心基本按规定真实、完整地反映了项目的收支情况，资金用途基本符合项目预算批复用途。但在评价过程中，评价人员发现区政务中心未按资金用途进行分类核算，也未对各类补贴补助资金建立辅助明细账或台账进行区分，评价中无法直接获取各类补贴补助资金的实际支出情况。</w:t>
      </w:r>
    </w:p>
    <w:p w14:paraId="15F13732">
      <w:pPr>
        <w:spacing w:line="600" w:lineRule="exact"/>
        <w:ind w:firstLine="630" w:firstLineChars="200"/>
        <w:rPr>
          <w:rFonts w:hAnsi="仿宋" w:cs="宋体"/>
          <w:color w:val="000000"/>
          <w:kern w:val="2"/>
          <w:szCs w:val="30"/>
        </w:rPr>
      </w:pPr>
      <w:r>
        <w:rPr>
          <w:rFonts w:hint="eastAsia" w:hAnsi="仿宋" w:cs="宋体"/>
          <w:color w:val="000000"/>
          <w:kern w:val="2"/>
          <w:szCs w:val="30"/>
        </w:rPr>
        <w:t>在资金监控方面，区政务中心财务人员基本按照自身财务监管制度对项目资金使用情况进行监控，评价未发现财务监控严重失效的情况，但存在业务经办人员在报销单上将中央资金支付误记为区级资金支付，财务审核中未发现的现象。</w:t>
      </w:r>
    </w:p>
    <w:p w14:paraId="273B8E10">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本项指标设定分值6分，经综合评价，指标得分5分。</w:t>
      </w:r>
    </w:p>
    <w:p w14:paraId="4F13FB7B">
      <w:pPr>
        <w:spacing w:line="600" w:lineRule="exact"/>
        <w:ind w:firstLine="630" w:firstLineChars="200"/>
        <w:rPr>
          <w:rFonts w:hAnsi="仿宋" w:cs="宋体"/>
          <w:color w:val="000000"/>
          <w:kern w:val="2"/>
          <w:szCs w:val="30"/>
        </w:rPr>
      </w:pPr>
      <w:r>
        <w:rPr>
          <w:rFonts w:hint="eastAsia" w:hAnsi="仿宋" w:cs="宋体"/>
          <w:color w:val="000000"/>
          <w:kern w:val="2"/>
          <w:szCs w:val="30"/>
        </w:rPr>
        <w:t>2.业务管理</w:t>
      </w:r>
    </w:p>
    <w:p w14:paraId="48D8D6DC">
      <w:pPr>
        <w:spacing w:line="600" w:lineRule="exact"/>
        <w:ind w:firstLine="630" w:firstLineChars="200"/>
        <w:rPr>
          <w:rFonts w:hAnsi="仿宋" w:cs="宋体"/>
          <w:color w:val="000000"/>
          <w:kern w:val="2"/>
          <w:szCs w:val="30"/>
        </w:rPr>
      </w:pPr>
      <w:r>
        <w:rPr>
          <w:rFonts w:hint="eastAsia" w:hAnsi="仿宋" w:cs="宋体"/>
          <w:color w:val="000000"/>
          <w:kern w:val="2"/>
          <w:szCs w:val="30"/>
        </w:rPr>
        <w:t>（1）组织管理</w:t>
      </w:r>
    </w:p>
    <w:p w14:paraId="3BDD85FF">
      <w:pPr>
        <w:spacing w:line="600" w:lineRule="exact"/>
        <w:ind w:firstLine="630" w:firstLineChars="200"/>
        <w:rPr>
          <w:rFonts w:hAnsi="仿宋" w:cs="宋体"/>
          <w:color w:val="000000"/>
          <w:kern w:val="2"/>
          <w:szCs w:val="30"/>
        </w:rPr>
      </w:pPr>
      <w:r>
        <w:rPr>
          <w:rFonts w:hint="eastAsia" w:hAnsi="仿宋" w:cs="宋体"/>
          <w:color w:val="000000"/>
          <w:kern w:val="2"/>
          <w:szCs w:val="30"/>
        </w:rPr>
        <w:t>就业补助项目由区政务中心下设职能部门劳动就业事务部负责实施，其余部门予以协调配合。根据区政务中心提供的项目组织机构设置及人员配备相关资料及评价小组实地核实情况显示，项目组织机构设置基本符合规定，人员配备较为合理，能确保项目的有效实施。</w:t>
      </w:r>
    </w:p>
    <w:p w14:paraId="761AE80F">
      <w:pPr>
        <w:spacing w:line="600" w:lineRule="exact"/>
        <w:ind w:firstLine="630" w:firstLineChars="200"/>
        <w:rPr>
          <w:rFonts w:hAnsi="仿宋" w:cs="宋体"/>
          <w:color w:val="000000"/>
          <w:kern w:val="2"/>
          <w:szCs w:val="30"/>
        </w:rPr>
      </w:pPr>
      <w:r>
        <w:rPr>
          <w:rFonts w:hint="eastAsia" w:hAnsi="仿宋" w:cs="宋体"/>
          <w:color w:val="000000"/>
          <w:kern w:val="2"/>
          <w:szCs w:val="30"/>
        </w:rPr>
        <w:t>此外，经与项目相关人员访谈得知，区政务中心于去年组织搭建，因组织机构新设立不久，人员稳定性上还存在不足，去年负责项目实施的经办人员现目前已调离岗位。同时还因岗位变动过程中前后任经办人员资料交接工作不完善，导致现任经办人员对2020年项目实施情况了解程度不高，部分资料暂不知存放于何处，评价中无法提供。</w:t>
      </w:r>
    </w:p>
    <w:p w14:paraId="54AC80A5">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本项指标设定分值2分，经综合评价，指标得分1分。</w:t>
      </w:r>
    </w:p>
    <w:p w14:paraId="5330EEE0">
      <w:pPr>
        <w:spacing w:line="600" w:lineRule="exact"/>
        <w:ind w:firstLine="630" w:firstLineChars="200"/>
        <w:rPr>
          <w:rFonts w:hAnsi="仿宋" w:cs="宋体"/>
          <w:color w:val="000000"/>
          <w:kern w:val="2"/>
          <w:szCs w:val="30"/>
        </w:rPr>
      </w:pPr>
      <w:r>
        <w:rPr>
          <w:rFonts w:hint="eastAsia" w:hAnsi="仿宋" w:cs="宋体"/>
          <w:color w:val="000000"/>
          <w:kern w:val="2"/>
          <w:szCs w:val="30"/>
        </w:rPr>
        <w:t>（2）制度建立</w:t>
      </w:r>
    </w:p>
    <w:p w14:paraId="4795F093">
      <w:pPr>
        <w:spacing w:line="600" w:lineRule="exact"/>
        <w:ind w:firstLine="630" w:firstLineChars="200"/>
        <w:rPr>
          <w:rFonts w:hAnsi="仿宋" w:cs="宋体"/>
          <w:color w:val="000000"/>
          <w:kern w:val="2"/>
          <w:szCs w:val="30"/>
        </w:rPr>
      </w:pPr>
      <w:r>
        <w:rPr>
          <w:rFonts w:hint="eastAsia" w:hAnsi="仿宋" w:cs="宋体"/>
          <w:color w:val="000000"/>
          <w:kern w:val="2"/>
          <w:szCs w:val="30"/>
        </w:rPr>
        <w:t>区政务服务中心为落实好各项就业创业政策，规范就业补助资金管理，提高资金使用效益，充分发挥就业补助资金促进就业创业的作用，专门制定了《政务服务和社会事务中心工作制度》，该制度规定了下设劳动就业事务部的主要工作内容以及所需遵守的管理制度。同时劳动就业事务部根据就业补助资金种类制定了《就业补贴工作手册》。</w:t>
      </w:r>
    </w:p>
    <w:p w14:paraId="5D8C043F">
      <w:pPr>
        <w:spacing w:line="600" w:lineRule="exact"/>
        <w:ind w:firstLine="630" w:firstLineChars="200"/>
        <w:rPr>
          <w:rFonts w:hAnsi="仿宋" w:cs="宋体"/>
          <w:color w:val="000000"/>
          <w:kern w:val="2"/>
          <w:szCs w:val="30"/>
        </w:rPr>
      </w:pPr>
      <w:r>
        <w:rPr>
          <w:rFonts w:hint="eastAsia" w:hAnsi="仿宋" w:cs="宋体"/>
          <w:color w:val="000000"/>
          <w:kern w:val="2"/>
          <w:szCs w:val="30"/>
        </w:rPr>
        <w:t>评价认为，区政务中心及下设劳动就业事务部制定的一系列相关制度基本符合国家相关法律法规，且与实际情况切合较好，可有效规范相关工作程序。</w:t>
      </w:r>
    </w:p>
    <w:p w14:paraId="2FC82451">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本项指标设定分值1分，经综合评价，指标得分1分。</w:t>
      </w:r>
    </w:p>
    <w:p w14:paraId="531BD94F">
      <w:pPr>
        <w:spacing w:line="600" w:lineRule="exact"/>
        <w:ind w:firstLine="630" w:firstLineChars="200"/>
        <w:rPr>
          <w:rFonts w:hAnsi="仿宋" w:cs="宋体"/>
          <w:color w:val="000000"/>
          <w:kern w:val="2"/>
          <w:szCs w:val="30"/>
        </w:rPr>
      </w:pPr>
      <w:r>
        <w:rPr>
          <w:rFonts w:hint="eastAsia" w:hAnsi="仿宋" w:cs="宋体"/>
          <w:color w:val="000000"/>
          <w:kern w:val="2"/>
          <w:szCs w:val="30"/>
        </w:rPr>
        <w:t>（3）制度执行情况</w:t>
      </w:r>
    </w:p>
    <w:p w14:paraId="5B2469C0">
      <w:pPr>
        <w:spacing w:line="600" w:lineRule="exact"/>
        <w:ind w:firstLine="630" w:firstLineChars="200"/>
        <w:rPr>
          <w:rFonts w:hAnsi="仿宋" w:cs="宋体"/>
          <w:color w:val="000000"/>
          <w:kern w:val="2"/>
          <w:szCs w:val="30"/>
        </w:rPr>
      </w:pPr>
      <w:r>
        <w:rPr>
          <w:rFonts w:hint="eastAsia" w:hAnsi="仿宋" w:cs="宋体"/>
          <w:color w:val="000000"/>
          <w:kern w:val="2"/>
          <w:szCs w:val="30"/>
        </w:rPr>
        <w:t>评价中发现，项目存在少数申请补助资料归档不全的情况。根据《就业相关服务及政策经办工作手册》规定，相关部门应对社会保险补贴审核表以及就业政策享受情况告知函送达回执及时归档保存，但评价人员在抽查的会保险补贴归档资料中并未发现上述材料。</w:t>
      </w:r>
    </w:p>
    <w:p w14:paraId="02D53988">
      <w:pPr>
        <w:spacing w:line="600" w:lineRule="exact"/>
        <w:ind w:firstLine="630" w:firstLineChars="200"/>
        <w:rPr>
          <w:rFonts w:hAnsi="仿宋" w:cs="宋体"/>
          <w:color w:val="000000"/>
          <w:kern w:val="2"/>
          <w:szCs w:val="30"/>
        </w:rPr>
      </w:pPr>
      <w:r>
        <w:rPr>
          <w:rFonts w:hint="eastAsia" w:hAnsi="仿宋" w:cs="宋体"/>
          <w:color w:val="000000"/>
          <w:kern w:val="2"/>
          <w:szCs w:val="30"/>
        </w:rPr>
        <w:t>评价认为，区政务中心在项目实施过程中对各类补贴补助申请审批流程基本按相关文件规定执行，并按要求进行公示，项目制度执行有效性整体情况较好，但在资料归档完整性上还需进一步加强。</w:t>
      </w:r>
    </w:p>
    <w:p w14:paraId="2AB76C43">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本项指标设定分值5分，经综合评价，指标得分4.50分。</w:t>
      </w:r>
    </w:p>
    <w:p w14:paraId="25812C81">
      <w:pPr>
        <w:spacing w:line="600" w:lineRule="exact"/>
        <w:ind w:firstLine="630" w:firstLineChars="200"/>
        <w:rPr>
          <w:rFonts w:hAnsi="仿宋" w:cs="宋体"/>
          <w:color w:val="000000"/>
          <w:kern w:val="2"/>
          <w:szCs w:val="30"/>
        </w:rPr>
      </w:pPr>
      <w:r>
        <w:rPr>
          <w:rFonts w:hint="eastAsia" w:hAnsi="仿宋" w:cs="宋体"/>
          <w:color w:val="000000"/>
          <w:kern w:val="2"/>
          <w:szCs w:val="30"/>
        </w:rPr>
        <w:t>（4）项目质量可控性</w:t>
      </w:r>
    </w:p>
    <w:p w14:paraId="41675903">
      <w:pPr>
        <w:spacing w:line="600" w:lineRule="exact"/>
        <w:ind w:firstLine="630" w:firstLineChars="200"/>
        <w:rPr>
          <w:rFonts w:hAnsi="仿宋" w:cs="宋体"/>
          <w:color w:val="000000"/>
          <w:kern w:val="2"/>
          <w:szCs w:val="30"/>
        </w:rPr>
      </w:pPr>
      <w:r>
        <w:rPr>
          <w:rFonts w:hint="eastAsia" w:hAnsi="仿宋" w:cs="宋体"/>
          <w:color w:val="000000"/>
          <w:kern w:val="2"/>
          <w:szCs w:val="30"/>
        </w:rPr>
        <w:t>区政务中心为达到项目实施质量标准，实施过程中形成了专门的工作手册，对各项工作操作流程，各类就业补助资金对应的申请对象、申请所需材料、补贴补助标准、受理机构、办理时限、经办流程等事项都进行了明确规定。在申请办理过程中，严格按照各项规定进行审核审批，评价中未发现质量控制失效的情况。</w:t>
      </w:r>
    </w:p>
    <w:p w14:paraId="46AA900B">
      <w:pPr>
        <w:spacing w:line="600" w:lineRule="exact"/>
        <w:ind w:firstLine="630" w:firstLineChars="200"/>
        <w:rPr>
          <w:rFonts w:hAnsi="仿宋" w:cs="宋体"/>
          <w:color w:val="000000"/>
          <w:kern w:val="2"/>
          <w:szCs w:val="30"/>
        </w:rPr>
      </w:pPr>
      <w:r>
        <w:rPr>
          <w:rFonts w:hint="eastAsia" w:hAnsi="仿宋" w:cs="宋体"/>
          <w:color w:val="000000"/>
          <w:kern w:val="2"/>
          <w:szCs w:val="30"/>
        </w:rPr>
        <w:t>同时，区政务中心还制定有一系列组织考评检查制度、事后调查总结等必要的控制措施和手段，项目质量控制情况整体较好。</w:t>
      </w:r>
    </w:p>
    <w:p w14:paraId="7F31ADD3">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本项指标设定分值2分，经综合评价，指标得分2分。</w:t>
      </w:r>
    </w:p>
    <w:p w14:paraId="4126ED1E">
      <w:pPr>
        <w:spacing w:line="600" w:lineRule="exact"/>
        <w:ind w:firstLine="630" w:firstLineChars="200"/>
        <w:outlineLvl w:val="1"/>
        <w:rPr>
          <w:rFonts w:ascii="楷体" w:hAnsi="楷体" w:eastAsia="楷体"/>
          <w:szCs w:val="30"/>
          <w:shd w:val="clear" w:color="auto" w:fill="FFFFFF" w:themeFill="background1"/>
        </w:rPr>
      </w:pPr>
      <w:bookmarkStart w:id="31" w:name="_Toc10495"/>
      <w:r>
        <w:rPr>
          <w:rFonts w:hint="eastAsia" w:ascii="楷体" w:hAnsi="楷体" w:eastAsia="楷体"/>
          <w:szCs w:val="30"/>
          <w:shd w:val="clear" w:color="auto" w:fill="FFFFFF" w:themeFill="background1"/>
        </w:rPr>
        <w:t>（三）项目产出</w:t>
      </w:r>
      <w:bookmarkEnd w:id="31"/>
    </w:p>
    <w:p w14:paraId="149FFAE5">
      <w:pPr>
        <w:spacing w:line="600" w:lineRule="exact"/>
        <w:ind w:firstLine="630" w:firstLineChars="200"/>
        <w:rPr>
          <w:rFonts w:hAnsi="仿宋" w:cs="宋体"/>
          <w:color w:val="000000"/>
          <w:kern w:val="2"/>
          <w:szCs w:val="30"/>
        </w:rPr>
      </w:pPr>
      <w:r>
        <w:rPr>
          <w:rFonts w:hint="eastAsia" w:hAnsi="仿宋" w:cs="宋体"/>
          <w:color w:val="000000"/>
          <w:kern w:val="2"/>
          <w:szCs w:val="30"/>
        </w:rPr>
        <w:t>1.产出数量</w:t>
      </w:r>
      <w:bookmarkStart w:id="32" w:name="_MON_1551076768"/>
      <w:bookmarkEnd w:id="32"/>
    </w:p>
    <w:p w14:paraId="4BA8BF8F">
      <w:pPr>
        <w:spacing w:line="600" w:lineRule="exact"/>
        <w:ind w:firstLine="630" w:firstLineChars="200"/>
        <w:rPr>
          <w:rFonts w:hAnsi="仿宋" w:cs="宋体"/>
          <w:color w:val="000000"/>
          <w:kern w:val="2"/>
          <w:szCs w:val="30"/>
        </w:rPr>
      </w:pPr>
      <w:r>
        <w:rPr>
          <w:rFonts w:hint="eastAsia" w:hAnsi="仿宋" w:cs="宋体"/>
          <w:color w:val="000000"/>
          <w:kern w:val="2"/>
          <w:szCs w:val="30"/>
        </w:rPr>
        <w:t>根据2020年项目绩效目标自评表及各类补贴补助申报审批资料显示，区政务中心2020年实际完成城镇登记失业人员就业人数6621人，计划完成城镇登记失业人员就业人数4900人，城镇登记失业人员就业人数完成率为100%；实际完成城镇就业困难人员就业人数2208人，计划完成城镇就业困难人员就业人数2200人，就业困难人员就业人数完成率为100%；实际开展“春风行动”网络招聘会47场，计划开展“春风行动”网络招聘会45场，“春风行动”网络招聘会举办完成率为100%；实际建立创业导师团队人数20人，计划建立创业导师团队人数20人，创业导师团队建立完成率为100%；实际建立职业技能专家库人数33人，计划建立职业技能专家库30人，职业技能专家库建立完成率为100%；实际累计发布用工岗位17000个，计划累计发布用工岗位15000个，累计发布用工岗位完成率为100%。</w:t>
      </w:r>
    </w:p>
    <w:p w14:paraId="009CC2F9">
      <w:pPr>
        <w:spacing w:line="600" w:lineRule="exact"/>
        <w:ind w:firstLine="630" w:firstLineChars="200"/>
        <w:rPr>
          <w:rFonts w:hAnsi="仿宋" w:cs="宋体"/>
          <w:color w:val="000000"/>
          <w:kern w:val="2"/>
          <w:szCs w:val="30"/>
        </w:rPr>
      </w:pPr>
      <w:r>
        <w:rPr>
          <w:rFonts w:hint="eastAsia" w:hAnsi="仿宋" w:cs="宋体"/>
          <w:color w:val="000000"/>
          <w:kern w:val="2"/>
          <w:szCs w:val="30"/>
        </w:rPr>
        <w:t>综上所述，评价认为就业补助项目2020年所有计划产出数量均足量完成，未出现产出数量不达标现象，项目产出数量完成情况较好。</w:t>
      </w:r>
    </w:p>
    <w:p w14:paraId="2F991D7B">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本项指标设定分值12分，经综合评价，指标得分12分。</w:t>
      </w:r>
    </w:p>
    <w:p w14:paraId="3EA96697">
      <w:pPr>
        <w:spacing w:line="600" w:lineRule="exact"/>
        <w:ind w:firstLine="630" w:firstLineChars="200"/>
        <w:rPr>
          <w:rFonts w:hAnsi="仿宋" w:cs="宋体"/>
          <w:color w:val="000000"/>
          <w:kern w:val="2"/>
          <w:szCs w:val="30"/>
        </w:rPr>
      </w:pPr>
      <w:r>
        <w:rPr>
          <w:rFonts w:hint="eastAsia" w:hAnsi="仿宋" w:cs="宋体"/>
          <w:color w:val="000000"/>
          <w:kern w:val="2"/>
          <w:szCs w:val="30"/>
        </w:rPr>
        <w:t>2.产出质量</w:t>
      </w:r>
    </w:p>
    <w:p w14:paraId="640A18F7">
      <w:pPr>
        <w:spacing w:line="600" w:lineRule="exact"/>
        <w:ind w:firstLine="630" w:firstLineChars="200"/>
        <w:rPr>
          <w:rFonts w:hAnsi="仿宋" w:cs="宋体"/>
          <w:color w:val="000000"/>
          <w:kern w:val="2"/>
          <w:szCs w:val="30"/>
        </w:rPr>
      </w:pPr>
      <w:r>
        <w:rPr>
          <w:rFonts w:hint="eastAsia" w:hAnsi="仿宋" w:cs="宋体"/>
          <w:color w:val="000000"/>
          <w:kern w:val="2"/>
          <w:szCs w:val="30"/>
        </w:rPr>
        <w:t>通过现场核查情况及电话调研结果显示，就业补助项目当年社会保险补贴、就业见习补贴、就业创业服务补助实际准确发放人数与计划发放人数总量均一致，同时劳动监察投诉结案数量与当年实际劳动监察投诉总量相同。</w:t>
      </w:r>
    </w:p>
    <w:p w14:paraId="16BFD96F">
      <w:pPr>
        <w:spacing w:line="600" w:lineRule="exact"/>
        <w:ind w:firstLine="630" w:firstLineChars="200"/>
        <w:rPr>
          <w:rFonts w:hAnsi="仿宋" w:cs="宋体"/>
          <w:color w:val="000000"/>
          <w:kern w:val="2"/>
          <w:szCs w:val="30"/>
        </w:rPr>
      </w:pPr>
      <w:r>
        <w:rPr>
          <w:rFonts w:hint="eastAsia" w:hAnsi="仿宋" w:cs="宋体"/>
          <w:color w:val="000000"/>
          <w:kern w:val="2"/>
          <w:szCs w:val="30"/>
        </w:rPr>
        <w:t>综上所述，评价中未发现实际产出质量与计划存在差异的情况，实际获得就业补贴补助人员及企业均符合《就业相关服务及政策经办工作手册》等规定条件，不存在超范围补助的情况。因此，评价认为，项目完成质量较好。</w:t>
      </w:r>
    </w:p>
    <w:p w14:paraId="0D8194CE">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本项指标设定分值8分，经综合评价，指标得分8分。</w:t>
      </w:r>
    </w:p>
    <w:p w14:paraId="37183B76">
      <w:pPr>
        <w:spacing w:line="600" w:lineRule="exact"/>
        <w:ind w:firstLine="630" w:firstLineChars="200"/>
        <w:rPr>
          <w:rFonts w:hAnsi="仿宋" w:cs="宋体"/>
          <w:color w:val="000000"/>
          <w:kern w:val="2"/>
          <w:szCs w:val="30"/>
        </w:rPr>
      </w:pPr>
      <w:r>
        <w:rPr>
          <w:rFonts w:hint="eastAsia" w:hAnsi="仿宋" w:cs="宋体"/>
          <w:color w:val="000000"/>
          <w:kern w:val="2"/>
          <w:szCs w:val="30"/>
        </w:rPr>
        <w:t>3.产出时效</w:t>
      </w:r>
    </w:p>
    <w:p w14:paraId="06660A70">
      <w:pPr>
        <w:spacing w:line="600" w:lineRule="exact"/>
        <w:ind w:firstLine="630" w:firstLineChars="200"/>
        <w:rPr>
          <w:rFonts w:hAnsi="仿宋" w:cs="宋体"/>
          <w:color w:val="000000"/>
          <w:kern w:val="2"/>
          <w:szCs w:val="30"/>
        </w:rPr>
      </w:pPr>
      <w:r>
        <w:rPr>
          <w:rFonts w:hint="eastAsia" w:hAnsi="仿宋" w:cs="宋体"/>
          <w:color w:val="000000"/>
          <w:kern w:val="2"/>
          <w:szCs w:val="30"/>
        </w:rPr>
        <w:t>评价小组通过审查补贴补助资金发放时间，并结合问卷调研情况发现，截至2020年12月31日，项目各类补贴补助资金均在政策规定时间范围内及时发放补贴补助资金，评价中未发现跨年度发放补贴补助资金的情况。</w:t>
      </w:r>
    </w:p>
    <w:p w14:paraId="10A7E787">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本项指标设定分值4分，经综合评价，指标得分4分。</w:t>
      </w:r>
    </w:p>
    <w:p w14:paraId="7D7CAE0D">
      <w:pPr>
        <w:spacing w:line="600" w:lineRule="exact"/>
        <w:ind w:firstLine="630" w:firstLineChars="200"/>
        <w:rPr>
          <w:rFonts w:hAnsi="仿宋" w:cs="宋体"/>
          <w:color w:val="000000"/>
          <w:kern w:val="2"/>
          <w:szCs w:val="30"/>
        </w:rPr>
      </w:pPr>
      <w:r>
        <w:rPr>
          <w:rFonts w:hint="eastAsia" w:hAnsi="仿宋" w:cs="宋体"/>
          <w:color w:val="000000"/>
          <w:kern w:val="2"/>
          <w:szCs w:val="30"/>
        </w:rPr>
        <w:t>4.产出成本</w:t>
      </w:r>
    </w:p>
    <w:p w14:paraId="5F62F2F9">
      <w:pPr>
        <w:spacing w:line="600" w:lineRule="exact"/>
        <w:ind w:firstLine="630" w:firstLineChars="200"/>
        <w:rPr>
          <w:rFonts w:hAnsi="仿宋" w:cs="宋体"/>
          <w:color w:val="000000"/>
          <w:kern w:val="2"/>
          <w:szCs w:val="30"/>
        </w:rPr>
      </w:pPr>
      <w:r>
        <w:rPr>
          <w:rFonts w:hint="eastAsia" w:hAnsi="仿宋" w:cs="宋体"/>
          <w:color w:val="000000"/>
          <w:kern w:val="2"/>
          <w:szCs w:val="30"/>
        </w:rPr>
        <w:t>评价小组通过将项目当年社会保险和就业见习实际人均补贴标准、就业创业服务实际人均补助标准与当年社会保险和就业见习规定人均补贴标准、就业创业服务计划人均补助标准相比对发现，项目全年实际执行的所有补贴补助标准均与规定和计划的补贴补助标准一致，评价未发现超额或减额补贴补助的情况。因此，评价认为，项目整体成本控制情况较好，不存在成本偏离。</w:t>
      </w:r>
    </w:p>
    <w:p w14:paraId="0D2D2836">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本项指标设定分值6分，经综合评价，指标得分6分。</w:t>
      </w:r>
    </w:p>
    <w:p w14:paraId="76BB52EB">
      <w:pPr>
        <w:spacing w:line="600" w:lineRule="exact"/>
        <w:ind w:firstLine="630" w:firstLineChars="200"/>
        <w:outlineLvl w:val="1"/>
        <w:rPr>
          <w:rFonts w:ascii="楷体" w:hAnsi="楷体" w:eastAsia="楷体"/>
          <w:szCs w:val="30"/>
          <w:shd w:val="clear" w:color="auto" w:fill="FFFFFF" w:themeFill="background1"/>
        </w:rPr>
      </w:pPr>
      <w:bookmarkStart w:id="33" w:name="_Toc23222"/>
      <w:r>
        <w:rPr>
          <w:rFonts w:hint="eastAsia" w:ascii="楷体" w:hAnsi="楷体" w:eastAsia="楷体"/>
          <w:szCs w:val="30"/>
          <w:shd w:val="clear" w:color="auto" w:fill="FFFFFF" w:themeFill="background1"/>
        </w:rPr>
        <w:t>（四）项目效益</w:t>
      </w:r>
      <w:bookmarkEnd w:id="33"/>
    </w:p>
    <w:p w14:paraId="2FDFC38E">
      <w:pPr>
        <w:spacing w:line="600" w:lineRule="exact"/>
        <w:ind w:firstLine="630" w:firstLineChars="200"/>
        <w:rPr>
          <w:rFonts w:hAnsi="仿宋" w:cs="宋体"/>
          <w:color w:val="000000"/>
          <w:kern w:val="2"/>
          <w:szCs w:val="30"/>
        </w:rPr>
      </w:pPr>
      <w:r>
        <w:rPr>
          <w:rFonts w:hint="eastAsia" w:hAnsi="仿宋" w:cs="宋体"/>
          <w:color w:val="000000"/>
          <w:kern w:val="2"/>
          <w:szCs w:val="30"/>
        </w:rPr>
        <w:t>1.经济效益</w:t>
      </w:r>
    </w:p>
    <w:p w14:paraId="0591CAEC">
      <w:pPr>
        <w:spacing w:line="600" w:lineRule="exact"/>
        <w:ind w:firstLine="630" w:firstLineChars="200"/>
        <w:rPr>
          <w:rFonts w:hAnsi="仿宋" w:cs="宋体"/>
          <w:color w:val="000000"/>
          <w:kern w:val="2"/>
          <w:szCs w:val="30"/>
        </w:rPr>
      </w:pPr>
      <w:r>
        <w:rPr>
          <w:rFonts w:hint="eastAsia" w:hAnsi="仿宋" w:cs="宋体"/>
          <w:color w:val="000000"/>
          <w:kern w:val="2"/>
          <w:szCs w:val="30"/>
        </w:rPr>
        <w:t>根据项目资金绩效目标自评表及与企业电话访谈结果显示，项目计划撬动创业担保贷款金额为2000万元，全年实际撬动创业担保贷款金额为3190万元，较好的完成了目标值，有效的增加了创业成功率，缓解创业压力。</w:t>
      </w:r>
    </w:p>
    <w:p w14:paraId="5B26EC5A">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本项指标设定分值3分，经综合评价，指标得分3分。</w:t>
      </w:r>
    </w:p>
    <w:p w14:paraId="7D53D2DC">
      <w:pPr>
        <w:spacing w:line="600" w:lineRule="exact"/>
        <w:ind w:firstLine="630" w:firstLineChars="200"/>
        <w:rPr>
          <w:rFonts w:hAnsi="仿宋" w:cs="宋体"/>
          <w:color w:val="000000"/>
          <w:kern w:val="2"/>
          <w:szCs w:val="30"/>
        </w:rPr>
      </w:pPr>
      <w:r>
        <w:rPr>
          <w:rFonts w:hint="eastAsia" w:hAnsi="仿宋" w:cs="宋体"/>
          <w:color w:val="000000"/>
          <w:kern w:val="2"/>
          <w:szCs w:val="30"/>
        </w:rPr>
        <w:t>2.社会效益</w:t>
      </w:r>
    </w:p>
    <w:p w14:paraId="66F0A74B">
      <w:pPr>
        <w:spacing w:line="600" w:lineRule="exact"/>
        <w:ind w:firstLine="630" w:firstLineChars="200"/>
        <w:rPr>
          <w:rFonts w:hAnsi="仿宋" w:cs="宋体"/>
          <w:color w:val="000000"/>
          <w:kern w:val="2"/>
          <w:szCs w:val="30"/>
        </w:rPr>
      </w:pPr>
      <w:r>
        <w:rPr>
          <w:rFonts w:hint="eastAsia" w:hAnsi="仿宋" w:cs="宋体"/>
          <w:color w:val="000000"/>
          <w:kern w:val="2"/>
          <w:szCs w:val="30"/>
        </w:rPr>
        <w:t>根据区政务中心提供的相关数据及评价小组向企业电话访谈的结果显示，项目城镇调查失业率为5.50%，与预期控制值一致，离校未就业应届高校毕业生年底就业率为90%，达到年初目标设定值“≥90%”的标准。同时，经区政务中心及企业相关人员介绍发现，项目全年不存在资金使用重大违规违纪问题，评价小组在实地检查区政务中心年度相关工作汇报材料中，也未发现资金使用重大违规违纪问题。</w:t>
      </w:r>
    </w:p>
    <w:p w14:paraId="354D0A4F">
      <w:pPr>
        <w:pStyle w:val="10"/>
        <w:adjustRightInd w:val="0"/>
        <w:snapToGrid w:val="0"/>
        <w:spacing w:line="600" w:lineRule="exact"/>
        <w:ind w:firstLine="630" w:firstLineChars="200"/>
        <w:rPr>
          <w:rFonts w:ascii="仿宋" w:hAnsi="仿宋" w:eastAsia="仿宋" w:cs="宋体"/>
          <w:color w:val="000000"/>
          <w:kern w:val="2"/>
          <w:lang w:eastAsia="zh-CN"/>
        </w:rPr>
      </w:pPr>
      <w:r>
        <w:rPr>
          <w:rFonts w:hint="eastAsia" w:ascii="仿宋" w:hAnsi="仿宋" w:eastAsia="仿宋" w:cs="宋体"/>
          <w:color w:val="000000"/>
          <w:kern w:val="2"/>
          <w:lang w:eastAsia="zh-CN"/>
        </w:rPr>
        <w:t>综上所述，评价认为，项目社会效益显著，就业补助资金充分发挥了财政资金积极引导作用，有利于改善就业创业环境，推动就业创业规模持续扩大，促进就业创业质量稳步提升。</w:t>
      </w:r>
    </w:p>
    <w:p w14:paraId="2C534AE4">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本项指标设定分值9分，经综合评价，指标得分9分。</w:t>
      </w:r>
    </w:p>
    <w:p w14:paraId="59731A94">
      <w:pPr>
        <w:spacing w:line="600" w:lineRule="exact"/>
        <w:ind w:firstLine="630" w:firstLineChars="200"/>
        <w:rPr>
          <w:rFonts w:hAnsi="仿宋" w:cs="宋体"/>
          <w:color w:val="000000"/>
          <w:kern w:val="2"/>
          <w:szCs w:val="30"/>
        </w:rPr>
      </w:pPr>
      <w:r>
        <w:rPr>
          <w:rFonts w:hint="eastAsia" w:hAnsi="仿宋" w:cs="宋体"/>
          <w:color w:val="000000"/>
          <w:kern w:val="2"/>
          <w:szCs w:val="30"/>
        </w:rPr>
        <w:t>3.可持续影响</w:t>
      </w:r>
    </w:p>
    <w:p w14:paraId="6CC442D4">
      <w:pPr>
        <w:adjustRightInd w:val="0"/>
        <w:snapToGrid w:val="0"/>
        <w:spacing w:line="600" w:lineRule="exact"/>
        <w:ind w:firstLine="630" w:firstLineChars="200"/>
        <w:rPr>
          <w:rFonts w:hAnsi="仿宋"/>
          <w:color w:val="000000"/>
          <w:szCs w:val="30"/>
          <w:highlight w:val="yellow"/>
          <w:shd w:val="clear" w:color="auto" w:fill="FFFFFF"/>
        </w:rPr>
      </w:pPr>
      <w:r>
        <w:rPr>
          <w:rFonts w:hint="eastAsia" w:hAnsi="仿宋" w:cs="宋体"/>
          <w:color w:val="000000"/>
          <w:kern w:val="2"/>
          <w:szCs w:val="30"/>
        </w:rPr>
        <w:t>评价发现，补助资金的持续保障性和项目政策与经济社会发展的匹配性是影响项目可持续性的关键因素。</w:t>
      </w:r>
    </w:p>
    <w:p w14:paraId="54794FFD">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目前，项目资金特别是后续保障资金的来源渠道上，其途径较为单一。在资金量上，现有财政资金虽基本能确保项目的顺利进行，但要满足各类创业就业补贴补助投入逐年扩大的经费需求，现有资金量还存在较大压力，不能完全保障。</w:t>
      </w:r>
    </w:p>
    <w:p w14:paraId="74977003">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同时，通过与区政务中心及企业管理人员的实地访谈，我们还了解到现有政策与经济社会发展切合度仍需进一步提高，项目相关补贴补助资金在一定程度上缓解了企业及个人创业就业压力，但对个人的帮助较小，对企业扶持作用亦不大。此外，项目还存在筹集分配额度无法预算、支出结构不均衡等问题，还缺乏相关政策的顶层设计。</w:t>
      </w:r>
    </w:p>
    <w:p w14:paraId="0DAA5DAD">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上述情况均从不同侧面对项目的可持续性造成一定程度的影响，值得相关部门深思。</w:t>
      </w:r>
    </w:p>
    <w:p w14:paraId="7A6F1CFE">
      <w:pPr>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本项指标设定分值6分，经综合评价，指标得分4分。</w:t>
      </w:r>
    </w:p>
    <w:p w14:paraId="27940BF8">
      <w:pPr>
        <w:spacing w:line="600" w:lineRule="exact"/>
        <w:ind w:firstLine="630" w:firstLineChars="200"/>
        <w:rPr>
          <w:rFonts w:hAnsi="仿宋" w:cs="宋体"/>
          <w:color w:val="000000"/>
          <w:kern w:val="2"/>
          <w:szCs w:val="30"/>
        </w:rPr>
      </w:pPr>
      <w:r>
        <w:rPr>
          <w:rFonts w:hint="eastAsia" w:hAnsi="仿宋" w:cs="宋体"/>
          <w:color w:val="000000"/>
          <w:kern w:val="2"/>
          <w:szCs w:val="30"/>
        </w:rPr>
        <w:t>4.社会公众满意度</w:t>
      </w:r>
    </w:p>
    <w:p w14:paraId="38508315">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本次评价，评价小组通过电话调研、实地走访的方式向申领就业补贴的对象共发放40份问卷，回收有效问卷36份。经统计分析，调查对象的满意度情况如下表：</w:t>
      </w:r>
    </w:p>
    <w:p w14:paraId="162D515A">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（1）对就业补助政策的满意度</w:t>
      </w:r>
    </w:p>
    <w:tbl>
      <w:tblPr>
        <w:tblStyle w:val="24"/>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1678"/>
        <w:gridCol w:w="1656"/>
        <w:gridCol w:w="1620"/>
      </w:tblGrid>
      <w:tr w14:paraId="271B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1" w:type="dxa"/>
            <w:vAlign w:val="center"/>
          </w:tcPr>
          <w:p w14:paraId="49229570">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调查内容</w:t>
            </w:r>
          </w:p>
        </w:tc>
        <w:tc>
          <w:tcPr>
            <w:tcW w:w="1678" w:type="dxa"/>
            <w:vAlign w:val="center"/>
          </w:tcPr>
          <w:p w14:paraId="1198F8D8">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满意</w:t>
            </w:r>
          </w:p>
        </w:tc>
        <w:tc>
          <w:tcPr>
            <w:tcW w:w="1656" w:type="dxa"/>
            <w:vAlign w:val="center"/>
          </w:tcPr>
          <w:p w14:paraId="3454205E">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基本满意</w:t>
            </w:r>
          </w:p>
        </w:tc>
        <w:tc>
          <w:tcPr>
            <w:tcW w:w="1620" w:type="dxa"/>
            <w:vAlign w:val="center"/>
          </w:tcPr>
          <w:p w14:paraId="534A63E1">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不满意</w:t>
            </w:r>
          </w:p>
        </w:tc>
      </w:tr>
      <w:tr w14:paraId="7123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1" w:type="dxa"/>
            <w:vAlign w:val="center"/>
          </w:tcPr>
          <w:p w14:paraId="32BB2DA6">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就业补助政策的满意度</w:t>
            </w:r>
          </w:p>
        </w:tc>
        <w:tc>
          <w:tcPr>
            <w:tcW w:w="1678" w:type="dxa"/>
            <w:vAlign w:val="center"/>
          </w:tcPr>
          <w:p w14:paraId="165C8252">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12.00%</w:t>
            </w:r>
          </w:p>
        </w:tc>
        <w:tc>
          <w:tcPr>
            <w:tcW w:w="1656" w:type="dxa"/>
            <w:vAlign w:val="center"/>
          </w:tcPr>
          <w:p w14:paraId="3C6E9595">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88.00%</w:t>
            </w:r>
          </w:p>
        </w:tc>
        <w:tc>
          <w:tcPr>
            <w:tcW w:w="1620" w:type="dxa"/>
            <w:vAlign w:val="center"/>
          </w:tcPr>
          <w:p w14:paraId="0292899F">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w:t>
            </w:r>
          </w:p>
        </w:tc>
      </w:tr>
    </w:tbl>
    <w:p w14:paraId="267C4F12">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调查结果表明，调查对象对就业补助资金补贴标准的满意度较高为100%，不存在不满意的情况。</w:t>
      </w:r>
    </w:p>
    <w:p w14:paraId="7214803B">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（2）对经办服务的满意度</w:t>
      </w:r>
    </w:p>
    <w:tbl>
      <w:tblPr>
        <w:tblStyle w:val="24"/>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16"/>
        <w:gridCol w:w="1620"/>
        <w:gridCol w:w="1620"/>
      </w:tblGrid>
      <w:tr w14:paraId="1519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1" w:type="dxa"/>
            <w:vAlign w:val="center"/>
          </w:tcPr>
          <w:p w14:paraId="7FDF9EE4">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调查内容</w:t>
            </w:r>
          </w:p>
        </w:tc>
        <w:tc>
          <w:tcPr>
            <w:tcW w:w="1716" w:type="dxa"/>
            <w:vAlign w:val="center"/>
          </w:tcPr>
          <w:p w14:paraId="335320AE">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满意</w:t>
            </w:r>
          </w:p>
        </w:tc>
        <w:tc>
          <w:tcPr>
            <w:tcW w:w="1620" w:type="dxa"/>
            <w:vAlign w:val="center"/>
          </w:tcPr>
          <w:p w14:paraId="41B74056">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基本满意</w:t>
            </w:r>
          </w:p>
        </w:tc>
        <w:tc>
          <w:tcPr>
            <w:tcW w:w="1620" w:type="dxa"/>
            <w:vAlign w:val="center"/>
          </w:tcPr>
          <w:p w14:paraId="737432EB">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不满意</w:t>
            </w:r>
          </w:p>
        </w:tc>
      </w:tr>
      <w:tr w14:paraId="687D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1" w:type="dxa"/>
            <w:vAlign w:val="center"/>
          </w:tcPr>
          <w:p w14:paraId="4C754239">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经办服务的满意度</w:t>
            </w:r>
          </w:p>
        </w:tc>
        <w:tc>
          <w:tcPr>
            <w:tcW w:w="1716" w:type="dxa"/>
            <w:vAlign w:val="center"/>
          </w:tcPr>
          <w:p w14:paraId="3AD93DE9">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37.50%</w:t>
            </w:r>
          </w:p>
        </w:tc>
        <w:tc>
          <w:tcPr>
            <w:tcW w:w="1620" w:type="dxa"/>
            <w:vAlign w:val="center"/>
          </w:tcPr>
          <w:p w14:paraId="2E4C627C">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62.50%</w:t>
            </w:r>
          </w:p>
        </w:tc>
        <w:tc>
          <w:tcPr>
            <w:tcW w:w="1620" w:type="dxa"/>
            <w:vAlign w:val="center"/>
          </w:tcPr>
          <w:p w14:paraId="6FADE154">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w:t>
            </w:r>
          </w:p>
        </w:tc>
      </w:tr>
    </w:tbl>
    <w:p w14:paraId="4F81BAC9">
      <w:pPr>
        <w:adjustRightInd w:val="0"/>
        <w:snapToGrid w:val="0"/>
        <w:spacing w:line="600" w:lineRule="exact"/>
        <w:ind w:firstLine="630" w:firstLineChars="200"/>
        <w:jc w:val="left"/>
        <w:rPr>
          <w:rFonts w:hAnsi="仿宋" w:cs="宋体"/>
          <w:color w:val="000000"/>
          <w:kern w:val="2"/>
          <w:szCs w:val="30"/>
          <w:highlight w:val="yellow"/>
        </w:rPr>
      </w:pPr>
      <w:r>
        <w:rPr>
          <w:rFonts w:hint="eastAsia" w:hAnsi="仿宋" w:cs="宋体"/>
          <w:color w:val="000000"/>
          <w:kern w:val="2"/>
          <w:szCs w:val="30"/>
        </w:rPr>
        <w:t>调查结果表明，调查对象对就业补助资金申请流程及经办服务满意度较高为100%，不存在不满意的情况。</w:t>
      </w:r>
    </w:p>
    <w:p w14:paraId="629B5C38">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（3）对补助效果的满意度</w:t>
      </w:r>
    </w:p>
    <w:tbl>
      <w:tblPr>
        <w:tblStyle w:val="24"/>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16"/>
        <w:gridCol w:w="1620"/>
        <w:gridCol w:w="1620"/>
      </w:tblGrid>
      <w:tr w14:paraId="448B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1" w:type="dxa"/>
            <w:vAlign w:val="center"/>
          </w:tcPr>
          <w:p w14:paraId="67407EA0">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调查内容</w:t>
            </w:r>
          </w:p>
        </w:tc>
        <w:tc>
          <w:tcPr>
            <w:tcW w:w="1716" w:type="dxa"/>
            <w:vAlign w:val="center"/>
          </w:tcPr>
          <w:p w14:paraId="1050D52F">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满意</w:t>
            </w:r>
          </w:p>
        </w:tc>
        <w:tc>
          <w:tcPr>
            <w:tcW w:w="1620" w:type="dxa"/>
            <w:vAlign w:val="center"/>
          </w:tcPr>
          <w:p w14:paraId="26C1A719">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基本满意</w:t>
            </w:r>
          </w:p>
        </w:tc>
        <w:tc>
          <w:tcPr>
            <w:tcW w:w="1620" w:type="dxa"/>
            <w:vAlign w:val="center"/>
          </w:tcPr>
          <w:p w14:paraId="1C448686">
            <w:pPr>
              <w:adjustRightInd w:val="0"/>
              <w:snapToGrid w:val="0"/>
              <w:spacing w:line="600" w:lineRule="exact"/>
              <w:jc w:val="center"/>
              <w:rPr>
                <w:rFonts w:hAnsi="仿宋" w:cs="仿宋"/>
                <w:b/>
                <w:spacing w:val="4"/>
                <w:sz w:val="24"/>
                <w:szCs w:val="24"/>
                <w:shd w:val="clear" w:color="auto" w:fill="FFFFFF" w:themeFill="background1"/>
              </w:rPr>
            </w:pPr>
            <w:r>
              <w:rPr>
                <w:rFonts w:hint="eastAsia" w:hAnsi="仿宋" w:cs="仿宋"/>
                <w:b/>
                <w:spacing w:val="4"/>
                <w:sz w:val="24"/>
                <w:szCs w:val="24"/>
                <w:shd w:val="clear" w:color="auto" w:fill="FFFFFF" w:themeFill="background1"/>
              </w:rPr>
              <w:t>不满意</w:t>
            </w:r>
          </w:p>
        </w:tc>
      </w:tr>
      <w:tr w14:paraId="45AA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1" w:type="dxa"/>
            <w:vAlign w:val="center"/>
          </w:tcPr>
          <w:p w14:paraId="10436153">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补助效果的满意度</w:t>
            </w:r>
          </w:p>
        </w:tc>
        <w:tc>
          <w:tcPr>
            <w:tcW w:w="1716" w:type="dxa"/>
            <w:vAlign w:val="center"/>
          </w:tcPr>
          <w:p w14:paraId="7668E060">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41.67%</w:t>
            </w:r>
          </w:p>
        </w:tc>
        <w:tc>
          <w:tcPr>
            <w:tcW w:w="1620" w:type="dxa"/>
            <w:vAlign w:val="center"/>
          </w:tcPr>
          <w:p w14:paraId="59E5E04E">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36.11%</w:t>
            </w:r>
          </w:p>
        </w:tc>
        <w:tc>
          <w:tcPr>
            <w:tcW w:w="1620" w:type="dxa"/>
            <w:vAlign w:val="center"/>
          </w:tcPr>
          <w:p w14:paraId="741277CA">
            <w:pPr>
              <w:adjustRightInd w:val="0"/>
              <w:snapToGrid w:val="0"/>
              <w:spacing w:line="600" w:lineRule="exact"/>
              <w:jc w:val="center"/>
              <w:rPr>
                <w:rFonts w:hAnsi="仿宋" w:cs="仿宋"/>
                <w:bCs/>
                <w:spacing w:val="4"/>
                <w:sz w:val="24"/>
                <w:szCs w:val="24"/>
                <w:shd w:val="clear" w:color="auto" w:fill="FFFFFF" w:themeFill="background1"/>
              </w:rPr>
            </w:pPr>
            <w:r>
              <w:rPr>
                <w:rFonts w:hint="eastAsia" w:hAnsi="仿宋" w:cs="仿宋"/>
                <w:bCs/>
                <w:spacing w:val="4"/>
                <w:sz w:val="24"/>
                <w:szCs w:val="24"/>
                <w:shd w:val="clear" w:color="auto" w:fill="FFFFFF" w:themeFill="background1"/>
              </w:rPr>
              <w:t>22.22%</w:t>
            </w:r>
          </w:p>
        </w:tc>
      </w:tr>
    </w:tbl>
    <w:p w14:paraId="3D973493">
      <w:pPr>
        <w:adjustRightInd w:val="0"/>
        <w:snapToGrid w:val="0"/>
        <w:spacing w:line="600" w:lineRule="exact"/>
        <w:ind w:firstLine="630" w:firstLineChars="200"/>
        <w:rPr>
          <w:rFonts w:hAnsi="仿宋" w:cs="宋体"/>
          <w:color w:val="000000"/>
          <w:kern w:val="2"/>
          <w:szCs w:val="30"/>
          <w:highlight w:val="yellow"/>
        </w:rPr>
      </w:pPr>
      <w:r>
        <w:rPr>
          <w:rFonts w:hint="eastAsia" w:hAnsi="仿宋" w:cs="宋体"/>
          <w:color w:val="000000"/>
          <w:kern w:val="2"/>
          <w:szCs w:val="30"/>
        </w:rPr>
        <w:t>调查结果表明，存在22.22%的调查对象对补助效果表示不满意，具体体现在少数申领就业补贴对象反应补助补贴额度对个人的帮助较小，对企业扶持作用亦不大。</w:t>
      </w:r>
    </w:p>
    <w:p w14:paraId="1A914020">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本项指标设定分值12分，经综合评价，指标得分10分。</w:t>
      </w:r>
    </w:p>
    <w:p w14:paraId="2C9175DE">
      <w:pPr>
        <w:spacing w:line="600" w:lineRule="exact"/>
        <w:ind w:firstLine="630" w:firstLineChars="200"/>
        <w:outlineLvl w:val="0"/>
        <w:rPr>
          <w:rFonts w:ascii="黑体" w:hAnsi="宋体" w:eastAsia="黑体" w:cs="宋体"/>
          <w:szCs w:val="30"/>
          <w:shd w:val="clear" w:color="auto" w:fill="FFFFFF" w:themeFill="background1"/>
        </w:rPr>
      </w:pPr>
      <w:bookmarkStart w:id="34" w:name="_Toc10496"/>
      <w:r>
        <w:rPr>
          <w:rFonts w:hint="eastAsia" w:ascii="黑体" w:hAnsi="宋体" w:eastAsia="黑体" w:cs="宋体"/>
          <w:szCs w:val="30"/>
          <w:shd w:val="clear" w:color="auto" w:fill="FFFFFF" w:themeFill="background1"/>
        </w:rPr>
        <w:t>四、绩效评分结论</w:t>
      </w:r>
      <w:bookmarkEnd w:id="34"/>
    </w:p>
    <w:p w14:paraId="23D8E02C">
      <w:pPr>
        <w:spacing w:line="600" w:lineRule="exact"/>
        <w:ind w:firstLine="630" w:firstLineChars="200"/>
        <w:outlineLvl w:val="1"/>
        <w:rPr>
          <w:rFonts w:ascii="楷体" w:hAnsi="楷体" w:eastAsia="楷体"/>
          <w:szCs w:val="30"/>
          <w:shd w:val="clear" w:color="auto" w:fill="FFFFFF" w:themeFill="background1"/>
        </w:rPr>
      </w:pPr>
      <w:bookmarkStart w:id="35" w:name="_Toc20800"/>
      <w:r>
        <w:rPr>
          <w:rFonts w:hint="eastAsia" w:ascii="楷体" w:hAnsi="楷体" w:eastAsia="楷体"/>
          <w:szCs w:val="30"/>
          <w:shd w:val="clear" w:color="auto" w:fill="FFFFFF" w:themeFill="background1"/>
        </w:rPr>
        <w:t>（一）评分情况</w:t>
      </w:r>
      <w:bookmarkEnd w:id="35"/>
    </w:p>
    <w:p w14:paraId="6B748CE3">
      <w:pPr>
        <w:adjustRightInd w:val="0"/>
        <w:snapToGrid w:val="0"/>
        <w:spacing w:line="600" w:lineRule="exact"/>
        <w:ind w:firstLine="630" w:firstLineChars="200"/>
        <w:rPr>
          <w:rFonts w:hAnsi="仿宋" w:cs="宋体"/>
          <w:color w:val="000000"/>
          <w:kern w:val="2"/>
          <w:szCs w:val="30"/>
        </w:rPr>
      </w:pPr>
      <w:bookmarkStart w:id="36" w:name="_Hlk525314439"/>
      <w:r>
        <w:rPr>
          <w:rFonts w:hint="eastAsia" w:hAnsi="仿宋" w:cs="宋体"/>
          <w:color w:val="000000"/>
          <w:kern w:val="2"/>
          <w:szCs w:val="30"/>
        </w:rPr>
        <w:t>通过综合评价，重庆高新区2020年就业补助项目综合得分为85.50分，评价等级为“良”。具体评分情况如下:</w:t>
      </w:r>
      <w:bookmarkEnd w:id="36"/>
    </w:p>
    <w:tbl>
      <w:tblPr>
        <w:tblStyle w:val="24"/>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2223"/>
        <w:gridCol w:w="2169"/>
        <w:gridCol w:w="2187"/>
      </w:tblGrid>
      <w:tr w14:paraId="1BCB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32599CAB">
            <w:pPr>
              <w:snapToGrid w:val="0"/>
              <w:jc w:val="center"/>
              <w:rPr>
                <w:rFonts w:hAnsi="仿宋"/>
                <w:b/>
                <w:bCs/>
                <w:sz w:val="24"/>
                <w:szCs w:val="24"/>
                <w:shd w:val="clear" w:color="auto" w:fill="FFFFFF" w:themeFill="background1"/>
              </w:rPr>
            </w:pPr>
            <w:bookmarkStart w:id="37" w:name="_MON_1654519755"/>
            <w:bookmarkEnd w:id="37"/>
            <w:r>
              <w:rPr>
                <w:rFonts w:hint="eastAsia" w:hAnsi="仿宋"/>
                <w:b/>
                <w:bCs/>
                <w:sz w:val="24"/>
                <w:szCs w:val="24"/>
                <w:shd w:val="clear" w:color="auto" w:fill="FFFFFF" w:themeFill="background1"/>
              </w:rPr>
              <w:t>一级指标</w:t>
            </w:r>
          </w:p>
        </w:tc>
        <w:tc>
          <w:tcPr>
            <w:tcW w:w="2223" w:type="dxa"/>
            <w:vAlign w:val="center"/>
          </w:tcPr>
          <w:p w14:paraId="2B9E6A72">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标准分值</w:t>
            </w:r>
          </w:p>
        </w:tc>
        <w:tc>
          <w:tcPr>
            <w:tcW w:w="2169" w:type="dxa"/>
            <w:vAlign w:val="center"/>
          </w:tcPr>
          <w:p w14:paraId="338D44E9">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评价得分</w:t>
            </w:r>
          </w:p>
        </w:tc>
        <w:tc>
          <w:tcPr>
            <w:tcW w:w="2187" w:type="dxa"/>
            <w:vAlign w:val="center"/>
          </w:tcPr>
          <w:p w14:paraId="0BAA77EC">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得分率</w:t>
            </w:r>
          </w:p>
        </w:tc>
      </w:tr>
      <w:tr w14:paraId="4CC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500FB7CA">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决策</w:t>
            </w:r>
          </w:p>
        </w:tc>
        <w:tc>
          <w:tcPr>
            <w:tcW w:w="2223" w:type="dxa"/>
            <w:vAlign w:val="center"/>
          </w:tcPr>
          <w:p w14:paraId="5E60D46C">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20</w:t>
            </w:r>
          </w:p>
        </w:tc>
        <w:tc>
          <w:tcPr>
            <w:tcW w:w="2169" w:type="dxa"/>
            <w:vAlign w:val="center"/>
          </w:tcPr>
          <w:p w14:paraId="5D568F48">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14.00</w:t>
            </w:r>
          </w:p>
        </w:tc>
        <w:tc>
          <w:tcPr>
            <w:tcW w:w="2187" w:type="dxa"/>
            <w:vAlign w:val="center"/>
          </w:tcPr>
          <w:p w14:paraId="797EAD2B">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70.00%</w:t>
            </w:r>
          </w:p>
        </w:tc>
      </w:tr>
      <w:tr w14:paraId="1D5F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2A8DA0D7">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过程</w:t>
            </w:r>
          </w:p>
        </w:tc>
        <w:tc>
          <w:tcPr>
            <w:tcW w:w="2223" w:type="dxa"/>
            <w:vAlign w:val="center"/>
          </w:tcPr>
          <w:p w14:paraId="6F977388">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20</w:t>
            </w:r>
          </w:p>
        </w:tc>
        <w:tc>
          <w:tcPr>
            <w:tcW w:w="2169" w:type="dxa"/>
            <w:vAlign w:val="center"/>
          </w:tcPr>
          <w:p w14:paraId="2E411049">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15.50</w:t>
            </w:r>
          </w:p>
        </w:tc>
        <w:tc>
          <w:tcPr>
            <w:tcW w:w="2187" w:type="dxa"/>
            <w:vAlign w:val="center"/>
          </w:tcPr>
          <w:p w14:paraId="2A0C5353">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77.50%</w:t>
            </w:r>
          </w:p>
        </w:tc>
      </w:tr>
      <w:tr w14:paraId="07AC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694BF71E">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产出</w:t>
            </w:r>
          </w:p>
        </w:tc>
        <w:tc>
          <w:tcPr>
            <w:tcW w:w="2223" w:type="dxa"/>
            <w:vAlign w:val="center"/>
          </w:tcPr>
          <w:p w14:paraId="1BD1EBFD">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30</w:t>
            </w:r>
          </w:p>
        </w:tc>
        <w:tc>
          <w:tcPr>
            <w:tcW w:w="2169" w:type="dxa"/>
            <w:vAlign w:val="center"/>
          </w:tcPr>
          <w:p w14:paraId="518C60D4">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30.00</w:t>
            </w:r>
          </w:p>
        </w:tc>
        <w:tc>
          <w:tcPr>
            <w:tcW w:w="2187" w:type="dxa"/>
            <w:vAlign w:val="center"/>
          </w:tcPr>
          <w:p w14:paraId="263454F2">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100.00%</w:t>
            </w:r>
          </w:p>
        </w:tc>
      </w:tr>
      <w:tr w14:paraId="3804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3C1A9D54">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效益</w:t>
            </w:r>
          </w:p>
        </w:tc>
        <w:tc>
          <w:tcPr>
            <w:tcW w:w="2223" w:type="dxa"/>
            <w:vAlign w:val="center"/>
          </w:tcPr>
          <w:p w14:paraId="3DAAC44D">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30</w:t>
            </w:r>
          </w:p>
        </w:tc>
        <w:tc>
          <w:tcPr>
            <w:tcW w:w="2169" w:type="dxa"/>
            <w:vAlign w:val="center"/>
          </w:tcPr>
          <w:p w14:paraId="0FF15DD9">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26.00</w:t>
            </w:r>
          </w:p>
        </w:tc>
        <w:tc>
          <w:tcPr>
            <w:tcW w:w="2187" w:type="dxa"/>
            <w:vAlign w:val="center"/>
          </w:tcPr>
          <w:p w14:paraId="07F59F35">
            <w:pPr>
              <w:snapToGrid w:val="0"/>
              <w:jc w:val="center"/>
              <w:rPr>
                <w:rFonts w:hAnsi="仿宋"/>
                <w:sz w:val="24"/>
                <w:szCs w:val="24"/>
                <w:shd w:val="clear" w:color="auto" w:fill="FFFFFF" w:themeFill="background1"/>
              </w:rPr>
            </w:pPr>
            <w:r>
              <w:rPr>
                <w:rFonts w:hint="eastAsia" w:hAnsi="仿宋"/>
                <w:sz w:val="24"/>
                <w:szCs w:val="24"/>
                <w:shd w:val="clear" w:color="auto" w:fill="FFFFFF" w:themeFill="background1"/>
              </w:rPr>
              <w:t>86.67%</w:t>
            </w:r>
          </w:p>
        </w:tc>
      </w:tr>
      <w:tr w14:paraId="68C8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6" w:type="dxa"/>
            <w:vAlign w:val="center"/>
          </w:tcPr>
          <w:p w14:paraId="1625DF06">
            <w:pPr>
              <w:snapToGrid w:val="0"/>
              <w:jc w:val="center"/>
              <w:rPr>
                <w:rFonts w:hAnsi="仿宋"/>
                <w:sz w:val="24"/>
                <w:szCs w:val="24"/>
                <w:shd w:val="clear" w:color="auto" w:fill="FFFFFF" w:themeFill="background1"/>
              </w:rPr>
            </w:pPr>
            <w:r>
              <w:rPr>
                <w:rFonts w:hint="eastAsia" w:hAnsi="仿宋"/>
                <w:b/>
                <w:bCs/>
                <w:sz w:val="24"/>
                <w:szCs w:val="24"/>
                <w:shd w:val="clear" w:color="auto" w:fill="FFFFFF" w:themeFill="background1"/>
              </w:rPr>
              <w:t>小计</w:t>
            </w:r>
          </w:p>
        </w:tc>
        <w:tc>
          <w:tcPr>
            <w:tcW w:w="2223" w:type="dxa"/>
            <w:vAlign w:val="center"/>
          </w:tcPr>
          <w:p w14:paraId="459CFAD8">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100</w:t>
            </w:r>
          </w:p>
        </w:tc>
        <w:tc>
          <w:tcPr>
            <w:tcW w:w="2169" w:type="dxa"/>
            <w:vAlign w:val="center"/>
          </w:tcPr>
          <w:p w14:paraId="0B709CFF">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85.50</w:t>
            </w:r>
          </w:p>
        </w:tc>
        <w:tc>
          <w:tcPr>
            <w:tcW w:w="2187" w:type="dxa"/>
            <w:vAlign w:val="center"/>
          </w:tcPr>
          <w:p w14:paraId="27DF5EC0">
            <w:pPr>
              <w:snapToGrid w:val="0"/>
              <w:jc w:val="center"/>
              <w:rPr>
                <w:rFonts w:hAnsi="仿宋"/>
                <w:b/>
                <w:bCs/>
                <w:sz w:val="24"/>
                <w:szCs w:val="24"/>
                <w:shd w:val="clear" w:color="auto" w:fill="FFFFFF" w:themeFill="background1"/>
              </w:rPr>
            </w:pPr>
            <w:r>
              <w:rPr>
                <w:rFonts w:hint="eastAsia" w:hAnsi="仿宋"/>
                <w:b/>
                <w:bCs/>
                <w:sz w:val="24"/>
                <w:szCs w:val="24"/>
                <w:shd w:val="clear" w:color="auto" w:fill="FFFFFF" w:themeFill="background1"/>
              </w:rPr>
              <w:t>85.50%</w:t>
            </w:r>
          </w:p>
        </w:tc>
      </w:tr>
    </w:tbl>
    <w:p w14:paraId="131BC057">
      <w:pPr>
        <w:spacing w:line="600" w:lineRule="exact"/>
        <w:ind w:firstLine="630" w:firstLineChars="200"/>
        <w:outlineLvl w:val="1"/>
        <w:rPr>
          <w:rFonts w:ascii="楷体" w:hAnsi="楷体" w:eastAsia="楷体"/>
          <w:szCs w:val="30"/>
          <w:shd w:val="clear" w:color="auto" w:fill="FFFFFF" w:themeFill="background1"/>
        </w:rPr>
      </w:pPr>
      <w:bookmarkStart w:id="38" w:name="_Toc9941"/>
      <w:r>
        <w:rPr>
          <w:rFonts w:hint="eastAsia" w:ascii="楷体" w:hAnsi="楷体" w:eastAsia="楷体"/>
          <w:szCs w:val="30"/>
          <w:shd w:val="clear" w:color="auto" w:fill="FFFFFF" w:themeFill="background1"/>
        </w:rPr>
        <w:t>（二）综合结论</w:t>
      </w:r>
      <w:bookmarkEnd w:id="38"/>
    </w:p>
    <w:p w14:paraId="0C8DCD2F">
      <w:pPr>
        <w:adjustRightInd w:val="0"/>
        <w:snapToGrid w:val="0"/>
        <w:spacing w:line="600" w:lineRule="exact"/>
        <w:ind w:firstLine="630" w:firstLineChars="200"/>
        <w:rPr>
          <w:rFonts w:hAnsi="仿宋" w:cs="宋体"/>
          <w:color w:val="000000"/>
          <w:kern w:val="2"/>
          <w:szCs w:val="30"/>
        </w:rPr>
      </w:pPr>
      <w:bookmarkStart w:id="39" w:name="_Hlk525314457"/>
      <w:r>
        <w:rPr>
          <w:rFonts w:hint="eastAsia" w:hAnsi="仿宋" w:cs="宋体"/>
          <w:color w:val="000000"/>
          <w:kern w:val="2"/>
          <w:szCs w:val="30"/>
        </w:rPr>
        <w:t>通过绩效分析，综合评价认为：</w:t>
      </w:r>
    </w:p>
    <w:bookmarkEnd w:id="39"/>
    <w:p w14:paraId="425F1992">
      <w:pPr>
        <w:adjustRightInd w:val="0"/>
        <w:snapToGrid w:val="0"/>
        <w:spacing w:line="600" w:lineRule="exact"/>
        <w:ind w:firstLine="630" w:firstLineChars="200"/>
        <w:rPr>
          <w:rFonts w:hAnsi="仿宋" w:cs="宋体"/>
          <w:color w:val="000000"/>
          <w:kern w:val="2"/>
          <w:szCs w:val="30"/>
        </w:rPr>
      </w:pPr>
      <w:bookmarkStart w:id="40" w:name="_Toc11045"/>
      <w:r>
        <w:rPr>
          <w:rFonts w:hint="eastAsia" w:hAnsi="仿宋" w:cs="宋体"/>
          <w:color w:val="000000"/>
          <w:kern w:val="2"/>
          <w:szCs w:val="30"/>
          <w:lang w:eastAsia="zh-CN"/>
        </w:rPr>
        <w:t>截至</w:t>
      </w:r>
      <w:r>
        <w:rPr>
          <w:rFonts w:hint="eastAsia" w:hAnsi="仿宋" w:cs="宋体"/>
          <w:color w:val="000000"/>
          <w:kern w:val="2"/>
          <w:szCs w:val="30"/>
        </w:rPr>
        <w:t>2020年12月底，重庆高新区2020年就业补助项目完成了年初各项目标任务。通过项目的实施，不仅促使就业创业结构更加合理，还使得就业创业体系日益完善。同时，缓解了社会压力，对保持就业创业局势和社会稳定起到了促进作用。在项目管理过程中，相关部门注重过程管理，及时制定相关制度，提高了资金使用效益。但也存在以下问题和不足，包括：绩效目标导向理念仍未深化，目标值谋划不足；资金分配与需求的匹配性偏差，部分资金沉淀；未严格执行档案管理规定，部分资料归档不全。</w:t>
      </w:r>
    </w:p>
    <w:bookmarkEnd w:id="40"/>
    <w:p w14:paraId="090D8654">
      <w:pPr>
        <w:spacing w:line="600" w:lineRule="exact"/>
        <w:ind w:firstLine="630" w:firstLineChars="200"/>
        <w:outlineLvl w:val="0"/>
        <w:rPr>
          <w:rFonts w:ascii="黑体" w:hAnsi="宋体" w:eastAsia="黑体" w:cs="宋体"/>
          <w:szCs w:val="30"/>
          <w:shd w:val="clear" w:color="auto" w:fill="FFFFFF" w:themeFill="background1"/>
        </w:rPr>
      </w:pPr>
      <w:bookmarkStart w:id="41" w:name="_Toc25606"/>
      <w:r>
        <w:rPr>
          <w:rFonts w:hint="eastAsia" w:ascii="黑体" w:hAnsi="宋体" w:eastAsia="黑体" w:cs="宋体"/>
          <w:szCs w:val="30"/>
          <w:shd w:val="clear" w:color="auto" w:fill="FFFFFF" w:themeFill="background1"/>
        </w:rPr>
        <w:t>五、存在的主要问题和不足</w:t>
      </w:r>
      <w:bookmarkEnd w:id="41"/>
    </w:p>
    <w:p w14:paraId="3450D823">
      <w:pPr>
        <w:spacing w:line="600" w:lineRule="exact"/>
        <w:ind w:firstLine="630" w:firstLineChars="200"/>
        <w:outlineLvl w:val="1"/>
        <w:rPr>
          <w:rFonts w:ascii="楷体" w:hAnsi="楷体" w:eastAsia="楷体"/>
          <w:szCs w:val="30"/>
          <w:shd w:val="clear" w:color="auto" w:fill="FFFFFF" w:themeFill="background1"/>
        </w:rPr>
      </w:pPr>
      <w:bookmarkStart w:id="42" w:name="_Toc14292"/>
      <w:r>
        <w:rPr>
          <w:rFonts w:hint="eastAsia" w:ascii="楷体" w:hAnsi="楷体" w:eastAsia="楷体"/>
          <w:szCs w:val="30"/>
          <w:shd w:val="clear" w:color="auto" w:fill="FFFFFF" w:themeFill="background1"/>
        </w:rPr>
        <w:t>（一）绩效目标导向理念仍未深化，目标值谋划不足</w:t>
      </w:r>
      <w:bookmarkEnd w:id="42"/>
    </w:p>
    <w:p w14:paraId="7CD9958E">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一是指标目标值不明确。在产出数量指标中，各项补贴人员数量指标年初未设定预期目标值，而是以年终实际完成情况作为年初目标值参照，反设年初预期目标值。评价认为，此种绩效目标设置方式不利于后期对项目实施绩效监控和绩效评价工作。</w:t>
      </w:r>
    </w:p>
    <w:p w14:paraId="728DD806">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二是部分绩效指标分解不全面。产出质量三级指标仅1项，为“劳动监察投诉结案率”，未根据项目实际补贴补助种类分项设置产出质量指标，“劳动监察投诉结案率”无法全面反应各类补贴补助资金执行后的产出质量。同时，项目未设置产出时效和产出成本指标。</w:t>
      </w:r>
    </w:p>
    <w:p w14:paraId="768EA783">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三是绩效自评质量不高。通过区政务中心向区级财政部门报送的项目绩效自评报告和自评佐证材料，自评报告多为工作完成情况的总结，未能针对项目资金支出情况、项目过程管理情况、绩效目标完成情况进行详细分析，并提出下一步的改进措施，且自评佐证材料中涉及项目过程管理材料较少。</w:t>
      </w:r>
    </w:p>
    <w:p w14:paraId="7DAD118D">
      <w:pPr>
        <w:spacing w:line="600" w:lineRule="exact"/>
        <w:ind w:firstLine="630" w:firstLineChars="200"/>
        <w:outlineLvl w:val="1"/>
        <w:rPr>
          <w:rFonts w:ascii="楷体" w:hAnsi="楷体" w:eastAsia="楷体"/>
          <w:szCs w:val="30"/>
          <w:shd w:val="clear" w:color="auto" w:fill="FFFFFF" w:themeFill="background1"/>
        </w:rPr>
      </w:pPr>
      <w:bookmarkStart w:id="43" w:name="_Toc2743"/>
      <w:r>
        <w:rPr>
          <w:rFonts w:hint="eastAsia" w:ascii="楷体" w:hAnsi="楷体" w:eastAsia="楷体"/>
          <w:szCs w:val="30"/>
          <w:shd w:val="clear" w:color="auto" w:fill="FFFFFF" w:themeFill="background1"/>
        </w:rPr>
        <w:t>（二）资金分配与需求的匹配性偏差，部分资金沉淀</w:t>
      </w:r>
      <w:bookmarkEnd w:id="43"/>
    </w:p>
    <w:p w14:paraId="3A27FCB1">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一是预算资金分配不够精准，预算执行监控不到位。2020 年高新区就业补助资金支出率为19.76%，其中中央就业补助资金支出率为 3.09%，区级就业补助资金支出率为19.01%。各类别资金支出率存在不同程度差异，一方面反映出预算编制科学性合理性还有欠缺，资金分配额度与年度目标不相适；另一方面反映出区级主管部门对项目预算执行过程的监控力度不够，未能会同财政相关部门根据资金支出情况及时调整预算安排。</w:t>
      </w:r>
    </w:p>
    <w:p w14:paraId="5443F8D4">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二是资金分配合理性不足，根据市、区就业补助资金管理办法，中央财政和市财政就业补助资金实行因素法和项目法相结合的办法分配，2020年，因受新冠疫情原因影响，高新区就业补助资金支出率低，复工后相关部门未根据上述资金分配方法及时调整项目预算。同时，区政务中心未给出项目涉及各镇街具体的资金需求测算依据，也未能给出就业补助资金年初预算分配的测算依据，资金分配合理性不足。</w:t>
      </w:r>
    </w:p>
    <w:p w14:paraId="777878F6">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上述情况均从不同程度影响了财政资金的使用效益，导致资金年度支出率不高，部分资金出现沉淀，值得相关部门引起重视。</w:t>
      </w:r>
    </w:p>
    <w:p w14:paraId="00D58EEA">
      <w:pPr>
        <w:spacing w:line="600" w:lineRule="exact"/>
        <w:ind w:firstLine="630" w:firstLineChars="200"/>
        <w:outlineLvl w:val="1"/>
        <w:rPr>
          <w:rFonts w:ascii="楷体" w:hAnsi="楷体" w:eastAsia="楷体"/>
          <w:szCs w:val="30"/>
          <w:shd w:val="clear" w:color="auto" w:fill="FFFFFF" w:themeFill="background1"/>
        </w:rPr>
      </w:pPr>
      <w:bookmarkStart w:id="44" w:name="_Toc5593"/>
      <w:r>
        <w:rPr>
          <w:rFonts w:hint="eastAsia" w:ascii="楷体" w:hAnsi="楷体" w:eastAsia="楷体"/>
          <w:szCs w:val="30"/>
          <w:shd w:val="clear" w:color="auto" w:fill="FFFFFF" w:themeFill="background1"/>
        </w:rPr>
        <w:t>（三）未严格执行档案管理规定，部分资料归档不全</w:t>
      </w:r>
      <w:bookmarkEnd w:id="44"/>
    </w:p>
    <w:p w14:paraId="70FF7681">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一是根据《就业相关服务及政策经办工作手册》规定，相关部门应对社会保险补贴审核表以及就业政策享受情况告知函送达回执及时归档保存，但评价人员在抽查的会保险补贴归档资料中并未发现上述材料。</w:t>
      </w:r>
    </w:p>
    <w:p w14:paraId="00E66C8A">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二是因岗位变动过程中前后任经办人员资料交接工作不完善，导致现任经办人员对2020年项目实施情况了解程度不高，部分资料暂不知存放于何处，评价中无法提供。</w:t>
      </w:r>
    </w:p>
    <w:p w14:paraId="7A6B2863">
      <w:pPr>
        <w:spacing w:line="600" w:lineRule="exact"/>
        <w:ind w:firstLine="630" w:firstLineChars="200"/>
        <w:outlineLvl w:val="0"/>
        <w:rPr>
          <w:rFonts w:ascii="黑体" w:hAnsi="宋体" w:eastAsia="黑体" w:cs="宋体"/>
          <w:szCs w:val="30"/>
          <w:shd w:val="clear" w:color="auto" w:fill="FFFFFF" w:themeFill="background1"/>
        </w:rPr>
      </w:pPr>
      <w:bookmarkStart w:id="45" w:name="_Toc23808"/>
      <w:r>
        <w:rPr>
          <w:rFonts w:hint="eastAsia" w:ascii="黑体" w:hAnsi="宋体" w:eastAsia="黑体" w:cs="宋体"/>
          <w:szCs w:val="30"/>
          <w:shd w:val="clear" w:color="auto" w:fill="FFFFFF" w:themeFill="background1"/>
        </w:rPr>
        <w:t>六、主要建议</w:t>
      </w:r>
      <w:bookmarkEnd w:id="45"/>
      <w:bookmarkStart w:id="46" w:name="_Hlk525314575"/>
    </w:p>
    <w:p w14:paraId="779121A6">
      <w:pPr>
        <w:spacing w:line="600" w:lineRule="exact"/>
        <w:ind w:firstLine="630" w:firstLineChars="200"/>
        <w:outlineLvl w:val="1"/>
        <w:rPr>
          <w:rFonts w:ascii="楷体" w:hAnsi="楷体" w:eastAsia="楷体"/>
          <w:szCs w:val="30"/>
          <w:shd w:val="clear" w:color="auto" w:fill="FFFFFF" w:themeFill="background1"/>
        </w:rPr>
      </w:pPr>
      <w:bookmarkStart w:id="47" w:name="_Toc12823"/>
      <w:r>
        <w:rPr>
          <w:rFonts w:hint="eastAsia" w:ascii="楷体" w:hAnsi="楷体" w:eastAsia="楷体"/>
          <w:szCs w:val="30"/>
          <w:shd w:val="clear" w:color="auto" w:fill="FFFFFF" w:themeFill="background1"/>
        </w:rPr>
        <w:t>（一）重视绩效目标前置作用，推进绩效关口前移</w:t>
      </w:r>
      <w:bookmarkEnd w:id="47"/>
    </w:p>
    <w:p w14:paraId="33F592D1">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一是完善项目支出绩效目标和指标的设置，加强对绩效目标与指标的理解，项目业务主管部门应依据项目支出的功能特性， 通过收集上年度相关基准数据，预计项目实施在一定时期内所要达到的总体产出和效果，结合就业工作总体目标，确定各级就业补助资金项目所要实现的总体目标，并根据从中概括、提炼出最能反映总体目标预期实现程度的关键性指标，及时确定各项产出及效益指标的目标值，为后续预算绩效管理工作提供基础保障。</w:t>
      </w:r>
    </w:p>
    <w:p w14:paraId="74812D98">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二是总结梳理高新区就业补助资金项目近年实施涉及的绩效目标及绩效指标值，形成该类绩效指标及指标值标准体系，涵盖“历史值最高值、最低值、平均值”等，为下一年度项目预算编制和绩效目标及绩效指标设置提供参考。</w:t>
      </w:r>
    </w:p>
    <w:p w14:paraId="5591A322">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三是及时分解下达就业目标指标，区级业务主管部门应按照上级主管部门要求，在区级就业目标任务的基础上，全面分解各镇街就业目标和指标任务，并适时对各镇街就业目标指标完成情况进行监控，确保就业目标指标分解全面、可考核。</w:t>
      </w:r>
    </w:p>
    <w:p w14:paraId="2BE019EB">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四是加强绩效管理工作培训指导，可通过聘请第三方进行系统的绩效目标申报和绩效自评辅导培训，切实提升项目业务部门绩效管理工作水平。</w:t>
      </w:r>
    </w:p>
    <w:p w14:paraId="73AD537F">
      <w:pPr>
        <w:spacing w:line="600" w:lineRule="exact"/>
        <w:ind w:firstLine="630" w:firstLineChars="200"/>
        <w:outlineLvl w:val="1"/>
        <w:rPr>
          <w:rFonts w:ascii="楷体" w:hAnsi="楷体" w:eastAsia="楷体"/>
          <w:szCs w:val="30"/>
          <w:shd w:val="clear" w:color="auto" w:fill="FFFFFF" w:themeFill="background1"/>
        </w:rPr>
      </w:pPr>
      <w:bookmarkStart w:id="48" w:name="_Toc18072"/>
      <w:r>
        <w:rPr>
          <w:rFonts w:hint="eastAsia" w:ascii="楷体" w:hAnsi="楷体" w:eastAsia="楷体"/>
          <w:szCs w:val="30"/>
          <w:shd w:val="clear" w:color="auto" w:fill="FFFFFF" w:themeFill="background1"/>
        </w:rPr>
        <w:t>（二）优化资金分配管理方式，充分发挥资金效益</w:t>
      </w:r>
      <w:bookmarkEnd w:id="48"/>
    </w:p>
    <w:p w14:paraId="7F005E9B">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一是科学谋划本级资金分配工作。在中央、市转移支付资金 下达的基础上，项目主管部门应按照就业资金管理办法中关于基础因素、投入因素、绩效因素和结余因素的考量，参考历年资金支出情况，根据年度就业整体形势和重点工作任务，通过专题调研、专家论证等形式，适当调整分配资金选择的因素和权重，确定详细的资金分配测算方式方法，科学谋划各级就业资金分配，确保资金分配科学合理，符合实际。</w:t>
      </w:r>
    </w:p>
    <w:p w14:paraId="2ED06DD7">
      <w:pPr>
        <w:adjustRightInd w:val="0"/>
        <w:snapToGrid w:val="0"/>
        <w:spacing w:line="600" w:lineRule="exact"/>
        <w:ind w:firstLine="630" w:firstLineChars="200"/>
        <w:rPr>
          <w:rFonts w:hAnsi="仿宋" w:cs="宋体"/>
          <w:color w:val="000000"/>
          <w:kern w:val="2"/>
          <w:szCs w:val="30"/>
        </w:rPr>
      </w:pPr>
      <w:r>
        <w:rPr>
          <w:rFonts w:hint="eastAsia" w:hAnsi="仿宋" w:cs="宋体"/>
          <w:color w:val="000000"/>
          <w:kern w:val="2"/>
          <w:szCs w:val="30"/>
        </w:rPr>
        <w:t>二是项目主管部门应建立就业资金监控协调机制，及时跟踪全区就业资金支出进度情况，定期对于资金支出滞后的情况进行原因分析和预警，对于支出进度偏差较大的事项及时进行资金分配调整，并统筹测算后续需求，避免出现全区资金支出不平衡的情况。</w:t>
      </w:r>
    </w:p>
    <w:p w14:paraId="3C5D1BF2">
      <w:pPr>
        <w:spacing w:line="600" w:lineRule="exact"/>
        <w:ind w:firstLine="630" w:firstLineChars="200"/>
        <w:outlineLvl w:val="1"/>
        <w:rPr>
          <w:rFonts w:ascii="楷体" w:hAnsi="楷体" w:eastAsia="楷体"/>
          <w:szCs w:val="30"/>
          <w:shd w:val="clear" w:color="auto" w:fill="FFFFFF" w:themeFill="background1"/>
        </w:rPr>
      </w:pPr>
      <w:bookmarkStart w:id="49" w:name="_Toc21365"/>
      <w:r>
        <w:rPr>
          <w:rFonts w:hint="eastAsia" w:ascii="楷体" w:hAnsi="楷体" w:eastAsia="楷体"/>
          <w:szCs w:val="30"/>
          <w:shd w:val="clear" w:color="auto" w:fill="FFFFFF" w:themeFill="background1"/>
        </w:rPr>
        <w:t>（三）严格执行各类档案管理制度，及时完成归档工作</w:t>
      </w:r>
      <w:bookmarkEnd w:id="49"/>
    </w:p>
    <w:p w14:paraId="3D0A5110">
      <w:pPr>
        <w:overflowPunct w:val="0"/>
        <w:adjustRightInd w:val="0"/>
        <w:snapToGrid w:val="0"/>
        <w:spacing w:line="600" w:lineRule="exact"/>
        <w:ind w:firstLine="632"/>
        <w:rPr>
          <w:rFonts w:hAnsi="仿宋" w:cs="宋体"/>
          <w:color w:val="000000"/>
          <w:kern w:val="2"/>
          <w:szCs w:val="30"/>
        </w:rPr>
      </w:pPr>
      <w:r>
        <w:rPr>
          <w:rFonts w:hint="eastAsia" w:hAnsi="仿宋" w:cs="宋体"/>
          <w:color w:val="000000"/>
          <w:kern w:val="2"/>
          <w:szCs w:val="30"/>
        </w:rPr>
        <w:t>一是相关部门要在前期的资料收集中进行明确分工，将责任落实到位，促使每一环节的工作都能够高质量完成。针对项目资料归档工作的开展，可以将前期的资料收集工作划分为纸质资料收集和电子资料收集，不同的资料收集任务安排特定的工作人员。</w:t>
      </w:r>
    </w:p>
    <w:p w14:paraId="0E428B13">
      <w:pPr>
        <w:overflowPunct w:val="0"/>
        <w:adjustRightInd w:val="0"/>
        <w:snapToGrid w:val="0"/>
        <w:spacing w:line="600" w:lineRule="exact"/>
        <w:ind w:firstLine="632"/>
      </w:pPr>
      <w:r>
        <w:rPr>
          <w:rFonts w:hint="eastAsia" w:hAnsi="仿宋" w:cs="宋体"/>
          <w:color w:val="000000"/>
          <w:kern w:val="2"/>
          <w:szCs w:val="30"/>
        </w:rPr>
        <w:t>二是加强专业化档案管理工作人员的培训。加强专业化档案工作人员的培训，具体而言，整个培训工作可以分三阶段进行。在第一阶段，主要引导工作人员对资料归档工作环境进行全面熟悉，了解整体工作流程，并完成对项目资料归档工作的初步认识。在第二阶段，重点针对资料归档中各个环节的工作内容进行技能培训，这是整个培训工作的重中之重，通过这一阶段培训工作的开展，促使工作人员能够熟练掌握资料归档工作中的各项技能，并高效参与到具体工作的实施过程中。第三阶段为查漏补缺阶段，在这一阶段中，要通过全面的观察和了解，查找工作人员在具体工作执行过程中仍然存在的不足之处，并有针对性进行在此培训，强化技能，进而不断提升其工作效率。</w:t>
      </w:r>
    </w:p>
    <w:p w14:paraId="1E3BDA17">
      <w:pPr>
        <w:spacing w:line="600" w:lineRule="exact"/>
        <w:ind w:firstLine="630" w:firstLineChars="200"/>
        <w:outlineLvl w:val="0"/>
        <w:rPr>
          <w:rFonts w:ascii="黑体" w:hAnsi="宋体" w:eastAsia="黑体" w:cs="宋体"/>
          <w:szCs w:val="30"/>
          <w:shd w:val="clear" w:color="auto" w:fill="FFFFFF" w:themeFill="background1"/>
        </w:rPr>
      </w:pPr>
      <w:bookmarkStart w:id="50" w:name="_Toc31921"/>
      <w:r>
        <w:rPr>
          <w:rFonts w:hint="eastAsia" w:ascii="黑体" w:hAnsi="宋体" w:eastAsia="黑体" w:cs="宋体"/>
          <w:szCs w:val="30"/>
          <w:shd w:val="clear" w:color="auto" w:fill="FFFFFF" w:themeFill="background1"/>
        </w:rPr>
        <w:t>七、附件</w:t>
      </w:r>
      <w:bookmarkEnd w:id="50"/>
    </w:p>
    <w:bookmarkEnd w:id="46"/>
    <w:p w14:paraId="4956648A">
      <w:pPr>
        <w:overflowPunct w:val="0"/>
        <w:adjustRightInd w:val="0"/>
        <w:snapToGrid w:val="0"/>
        <w:spacing w:line="600" w:lineRule="exact"/>
        <w:ind w:firstLine="632"/>
        <w:rPr>
          <w:rFonts w:hAnsi="仿宋" w:cs="宋体"/>
          <w:color w:val="000000"/>
          <w:kern w:val="2"/>
          <w:szCs w:val="30"/>
        </w:rPr>
      </w:pPr>
      <w:r>
        <w:rPr>
          <w:rFonts w:hint="eastAsia" w:hAnsi="仿宋" w:cs="宋体"/>
          <w:color w:val="000000"/>
          <w:kern w:val="2"/>
          <w:szCs w:val="30"/>
        </w:rPr>
        <w:t>1.重庆高新区2020年就业补助项目绩效评价指标表；</w:t>
      </w:r>
    </w:p>
    <w:p w14:paraId="645F7697">
      <w:pPr>
        <w:overflowPunct w:val="0"/>
        <w:adjustRightInd w:val="0"/>
        <w:snapToGrid w:val="0"/>
        <w:spacing w:line="600" w:lineRule="exact"/>
        <w:ind w:firstLine="632"/>
        <w:rPr>
          <w:rFonts w:hAnsi="仿宋" w:cs="宋体"/>
          <w:color w:val="000000"/>
          <w:kern w:val="2"/>
          <w:szCs w:val="30"/>
        </w:rPr>
      </w:pPr>
      <w:r>
        <w:rPr>
          <w:rFonts w:hint="eastAsia" w:hAnsi="仿宋" w:cs="宋体"/>
          <w:color w:val="000000"/>
          <w:kern w:val="2"/>
          <w:szCs w:val="30"/>
        </w:rPr>
        <w:t>2.重庆高新区2020年就业补助项目绩效评价调查问卷；</w:t>
      </w:r>
    </w:p>
    <w:p w14:paraId="2E1F6977">
      <w:pPr>
        <w:overflowPunct w:val="0"/>
        <w:adjustRightInd w:val="0"/>
        <w:snapToGrid w:val="0"/>
        <w:spacing w:line="600" w:lineRule="exact"/>
        <w:ind w:firstLine="632"/>
        <w:rPr>
          <w:rFonts w:hAnsi="仿宋" w:cs="宋体"/>
          <w:color w:val="000000"/>
          <w:kern w:val="2"/>
          <w:szCs w:val="30"/>
        </w:rPr>
      </w:pPr>
      <w:r>
        <w:rPr>
          <w:rFonts w:hint="eastAsia" w:hAnsi="仿宋" w:cs="宋体"/>
          <w:color w:val="000000"/>
          <w:kern w:val="2"/>
          <w:szCs w:val="30"/>
        </w:rPr>
        <w:t>3.重庆高新区2020年就业补助项目绩效评价图片资料。</w:t>
      </w:r>
    </w:p>
    <w:sectPr>
      <w:footerReference r:id="rId5" w:type="default"/>
      <w:footerReference r:id="rId6" w:type="even"/>
      <w:pgSz w:w="11906" w:h="16838"/>
      <w:pgMar w:top="2098" w:right="1474" w:bottom="1985" w:left="1588" w:header="851" w:footer="1474" w:gutter="0"/>
      <w:pgNumType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ED4753-F92F-444A-B919-A5D79CEAA4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3609CDF-4AD2-4D79-B608-35E26276FAD1}"/>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A0BF8D17-1196-4B0B-AC63-BB7585969DF2}"/>
  </w:font>
  <w:font w:name="仿宋_GB2312">
    <w:altName w:val="仿宋"/>
    <w:panose1 w:val="00000000000000000000"/>
    <w:charset w:val="86"/>
    <w:family w:val="modern"/>
    <w:pitch w:val="default"/>
    <w:sig w:usb0="00000000" w:usb1="0000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4" w:fontKey="{DF59C456-B25E-41EF-884B-20FCDB09F956}"/>
  </w:font>
  <w:font w:name="楷体">
    <w:panose1 w:val="02010609060101010101"/>
    <w:charset w:val="86"/>
    <w:family w:val="modern"/>
    <w:pitch w:val="default"/>
    <w:sig w:usb0="800002BF" w:usb1="38CF7CFA" w:usb2="00000016" w:usb3="00000000" w:csb0="00040001" w:csb1="00000000"/>
    <w:embedRegular r:id="rId5" w:fontKey="{98A4138D-B35A-4894-AE22-D11F692E1065}"/>
  </w:font>
  <w:font w:name="方正小标宋简体">
    <w:panose1 w:val="02010601030101010101"/>
    <w:charset w:val="86"/>
    <w:family w:val="auto"/>
    <w:pitch w:val="default"/>
    <w:sig w:usb0="00000001" w:usb1="080E0000" w:usb2="00000000" w:usb3="00000000" w:csb0="00040000" w:csb1="00000000"/>
  </w:font>
  <w:font w:name="Arial Narrow">
    <w:panose1 w:val="020B0706020202030204"/>
    <w:charset w:val="00"/>
    <w:family w:val="swiss"/>
    <w:pitch w:val="default"/>
    <w:sig w:usb0="00000287" w:usb1="00000800" w:usb2="00000000" w:usb3="00000000" w:csb0="2000009F" w:csb1="DFD70000"/>
    <w:embedRegular r:id="rId6" w:fontKey="{D723F835-FFEA-4994-808D-F291AB290E96}"/>
  </w:font>
  <w:font w:name="WPSEMBED2">
    <w:panose1 w:val="020B0706020202030204"/>
    <w:charset w:val="00"/>
    <w:family w:val="auto"/>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embedRegular r:id="rId7" w:fontKey="{62439BD6-62D5-40F7-96B7-4628DA02A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19BF">
    <w:pPr>
      <w:pStyle w:val="15"/>
      <w:jc w:val="right"/>
      <w:rPr>
        <w:rFonts w:ascii="仿宋" w:hAnsi="仿宋" w:eastAsia="仿宋"/>
        <w:sz w:val="28"/>
        <w:szCs w:val="28"/>
      </w:rPr>
    </w:pPr>
    <w:r>
      <w:rPr>
        <w:sz w:val="2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5E236DCD">
                <w:pPr>
                  <w:pStyle w:val="15"/>
                  <w:jc w:val="right"/>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v</w:t>
                </w:r>
                <w:r>
                  <w:rPr>
                    <w:rFonts w:ascii="仿宋" w:hAnsi="仿宋" w:eastAsia="仿宋"/>
                    <w:sz w:val="28"/>
                    <w:szCs w:val="28"/>
                  </w:rPr>
                  <w:fldChar w:fldCharType="end"/>
                </w:r>
                <w:r>
                  <w:rPr>
                    <w:rFonts w:hint="eastAsia" w:ascii="仿宋" w:hAnsi="仿宋" w:eastAsia="仿宋"/>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D87D">
    <w:pPr>
      <w:pStyle w:val="15"/>
      <w:rPr>
        <w:rFonts w:ascii="仿宋" w:hAnsi="仿宋" w:eastAsia="仿宋"/>
        <w:sz w:val="28"/>
        <w:szCs w:val="28"/>
      </w:rPr>
    </w:pPr>
    <w:r>
      <w:rPr>
        <w:sz w:val="2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4B7E98E2">
                <w:pPr>
                  <w:pStyle w:val="15"/>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rPr>
                  <w:t>vi</w:t>
                </w:r>
                <w:r>
                  <w:rPr>
                    <w:rFonts w:ascii="仿宋" w:hAnsi="仿宋" w:eastAsia="仿宋"/>
                    <w:sz w:val="28"/>
                    <w:szCs w:val="28"/>
                  </w:rPr>
                  <w:fldChar w:fldCharType="end"/>
                </w:r>
                <w:r>
                  <w:rPr>
                    <w:rFonts w:hint="eastAsia" w:ascii="仿宋" w:hAnsi="仿宋" w:eastAsia="仿宋"/>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AC96">
    <w:pPr>
      <w:pStyle w:val="15"/>
      <w:jc w:val="righ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11</w:t>
    </w:r>
    <w:r>
      <w:rPr>
        <w:rFonts w:ascii="仿宋" w:hAnsi="仿宋" w:eastAsia="仿宋"/>
        <w:sz w:val="28"/>
        <w:szCs w:val="28"/>
      </w:rPr>
      <w:fldChar w:fldCharType="end"/>
    </w:r>
    <w:r>
      <w:rPr>
        <w:rFonts w:hint="eastAsia" w:ascii="仿宋" w:hAnsi="仿宋" w:eastAsia="仿宋"/>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82AF">
    <w:pPr>
      <w:pStyle w:val="15"/>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hint="eastAsia" w:ascii="仿宋" w:hAnsi="仿宋" w:eastAsia="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92C"/>
    <w:rsid w:val="000027B8"/>
    <w:rsid w:val="00003457"/>
    <w:rsid w:val="000053D4"/>
    <w:rsid w:val="0000546D"/>
    <w:rsid w:val="00006711"/>
    <w:rsid w:val="00006D42"/>
    <w:rsid w:val="00006EFE"/>
    <w:rsid w:val="00007194"/>
    <w:rsid w:val="000101DC"/>
    <w:rsid w:val="000109E6"/>
    <w:rsid w:val="00011162"/>
    <w:rsid w:val="000114B1"/>
    <w:rsid w:val="00011904"/>
    <w:rsid w:val="000127D9"/>
    <w:rsid w:val="00014640"/>
    <w:rsid w:val="00014BDC"/>
    <w:rsid w:val="000163D2"/>
    <w:rsid w:val="00016C8A"/>
    <w:rsid w:val="00021B6D"/>
    <w:rsid w:val="000227C6"/>
    <w:rsid w:val="00022C9A"/>
    <w:rsid w:val="00022FAF"/>
    <w:rsid w:val="00022FFA"/>
    <w:rsid w:val="00023FF0"/>
    <w:rsid w:val="00026ADC"/>
    <w:rsid w:val="000302F4"/>
    <w:rsid w:val="000306D9"/>
    <w:rsid w:val="00030BA6"/>
    <w:rsid w:val="0003170A"/>
    <w:rsid w:val="00032A27"/>
    <w:rsid w:val="00032BAE"/>
    <w:rsid w:val="00033669"/>
    <w:rsid w:val="000337F5"/>
    <w:rsid w:val="000371FC"/>
    <w:rsid w:val="000377E6"/>
    <w:rsid w:val="000379A2"/>
    <w:rsid w:val="00037F46"/>
    <w:rsid w:val="0004014B"/>
    <w:rsid w:val="00041A3A"/>
    <w:rsid w:val="000434C7"/>
    <w:rsid w:val="0004386F"/>
    <w:rsid w:val="00044EEC"/>
    <w:rsid w:val="00046291"/>
    <w:rsid w:val="00046463"/>
    <w:rsid w:val="00047E8F"/>
    <w:rsid w:val="00047EF1"/>
    <w:rsid w:val="00050634"/>
    <w:rsid w:val="00050813"/>
    <w:rsid w:val="00050A1C"/>
    <w:rsid w:val="00053C7D"/>
    <w:rsid w:val="000542F1"/>
    <w:rsid w:val="000551AB"/>
    <w:rsid w:val="000551E7"/>
    <w:rsid w:val="00055F69"/>
    <w:rsid w:val="0006002B"/>
    <w:rsid w:val="00062CFB"/>
    <w:rsid w:val="0006310C"/>
    <w:rsid w:val="0006432B"/>
    <w:rsid w:val="00064BE6"/>
    <w:rsid w:val="000657BA"/>
    <w:rsid w:val="000660A0"/>
    <w:rsid w:val="00066DAD"/>
    <w:rsid w:val="00070AC0"/>
    <w:rsid w:val="0007119B"/>
    <w:rsid w:val="0007217F"/>
    <w:rsid w:val="00072E67"/>
    <w:rsid w:val="000739FE"/>
    <w:rsid w:val="00073C73"/>
    <w:rsid w:val="0007505D"/>
    <w:rsid w:val="00075831"/>
    <w:rsid w:val="000761D2"/>
    <w:rsid w:val="00076F5F"/>
    <w:rsid w:val="00077515"/>
    <w:rsid w:val="0008006D"/>
    <w:rsid w:val="000811F8"/>
    <w:rsid w:val="00082438"/>
    <w:rsid w:val="0008270C"/>
    <w:rsid w:val="00082DC6"/>
    <w:rsid w:val="00083237"/>
    <w:rsid w:val="00087455"/>
    <w:rsid w:val="000910C9"/>
    <w:rsid w:val="000913F5"/>
    <w:rsid w:val="000926D7"/>
    <w:rsid w:val="00093656"/>
    <w:rsid w:val="00095539"/>
    <w:rsid w:val="00096B29"/>
    <w:rsid w:val="00096B43"/>
    <w:rsid w:val="000A189E"/>
    <w:rsid w:val="000A2BE7"/>
    <w:rsid w:val="000A3ED9"/>
    <w:rsid w:val="000A4204"/>
    <w:rsid w:val="000A4562"/>
    <w:rsid w:val="000A49F6"/>
    <w:rsid w:val="000A60AC"/>
    <w:rsid w:val="000A64F5"/>
    <w:rsid w:val="000A699B"/>
    <w:rsid w:val="000B2FCE"/>
    <w:rsid w:val="000B4697"/>
    <w:rsid w:val="000B5E5B"/>
    <w:rsid w:val="000C03A5"/>
    <w:rsid w:val="000C04DE"/>
    <w:rsid w:val="000C0984"/>
    <w:rsid w:val="000C12DE"/>
    <w:rsid w:val="000C1909"/>
    <w:rsid w:val="000C19BE"/>
    <w:rsid w:val="000C3CE0"/>
    <w:rsid w:val="000C5033"/>
    <w:rsid w:val="000C6A24"/>
    <w:rsid w:val="000C724C"/>
    <w:rsid w:val="000D0903"/>
    <w:rsid w:val="000D15BC"/>
    <w:rsid w:val="000D1D26"/>
    <w:rsid w:val="000D21D2"/>
    <w:rsid w:val="000D2514"/>
    <w:rsid w:val="000D4F73"/>
    <w:rsid w:val="000D5BED"/>
    <w:rsid w:val="000D68F1"/>
    <w:rsid w:val="000D71DD"/>
    <w:rsid w:val="000D77A3"/>
    <w:rsid w:val="000D7BEF"/>
    <w:rsid w:val="000E160B"/>
    <w:rsid w:val="000E21D8"/>
    <w:rsid w:val="000E6F75"/>
    <w:rsid w:val="000F049D"/>
    <w:rsid w:val="000F0C7D"/>
    <w:rsid w:val="000F1534"/>
    <w:rsid w:val="000F2E47"/>
    <w:rsid w:val="000F3E60"/>
    <w:rsid w:val="000F46ED"/>
    <w:rsid w:val="000F6595"/>
    <w:rsid w:val="000F7A19"/>
    <w:rsid w:val="001000B3"/>
    <w:rsid w:val="0010080F"/>
    <w:rsid w:val="00101529"/>
    <w:rsid w:val="0010155C"/>
    <w:rsid w:val="00101AEB"/>
    <w:rsid w:val="00101F7B"/>
    <w:rsid w:val="001021B6"/>
    <w:rsid w:val="00104B2F"/>
    <w:rsid w:val="001055B2"/>
    <w:rsid w:val="001057EB"/>
    <w:rsid w:val="00106628"/>
    <w:rsid w:val="00106806"/>
    <w:rsid w:val="00106A8B"/>
    <w:rsid w:val="001075E2"/>
    <w:rsid w:val="00107FE9"/>
    <w:rsid w:val="00110ED7"/>
    <w:rsid w:val="001114F0"/>
    <w:rsid w:val="00112E14"/>
    <w:rsid w:val="00114580"/>
    <w:rsid w:val="001146BA"/>
    <w:rsid w:val="00116445"/>
    <w:rsid w:val="0011663B"/>
    <w:rsid w:val="00122361"/>
    <w:rsid w:val="00122C65"/>
    <w:rsid w:val="001232F1"/>
    <w:rsid w:val="00124A69"/>
    <w:rsid w:val="00124FFE"/>
    <w:rsid w:val="00125D9C"/>
    <w:rsid w:val="00126736"/>
    <w:rsid w:val="0012754D"/>
    <w:rsid w:val="001308E4"/>
    <w:rsid w:val="00130B4A"/>
    <w:rsid w:val="00131D5A"/>
    <w:rsid w:val="00132CEA"/>
    <w:rsid w:val="001342CF"/>
    <w:rsid w:val="001343C2"/>
    <w:rsid w:val="00134491"/>
    <w:rsid w:val="0013789D"/>
    <w:rsid w:val="00137B38"/>
    <w:rsid w:val="00140569"/>
    <w:rsid w:val="00142242"/>
    <w:rsid w:val="001439E1"/>
    <w:rsid w:val="00147352"/>
    <w:rsid w:val="00147856"/>
    <w:rsid w:val="00147F7D"/>
    <w:rsid w:val="00147F84"/>
    <w:rsid w:val="00150C3E"/>
    <w:rsid w:val="00150F3E"/>
    <w:rsid w:val="001513E5"/>
    <w:rsid w:val="00152B2B"/>
    <w:rsid w:val="001537D8"/>
    <w:rsid w:val="00153BC6"/>
    <w:rsid w:val="00155A7C"/>
    <w:rsid w:val="00157E96"/>
    <w:rsid w:val="00157FCB"/>
    <w:rsid w:val="00161452"/>
    <w:rsid w:val="001617AF"/>
    <w:rsid w:val="0016290B"/>
    <w:rsid w:val="00162949"/>
    <w:rsid w:val="00162B90"/>
    <w:rsid w:val="00163A50"/>
    <w:rsid w:val="00167E57"/>
    <w:rsid w:val="00170F2A"/>
    <w:rsid w:val="00171A00"/>
    <w:rsid w:val="001722F7"/>
    <w:rsid w:val="00172A27"/>
    <w:rsid w:val="0017372F"/>
    <w:rsid w:val="00173AF4"/>
    <w:rsid w:val="00174A28"/>
    <w:rsid w:val="00175976"/>
    <w:rsid w:val="00175B68"/>
    <w:rsid w:val="00175CE1"/>
    <w:rsid w:val="00180D44"/>
    <w:rsid w:val="00181674"/>
    <w:rsid w:val="00182613"/>
    <w:rsid w:val="001836BB"/>
    <w:rsid w:val="00183D89"/>
    <w:rsid w:val="001844AE"/>
    <w:rsid w:val="00184577"/>
    <w:rsid w:val="00186DF4"/>
    <w:rsid w:val="001873DB"/>
    <w:rsid w:val="001874D1"/>
    <w:rsid w:val="001875A2"/>
    <w:rsid w:val="0018788E"/>
    <w:rsid w:val="001905A5"/>
    <w:rsid w:val="00190EB2"/>
    <w:rsid w:val="00191953"/>
    <w:rsid w:val="001943BB"/>
    <w:rsid w:val="0019713E"/>
    <w:rsid w:val="00197A34"/>
    <w:rsid w:val="00197DA6"/>
    <w:rsid w:val="001A04DA"/>
    <w:rsid w:val="001A1D12"/>
    <w:rsid w:val="001A2410"/>
    <w:rsid w:val="001A25FE"/>
    <w:rsid w:val="001A278F"/>
    <w:rsid w:val="001A2BEC"/>
    <w:rsid w:val="001A2D6F"/>
    <w:rsid w:val="001A5863"/>
    <w:rsid w:val="001A644B"/>
    <w:rsid w:val="001A71AB"/>
    <w:rsid w:val="001A77EE"/>
    <w:rsid w:val="001A7B0F"/>
    <w:rsid w:val="001B1B18"/>
    <w:rsid w:val="001B2E46"/>
    <w:rsid w:val="001B30E6"/>
    <w:rsid w:val="001B4784"/>
    <w:rsid w:val="001C2A75"/>
    <w:rsid w:val="001C2B96"/>
    <w:rsid w:val="001C2E2A"/>
    <w:rsid w:val="001C440B"/>
    <w:rsid w:val="001C5297"/>
    <w:rsid w:val="001D01EA"/>
    <w:rsid w:val="001D0C89"/>
    <w:rsid w:val="001D14C9"/>
    <w:rsid w:val="001D17F5"/>
    <w:rsid w:val="001D1FCF"/>
    <w:rsid w:val="001D3AC2"/>
    <w:rsid w:val="001D3E24"/>
    <w:rsid w:val="001D41DB"/>
    <w:rsid w:val="001D4E03"/>
    <w:rsid w:val="001D58D7"/>
    <w:rsid w:val="001D7627"/>
    <w:rsid w:val="001D77A5"/>
    <w:rsid w:val="001E07CC"/>
    <w:rsid w:val="001E0D74"/>
    <w:rsid w:val="001E0D9D"/>
    <w:rsid w:val="001E23AB"/>
    <w:rsid w:val="001E410D"/>
    <w:rsid w:val="001E5EB9"/>
    <w:rsid w:val="001E6E29"/>
    <w:rsid w:val="001E713D"/>
    <w:rsid w:val="001F106E"/>
    <w:rsid w:val="001F1285"/>
    <w:rsid w:val="001F1844"/>
    <w:rsid w:val="001F1E4B"/>
    <w:rsid w:val="001F27A8"/>
    <w:rsid w:val="001F3638"/>
    <w:rsid w:val="001F46E7"/>
    <w:rsid w:val="001F566D"/>
    <w:rsid w:val="001F76DC"/>
    <w:rsid w:val="00200263"/>
    <w:rsid w:val="002013EB"/>
    <w:rsid w:val="00201C2D"/>
    <w:rsid w:val="00201D2A"/>
    <w:rsid w:val="00202995"/>
    <w:rsid w:val="00203FBC"/>
    <w:rsid w:val="00204B85"/>
    <w:rsid w:val="0020633B"/>
    <w:rsid w:val="00207741"/>
    <w:rsid w:val="002115B2"/>
    <w:rsid w:val="00212486"/>
    <w:rsid w:val="00212FA7"/>
    <w:rsid w:val="00214484"/>
    <w:rsid w:val="0021472F"/>
    <w:rsid w:val="002153D9"/>
    <w:rsid w:val="00216199"/>
    <w:rsid w:val="00216653"/>
    <w:rsid w:val="00217869"/>
    <w:rsid w:val="0021797F"/>
    <w:rsid w:val="00217AA8"/>
    <w:rsid w:val="0022120B"/>
    <w:rsid w:val="002229E2"/>
    <w:rsid w:val="0022365E"/>
    <w:rsid w:val="00223A25"/>
    <w:rsid w:val="00223E42"/>
    <w:rsid w:val="00224A4E"/>
    <w:rsid w:val="002260C9"/>
    <w:rsid w:val="002266A2"/>
    <w:rsid w:val="00226E95"/>
    <w:rsid w:val="0022714D"/>
    <w:rsid w:val="00227678"/>
    <w:rsid w:val="002279A9"/>
    <w:rsid w:val="00227EAF"/>
    <w:rsid w:val="00230719"/>
    <w:rsid w:val="00230C67"/>
    <w:rsid w:val="00233204"/>
    <w:rsid w:val="00235C5D"/>
    <w:rsid w:val="002367E9"/>
    <w:rsid w:val="00241D8C"/>
    <w:rsid w:val="00241E9A"/>
    <w:rsid w:val="002422DC"/>
    <w:rsid w:val="00242AAA"/>
    <w:rsid w:val="00243F53"/>
    <w:rsid w:val="0024424E"/>
    <w:rsid w:val="00246276"/>
    <w:rsid w:val="00246D1C"/>
    <w:rsid w:val="00250C3E"/>
    <w:rsid w:val="00250D53"/>
    <w:rsid w:val="00251346"/>
    <w:rsid w:val="00252534"/>
    <w:rsid w:val="00252851"/>
    <w:rsid w:val="00252898"/>
    <w:rsid w:val="002532A4"/>
    <w:rsid w:val="00253530"/>
    <w:rsid w:val="00254804"/>
    <w:rsid w:val="00254B91"/>
    <w:rsid w:val="002552FD"/>
    <w:rsid w:val="002554E5"/>
    <w:rsid w:val="00255A8A"/>
    <w:rsid w:val="002567E0"/>
    <w:rsid w:val="00256A9C"/>
    <w:rsid w:val="00256D4E"/>
    <w:rsid w:val="00260580"/>
    <w:rsid w:val="002606F4"/>
    <w:rsid w:val="00263197"/>
    <w:rsid w:val="00263303"/>
    <w:rsid w:val="002661A6"/>
    <w:rsid w:val="00270080"/>
    <w:rsid w:val="0027079D"/>
    <w:rsid w:val="00270D8C"/>
    <w:rsid w:val="002717F1"/>
    <w:rsid w:val="00271863"/>
    <w:rsid w:val="002723BD"/>
    <w:rsid w:val="00272A05"/>
    <w:rsid w:val="002739C1"/>
    <w:rsid w:val="00273D83"/>
    <w:rsid w:val="00274031"/>
    <w:rsid w:val="00274648"/>
    <w:rsid w:val="00275145"/>
    <w:rsid w:val="0027536C"/>
    <w:rsid w:val="00276655"/>
    <w:rsid w:val="00276FE6"/>
    <w:rsid w:val="00277ACC"/>
    <w:rsid w:val="00282CC8"/>
    <w:rsid w:val="00283F38"/>
    <w:rsid w:val="00284571"/>
    <w:rsid w:val="00285265"/>
    <w:rsid w:val="00287747"/>
    <w:rsid w:val="002879FC"/>
    <w:rsid w:val="00290595"/>
    <w:rsid w:val="00290775"/>
    <w:rsid w:val="002915A2"/>
    <w:rsid w:val="002917E5"/>
    <w:rsid w:val="0029245C"/>
    <w:rsid w:val="0029356B"/>
    <w:rsid w:val="002943F1"/>
    <w:rsid w:val="00296144"/>
    <w:rsid w:val="0029797F"/>
    <w:rsid w:val="002A020A"/>
    <w:rsid w:val="002A0DFB"/>
    <w:rsid w:val="002A1DF7"/>
    <w:rsid w:val="002A23CD"/>
    <w:rsid w:val="002A59B0"/>
    <w:rsid w:val="002A5AD2"/>
    <w:rsid w:val="002A6432"/>
    <w:rsid w:val="002A6EAA"/>
    <w:rsid w:val="002B0AE9"/>
    <w:rsid w:val="002B1B83"/>
    <w:rsid w:val="002B27B0"/>
    <w:rsid w:val="002B3F00"/>
    <w:rsid w:val="002B4FB5"/>
    <w:rsid w:val="002B550D"/>
    <w:rsid w:val="002B5ADB"/>
    <w:rsid w:val="002B7B5E"/>
    <w:rsid w:val="002C10E4"/>
    <w:rsid w:val="002C1192"/>
    <w:rsid w:val="002C25A8"/>
    <w:rsid w:val="002C46F4"/>
    <w:rsid w:val="002C555C"/>
    <w:rsid w:val="002C5EF3"/>
    <w:rsid w:val="002C6692"/>
    <w:rsid w:val="002C711C"/>
    <w:rsid w:val="002D10EC"/>
    <w:rsid w:val="002D1591"/>
    <w:rsid w:val="002D1AA9"/>
    <w:rsid w:val="002D1D67"/>
    <w:rsid w:val="002D272B"/>
    <w:rsid w:val="002D2E72"/>
    <w:rsid w:val="002D3638"/>
    <w:rsid w:val="002D3C45"/>
    <w:rsid w:val="002D498A"/>
    <w:rsid w:val="002D52E6"/>
    <w:rsid w:val="002D55A2"/>
    <w:rsid w:val="002D58F2"/>
    <w:rsid w:val="002E04C3"/>
    <w:rsid w:val="002E06C9"/>
    <w:rsid w:val="002E1041"/>
    <w:rsid w:val="002E19DF"/>
    <w:rsid w:val="002E2010"/>
    <w:rsid w:val="002E280F"/>
    <w:rsid w:val="002E2827"/>
    <w:rsid w:val="002E2E4B"/>
    <w:rsid w:val="002E4591"/>
    <w:rsid w:val="002E564F"/>
    <w:rsid w:val="002E5BDD"/>
    <w:rsid w:val="002E60CA"/>
    <w:rsid w:val="002F003B"/>
    <w:rsid w:val="002F103E"/>
    <w:rsid w:val="002F213F"/>
    <w:rsid w:val="002F4221"/>
    <w:rsid w:val="002F516E"/>
    <w:rsid w:val="002F59F0"/>
    <w:rsid w:val="002F6B4F"/>
    <w:rsid w:val="002F7BE7"/>
    <w:rsid w:val="00301DA2"/>
    <w:rsid w:val="00301F5D"/>
    <w:rsid w:val="003020B9"/>
    <w:rsid w:val="003052E9"/>
    <w:rsid w:val="00306137"/>
    <w:rsid w:val="00306210"/>
    <w:rsid w:val="00307963"/>
    <w:rsid w:val="00307B63"/>
    <w:rsid w:val="003116BB"/>
    <w:rsid w:val="00312D3C"/>
    <w:rsid w:val="0031301F"/>
    <w:rsid w:val="00313C52"/>
    <w:rsid w:val="00314DAF"/>
    <w:rsid w:val="00315E31"/>
    <w:rsid w:val="00316E73"/>
    <w:rsid w:val="00321186"/>
    <w:rsid w:val="00321FF5"/>
    <w:rsid w:val="00322D8A"/>
    <w:rsid w:val="00323E65"/>
    <w:rsid w:val="00324372"/>
    <w:rsid w:val="0032482A"/>
    <w:rsid w:val="00325F12"/>
    <w:rsid w:val="003270CD"/>
    <w:rsid w:val="003305B8"/>
    <w:rsid w:val="00330A89"/>
    <w:rsid w:val="0033130B"/>
    <w:rsid w:val="00331DBA"/>
    <w:rsid w:val="00331FFC"/>
    <w:rsid w:val="003324A4"/>
    <w:rsid w:val="003326B9"/>
    <w:rsid w:val="0033270D"/>
    <w:rsid w:val="0033356D"/>
    <w:rsid w:val="0033489A"/>
    <w:rsid w:val="00335B4B"/>
    <w:rsid w:val="003367C0"/>
    <w:rsid w:val="00337520"/>
    <w:rsid w:val="0033762E"/>
    <w:rsid w:val="00337BC1"/>
    <w:rsid w:val="0034062C"/>
    <w:rsid w:val="003415F5"/>
    <w:rsid w:val="0034304B"/>
    <w:rsid w:val="003437D0"/>
    <w:rsid w:val="00343DE1"/>
    <w:rsid w:val="0034452B"/>
    <w:rsid w:val="003459B4"/>
    <w:rsid w:val="00346123"/>
    <w:rsid w:val="00347579"/>
    <w:rsid w:val="00347950"/>
    <w:rsid w:val="00353796"/>
    <w:rsid w:val="003565DA"/>
    <w:rsid w:val="003566F8"/>
    <w:rsid w:val="003568A8"/>
    <w:rsid w:val="00357576"/>
    <w:rsid w:val="00357EFF"/>
    <w:rsid w:val="003615E5"/>
    <w:rsid w:val="00362AF3"/>
    <w:rsid w:val="00362FAF"/>
    <w:rsid w:val="00363766"/>
    <w:rsid w:val="00363D7F"/>
    <w:rsid w:val="0036462D"/>
    <w:rsid w:val="0036565B"/>
    <w:rsid w:val="00365B28"/>
    <w:rsid w:val="003660EB"/>
    <w:rsid w:val="003702E3"/>
    <w:rsid w:val="00371BB6"/>
    <w:rsid w:val="00371CAA"/>
    <w:rsid w:val="003729B4"/>
    <w:rsid w:val="003736B9"/>
    <w:rsid w:val="00375367"/>
    <w:rsid w:val="00375AF4"/>
    <w:rsid w:val="00375B9F"/>
    <w:rsid w:val="003761AE"/>
    <w:rsid w:val="00376534"/>
    <w:rsid w:val="00376A60"/>
    <w:rsid w:val="0038000A"/>
    <w:rsid w:val="00380118"/>
    <w:rsid w:val="003807BD"/>
    <w:rsid w:val="00381F0D"/>
    <w:rsid w:val="00382587"/>
    <w:rsid w:val="0038336A"/>
    <w:rsid w:val="00384495"/>
    <w:rsid w:val="0038451A"/>
    <w:rsid w:val="0038582A"/>
    <w:rsid w:val="00386CED"/>
    <w:rsid w:val="00386E76"/>
    <w:rsid w:val="003872CC"/>
    <w:rsid w:val="00387D3D"/>
    <w:rsid w:val="003903E7"/>
    <w:rsid w:val="0039116C"/>
    <w:rsid w:val="00392052"/>
    <w:rsid w:val="00392745"/>
    <w:rsid w:val="003929D7"/>
    <w:rsid w:val="00393295"/>
    <w:rsid w:val="003942E3"/>
    <w:rsid w:val="0039487A"/>
    <w:rsid w:val="00395241"/>
    <w:rsid w:val="00396680"/>
    <w:rsid w:val="00396F29"/>
    <w:rsid w:val="003A03DB"/>
    <w:rsid w:val="003A2B03"/>
    <w:rsid w:val="003A3987"/>
    <w:rsid w:val="003A39E8"/>
    <w:rsid w:val="003A5711"/>
    <w:rsid w:val="003A5F1F"/>
    <w:rsid w:val="003A6AB4"/>
    <w:rsid w:val="003A7150"/>
    <w:rsid w:val="003B1969"/>
    <w:rsid w:val="003B1F82"/>
    <w:rsid w:val="003B1FFE"/>
    <w:rsid w:val="003B2603"/>
    <w:rsid w:val="003B355C"/>
    <w:rsid w:val="003B3565"/>
    <w:rsid w:val="003B5FE1"/>
    <w:rsid w:val="003B6399"/>
    <w:rsid w:val="003B6526"/>
    <w:rsid w:val="003B6702"/>
    <w:rsid w:val="003B7387"/>
    <w:rsid w:val="003B74B5"/>
    <w:rsid w:val="003C4914"/>
    <w:rsid w:val="003C5A1E"/>
    <w:rsid w:val="003C69D6"/>
    <w:rsid w:val="003C7979"/>
    <w:rsid w:val="003D112A"/>
    <w:rsid w:val="003D11BD"/>
    <w:rsid w:val="003D12B5"/>
    <w:rsid w:val="003D2000"/>
    <w:rsid w:val="003D2104"/>
    <w:rsid w:val="003D28A5"/>
    <w:rsid w:val="003D35C0"/>
    <w:rsid w:val="003D6830"/>
    <w:rsid w:val="003D6AB9"/>
    <w:rsid w:val="003D70A8"/>
    <w:rsid w:val="003E0E49"/>
    <w:rsid w:val="003E28AB"/>
    <w:rsid w:val="003E2900"/>
    <w:rsid w:val="003E37CD"/>
    <w:rsid w:val="003E4181"/>
    <w:rsid w:val="003E47B1"/>
    <w:rsid w:val="003E487F"/>
    <w:rsid w:val="003E5886"/>
    <w:rsid w:val="003F1515"/>
    <w:rsid w:val="003F16E7"/>
    <w:rsid w:val="003F27CC"/>
    <w:rsid w:val="003F2B60"/>
    <w:rsid w:val="003F314C"/>
    <w:rsid w:val="003F402E"/>
    <w:rsid w:val="003F4EBD"/>
    <w:rsid w:val="003F6354"/>
    <w:rsid w:val="004008F6"/>
    <w:rsid w:val="00400D06"/>
    <w:rsid w:val="00400D1D"/>
    <w:rsid w:val="00401846"/>
    <w:rsid w:val="00401C47"/>
    <w:rsid w:val="004022F8"/>
    <w:rsid w:val="00402355"/>
    <w:rsid w:val="0040239B"/>
    <w:rsid w:val="00402CE7"/>
    <w:rsid w:val="00403DBA"/>
    <w:rsid w:val="00404856"/>
    <w:rsid w:val="00405226"/>
    <w:rsid w:val="0040595E"/>
    <w:rsid w:val="00405C75"/>
    <w:rsid w:val="00406D6A"/>
    <w:rsid w:val="004075D8"/>
    <w:rsid w:val="00410CA7"/>
    <w:rsid w:val="0041211E"/>
    <w:rsid w:val="00412797"/>
    <w:rsid w:val="004160CE"/>
    <w:rsid w:val="004208B5"/>
    <w:rsid w:val="00420BEC"/>
    <w:rsid w:val="00420C33"/>
    <w:rsid w:val="0042251D"/>
    <w:rsid w:val="004233DF"/>
    <w:rsid w:val="004241EF"/>
    <w:rsid w:val="00424891"/>
    <w:rsid w:val="00426773"/>
    <w:rsid w:val="00426FE5"/>
    <w:rsid w:val="004272A6"/>
    <w:rsid w:val="0043119F"/>
    <w:rsid w:val="00431A08"/>
    <w:rsid w:val="00433625"/>
    <w:rsid w:val="00433CAA"/>
    <w:rsid w:val="0043532F"/>
    <w:rsid w:val="004355E8"/>
    <w:rsid w:val="00436B3B"/>
    <w:rsid w:val="00437980"/>
    <w:rsid w:val="00437A98"/>
    <w:rsid w:val="004401ED"/>
    <w:rsid w:val="00440843"/>
    <w:rsid w:val="00442AA8"/>
    <w:rsid w:val="0044349C"/>
    <w:rsid w:val="00446131"/>
    <w:rsid w:val="004519C9"/>
    <w:rsid w:val="00452585"/>
    <w:rsid w:val="00452895"/>
    <w:rsid w:val="00453319"/>
    <w:rsid w:val="004542C8"/>
    <w:rsid w:val="004549D1"/>
    <w:rsid w:val="00454A1A"/>
    <w:rsid w:val="00457099"/>
    <w:rsid w:val="00457609"/>
    <w:rsid w:val="00460658"/>
    <w:rsid w:val="0046069E"/>
    <w:rsid w:val="00460E4C"/>
    <w:rsid w:val="00461B9E"/>
    <w:rsid w:val="00462107"/>
    <w:rsid w:val="00462343"/>
    <w:rsid w:val="00463928"/>
    <w:rsid w:val="0046471E"/>
    <w:rsid w:val="00464A91"/>
    <w:rsid w:val="004650D3"/>
    <w:rsid w:val="0046593D"/>
    <w:rsid w:val="00465B8C"/>
    <w:rsid w:val="00466B69"/>
    <w:rsid w:val="004671F2"/>
    <w:rsid w:val="00470CCE"/>
    <w:rsid w:val="0047160B"/>
    <w:rsid w:val="00472258"/>
    <w:rsid w:val="004724AE"/>
    <w:rsid w:val="004735A7"/>
    <w:rsid w:val="0047384F"/>
    <w:rsid w:val="00474787"/>
    <w:rsid w:val="00475DE9"/>
    <w:rsid w:val="00480307"/>
    <w:rsid w:val="0048081D"/>
    <w:rsid w:val="0048089A"/>
    <w:rsid w:val="004811D4"/>
    <w:rsid w:val="0048132C"/>
    <w:rsid w:val="0048264F"/>
    <w:rsid w:val="00482FB9"/>
    <w:rsid w:val="004839EA"/>
    <w:rsid w:val="00483DAB"/>
    <w:rsid w:val="004840CE"/>
    <w:rsid w:val="00484612"/>
    <w:rsid w:val="004857D3"/>
    <w:rsid w:val="004860CD"/>
    <w:rsid w:val="004866EA"/>
    <w:rsid w:val="00486B9F"/>
    <w:rsid w:val="004870F8"/>
    <w:rsid w:val="004874B7"/>
    <w:rsid w:val="0049044E"/>
    <w:rsid w:val="00490E42"/>
    <w:rsid w:val="0049253A"/>
    <w:rsid w:val="004949AC"/>
    <w:rsid w:val="00494C22"/>
    <w:rsid w:val="00496860"/>
    <w:rsid w:val="004973D7"/>
    <w:rsid w:val="004A0A75"/>
    <w:rsid w:val="004A31D1"/>
    <w:rsid w:val="004A3DDB"/>
    <w:rsid w:val="004A3EA7"/>
    <w:rsid w:val="004A4700"/>
    <w:rsid w:val="004A584F"/>
    <w:rsid w:val="004A6253"/>
    <w:rsid w:val="004A69CE"/>
    <w:rsid w:val="004A711A"/>
    <w:rsid w:val="004A7F4C"/>
    <w:rsid w:val="004B1048"/>
    <w:rsid w:val="004B1847"/>
    <w:rsid w:val="004B1DED"/>
    <w:rsid w:val="004B3365"/>
    <w:rsid w:val="004B34FB"/>
    <w:rsid w:val="004B448D"/>
    <w:rsid w:val="004B4662"/>
    <w:rsid w:val="004B4C22"/>
    <w:rsid w:val="004B5256"/>
    <w:rsid w:val="004C0D33"/>
    <w:rsid w:val="004C1EDD"/>
    <w:rsid w:val="004C28CA"/>
    <w:rsid w:val="004C2AF2"/>
    <w:rsid w:val="004C373A"/>
    <w:rsid w:val="004C3B32"/>
    <w:rsid w:val="004C51F5"/>
    <w:rsid w:val="004C5D7B"/>
    <w:rsid w:val="004C6AB5"/>
    <w:rsid w:val="004C6BF0"/>
    <w:rsid w:val="004C6FA0"/>
    <w:rsid w:val="004C708C"/>
    <w:rsid w:val="004D0D4D"/>
    <w:rsid w:val="004D0DA3"/>
    <w:rsid w:val="004D15AE"/>
    <w:rsid w:val="004D1FEF"/>
    <w:rsid w:val="004D25ED"/>
    <w:rsid w:val="004D2649"/>
    <w:rsid w:val="004D31B0"/>
    <w:rsid w:val="004D34AD"/>
    <w:rsid w:val="004D44C7"/>
    <w:rsid w:val="004D44CC"/>
    <w:rsid w:val="004D56F5"/>
    <w:rsid w:val="004D5F2D"/>
    <w:rsid w:val="004D678B"/>
    <w:rsid w:val="004D6AAB"/>
    <w:rsid w:val="004D744C"/>
    <w:rsid w:val="004E013B"/>
    <w:rsid w:val="004E0816"/>
    <w:rsid w:val="004E0906"/>
    <w:rsid w:val="004E4274"/>
    <w:rsid w:val="004E4E86"/>
    <w:rsid w:val="004E5D03"/>
    <w:rsid w:val="004E5E85"/>
    <w:rsid w:val="004E710D"/>
    <w:rsid w:val="004E7F0C"/>
    <w:rsid w:val="004F0288"/>
    <w:rsid w:val="004F0B47"/>
    <w:rsid w:val="004F366A"/>
    <w:rsid w:val="004F43AA"/>
    <w:rsid w:val="004F47FC"/>
    <w:rsid w:val="004F5DE3"/>
    <w:rsid w:val="004F6CCC"/>
    <w:rsid w:val="005008BC"/>
    <w:rsid w:val="00501197"/>
    <w:rsid w:val="00501ECD"/>
    <w:rsid w:val="005038FE"/>
    <w:rsid w:val="00503C94"/>
    <w:rsid w:val="00507782"/>
    <w:rsid w:val="005102A2"/>
    <w:rsid w:val="00510BAB"/>
    <w:rsid w:val="005125B9"/>
    <w:rsid w:val="00512780"/>
    <w:rsid w:val="00514330"/>
    <w:rsid w:val="00514671"/>
    <w:rsid w:val="005156BB"/>
    <w:rsid w:val="00515734"/>
    <w:rsid w:val="00515E54"/>
    <w:rsid w:val="0051605C"/>
    <w:rsid w:val="005165C9"/>
    <w:rsid w:val="00516DA5"/>
    <w:rsid w:val="005178CA"/>
    <w:rsid w:val="00520716"/>
    <w:rsid w:val="005214C2"/>
    <w:rsid w:val="00522A6C"/>
    <w:rsid w:val="00523774"/>
    <w:rsid w:val="00524CB7"/>
    <w:rsid w:val="00525B59"/>
    <w:rsid w:val="00526431"/>
    <w:rsid w:val="00527C7E"/>
    <w:rsid w:val="005300BA"/>
    <w:rsid w:val="005301A1"/>
    <w:rsid w:val="00530F00"/>
    <w:rsid w:val="00532FBD"/>
    <w:rsid w:val="00536561"/>
    <w:rsid w:val="00536F5B"/>
    <w:rsid w:val="00537F23"/>
    <w:rsid w:val="00542670"/>
    <w:rsid w:val="00543965"/>
    <w:rsid w:val="00543EA2"/>
    <w:rsid w:val="005441C1"/>
    <w:rsid w:val="00545001"/>
    <w:rsid w:val="00546276"/>
    <w:rsid w:val="00547348"/>
    <w:rsid w:val="005506A4"/>
    <w:rsid w:val="005507E3"/>
    <w:rsid w:val="00550937"/>
    <w:rsid w:val="0055330D"/>
    <w:rsid w:val="005547B7"/>
    <w:rsid w:val="00555236"/>
    <w:rsid w:val="00555FC7"/>
    <w:rsid w:val="0055717C"/>
    <w:rsid w:val="005578D6"/>
    <w:rsid w:val="0055795D"/>
    <w:rsid w:val="00557CBA"/>
    <w:rsid w:val="0056042A"/>
    <w:rsid w:val="0056134A"/>
    <w:rsid w:val="00561795"/>
    <w:rsid w:val="005618D1"/>
    <w:rsid w:val="00562BA8"/>
    <w:rsid w:val="0056312C"/>
    <w:rsid w:val="0056376A"/>
    <w:rsid w:val="0056451D"/>
    <w:rsid w:val="00564552"/>
    <w:rsid w:val="00565011"/>
    <w:rsid w:val="00565BD9"/>
    <w:rsid w:val="00565DD1"/>
    <w:rsid w:val="00566921"/>
    <w:rsid w:val="00570049"/>
    <w:rsid w:val="005709A9"/>
    <w:rsid w:val="00572430"/>
    <w:rsid w:val="00574A21"/>
    <w:rsid w:val="005750C4"/>
    <w:rsid w:val="00576CB6"/>
    <w:rsid w:val="00576FBF"/>
    <w:rsid w:val="00577CC5"/>
    <w:rsid w:val="00577E95"/>
    <w:rsid w:val="00577FAD"/>
    <w:rsid w:val="0058098A"/>
    <w:rsid w:val="00582397"/>
    <w:rsid w:val="00582F6C"/>
    <w:rsid w:val="00583AEC"/>
    <w:rsid w:val="00583EDD"/>
    <w:rsid w:val="005853DD"/>
    <w:rsid w:val="00585784"/>
    <w:rsid w:val="00586FBE"/>
    <w:rsid w:val="00587462"/>
    <w:rsid w:val="00587C8D"/>
    <w:rsid w:val="00587D9E"/>
    <w:rsid w:val="00591EF2"/>
    <w:rsid w:val="00592198"/>
    <w:rsid w:val="00592CA6"/>
    <w:rsid w:val="0059320E"/>
    <w:rsid w:val="005953FB"/>
    <w:rsid w:val="0059634B"/>
    <w:rsid w:val="00597640"/>
    <w:rsid w:val="00597B52"/>
    <w:rsid w:val="005A0383"/>
    <w:rsid w:val="005A1D51"/>
    <w:rsid w:val="005A2E6F"/>
    <w:rsid w:val="005A31BD"/>
    <w:rsid w:val="005A3998"/>
    <w:rsid w:val="005A3C6F"/>
    <w:rsid w:val="005A4499"/>
    <w:rsid w:val="005A50E5"/>
    <w:rsid w:val="005A604A"/>
    <w:rsid w:val="005A639D"/>
    <w:rsid w:val="005B0482"/>
    <w:rsid w:val="005B1B21"/>
    <w:rsid w:val="005B2C39"/>
    <w:rsid w:val="005B36C6"/>
    <w:rsid w:val="005B3E1B"/>
    <w:rsid w:val="005B400B"/>
    <w:rsid w:val="005B6066"/>
    <w:rsid w:val="005B66A8"/>
    <w:rsid w:val="005B6E52"/>
    <w:rsid w:val="005B70F0"/>
    <w:rsid w:val="005B7F23"/>
    <w:rsid w:val="005C0539"/>
    <w:rsid w:val="005C0BE5"/>
    <w:rsid w:val="005C146F"/>
    <w:rsid w:val="005C207D"/>
    <w:rsid w:val="005C40D3"/>
    <w:rsid w:val="005C5115"/>
    <w:rsid w:val="005C560F"/>
    <w:rsid w:val="005C6C4D"/>
    <w:rsid w:val="005D06E4"/>
    <w:rsid w:val="005D08F6"/>
    <w:rsid w:val="005D1994"/>
    <w:rsid w:val="005D1D99"/>
    <w:rsid w:val="005D5B00"/>
    <w:rsid w:val="005D71E4"/>
    <w:rsid w:val="005D7490"/>
    <w:rsid w:val="005E0F3C"/>
    <w:rsid w:val="005E1AD0"/>
    <w:rsid w:val="005E2845"/>
    <w:rsid w:val="005E361A"/>
    <w:rsid w:val="005E3F4A"/>
    <w:rsid w:val="005E4ABD"/>
    <w:rsid w:val="005E5E32"/>
    <w:rsid w:val="005E6172"/>
    <w:rsid w:val="005F085E"/>
    <w:rsid w:val="005F0A4E"/>
    <w:rsid w:val="005F1102"/>
    <w:rsid w:val="005F19DB"/>
    <w:rsid w:val="005F1F61"/>
    <w:rsid w:val="005F29EB"/>
    <w:rsid w:val="005F3C99"/>
    <w:rsid w:val="005F58D5"/>
    <w:rsid w:val="005F5FE3"/>
    <w:rsid w:val="005F775F"/>
    <w:rsid w:val="005F7B5D"/>
    <w:rsid w:val="00600634"/>
    <w:rsid w:val="00602BD3"/>
    <w:rsid w:val="00603718"/>
    <w:rsid w:val="00603D22"/>
    <w:rsid w:val="00604303"/>
    <w:rsid w:val="006060D9"/>
    <w:rsid w:val="006132F8"/>
    <w:rsid w:val="00613763"/>
    <w:rsid w:val="00614AE0"/>
    <w:rsid w:val="00615663"/>
    <w:rsid w:val="006166B4"/>
    <w:rsid w:val="00616A3F"/>
    <w:rsid w:val="0061737B"/>
    <w:rsid w:val="0062051C"/>
    <w:rsid w:val="00620526"/>
    <w:rsid w:val="006215F6"/>
    <w:rsid w:val="00621602"/>
    <w:rsid w:val="00621828"/>
    <w:rsid w:val="00623AF9"/>
    <w:rsid w:val="00624272"/>
    <w:rsid w:val="00624503"/>
    <w:rsid w:val="006251E6"/>
    <w:rsid w:val="00625648"/>
    <w:rsid w:val="00625720"/>
    <w:rsid w:val="00626208"/>
    <w:rsid w:val="00627439"/>
    <w:rsid w:val="00627A9D"/>
    <w:rsid w:val="00630A9B"/>
    <w:rsid w:val="00631106"/>
    <w:rsid w:val="006311D4"/>
    <w:rsid w:val="006323C6"/>
    <w:rsid w:val="006326D1"/>
    <w:rsid w:val="00634084"/>
    <w:rsid w:val="00634466"/>
    <w:rsid w:val="00634ED2"/>
    <w:rsid w:val="00636016"/>
    <w:rsid w:val="00636617"/>
    <w:rsid w:val="006368C2"/>
    <w:rsid w:val="00637B3E"/>
    <w:rsid w:val="00640173"/>
    <w:rsid w:val="00641195"/>
    <w:rsid w:val="00641B43"/>
    <w:rsid w:val="0064248C"/>
    <w:rsid w:val="00643CC5"/>
    <w:rsid w:val="0064402F"/>
    <w:rsid w:val="00644902"/>
    <w:rsid w:val="0064572D"/>
    <w:rsid w:val="00645ED9"/>
    <w:rsid w:val="00650347"/>
    <w:rsid w:val="0065159E"/>
    <w:rsid w:val="00651664"/>
    <w:rsid w:val="0065431D"/>
    <w:rsid w:val="006543FD"/>
    <w:rsid w:val="0065445B"/>
    <w:rsid w:val="00655674"/>
    <w:rsid w:val="006558E4"/>
    <w:rsid w:val="00656020"/>
    <w:rsid w:val="006564FD"/>
    <w:rsid w:val="00656A9A"/>
    <w:rsid w:val="00656F7D"/>
    <w:rsid w:val="006571CA"/>
    <w:rsid w:val="00657FEB"/>
    <w:rsid w:val="006606D7"/>
    <w:rsid w:val="00662559"/>
    <w:rsid w:val="006633E2"/>
    <w:rsid w:val="00663BBB"/>
    <w:rsid w:val="00665646"/>
    <w:rsid w:val="00667AC0"/>
    <w:rsid w:val="006710D0"/>
    <w:rsid w:val="00671269"/>
    <w:rsid w:val="00671CDF"/>
    <w:rsid w:val="00671F83"/>
    <w:rsid w:val="00673A4C"/>
    <w:rsid w:val="00673CC9"/>
    <w:rsid w:val="00674AEB"/>
    <w:rsid w:val="00674DB5"/>
    <w:rsid w:val="006769CE"/>
    <w:rsid w:val="00677E67"/>
    <w:rsid w:val="00680A44"/>
    <w:rsid w:val="00681A5E"/>
    <w:rsid w:val="00682561"/>
    <w:rsid w:val="00682BA0"/>
    <w:rsid w:val="0068335A"/>
    <w:rsid w:val="0068495B"/>
    <w:rsid w:val="00686A0F"/>
    <w:rsid w:val="00687D46"/>
    <w:rsid w:val="00693295"/>
    <w:rsid w:val="00693449"/>
    <w:rsid w:val="00694B78"/>
    <w:rsid w:val="00694BD6"/>
    <w:rsid w:val="00694EAF"/>
    <w:rsid w:val="00695719"/>
    <w:rsid w:val="00695AEF"/>
    <w:rsid w:val="00695E38"/>
    <w:rsid w:val="006960BB"/>
    <w:rsid w:val="006967BF"/>
    <w:rsid w:val="00696AE6"/>
    <w:rsid w:val="006A17EF"/>
    <w:rsid w:val="006A186F"/>
    <w:rsid w:val="006A28E5"/>
    <w:rsid w:val="006A2942"/>
    <w:rsid w:val="006A2A32"/>
    <w:rsid w:val="006A2CCE"/>
    <w:rsid w:val="006A5995"/>
    <w:rsid w:val="006A5A30"/>
    <w:rsid w:val="006A5FFB"/>
    <w:rsid w:val="006A6752"/>
    <w:rsid w:val="006A7DA9"/>
    <w:rsid w:val="006B05BB"/>
    <w:rsid w:val="006B20ED"/>
    <w:rsid w:val="006B2CFA"/>
    <w:rsid w:val="006B5BCF"/>
    <w:rsid w:val="006B610A"/>
    <w:rsid w:val="006B6428"/>
    <w:rsid w:val="006B70DE"/>
    <w:rsid w:val="006B76A7"/>
    <w:rsid w:val="006C0244"/>
    <w:rsid w:val="006C0E35"/>
    <w:rsid w:val="006D012E"/>
    <w:rsid w:val="006D0D04"/>
    <w:rsid w:val="006D15B1"/>
    <w:rsid w:val="006D18E7"/>
    <w:rsid w:val="006D26C8"/>
    <w:rsid w:val="006D2836"/>
    <w:rsid w:val="006D587C"/>
    <w:rsid w:val="006D5B5F"/>
    <w:rsid w:val="006D5EF0"/>
    <w:rsid w:val="006E1093"/>
    <w:rsid w:val="006E342B"/>
    <w:rsid w:val="006E36CF"/>
    <w:rsid w:val="006E3A23"/>
    <w:rsid w:val="006E64E0"/>
    <w:rsid w:val="006E76CA"/>
    <w:rsid w:val="006E79B8"/>
    <w:rsid w:val="006F09DA"/>
    <w:rsid w:val="006F0CE5"/>
    <w:rsid w:val="006F0E6D"/>
    <w:rsid w:val="006F1214"/>
    <w:rsid w:val="006F458A"/>
    <w:rsid w:val="006F4793"/>
    <w:rsid w:val="006F5C58"/>
    <w:rsid w:val="006F5E64"/>
    <w:rsid w:val="006F65BE"/>
    <w:rsid w:val="006F66DA"/>
    <w:rsid w:val="006F6AD0"/>
    <w:rsid w:val="00701599"/>
    <w:rsid w:val="00701FB8"/>
    <w:rsid w:val="00702926"/>
    <w:rsid w:val="00703419"/>
    <w:rsid w:val="00704906"/>
    <w:rsid w:val="00704B20"/>
    <w:rsid w:val="00704F5A"/>
    <w:rsid w:val="0070532D"/>
    <w:rsid w:val="00705D26"/>
    <w:rsid w:val="007061AB"/>
    <w:rsid w:val="00706C0E"/>
    <w:rsid w:val="00707272"/>
    <w:rsid w:val="00707430"/>
    <w:rsid w:val="00707473"/>
    <w:rsid w:val="007079E1"/>
    <w:rsid w:val="00710D51"/>
    <w:rsid w:val="00711BD6"/>
    <w:rsid w:val="00712EE5"/>
    <w:rsid w:val="00713AE2"/>
    <w:rsid w:val="0071518A"/>
    <w:rsid w:val="00715455"/>
    <w:rsid w:val="007159C7"/>
    <w:rsid w:val="0071646D"/>
    <w:rsid w:val="0071690F"/>
    <w:rsid w:val="00716F69"/>
    <w:rsid w:val="007172A8"/>
    <w:rsid w:val="0072044C"/>
    <w:rsid w:val="00721620"/>
    <w:rsid w:val="00723885"/>
    <w:rsid w:val="007258CC"/>
    <w:rsid w:val="0072616E"/>
    <w:rsid w:val="0072647A"/>
    <w:rsid w:val="00727017"/>
    <w:rsid w:val="00727515"/>
    <w:rsid w:val="007319A2"/>
    <w:rsid w:val="00732347"/>
    <w:rsid w:val="0073307A"/>
    <w:rsid w:val="00733288"/>
    <w:rsid w:val="00733D12"/>
    <w:rsid w:val="00733E02"/>
    <w:rsid w:val="0073450F"/>
    <w:rsid w:val="00735F15"/>
    <w:rsid w:val="007362BF"/>
    <w:rsid w:val="0073677A"/>
    <w:rsid w:val="00736861"/>
    <w:rsid w:val="0073724D"/>
    <w:rsid w:val="00742389"/>
    <w:rsid w:val="007424B2"/>
    <w:rsid w:val="007429F8"/>
    <w:rsid w:val="00742C3F"/>
    <w:rsid w:val="007431B7"/>
    <w:rsid w:val="00744676"/>
    <w:rsid w:val="00744C6B"/>
    <w:rsid w:val="00745613"/>
    <w:rsid w:val="00746DEF"/>
    <w:rsid w:val="007474F3"/>
    <w:rsid w:val="0075085D"/>
    <w:rsid w:val="00750DBB"/>
    <w:rsid w:val="00751985"/>
    <w:rsid w:val="007523FB"/>
    <w:rsid w:val="00752CA1"/>
    <w:rsid w:val="00753514"/>
    <w:rsid w:val="0075383C"/>
    <w:rsid w:val="0075390C"/>
    <w:rsid w:val="00754346"/>
    <w:rsid w:val="00754E1B"/>
    <w:rsid w:val="007554B5"/>
    <w:rsid w:val="007574B8"/>
    <w:rsid w:val="00760FF7"/>
    <w:rsid w:val="007622C7"/>
    <w:rsid w:val="0076233E"/>
    <w:rsid w:val="00762A5E"/>
    <w:rsid w:val="00763285"/>
    <w:rsid w:val="00763A3A"/>
    <w:rsid w:val="00763D8D"/>
    <w:rsid w:val="00763F0B"/>
    <w:rsid w:val="007641B5"/>
    <w:rsid w:val="00764A20"/>
    <w:rsid w:val="00765A29"/>
    <w:rsid w:val="00767A4B"/>
    <w:rsid w:val="00771C1D"/>
    <w:rsid w:val="00771DB3"/>
    <w:rsid w:val="00771DBA"/>
    <w:rsid w:val="00771F34"/>
    <w:rsid w:val="00772FDF"/>
    <w:rsid w:val="00773EB2"/>
    <w:rsid w:val="00774689"/>
    <w:rsid w:val="00775421"/>
    <w:rsid w:val="00775976"/>
    <w:rsid w:val="00780354"/>
    <w:rsid w:val="00780D40"/>
    <w:rsid w:val="00780EAF"/>
    <w:rsid w:val="00780F68"/>
    <w:rsid w:val="00781CB3"/>
    <w:rsid w:val="00781DD6"/>
    <w:rsid w:val="0078216D"/>
    <w:rsid w:val="00782B71"/>
    <w:rsid w:val="00782FE4"/>
    <w:rsid w:val="00783983"/>
    <w:rsid w:val="0078445E"/>
    <w:rsid w:val="00784F6C"/>
    <w:rsid w:val="007854FB"/>
    <w:rsid w:val="00786B54"/>
    <w:rsid w:val="00786FF6"/>
    <w:rsid w:val="007878E2"/>
    <w:rsid w:val="00787E15"/>
    <w:rsid w:val="007916FD"/>
    <w:rsid w:val="00792845"/>
    <w:rsid w:val="00792E5E"/>
    <w:rsid w:val="00795893"/>
    <w:rsid w:val="00796558"/>
    <w:rsid w:val="007A03CE"/>
    <w:rsid w:val="007A0D31"/>
    <w:rsid w:val="007A11D0"/>
    <w:rsid w:val="007A1C7C"/>
    <w:rsid w:val="007A2BCD"/>
    <w:rsid w:val="007A38F3"/>
    <w:rsid w:val="007A4F8B"/>
    <w:rsid w:val="007A4FBC"/>
    <w:rsid w:val="007A58C0"/>
    <w:rsid w:val="007A5F9D"/>
    <w:rsid w:val="007A6474"/>
    <w:rsid w:val="007A7277"/>
    <w:rsid w:val="007B064B"/>
    <w:rsid w:val="007B1B02"/>
    <w:rsid w:val="007B2D33"/>
    <w:rsid w:val="007B4317"/>
    <w:rsid w:val="007B5DE8"/>
    <w:rsid w:val="007B6282"/>
    <w:rsid w:val="007B6514"/>
    <w:rsid w:val="007B71E4"/>
    <w:rsid w:val="007B72C4"/>
    <w:rsid w:val="007C023F"/>
    <w:rsid w:val="007C1423"/>
    <w:rsid w:val="007C2CA2"/>
    <w:rsid w:val="007C2FD8"/>
    <w:rsid w:val="007C312A"/>
    <w:rsid w:val="007C38FA"/>
    <w:rsid w:val="007C3BD4"/>
    <w:rsid w:val="007C3CB2"/>
    <w:rsid w:val="007C6924"/>
    <w:rsid w:val="007C7E73"/>
    <w:rsid w:val="007C7E8B"/>
    <w:rsid w:val="007D020A"/>
    <w:rsid w:val="007D051F"/>
    <w:rsid w:val="007D0BBA"/>
    <w:rsid w:val="007D1184"/>
    <w:rsid w:val="007D2550"/>
    <w:rsid w:val="007D3332"/>
    <w:rsid w:val="007D333C"/>
    <w:rsid w:val="007D3805"/>
    <w:rsid w:val="007D52FE"/>
    <w:rsid w:val="007D5BEC"/>
    <w:rsid w:val="007D6583"/>
    <w:rsid w:val="007D6DAD"/>
    <w:rsid w:val="007D705C"/>
    <w:rsid w:val="007D70B3"/>
    <w:rsid w:val="007D71BB"/>
    <w:rsid w:val="007D778F"/>
    <w:rsid w:val="007D7BFB"/>
    <w:rsid w:val="007E0FFD"/>
    <w:rsid w:val="007E14DE"/>
    <w:rsid w:val="007E18FC"/>
    <w:rsid w:val="007E494F"/>
    <w:rsid w:val="007E578E"/>
    <w:rsid w:val="007E5BBF"/>
    <w:rsid w:val="007E5E76"/>
    <w:rsid w:val="007E68BF"/>
    <w:rsid w:val="007E71FC"/>
    <w:rsid w:val="007E78A9"/>
    <w:rsid w:val="007E7F0C"/>
    <w:rsid w:val="007F03C7"/>
    <w:rsid w:val="007F0772"/>
    <w:rsid w:val="007F0B94"/>
    <w:rsid w:val="007F124E"/>
    <w:rsid w:val="007F261A"/>
    <w:rsid w:val="007F26DD"/>
    <w:rsid w:val="007F2884"/>
    <w:rsid w:val="007F2CFD"/>
    <w:rsid w:val="007F3A36"/>
    <w:rsid w:val="007F3CED"/>
    <w:rsid w:val="007F57FB"/>
    <w:rsid w:val="007F6FB0"/>
    <w:rsid w:val="00800475"/>
    <w:rsid w:val="00800BFE"/>
    <w:rsid w:val="00801696"/>
    <w:rsid w:val="00802EEB"/>
    <w:rsid w:val="00803FFB"/>
    <w:rsid w:val="0080489C"/>
    <w:rsid w:val="00804CCD"/>
    <w:rsid w:val="0080522A"/>
    <w:rsid w:val="00805BB1"/>
    <w:rsid w:val="00805C6A"/>
    <w:rsid w:val="00807096"/>
    <w:rsid w:val="00807246"/>
    <w:rsid w:val="00810EEB"/>
    <w:rsid w:val="00812AFF"/>
    <w:rsid w:val="00814803"/>
    <w:rsid w:val="00814C48"/>
    <w:rsid w:val="00822129"/>
    <w:rsid w:val="00823276"/>
    <w:rsid w:val="008237E8"/>
    <w:rsid w:val="00823A43"/>
    <w:rsid w:val="008259B6"/>
    <w:rsid w:val="0082641A"/>
    <w:rsid w:val="00831608"/>
    <w:rsid w:val="0083169E"/>
    <w:rsid w:val="00832C5F"/>
    <w:rsid w:val="00832CB6"/>
    <w:rsid w:val="008337A1"/>
    <w:rsid w:val="00833991"/>
    <w:rsid w:val="00834B6A"/>
    <w:rsid w:val="00834C0D"/>
    <w:rsid w:val="00834D03"/>
    <w:rsid w:val="00834F2D"/>
    <w:rsid w:val="008369B8"/>
    <w:rsid w:val="00836F42"/>
    <w:rsid w:val="00837E6A"/>
    <w:rsid w:val="0084288D"/>
    <w:rsid w:val="008429A3"/>
    <w:rsid w:val="008429AF"/>
    <w:rsid w:val="008444BD"/>
    <w:rsid w:val="00844E2F"/>
    <w:rsid w:val="0084574B"/>
    <w:rsid w:val="00846B79"/>
    <w:rsid w:val="00851B24"/>
    <w:rsid w:val="00851F54"/>
    <w:rsid w:val="00852084"/>
    <w:rsid w:val="00853FF4"/>
    <w:rsid w:val="008553E8"/>
    <w:rsid w:val="0085741A"/>
    <w:rsid w:val="008578B5"/>
    <w:rsid w:val="00864130"/>
    <w:rsid w:val="00864702"/>
    <w:rsid w:val="0086657E"/>
    <w:rsid w:val="00866AB0"/>
    <w:rsid w:val="00867F1E"/>
    <w:rsid w:val="00870D8D"/>
    <w:rsid w:val="00871F73"/>
    <w:rsid w:val="00873463"/>
    <w:rsid w:val="008735D5"/>
    <w:rsid w:val="00873D83"/>
    <w:rsid w:val="0087646F"/>
    <w:rsid w:val="00877854"/>
    <w:rsid w:val="00881CEB"/>
    <w:rsid w:val="00882E11"/>
    <w:rsid w:val="008835C7"/>
    <w:rsid w:val="00884635"/>
    <w:rsid w:val="00884678"/>
    <w:rsid w:val="00884E6D"/>
    <w:rsid w:val="00885156"/>
    <w:rsid w:val="00885EF1"/>
    <w:rsid w:val="00886742"/>
    <w:rsid w:val="00887D15"/>
    <w:rsid w:val="00890F31"/>
    <w:rsid w:val="00891763"/>
    <w:rsid w:val="008917FE"/>
    <w:rsid w:val="0089325E"/>
    <w:rsid w:val="008949FB"/>
    <w:rsid w:val="00894CB7"/>
    <w:rsid w:val="00895345"/>
    <w:rsid w:val="00896267"/>
    <w:rsid w:val="008965C4"/>
    <w:rsid w:val="00896DBE"/>
    <w:rsid w:val="00897EFD"/>
    <w:rsid w:val="008A096F"/>
    <w:rsid w:val="008A3471"/>
    <w:rsid w:val="008A49C6"/>
    <w:rsid w:val="008A4C38"/>
    <w:rsid w:val="008A4D32"/>
    <w:rsid w:val="008A5C44"/>
    <w:rsid w:val="008A5EF0"/>
    <w:rsid w:val="008A6806"/>
    <w:rsid w:val="008B035B"/>
    <w:rsid w:val="008B08DF"/>
    <w:rsid w:val="008B0D4D"/>
    <w:rsid w:val="008B16E2"/>
    <w:rsid w:val="008B1777"/>
    <w:rsid w:val="008B1919"/>
    <w:rsid w:val="008B2EBD"/>
    <w:rsid w:val="008B36D0"/>
    <w:rsid w:val="008B4790"/>
    <w:rsid w:val="008B5A18"/>
    <w:rsid w:val="008B7D5C"/>
    <w:rsid w:val="008B7E58"/>
    <w:rsid w:val="008C134F"/>
    <w:rsid w:val="008C1413"/>
    <w:rsid w:val="008C33C4"/>
    <w:rsid w:val="008C3699"/>
    <w:rsid w:val="008C4531"/>
    <w:rsid w:val="008C4BA6"/>
    <w:rsid w:val="008C50B5"/>
    <w:rsid w:val="008C6DDB"/>
    <w:rsid w:val="008C757A"/>
    <w:rsid w:val="008D007F"/>
    <w:rsid w:val="008D157B"/>
    <w:rsid w:val="008D2CD1"/>
    <w:rsid w:val="008D451D"/>
    <w:rsid w:val="008D4852"/>
    <w:rsid w:val="008D4B8C"/>
    <w:rsid w:val="008D5244"/>
    <w:rsid w:val="008D5ECA"/>
    <w:rsid w:val="008D6C00"/>
    <w:rsid w:val="008D6E7A"/>
    <w:rsid w:val="008D6ED1"/>
    <w:rsid w:val="008D7D2E"/>
    <w:rsid w:val="008E077D"/>
    <w:rsid w:val="008E0FBB"/>
    <w:rsid w:val="008E1AAA"/>
    <w:rsid w:val="008E1E19"/>
    <w:rsid w:val="008E2FC6"/>
    <w:rsid w:val="008E4699"/>
    <w:rsid w:val="008E4933"/>
    <w:rsid w:val="008E68C0"/>
    <w:rsid w:val="008E70EF"/>
    <w:rsid w:val="008E7597"/>
    <w:rsid w:val="008F07FF"/>
    <w:rsid w:val="008F0DAB"/>
    <w:rsid w:val="008F0F5E"/>
    <w:rsid w:val="008F1B69"/>
    <w:rsid w:val="008F2062"/>
    <w:rsid w:val="008F2F92"/>
    <w:rsid w:val="008F495D"/>
    <w:rsid w:val="008F58E9"/>
    <w:rsid w:val="008F5EC6"/>
    <w:rsid w:val="008F60F0"/>
    <w:rsid w:val="008F689B"/>
    <w:rsid w:val="008F727F"/>
    <w:rsid w:val="009000B4"/>
    <w:rsid w:val="0090011A"/>
    <w:rsid w:val="009004C5"/>
    <w:rsid w:val="00900A96"/>
    <w:rsid w:val="00901D0E"/>
    <w:rsid w:val="009034E6"/>
    <w:rsid w:val="00903C2E"/>
    <w:rsid w:val="0090533E"/>
    <w:rsid w:val="009056BF"/>
    <w:rsid w:val="0090658E"/>
    <w:rsid w:val="009065FF"/>
    <w:rsid w:val="0090678C"/>
    <w:rsid w:val="00910CE3"/>
    <w:rsid w:val="00913BF8"/>
    <w:rsid w:val="00914954"/>
    <w:rsid w:val="00914CFD"/>
    <w:rsid w:val="009150C7"/>
    <w:rsid w:val="00915956"/>
    <w:rsid w:val="00916B21"/>
    <w:rsid w:val="009173E0"/>
    <w:rsid w:val="0091740F"/>
    <w:rsid w:val="00917A7C"/>
    <w:rsid w:val="00917ECE"/>
    <w:rsid w:val="00920E07"/>
    <w:rsid w:val="009225BD"/>
    <w:rsid w:val="00922D32"/>
    <w:rsid w:val="00923561"/>
    <w:rsid w:val="0092374D"/>
    <w:rsid w:val="00923BAA"/>
    <w:rsid w:val="00924098"/>
    <w:rsid w:val="00924970"/>
    <w:rsid w:val="00926195"/>
    <w:rsid w:val="00926491"/>
    <w:rsid w:val="009267F6"/>
    <w:rsid w:val="00926E72"/>
    <w:rsid w:val="009303AA"/>
    <w:rsid w:val="00930AB0"/>
    <w:rsid w:val="009317C0"/>
    <w:rsid w:val="00932443"/>
    <w:rsid w:val="009326BF"/>
    <w:rsid w:val="009327C7"/>
    <w:rsid w:val="0093353A"/>
    <w:rsid w:val="00934C59"/>
    <w:rsid w:val="0093667A"/>
    <w:rsid w:val="00936C33"/>
    <w:rsid w:val="0093787B"/>
    <w:rsid w:val="00937ACC"/>
    <w:rsid w:val="00937BC1"/>
    <w:rsid w:val="009408AA"/>
    <w:rsid w:val="00941ECB"/>
    <w:rsid w:val="00942C8E"/>
    <w:rsid w:val="0094354A"/>
    <w:rsid w:val="0094515D"/>
    <w:rsid w:val="00945FC2"/>
    <w:rsid w:val="00946E5B"/>
    <w:rsid w:val="009470AB"/>
    <w:rsid w:val="0094749B"/>
    <w:rsid w:val="00950E06"/>
    <w:rsid w:val="0095111A"/>
    <w:rsid w:val="00951195"/>
    <w:rsid w:val="00953D56"/>
    <w:rsid w:val="0095415B"/>
    <w:rsid w:val="00954F31"/>
    <w:rsid w:val="009555C9"/>
    <w:rsid w:val="009560DF"/>
    <w:rsid w:val="00956D84"/>
    <w:rsid w:val="009607A3"/>
    <w:rsid w:val="00961330"/>
    <w:rsid w:val="00961347"/>
    <w:rsid w:val="00961793"/>
    <w:rsid w:val="00961BEE"/>
    <w:rsid w:val="00963095"/>
    <w:rsid w:val="00963738"/>
    <w:rsid w:val="0096379F"/>
    <w:rsid w:val="009639B6"/>
    <w:rsid w:val="00964500"/>
    <w:rsid w:val="00964F1C"/>
    <w:rsid w:val="00964F25"/>
    <w:rsid w:val="00965869"/>
    <w:rsid w:val="00966531"/>
    <w:rsid w:val="009672A4"/>
    <w:rsid w:val="00967654"/>
    <w:rsid w:val="009703A2"/>
    <w:rsid w:val="009714A5"/>
    <w:rsid w:val="00972974"/>
    <w:rsid w:val="00972FBC"/>
    <w:rsid w:val="00973371"/>
    <w:rsid w:val="00973410"/>
    <w:rsid w:val="00973859"/>
    <w:rsid w:val="00974A70"/>
    <w:rsid w:val="009759FD"/>
    <w:rsid w:val="0098127A"/>
    <w:rsid w:val="00981D15"/>
    <w:rsid w:val="0098209B"/>
    <w:rsid w:val="00983C33"/>
    <w:rsid w:val="00983EB5"/>
    <w:rsid w:val="00984909"/>
    <w:rsid w:val="0098643F"/>
    <w:rsid w:val="00986726"/>
    <w:rsid w:val="009900E6"/>
    <w:rsid w:val="00990F17"/>
    <w:rsid w:val="009912B5"/>
    <w:rsid w:val="00991437"/>
    <w:rsid w:val="009914DC"/>
    <w:rsid w:val="009917CC"/>
    <w:rsid w:val="00992EB2"/>
    <w:rsid w:val="009936DC"/>
    <w:rsid w:val="00993A30"/>
    <w:rsid w:val="00993E30"/>
    <w:rsid w:val="00994BF7"/>
    <w:rsid w:val="00995313"/>
    <w:rsid w:val="00997C34"/>
    <w:rsid w:val="00997D75"/>
    <w:rsid w:val="009A34E2"/>
    <w:rsid w:val="009A3DA3"/>
    <w:rsid w:val="009A3DE0"/>
    <w:rsid w:val="009A513D"/>
    <w:rsid w:val="009A5B2E"/>
    <w:rsid w:val="009A691B"/>
    <w:rsid w:val="009A6D41"/>
    <w:rsid w:val="009B103F"/>
    <w:rsid w:val="009B1AFE"/>
    <w:rsid w:val="009B2564"/>
    <w:rsid w:val="009B4C1C"/>
    <w:rsid w:val="009B64A5"/>
    <w:rsid w:val="009B6862"/>
    <w:rsid w:val="009C0063"/>
    <w:rsid w:val="009C07AA"/>
    <w:rsid w:val="009C22E0"/>
    <w:rsid w:val="009C2676"/>
    <w:rsid w:val="009C3ECB"/>
    <w:rsid w:val="009C422C"/>
    <w:rsid w:val="009C5FAB"/>
    <w:rsid w:val="009C6420"/>
    <w:rsid w:val="009C6A3C"/>
    <w:rsid w:val="009C6BDC"/>
    <w:rsid w:val="009C6D8D"/>
    <w:rsid w:val="009D0E82"/>
    <w:rsid w:val="009D25F6"/>
    <w:rsid w:val="009D3B4B"/>
    <w:rsid w:val="009D4D5E"/>
    <w:rsid w:val="009E19DB"/>
    <w:rsid w:val="009E1BB9"/>
    <w:rsid w:val="009E1C45"/>
    <w:rsid w:val="009E29D2"/>
    <w:rsid w:val="009E52BB"/>
    <w:rsid w:val="009E56D5"/>
    <w:rsid w:val="009E5D84"/>
    <w:rsid w:val="009E662A"/>
    <w:rsid w:val="009E7A09"/>
    <w:rsid w:val="009F0910"/>
    <w:rsid w:val="009F0B1B"/>
    <w:rsid w:val="009F17BE"/>
    <w:rsid w:val="009F1A5B"/>
    <w:rsid w:val="009F2679"/>
    <w:rsid w:val="009F2E93"/>
    <w:rsid w:val="009F41F3"/>
    <w:rsid w:val="00A000D9"/>
    <w:rsid w:val="00A00612"/>
    <w:rsid w:val="00A00A12"/>
    <w:rsid w:val="00A02D03"/>
    <w:rsid w:val="00A02E94"/>
    <w:rsid w:val="00A0522A"/>
    <w:rsid w:val="00A0536F"/>
    <w:rsid w:val="00A057DC"/>
    <w:rsid w:val="00A0725B"/>
    <w:rsid w:val="00A07A53"/>
    <w:rsid w:val="00A10153"/>
    <w:rsid w:val="00A106F3"/>
    <w:rsid w:val="00A11EC9"/>
    <w:rsid w:val="00A121FB"/>
    <w:rsid w:val="00A12F69"/>
    <w:rsid w:val="00A13772"/>
    <w:rsid w:val="00A143B0"/>
    <w:rsid w:val="00A1619E"/>
    <w:rsid w:val="00A16C07"/>
    <w:rsid w:val="00A16E71"/>
    <w:rsid w:val="00A17A74"/>
    <w:rsid w:val="00A2046F"/>
    <w:rsid w:val="00A228AE"/>
    <w:rsid w:val="00A22A04"/>
    <w:rsid w:val="00A23FCD"/>
    <w:rsid w:val="00A24E49"/>
    <w:rsid w:val="00A2552B"/>
    <w:rsid w:val="00A25C40"/>
    <w:rsid w:val="00A25F38"/>
    <w:rsid w:val="00A26D36"/>
    <w:rsid w:val="00A27411"/>
    <w:rsid w:val="00A27C51"/>
    <w:rsid w:val="00A31048"/>
    <w:rsid w:val="00A32552"/>
    <w:rsid w:val="00A33005"/>
    <w:rsid w:val="00A330EE"/>
    <w:rsid w:val="00A33F33"/>
    <w:rsid w:val="00A34C99"/>
    <w:rsid w:val="00A36910"/>
    <w:rsid w:val="00A370A6"/>
    <w:rsid w:val="00A375F1"/>
    <w:rsid w:val="00A416AE"/>
    <w:rsid w:val="00A41B24"/>
    <w:rsid w:val="00A42A6B"/>
    <w:rsid w:val="00A43DC7"/>
    <w:rsid w:val="00A444BF"/>
    <w:rsid w:val="00A449BE"/>
    <w:rsid w:val="00A44A62"/>
    <w:rsid w:val="00A44BB7"/>
    <w:rsid w:val="00A4796C"/>
    <w:rsid w:val="00A510AC"/>
    <w:rsid w:val="00A5152D"/>
    <w:rsid w:val="00A517FC"/>
    <w:rsid w:val="00A54D4D"/>
    <w:rsid w:val="00A55274"/>
    <w:rsid w:val="00A564B5"/>
    <w:rsid w:val="00A57205"/>
    <w:rsid w:val="00A57436"/>
    <w:rsid w:val="00A605F9"/>
    <w:rsid w:val="00A60E45"/>
    <w:rsid w:val="00A613FC"/>
    <w:rsid w:val="00A61533"/>
    <w:rsid w:val="00A624A7"/>
    <w:rsid w:val="00A6290C"/>
    <w:rsid w:val="00A637C3"/>
    <w:rsid w:val="00A63BA5"/>
    <w:rsid w:val="00A64196"/>
    <w:rsid w:val="00A654A4"/>
    <w:rsid w:val="00A66EE9"/>
    <w:rsid w:val="00A6714F"/>
    <w:rsid w:val="00A7047C"/>
    <w:rsid w:val="00A72193"/>
    <w:rsid w:val="00A72302"/>
    <w:rsid w:val="00A7287F"/>
    <w:rsid w:val="00A7300C"/>
    <w:rsid w:val="00A73844"/>
    <w:rsid w:val="00A74A85"/>
    <w:rsid w:val="00A75230"/>
    <w:rsid w:val="00A76165"/>
    <w:rsid w:val="00A778F7"/>
    <w:rsid w:val="00A77E6F"/>
    <w:rsid w:val="00A80D20"/>
    <w:rsid w:val="00A8237F"/>
    <w:rsid w:val="00A82391"/>
    <w:rsid w:val="00A82463"/>
    <w:rsid w:val="00A8332E"/>
    <w:rsid w:val="00A839F5"/>
    <w:rsid w:val="00A83F2E"/>
    <w:rsid w:val="00A84873"/>
    <w:rsid w:val="00A84D44"/>
    <w:rsid w:val="00A8504E"/>
    <w:rsid w:val="00A851AD"/>
    <w:rsid w:val="00A856F0"/>
    <w:rsid w:val="00A867EC"/>
    <w:rsid w:val="00A86EA4"/>
    <w:rsid w:val="00A91582"/>
    <w:rsid w:val="00A91A3E"/>
    <w:rsid w:val="00A92139"/>
    <w:rsid w:val="00A928CE"/>
    <w:rsid w:val="00A939CF"/>
    <w:rsid w:val="00A956C7"/>
    <w:rsid w:val="00A95E98"/>
    <w:rsid w:val="00A97A9B"/>
    <w:rsid w:val="00AA01D4"/>
    <w:rsid w:val="00AA09E2"/>
    <w:rsid w:val="00AA2D96"/>
    <w:rsid w:val="00AA4E62"/>
    <w:rsid w:val="00AA64F9"/>
    <w:rsid w:val="00AA7DCC"/>
    <w:rsid w:val="00AA7EA8"/>
    <w:rsid w:val="00AB00E6"/>
    <w:rsid w:val="00AB0EEC"/>
    <w:rsid w:val="00AB198E"/>
    <w:rsid w:val="00AB1BBF"/>
    <w:rsid w:val="00AB2F8E"/>
    <w:rsid w:val="00AB312A"/>
    <w:rsid w:val="00AB41DE"/>
    <w:rsid w:val="00AB45D6"/>
    <w:rsid w:val="00AB5B2F"/>
    <w:rsid w:val="00AB6379"/>
    <w:rsid w:val="00AB738C"/>
    <w:rsid w:val="00AC240E"/>
    <w:rsid w:val="00AC261D"/>
    <w:rsid w:val="00AC274D"/>
    <w:rsid w:val="00AC318C"/>
    <w:rsid w:val="00AC3F10"/>
    <w:rsid w:val="00AC42D0"/>
    <w:rsid w:val="00AC50BB"/>
    <w:rsid w:val="00AC5A44"/>
    <w:rsid w:val="00AC66C5"/>
    <w:rsid w:val="00AD0BFE"/>
    <w:rsid w:val="00AD23E3"/>
    <w:rsid w:val="00AD4399"/>
    <w:rsid w:val="00AD4C9C"/>
    <w:rsid w:val="00AD5F6D"/>
    <w:rsid w:val="00AD619D"/>
    <w:rsid w:val="00AD62D4"/>
    <w:rsid w:val="00AD6AB3"/>
    <w:rsid w:val="00AD6DA0"/>
    <w:rsid w:val="00AD712B"/>
    <w:rsid w:val="00AE043C"/>
    <w:rsid w:val="00AE0A63"/>
    <w:rsid w:val="00AE1266"/>
    <w:rsid w:val="00AE1D02"/>
    <w:rsid w:val="00AE1EF8"/>
    <w:rsid w:val="00AE2E7C"/>
    <w:rsid w:val="00AE300A"/>
    <w:rsid w:val="00AE4897"/>
    <w:rsid w:val="00AE4EBF"/>
    <w:rsid w:val="00AE6D29"/>
    <w:rsid w:val="00AE7CFA"/>
    <w:rsid w:val="00AF0B62"/>
    <w:rsid w:val="00AF20E1"/>
    <w:rsid w:val="00AF26A9"/>
    <w:rsid w:val="00AF2BA9"/>
    <w:rsid w:val="00AF46FF"/>
    <w:rsid w:val="00AF57CE"/>
    <w:rsid w:val="00AF5E32"/>
    <w:rsid w:val="00AF612F"/>
    <w:rsid w:val="00AF7B9D"/>
    <w:rsid w:val="00B020FB"/>
    <w:rsid w:val="00B02E52"/>
    <w:rsid w:val="00B04F0D"/>
    <w:rsid w:val="00B0556F"/>
    <w:rsid w:val="00B05B31"/>
    <w:rsid w:val="00B06A9C"/>
    <w:rsid w:val="00B07B88"/>
    <w:rsid w:val="00B07BCD"/>
    <w:rsid w:val="00B1059E"/>
    <w:rsid w:val="00B10A1C"/>
    <w:rsid w:val="00B10C1D"/>
    <w:rsid w:val="00B12500"/>
    <w:rsid w:val="00B132A4"/>
    <w:rsid w:val="00B14A31"/>
    <w:rsid w:val="00B21425"/>
    <w:rsid w:val="00B21E0D"/>
    <w:rsid w:val="00B226FE"/>
    <w:rsid w:val="00B227D3"/>
    <w:rsid w:val="00B22D8B"/>
    <w:rsid w:val="00B232B0"/>
    <w:rsid w:val="00B2516C"/>
    <w:rsid w:val="00B2587E"/>
    <w:rsid w:val="00B27193"/>
    <w:rsid w:val="00B300AD"/>
    <w:rsid w:val="00B308F1"/>
    <w:rsid w:val="00B30E17"/>
    <w:rsid w:val="00B3207F"/>
    <w:rsid w:val="00B32303"/>
    <w:rsid w:val="00B327D2"/>
    <w:rsid w:val="00B357F2"/>
    <w:rsid w:val="00B35B22"/>
    <w:rsid w:val="00B35DDE"/>
    <w:rsid w:val="00B36265"/>
    <w:rsid w:val="00B36724"/>
    <w:rsid w:val="00B404DD"/>
    <w:rsid w:val="00B435B0"/>
    <w:rsid w:val="00B43BA0"/>
    <w:rsid w:val="00B45B74"/>
    <w:rsid w:val="00B473E3"/>
    <w:rsid w:val="00B47410"/>
    <w:rsid w:val="00B4742F"/>
    <w:rsid w:val="00B506EB"/>
    <w:rsid w:val="00B52CAB"/>
    <w:rsid w:val="00B533A4"/>
    <w:rsid w:val="00B53412"/>
    <w:rsid w:val="00B53BB1"/>
    <w:rsid w:val="00B54DC6"/>
    <w:rsid w:val="00B55B57"/>
    <w:rsid w:val="00B567D7"/>
    <w:rsid w:val="00B56EA4"/>
    <w:rsid w:val="00B57693"/>
    <w:rsid w:val="00B57AF9"/>
    <w:rsid w:val="00B57F31"/>
    <w:rsid w:val="00B60938"/>
    <w:rsid w:val="00B61B4E"/>
    <w:rsid w:val="00B63190"/>
    <w:rsid w:val="00B64107"/>
    <w:rsid w:val="00B64A7B"/>
    <w:rsid w:val="00B65045"/>
    <w:rsid w:val="00B66DB6"/>
    <w:rsid w:val="00B705D8"/>
    <w:rsid w:val="00B70DE9"/>
    <w:rsid w:val="00B72F17"/>
    <w:rsid w:val="00B73821"/>
    <w:rsid w:val="00B73B79"/>
    <w:rsid w:val="00B74294"/>
    <w:rsid w:val="00B74B75"/>
    <w:rsid w:val="00B74E74"/>
    <w:rsid w:val="00B76F3D"/>
    <w:rsid w:val="00B776B0"/>
    <w:rsid w:val="00B777A5"/>
    <w:rsid w:val="00B8133F"/>
    <w:rsid w:val="00B825F4"/>
    <w:rsid w:val="00B82D8F"/>
    <w:rsid w:val="00B84014"/>
    <w:rsid w:val="00B86D17"/>
    <w:rsid w:val="00B873B5"/>
    <w:rsid w:val="00B87612"/>
    <w:rsid w:val="00B87930"/>
    <w:rsid w:val="00B921C4"/>
    <w:rsid w:val="00B93260"/>
    <w:rsid w:val="00B93F28"/>
    <w:rsid w:val="00B9459C"/>
    <w:rsid w:val="00B9490F"/>
    <w:rsid w:val="00B953F8"/>
    <w:rsid w:val="00B95D1D"/>
    <w:rsid w:val="00B96048"/>
    <w:rsid w:val="00B972CB"/>
    <w:rsid w:val="00BA0FD9"/>
    <w:rsid w:val="00BA18DD"/>
    <w:rsid w:val="00BA40D9"/>
    <w:rsid w:val="00BA5868"/>
    <w:rsid w:val="00BA6913"/>
    <w:rsid w:val="00BB0216"/>
    <w:rsid w:val="00BB022B"/>
    <w:rsid w:val="00BB071E"/>
    <w:rsid w:val="00BB0BA8"/>
    <w:rsid w:val="00BB369A"/>
    <w:rsid w:val="00BB37A8"/>
    <w:rsid w:val="00BB3A0B"/>
    <w:rsid w:val="00BB485D"/>
    <w:rsid w:val="00BB4DFC"/>
    <w:rsid w:val="00BB6206"/>
    <w:rsid w:val="00BB6599"/>
    <w:rsid w:val="00BC0236"/>
    <w:rsid w:val="00BC0D3F"/>
    <w:rsid w:val="00BC122C"/>
    <w:rsid w:val="00BC24C9"/>
    <w:rsid w:val="00BC2D91"/>
    <w:rsid w:val="00BC3D1C"/>
    <w:rsid w:val="00BC41F7"/>
    <w:rsid w:val="00BC4C16"/>
    <w:rsid w:val="00BC59A5"/>
    <w:rsid w:val="00BC66F9"/>
    <w:rsid w:val="00BC6820"/>
    <w:rsid w:val="00BC6C03"/>
    <w:rsid w:val="00BC6F02"/>
    <w:rsid w:val="00BC6F77"/>
    <w:rsid w:val="00BC770A"/>
    <w:rsid w:val="00BD01BC"/>
    <w:rsid w:val="00BD0985"/>
    <w:rsid w:val="00BD1031"/>
    <w:rsid w:val="00BD15E9"/>
    <w:rsid w:val="00BD25B4"/>
    <w:rsid w:val="00BD455D"/>
    <w:rsid w:val="00BD4C85"/>
    <w:rsid w:val="00BD5156"/>
    <w:rsid w:val="00BD557F"/>
    <w:rsid w:val="00BD56BD"/>
    <w:rsid w:val="00BE15C7"/>
    <w:rsid w:val="00BE2CD8"/>
    <w:rsid w:val="00BE2E79"/>
    <w:rsid w:val="00BE36D4"/>
    <w:rsid w:val="00BE372E"/>
    <w:rsid w:val="00BE44C9"/>
    <w:rsid w:val="00BE4D65"/>
    <w:rsid w:val="00BE5205"/>
    <w:rsid w:val="00BE712C"/>
    <w:rsid w:val="00BF0C04"/>
    <w:rsid w:val="00BF209B"/>
    <w:rsid w:val="00BF212F"/>
    <w:rsid w:val="00BF3090"/>
    <w:rsid w:val="00BF373E"/>
    <w:rsid w:val="00BF43FA"/>
    <w:rsid w:val="00BF5338"/>
    <w:rsid w:val="00BF5C4E"/>
    <w:rsid w:val="00BF652B"/>
    <w:rsid w:val="00BF677C"/>
    <w:rsid w:val="00BF67B6"/>
    <w:rsid w:val="00C045BB"/>
    <w:rsid w:val="00C059DD"/>
    <w:rsid w:val="00C06CB9"/>
    <w:rsid w:val="00C12472"/>
    <w:rsid w:val="00C127E3"/>
    <w:rsid w:val="00C12993"/>
    <w:rsid w:val="00C12C3C"/>
    <w:rsid w:val="00C134CE"/>
    <w:rsid w:val="00C14194"/>
    <w:rsid w:val="00C1562E"/>
    <w:rsid w:val="00C15C47"/>
    <w:rsid w:val="00C168FB"/>
    <w:rsid w:val="00C16F88"/>
    <w:rsid w:val="00C17039"/>
    <w:rsid w:val="00C17C11"/>
    <w:rsid w:val="00C208BE"/>
    <w:rsid w:val="00C20FD7"/>
    <w:rsid w:val="00C21C6A"/>
    <w:rsid w:val="00C222CE"/>
    <w:rsid w:val="00C226BA"/>
    <w:rsid w:val="00C228A0"/>
    <w:rsid w:val="00C22A43"/>
    <w:rsid w:val="00C236B1"/>
    <w:rsid w:val="00C259EF"/>
    <w:rsid w:val="00C25D38"/>
    <w:rsid w:val="00C26218"/>
    <w:rsid w:val="00C3203F"/>
    <w:rsid w:val="00C321F5"/>
    <w:rsid w:val="00C322A8"/>
    <w:rsid w:val="00C32EE4"/>
    <w:rsid w:val="00C342E1"/>
    <w:rsid w:val="00C34384"/>
    <w:rsid w:val="00C34BF4"/>
    <w:rsid w:val="00C37249"/>
    <w:rsid w:val="00C377A0"/>
    <w:rsid w:val="00C40B0E"/>
    <w:rsid w:val="00C40CCE"/>
    <w:rsid w:val="00C41346"/>
    <w:rsid w:val="00C413B9"/>
    <w:rsid w:val="00C420C3"/>
    <w:rsid w:val="00C4210A"/>
    <w:rsid w:val="00C42DD2"/>
    <w:rsid w:val="00C43BD6"/>
    <w:rsid w:val="00C445B0"/>
    <w:rsid w:val="00C44D9B"/>
    <w:rsid w:val="00C45026"/>
    <w:rsid w:val="00C45B16"/>
    <w:rsid w:val="00C45EBD"/>
    <w:rsid w:val="00C466DC"/>
    <w:rsid w:val="00C468DC"/>
    <w:rsid w:val="00C47B12"/>
    <w:rsid w:val="00C51C57"/>
    <w:rsid w:val="00C52545"/>
    <w:rsid w:val="00C5255D"/>
    <w:rsid w:val="00C534CE"/>
    <w:rsid w:val="00C5415C"/>
    <w:rsid w:val="00C541D9"/>
    <w:rsid w:val="00C5435D"/>
    <w:rsid w:val="00C62615"/>
    <w:rsid w:val="00C6335B"/>
    <w:rsid w:val="00C63A95"/>
    <w:rsid w:val="00C63F3D"/>
    <w:rsid w:val="00C645D0"/>
    <w:rsid w:val="00C64E05"/>
    <w:rsid w:val="00C65119"/>
    <w:rsid w:val="00C67B4F"/>
    <w:rsid w:val="00C67D4B"/>
    <w:rsid w:val="00C70B1D"/>
    <w:rsid w:val="00C70ECE"/>
    <w:rsid w:val="00C713C8"/>
    <w:rsid w:val="00C71AC0"/>
    <w:rsid w:val="00C72787"/>
    <w:rsid w:val="00C732CF"/>
    <w:rsid w:val="00C7595F"/>
    <w:rsid w:val="00C771AA"/>
    <w:rsid w:val="00C80468"/>
    <w:rsid w:val="00C82510"/>
    <w:rsid w:val="00C83288"/>
    <w:rsid w:val="00C83715"/>
    <w:rsid w:val="00C83A49"/>
    <w:rsid w:val="00C83AD1"/>
    <w:rsid w:val="00C84470"/>
    <w:rsid w:val="00C846E1"/>
    <w:rsid w:val="00C90211"/>
    <w:rsid w:val="00C90783"/>
    <w:rsid w:val="00C9172A"/>
    <w:rsid w:val="00C91AD7"/>
    <w:rsid w:val="00C91C25"/>
    <w:rsid w:val="00C925F3"/>
    <w:rsid w:val="00C92D49"/>
    <w:rsid w:val="00C92F36"/>
    <w:rsid w:val="00C948F0"/>
    <w:rsid w:val="00C951E2"/>
    <w:rsid w:val="00C95C0B"/>
    <w:rsid w:val="00C97B6E"/>
    <w:rsid w:val="00CA03EA"/>
    <w:rsid w:val="00CA0927"/>
    <w:rsid w:val="00CA0E05"/>
    <w:rsid w:val="00CA3445"/>
    <w:rsid w:val="00CA3523"/>
    <w:rsid w:val="00CA4623"/>
    <w:rsid w:val="00CA4B6A"/>
    <w:rsid w:val="00CA5578"/>
    <w:rsid w:val="00CA7A9C"/>
    <w:rsid w:val="00CB007D"/>
    <w:rsid w:val="00CB0544"/>
    <w:rsid w:val="00CB140F"/>
    <w:rsid w:val="00CB261B"/>
    <w:rsid w:val="00CB35AA"/>
    <w:rsid w:val="00CB634F"/>
    <w:rsid w:val="00CB63EF"/>
    <w:rsid w:val="00CB6FFF"/>
    <w:rsid w:val="00CC0D33"/>
    <w:rsid w:val="00CC1693"/>
    <w:rsid w:val="00CC1977"/>
    <w:rsid w:val="00CC1F56"/>
    <w:rsid w:val="00CC2185"/>
    <w:rsid w:val="00CC28DD"/>
    <w:rsid w:val="00CC28F0"/>
    <w:rsid w:val="00CC4601"/>
    <w:rsid w:val="00CC5E13"/>
    <w:rsid w:val="00CC75A2"/>
    <w:rsid w:val="00CD0A1B"/>
    <w:rsid w:val="00CD2162"/>
    <w:rsid w:val="00CD257A"/>
    <w:rsid w:val="00CD49EF"/>
    <w:rsid w:val="00CD4BE8"/>
    <w:rsid w:val="00CE0348"/>
    <w:rsid w:val="00CE08A0"/>
    <w:rsid w:val="00CE2194"/>
    <w:rsid w:val="00CE254C"/>
    <w:rsid w:val="00CE332C"/>
    <w:rsid w:val="00CE361F"/>
    <w:rsid w:val="00CE423E"/>
    <w:rsid w:val="00CE43C1"/>
    <w:rsid w:val="00CE4622"/>
    <w:rsid w:val="00CE590E"/>
    <w:rsid w:val="00CE59D2"/>
    <w:rsid w:val="00CE5C2C"/>
    <w:rsid w:val="00CE67AF"/>
    <w:rsid w:val="00CE75AA"/>
    <w:rsid w:val="00CE78C7"/>
    <w:rsid w:val="00CF0588"/>
    <w:rsid w:val="00CF058B"/>
    <w:rsid w:val="00CF164B"/>
    <w:rsid w:val="00CF1FCD"/>
    <w:rsid w:val="00CF266B"/>
    <w:rsid w:val="00CF3411"/>
    <w:rsid w:val="00CF4A6E"/>
    <w:rsid w:val="00CF4BC5"/>
    <w:rsid w:val="00CF4F81"/>
    <w:rsid w:val="00CF7D90"/>
    <w:rsid w:val="00D008A9"/>
    <w:rsid w:val="00D02747"/>
    <w:rsid w:val="00D029A4"/>
    <w:rsid w:val="00D03DA5"/>
    <w:rsid w:val="00D03FFF"/>
    <w:rsid w:val="00D06D99"/>
    <w:rsid w:val="00D071E2"/>
    <w:rsid w:val="00D1011A"/>
    <w:rsid w:val="00D107B7"/>
    <w:rsid w:val="00D11028"/>
    <w:rsid w:val="00D1120B"/>
    <w:rsid w:val="00D11B8A"/>
    <w:rsid w:val="00D11E63"/>
    <w:rsid w:val="00D126E1"/>
    <w:rsid w:val="00D14664"/>
    <w:rsid w:val="00D1516A"/>
    <w:rsid w:val="00D156EF"/>
    <w:rsid w:val="00D17363"/>
    <w:rsid w:val="00D175D4"/>
    <w:rsid w:val="00D226A0"/>
    <w:rsid w:val="00D2336E"/>
    <w:rsid w:val="00D25253"/>
    <w:rsid w:val="00D25DED"/>
    <w:rsid w:val="00D267FC"/>
    <w:rsid w:val="00D27175"/>
    <w:rsid w:val="00D273FC"/>
    <w:rsid w:val="00D27F69"/>
    <w:rsid w:val="00D30019"/>
    <w:rsid w:val="00D304CE"/>
    <w:rsid w:val="00D30E49"/>
    <w:rsid w:val="00D3157C"/>
    <w:rsid w:val="00D32626"/>
    <w:rsid w:val="00D3322D"/>
    <w:rsid w:val="00D336F1"/>
    <w:rsid w:val="00D339A4"/>
    <w:rsid w:val="00D33D96"/>
    <w:rsid w:val="00D35671"/>
    <w:rsid w:val="00D35D2A"/>
    <w:rsid w:val="00D364E5"/>
    <w:rsid w:val="00D36DDF"/>
    <w:rsid w:val="00D37658"/>
    <w:rsid w:val="00D378F4"/>
    <w:rsid w:val="00D40658"/>
    <w:rsid w:val="00D40F58"/>
    <w:rsid w:val="00D41184"/>
    <w:rsid w:val="00D42666"/>
    <w:rsid w:val="00D428E9"/>
    <w:rsid w:val="00D429D4"/>
    <w:rsid w:val="00D434B3"/>
    <w:rsid w:val="00D438F6"/>
    <w:rsid w:val="00D44941"/>
    <w:rsid w:val="00D462FD"/>
    <w:rsid w:val="00D47CF4"/>
    <w:rsid w:val="00D50925"/>
    <w:rsid w:val="00D5212F"/>
    <w:rsid w:val="00D52D57"/>
    <w:rsid w:val="00D52EB8"/>
    <w:rsid w:val="00D53012"/>
    <w:rsid w:val="00D543E3"/>
    <w:rsid w:val="00D545FF"/>
    <w:rsid w:val="00D54698"/>
    <w:rsid w:val="00D557FA"/>
    <w:rsid w:val="00D56D8A"/>
    <w:rsid w:val="00D6079A"/>
    <w:rsid w:val="00D6208B"/>
    <w:rsid w:val="00D6219D"/>
    <w:rsid w:val="00D6251D"/>
    <w:rsid w:val="00D6323D"/>
    <w:rsid w:val="00D65736"/>
    <w:rsid w:val="00D67916"/>
    <w:rsid w:val="00D70277"/>
    <w:rsid w:val="00D7082A"/>
    <w:rsid w:val="00D73494"/>
    <w:rsid w:val="00D736B9"/>
    <w:rsid w:val="00D7451D"/>
    <w:rsid w:val="00D7479B"/>
    <w:rsid w:val="00D751E3"/>
    <w:rsid w:val="00D75B28"/>
    <w:rsid w:val="00D76498"/>
    <w:rsid w:val="00D76C0F"/>
    <w:rsid w:val="00D77E76"/>
    <w:rsid w:val="00D77EA5"/>
    <w:rsid w:val="00D83A6E"/>
    <w:rsid w:val="00D84079"/>
    <w:rsid w:val="00D86780"/>
    <w:rsid w:val="00D86E4E"/>
    <w:rsid w:val="00D87406"/>
    <w:rsid w:val="00D878B0"/>
    <w:rsid w:val="00D90072"/>
    <w:rsid w:val="00D91D57"/>
    <w:rsid w:val="00D94156"/>
    <w:rsid w:val="00D94439"/>
    <w:rsid w:val="00D94CAD"/>
    <w:rsid w:val="00D94CE1"/>
    <w:rsid w:val="00D96934"/>
    <w:rsid w:val="00D97053"/>
    <w:rsid w:val="00DA0274"/>
    <w:rsid w:val="00DA15E3"/>
    <w:rsid w:val="00DA26F1"/>
    <w:rsid w:val="00DA35D9"/>
    <w:rsid w:val="00DA3C24"/>
    <w:rsid w:val="00DA3E90"/>
    <w:rsid w:val="00DA4EFF"/>
    <w:rsid w:val="00DA7257"/>
    <w:rsid w:val="00DA77C1"/>
    <w:rsid w:val="00DB0E44"/>
    <w:rsid w:val="00DB1203"/>
    <w:rsid w:val="00DB29AD"/>
    <w:rsid w:val="00DB358B"/>
    <w:rsid w:val="00DB35FE"/>
    <w:rsid w:val="00DB4813"/>
    <w:rsid w:val="00DB6228"/>
    <w:rsid w:val="00DC0B67"/>
    <w:rsid w:val="00DC208C"/>
    <w:rsid w:val="00DC3E5C"/>
    <w:rsid w:val="00DC518E"/>
    <w:rsid w:val="00DC5AA2"/>
    <w:rsid w:val="00DC5F49"/>
    <w:rsid w:val="00DC77D8"/>
    <w:rsid w:val="00DC7BEC"/>
    <w:rsid w:val="00DD126A"/>
    <w:rsid w:val="00DD684E"/>
    <w:rsid w:val="00DE073C"/>
    <w:rsid w:val="00DE16E9"/>
    <w:rsid w:val="00DE2CC8"/>
    <w:rsid w:val="00DE34C1"/>
    <w:rsid w:val="00DE3EA6"/>
    <w:rsid w:val="00DE4365"/>
    <w:rsid w:val="00DE4C6F"/>
    <w:rsid w:val="00DE4D02"/>
    <w:rsid w:val="00DE58DC"/>
    <w:rsid w:val="00DE590D"/>
    <w:rsid w:val="00DE68B0"/>
    <w:rsid w:val="00DE6C34"/>
    <w:rsid w:val="00DE7D08"/>
    <w:rsid w:val="00DF3768"/>
    <w:rsid w:val="00DF4CF1"/>
    <w:rsid w:val="00DF5BE5"/>
    <w:rsid w:val="00DF7ED7"/>
    <w:rsid w:val="00E00995"/>
    <w:rsid w:val="00E01908"/>
    <w:rsid w:val="00E01B46"/>
    <w:rsid w:val="00E035F4"/>
    <w:rsid w:val="00E0364A"/>
    <w:rsid w:val="00E03E4E"/>
    <w:rsid w:val="00E04141"/>
    <w:rsid w:val="00E056DF"/>
    <w:rsid w:val="00E05ED6"/>
    <w:rsid w:val="00E05F95"/>
    <w:rsid w:val="00E06324"/>
    <w:rsid w:val="00E06ED7"/>
    <w:rsid w:val="00E1002B"/>
    <w:rsid w:val="00E10449"/>
    <w:rsid w:val="00E109B2"/>
    <w:rsid w:val="00E109F2"/>
    <w:rsid w:val="00E11C47"/>
    <w:rsid w:val="00E1253B"/>
    <w:rsid w:val="00E13547"/>
    <w:rsid w:val="00E1400B"/>
    <w:rsid w:val="00E1568C"/>
    <w:rsid w:val="00E1607E"/>
    <w:rsid w:val="00E167E1"/>
    <w:rsid w:val="00E17B51"/>
    <w:rsid w:val="00E20DAF"/>
    <w:rsid w:val="00E2186A"/>
    <w:rsid w:val="00E22379"/>
    <w:rsid w:val="00E2249A"/>
    <w:rsid w:val="00E2251F"/>
    <w:rsid w:val="00E22971"/>
    <w:rsid w:val="00E22D78"/>
    <w:rsid w:val="00E23E1D"/>
    <w:rsid w:val="00E241C5"/>
    <w:rsid w:val="00E2474A"/>
    <w:rsid w:val="00E271BE"/>
    <w:rsid w:val="00E27F43"/>
    <w:rsid w:val="00E3026F"/>
    <w:rsid w:val="00E3063F"/>
    <w:rsid w:val="00E30A8D"/>
    <w:rsid w:val="00E30C20"/>
    <w:rsid w:val="00E30E91"/>
    <w:rsid w:val="00E30EBB"/>
    <w:rsid w:val="00E32671"/>
    <w:rsid w:val="00E32810"/>
    <w:rsid w:val="00E32B5E"/>
    <w:rsid w:val="00E33420"/>
    <w:rsid w:val="00E33485"/>
    <w:rsid w:val="00E33D2F"/>
    <w:rsid w:val="00E35100"/>
    <w:rsid w:val="00E35D4E"/>
    <w:rsid w:val="00E363D3"/>
    <w:rsid w:val="00E36A11"/>
    <w:rsid w:val="00E3701D"/>
    <w:rsid w:val="00E413DC"/>
    <w:rsid w:val="00E41E7A"/>
    <w:rsid w:val="00E42235"/>
    <w:rsid w:val="00E4272F"/>
    <w:rsid w:val="00E42760"/>
    <w:rsid w:val="00E42BDC"/>
    <w:rsid w:val="00E42FD5"/>
    <w:rsid w:val="00E44C7B"/>
    <w:rsid w:val="00E45A81"/>
    <w:rsid w:val="00E45D0C"/>
    <w:rsid w:val="00E503CA"/>
    <w:rsid w:val="00E5052C"/>
    <w:rsid w:val="00E53EE6"/>
    <w:rsid w:val="00E57717"/>
    <w:rsid w:val="00E57E2A"/>
    <w:rsid w:val="00E6040B"/>
    <w:rsid w:val="00E610C7"/>
    <w:rsid w:val="00E61DC4"/>
    <w:rsid w:val="00E63AC5"/>
    <w:rsid w:val="00E644F0"/>
    <w:rsid w:val="00E65346"/>
    <w:rsid w:val="00E66C39"/>
    <w:rsid w:val="00E67AC7"/>
    <w:rsid w:val="00E67B73"/>
    <w:rsid w:val="00E70CC7"/>
    <w:rsid w:val="00E727B4"/>
    <w:rsid w:val="00E748EA"/>
    <w:rsid w:val="00E758B8"/>
    <w:rsid w:val="00E76AF4"/>
    <w:rsid w:val="00E773A0"/>
    <w:rsid w:val="00E77F0E"/>
    <w:rsid w:val="00E82198"/>
    <w:rsid w:val="00E8221F"/>
    <w:rsid w:val="00E82285"/>
    <w:rsid w:val="00E82E1A"/>
    <w:rsid w:val="00E841EE"/>
    <w:rsid w:val="00E84C3B"/>
    <w:rsid w:val="00E85022"/>
    <w:rsid w:val="00E85235"/>
    <w:rsid w:val="00E91702"/>
    <w:rsid w:val="00E919B5"/>
    <w:rsid w:val="00E91D48"/>
    <w:rsid w:val="00E92251"/>
    <w:rsid w:val="00E9493D"/>
    <w:rsid w:val="00E9568F"/>
    <w:rsid w:val="00EA2A43"/>
    <w:rsid w:val="00EA3FB1"/>
    <w:rsid w:val="00EA48FC"/>
    <w:rsid w:val="00EA60FD"/>
    <w:rsid w:val="00EA69C3"/>
    <w:rsid w:val="00EB0D59"/>
    <w:rsid w:val="00EB2203"/>
    <w:rsid w:val="00EB3CD1"/>
    <w:rsid w:val="00EB3FD4"/>
    <w:rsid w:val="00EB4FCB"/>
    <w:rsid w:val="00EB5501"/>
    <w:rsid w:val="00EB6137"/>
    <w:rsid w:val="00EB6A40"/>
    <w:rsid w:val="00EB6C90"/>
    <w:rsid w:val="00EB75FE"/>
    <w:rsid w:val="00EC031D"/>
    <w:rsid w:val="00EC0754"/>
    <w:rsid w:val="00EC16E5"/>
    <w:rsid w:val="00EC2985"/>
    <w:rsid w:val="00EC2BED"/>
    <w:rsid w:val="00EC33B7"/>
    <w:rsid w:val="00EC366B"/>
    <w:rsid w:val="00EC3DBC"/>
    <w:rsid w:val="00EC46C2"/>
    <w:rsid w:val="00EC5738"/>
    <w:rsid w:val="00EC5AD3"/>
    <w:rsid w:val="00EC5BA4"/>
    <w:rsid w:val="00EC60A9"/>
    <w:rsid w:val="00EC695B"/>
    <w:rsid w:val="00EC77A6"/>
    <w:rsid w:val="00ED063F"/>
    <w:rsid w:val="00ED1122"/>
    <w:rsid w:val="00ED270D"/>
    <w:rsid w:val="00ED2978"/>
    <w:rsid w:val="00ED2AE8"/>
    <w:rsid w:val="00ED3694"/>
    <w:rsid w:val="00ED3AF7"/>
    <w:rsid w:val="00ED3D48"/>
    <w:rsid w:val="00ED5328"/>
    <w:rsid w:val="00ED5F67"/>
    <w:rsid w:val="00ED78F3"/>
    <w:rsid w:val="00ED79E3"/>
    <w:rsid w:val="00ED7CDD"/>
    <w:rsid w:val="00ED7FF2"/>
    <w:rsid w:val="00EE050D"/>
    <w:rsid w:val="00EE0B12"/>
    <w:rsid w:val="00EE1216"/>
    <w:rsid w:val="00EE25F1"/>
    <w:rsid w:val="00EE6E66"/>
    <w:rsid w:val="00EE7F07"/>
    <w:rsid w:val="00EF05BC"/>
    <w:rsid w:val="00EF0FD8"/>
    <w:rsid w:val="00EF1801"/>
    <w:rsid w:val="00EF18F6"/>
    <w:rsid w:val="00EF35F2"/>
    <w:rsid w:val="00EF6145"/>
    <w:rsid w:val="00EF6E58"/>
    <w:rsid w:val="00F00DC9"/>
    <w:rsid w:val="00F01DDE"/>
    <w:rsid w:val="00F03A6F"/>
    <w:rsid w:val="00F04D38"/>
    <w:rsid w:val="00F05343"/>
    <w:rsid w:val="00F078B5"/>
    <w:rsid w:val="00F100AA"/>
    <w:rsid w:val="00F10DEC"/>
    <w:rsid w:val="00F11670"/>
    <w:rsid w:val="00F12E05"/>
    <w:rsid w:val="00F132C3"/>
    <w:rsid w:val="00F15261"/>
    <w:rsid w:val="00F15CE1"/>
    <w:rsid w:val="00F15F42"/>
    <w:rsid w:val="00F1642E"/>
    <w:rsid w:val="00F1677C"/>
    <w:rsid w:val="00F1782D"/>
    <w:rsid w:val="00F22E84"/>
    <w:rsid w:val="00F24F9C"/>
    <w:rsid w:val="00F27000"/>
    <w:rsid w:val="00F27628"/>
    <w:rsid w:val="00F30AB9"/>
    <w:rsid w:val="00F315F1"/>
    <w:rsid w:val="00F35058"/>
    <w:rsid w:val="00F361CB"/>
    <w:rsid w:val="00F36AAB"/>
    <w:rsid w:val="00F372AC"/>
    <w:rsid w:val="00F3751F"/>
    <w:rsid w:val="00F448F4"/>
    <w:rsid w:val="00F44A04"/>
    <w:rsid w:val="00F45702"/>
    <w:rsid w:val="00F4657D"/>
    <w:rsid w:val="00F46ED6"/>
    <w:rsid w:val="00F473E8"/>
    <w:rsid w:val="00F47719"/>
    <w:rsid w:val="00F47C52"/>
    <w:rsid w:val="00F5018A"/>
    <w:rsid w:val="00F50CBF"/>
    <w:rsid w:val="00F50FEA"/>
    <w:rsid w:val="00F51A53"/>
    <w:rsid w:val="00F522F2"/>
    <w:rsid w:val="00F52C04"/>
    <w:rsid w:val="00F53597"/>
    <w:rsid w:val="00F53EA7"/>
    <w:rsid w:val="00F546B8"/>
    <w:rsid w:val="00F56C74"/>
    <w:rsid w:val="00F56F4B"/>
    <w:rsid w:val="00F57024"/>
    <w:rsid w:val="00F57207"/>
    <w:rsid w:val="00F5747F"/>
    <w:rsid w:val="00F606DB"/>
    <w:rsid w:val="00F61192"/>
    <w:rsid w:val="00F636B7"/>
    <w:rsid w:val="00F63A66"/>
    <w:rsid w:val="00F63E9A"/>
    <w:rsid w:val="00F644D9"/>
    <w:rsid w:val="00F656A9"/>
    <w:rsid w:val="00F65CED"/>
    <w:rsid w:val="00F660B0"/>
    <w:rsid w:val="00F6623A"/>
    <w:rsid w:val="00F66DF8"/>
    <w:rsid w:val="00F67A5A"/>
    <w:rsid w:val="00F67C44"/>
    <w:rsid w:val="00F67ECF"/>
    <w:rsid w:val="00F70120"/>
    <w:rsid w:val="00F71392"/>
    <w:rsid w:val="00F72138"/>
    <w:rsid w:val="00F7229A"/>
    <w:rsid w:val="00F72C3B"/>
    <w:rsid w:val="00F73E58"/>
    <w:rsid w:val="00F73F15"/>
    <w:rsid w:val="00F74539"/>
    <w:rsid w:val="00F75E1E"/>
    <w:rsid w:val="00F76FC5"/>
    <w:rsid w:val="00F77FC2"/>
    <w:rsid w:val="00F77FC6"/>
    <w:rsid w:val="00F82442"/>
    <w:rsid w:val="00F82F95"/>
    <w:rsid w:val="00F830D1"/>
    <w:rsid w:val="00F836AF"/>
    <w:rsid w:val="00F839CD"/>
    <w:rsid w:val="00F83C10"/>
    <w:rsid w:val="00F842CC"/>
    <w:rsid w:val="00F84EA8"/>
    <w:rsid w:val="00F8543D"/>
    <w:rsid w:val="00F86942"/>
    <w:rsid w:val="00F86C2F"/>
    <w:rsid w:val="00F87FDE"/>
    <w:rsid w:val="00F9086D"/>
    <w:rsid w:val="00F908C4"/>
    <w:rsid w:val="00F921E8"/>
    <w:rsid w:val="00F92B43"/>
    <w:rsid w:val="00F92EC6"/>
    <w:rsid w:val="00F9496E"/>
    <w:rsid w:val="00F95F59"/>
    <w:rsid w:val="00F96741"/>
    <w:rsid w:val="00FA12CF"/>
    <w:rsid w:val="00FA211A"/>
    <w:rsid w:val="00FA2147"/>
    <w:rsid w:val="00FA215F"/>
    <w:rsid w:val="00FA390E"/>
    <w:rsid w:val="00FA3A5D"/>
    <w:rsid w:val="00FA5054"/>
    <w:rsid w:val="00FA6FA2"/>
    <w:rsid w:val="00FA7C85"/>
    <w:rsid w:val="00FA7DC9"/>
    <w:rsid w:val="00FB1596"/>
    <w:rsid w:val="00FB1764"/>
    <w:rsid w:val="00FB198E"/>
    <w:rsid w:val="00FB1CB0"/>
    <w:rsid w:val="00FB1E4E"/>
    <w:rsid w:val="00FB5172"/>
    <w:rsid w:val="00FB698D"/>
    <w:rsid w:val="00FB6D3B"/>
    <w:rsid w:val="00FB6E34"/>
    <w:rsid w:val="00FC0283"/>
    <w:rsid w:val="00FC03A7"/>
    <w:rsid w:val="00FC076E"/>
    <w:rsid w:val="00FC11EF"/>
    <w:rsid w:val="00FC24B4"/>
    <w:rsid w:val="00FC2908"/>
    <w:rsid w:val="00FC2B68"/>
    <w:rsid w:val="00FC3950"/>
    <w:rsid w:val="00FC47E4"/>
    <w:rsid w:val="00FC49E1"/>
    <w:rsid w:val="00FD03B1"/>
    <w:rsid w:val="00FD1537"/>
    <w:rsid w:val="00FD1EDE"/>
    <w:rsid w:val="00FD3B68"/>
    <w:rsid w:val="00FD47E8"/>
    <w:rsid w:val="00FD643C"/>
    <w:rsid w:val="00FD65F2"/>
    <w:rsid w:val="00FD6CB5"/>
    <w:rsid w:val="00FD7AFE"/>
    <w:rsid w:val="00FE0ABD"/>
    <w:rsid w:val="00FE12EB"/>
    <w:rsid w:val="00FE1A58"/>
    <w:rsid w:val="00FE2D4E"/>
    <w:rsid w:val="00FE3AB5"/>
    <w:rsid w:val="00FE3AFA"/>
    <w:rsid w:val="00FE3C28"/>
    <w:rsid w:val="00FE4BE1"/>
    <w:rsid w:val="00FE621B"/>
    <w:rsid w:val="00FE6D8D"/>
    <w:rsid w:val="00FE7980"/>
    <w:rsid w:val="00FF0F77"/>
    <w:rsid w:val="00FF362B"/>
    <w:rsid w:val="00FF4585"/>
    <w:rsid w:val="00FF727F"/>
    <w:rsid w:val="01200EC5"/>
    <w:rsid w:val="01263BF3"/>
    <w:rsid w:val="015A5BF5"/>
    <w:rsid w:val="01725C58"/>
    <w:rsid w:val="01912DDE"/>
    <w:rsid w:val="01A83DD7"/>
    <w:rsid w:val="01BA6627"/>
    <w:rsid w:val="01FE0F93"/>
    <w:rsid w:val="02025D8C"/>
    <w:rsid w:val="020440C1"/>
    <w:rsid w:val="023F58BA"/>
    <w:rsid w:val="02423661"/>
    <w:rsid w:val="02484566"/>
    <w:rsid w:val="02662FDA"/>
    <w:rsid w:val="0272360E"/>
    <w:rsid w:val="027359E1"/>
    <w:rsid w:val="02797494"/>
    <w:rsid w:val="0288700E"/>
    <w:rsid w:val="029B577F"/>
    <w:rsid w:val="02B354B0"/>
    <w:rsid w:val="02F47C3E"/>
    <w:rsid w:val="03044EDA"/>
    <w:rsid w:val="03057A6D"/>
    <w:rsid w:val="030601F2"/>
    <w:rsid w:val="03192B1F"/>
    <w:rsid w:val="03207027"/>
    <w:rsid w:val="03226933"/>
    <w:rsid w:val="03355C79"/>
    <w:rsid w:val="0348675E"/>
    <w:rsid w:val="035806CF"/>
    <w:rsid w:val="035B3653"/>
    <w:rsid w:val="035D504A"/>
    <w:rsid w:val="036F4FD7"/>
    <w:rsid w:val="037778FB"/>
    <w:rsid w:val="0386312C"/>
    <w:rsid w:val="03920B7D"/>
    <w:rsid w:val="03C33D65"/>
    <w:rsid w:val="03D23341"/>
    <w:rsid w:val="03FC48D5"/>
    <w:rsid w:val="03FD6439"/>
    <w:rsid w:val="040614CC"/>
    <w:rsid w:val="041363F8"/>
    <w:rsid w:val="04256854"/>
    <w:rsid w:val="0457197E"/>
    <w:rsid w:val="047E5595"/>
    <w:rsid w:val="04A17AC2"/>
    <w:rsid w:val="04A65614"/>
    <w:rsid w:val="04B3072A"/>
    <w:rsid w:val="04C04535"/>
    <w:rsid w:val="04D24F94"/>
    <w:rsid w:val="04DF4207"/>
    <w:rsid w:val="04F63AB3"/>
    <w:rsid w:val="05246F5F"/>
    <w:rsid w:val="053E35D3"/>
    <w:rsid w:val="053F6ECB"/>
    <w:rsid w:val="055016ED"/>
    <w:rsid w:val="055D1F32"/>
    <w:rsid w:val="058E7A8B"/>
    <w:rsid w:val="05901226"/>
    <w:rsid w:val="05A82C8E"/>
    <w:rsid w:val="05B51491"/>
    <w:rsid w:val="05CA2F29"/>
    <w:rsid w:val="05D005BC"/>
    <w:rsid w:val="05D86ECC"/>
    <w:rsid w:val="05E8435A"/>
    <w:rsid w:val="0605071E"/>
    <w:rsid w:val="062107E1"/>
    <w:rsid w:val="062404CC"/>
    <w:rsid w:val="06270A41"/>
    <w:rsid w:val="064255C2"/>
    <w:rsid w:val="064F5136"/>
    <w:rsid w:val="065D65AC"/>
    <w:rsid w:val="06625A82"/>
    <w:rsid w:val="066F0986"/>
    <w:rsid w:val="068204E1"/>
    <w:rsid w:val="069B0866"/>
    <w:rsid w:val="06A65CA5"/>
    <w:rsid w:val="06C33A6F"/>
    <w:rsid w:val="06CC7A6A"/>
    <w:rsid w:val="06CF7BDE"/>
    <w:rsid w:val="06E42FBD"/>
    <w:rsid w:val="07577DEA"/>
    <w:rsid w:val="07777725"/>
    <w:rsid w:val="0798557C"/>
    <w:rsid w:val="07AE1407"/>
    <w:rsid w:val="07B01C45"/>
    <w:rsid w:val="07B707A5"/>
    <w:rsid w:val="07BA5FD5"/>
    <w:rsid w:val="07C82A0F"/>
    <w:rsid w:val="07E50CBB"/>
    <w:rsid w:val="07F3373D"/>
    <w:rsid w:val="080A18E3"/>
    <w:rsid w:val="080D5156"/>
    <w:rsid w:val="081979D6"/>
    <w:rsid w:val="083B36BF"/>
    <w:rsid w:val="08400416"/>
    <w:rsid w:val="08702841"/>
    <w:rsid w:val="08802C02"/>
    <w:rsid w:val="08840AA4"/>
    <w:rsid w:val="089506B6"/>
    <w:rsid w:val="08B17691"/>
    <w:rsid w:val="08D82B33"/>
    <w:rsid w:val="08EA2DDD"/>
    <w:rsid w:val="08F10A8E"/>
    <w:rsid w:val="08F14741"/>
    <w:rsid w:val="0902069D"/>
    <w:rsid w:val="09057700"/>
    <w:rsid w:val="092E37F6"/>
    <w:rsid w:val="0935289C"/>
    <w:rsid w:val="093F39AC"/>
    <w:rsid w:val="094A05F3"/>
    <w:rsid w:val="09541AA1"/>
    <w:rsid w:val="095A7AFD"/>
    <w:rsid w:val="09616EBC"/>
    <w:rsid w:val="097E695E"/>
    <w:rsid w:val="09A51A80"/>
    <w:rsid w:val="09A65C9E"/>
    <w:rsid w:val="09E03D7B"/>
    <w:rsid w:val="09F00043"/>
    <w:rsid w:val="09F34D10"/>
    <w:rsid w:val="0A126FBA"/>
    <w:rsid w:val="0A260F7E"/>
    <w:rsid w:val="0A4A76B5"/>
    <w:rsid w:val="0A58557C"/>
    <w:rsid w:val="0A61681B"/>
    <w:rsid w:val="0A622D52"/>
    <w:rsid w:val="0A647054"/>
    <w:rsid w:val="0A7653B2"/>
    <w:rsid w:val="0AB27930"/>
    <w:rsid w:val="0AD33A7A"/>
    <w:rsid w:val="0AE90B64"/>
    <w:rsid w:val="0B020AAC"/>
    <w:rsid w:val="0B934D14"/>
    <w:rsid w:val="0C041BFC"/>
    <w:rsid w:val="0C2172AE"/>
    <w:rsid w:val="0C25425A"/>
    <w:rsid w:val="0C3B6991"/>
    <w:rsid w:val="0C3F53C2"/>
    <w:rsid w:val="0C4958C7"/>
    <w:rsid w:val="0C5A6C3E"/>
    <w:rsid w:val="0C632377"/>
    <w:rsid w:val="0C830FC5"/>
    <w:rsid w:val="0C882565"/>
    <w:rsid w:val="0CE12109"/>
    <w:rsid w:val="0CE71A0A"/>
    <w:rsid w:val="0CF27261"/>
    <w:rsid w:val="0CFF0B96"/>
    <w:rsid w:val="0D131701"/>
    <w:rsid w:val="0D1C7413"/>
    <w:rsid w:val="0D2D2294"/>
    <w:rsid w:val="0D471E43"/>
    <w:rsid w:val="0D4B7F92"/>
    <w:rsid w:val="0D6703A6"/>
    <w:rsid w:val="0D8247C9"/>
    <w:rsid w:val="0DAA037A"/>
    <w:rsid w:val="0DB10901"/>
    <w:rsid w:val="0DBA17DA"/>
    <w:rsid w:val="0DF22C86"/>
    <w:rsid w:val="0E0E1399"/>
    <w:rsid w:val="0E1E2149"/>
    <w:rsid w:val="0E207B33"/>
    <w:rsid w:val="0E3C464D"/>
    <w:rsid w:val="0E5513DF"/>
    <w:rsid w:val="0E703F19"/>
    <w:rsid w:val="0E8014AF"/>
    <w:rsid w:val="0E9417C0"/>
    <w:rsid w:val="0EA165E5"/>
    <w:rsid w:val="0EA438EB"/>
    <w:rsid w:val="0EA704D0"/>
    <w:rsid w:val="0EA8346E"/>
    <w:rsid w:val="0EAE3AF1"/>
    <w:rsid w:val="0EBF2571"/>
    <w:rsid w:val="0ED57B30"/>
    <w:rsid w:val="0EF5234A"/>
    <w:rsid w:val="0F060B43"/>
    <w:rsid w:val="0F0B136E"/>
    <w:rsid w:val="0F136015"/>
    <w:rsid w:val="0F1B51DC"/>
    <w:rsid w:val="0F281E0D"/>
    <w:rsid w:val="0F286AAB"/>
    <w:rsid w:val="0F357CEF"/>
    <w:rsid w:val="0F382BA5"/>
    <w:rsid w:val="0F66287A"/>
    <w:rsid w:val="0F743A4B"/>
    <w:rsid w:val="0F751187"/>
    <w:rsid w:val="0F992F63"/>
    <w:rsid w:val="0FA112FC"/>
    <w:rsid w:val="0FA11530"/>
    <w:rsid w:val="0FDE4527"/>
    <w:rsid w:val="0FEC7418"/>
    <w:rsid w:val="0FF04629"/>
    <w:rsid w:val="10055E4C"/>
    <w:rsid w:val="10057067"/>
    <w:rsid w:val="101E5B2F"/>
    <w:rsid w:val="104907D3"/>
    <w:rsid w:val="106C2F15"/>
    <w:rsid w:val="108558F8"/>
    <w:rsid w:val="10877658"/>
    <w:rsid w:val="109030DB"/>
    <w:rsid w:val="10A94C5A"/>
    <w:rsid w:val="10B424BB"/>
    <w:rsid w:val="10CB5376"/>
    <w:rsid w:val="10CF371F"/>
    <w:rsid w:val="10D918DE"/>
    <w:rsid w:val="10DA3D9B"/>
    <w:rsid w:val="10F76AC6"/>
    <w:rsid w:val="11152928"/>
    <w:rsid w:val="1116009B"/>
    <w:rsid w:val="11187D30"/>
    <w:rsid w:val="112342A4"/>
    <w:rsid w:val="112E76AF"/>
    <w:rsid w:val="114B2A89"/>
    <w:rsid w:val="115E7E14"/>
    <w:rsid w:val="11D10A60"/>
    <w:rsid w:val="11D15B66"/>
    <w:rsid w:val="11E25F15"/>
    <w:rsid w:val="11E400F7"/>
    <w:rsid w:val="11EF0BCF"/>
    <w:rsid w:val="11F23747"/>
    <w:rsid w:val="12005A20"/>
    <w:rsid w:val="120C59AF"/>
    <w:rsid w:val="121F6D25"/>
    <w:rsid w:val="12315F60"/>
    <w:rsid w:val="126D5C08"/>
    <w:rsid w:val="129909A4"/>
    <w:rsid w:val="12C74153"/>
    <w:rsid w:val="12D23557"/>
    <w:rsid w:val="12D941E1"/>
    <w:rsid w:val="12E62B72"/>
    <w:rsid w:val="12EB6592"/>
    <w:rsid w:val="12F05C67"/>
    <w:rsid w:val="130653DF"/>
    <w:rsid w:val="1342551D"/>
    <w:rsid w:val="13466F1D"/>
    <w:rsid w:val="13575946"/>
    <w:rsid w:val="136607A8"/>
    <w:rsid w:val="13735F4C"/>
    <w:rsid w:val="13BC7B93"/>
    <w:rsid w:val="13E3203E"/>
    <w:rsid w:val="13EB47A1"/>
    <w:rsid w:val="14042675"/>
    <w:rsid w:val="14062733"/>
    <w:rsid w:val="140741C7"/>
    <w:rsid w:val="141256CE"/>
    <w:rsid w:val="141412A5"/>
    <w:rsid w:val="142928D1"/>
    <w:rsid w:val="143A37FC"/>
    <w:rsid w:val="14443C77"/>
    <w:rsid w:val="145333F8"/>
    <w:rsid w:val="145C61C6"/>
    <w:rsid w:val="14622BC9"/>
    <w:rsid w:val="146D1903"/>
    <w:rsid w:val="148B669D"/>
    <w:rsid w:val="14AE02AE"/>
    <w:rsid w:val="14BC29CC"/>
    <w:rsid w:val="14C70DD1"/>
    <w:rsid w:val="14D410AE"/>
    <w:rsid w:val="14E43468"/>
    <w:rsid w:val="14E82754"/>
    <w:rsid w:val="15002783"/>
    <w:rsid w:val="150A3A9A"/>
    <w:rsid w:val="150F259C"/>
    <w:rsid w:val="15116F2D"/>
    <w:rsid w:val="15201960"/>
    <w:rsid w:val="155E163F"/>
    <w:rsid w:val="15656F55"/>
    <w:rsid w:val="15B52C4C"/>
    <w:rsid w:val="15DB39D7"/>
    <w:rsid w:val="162E34EA"/>
    <w:rsid w:val="163B6A89"/>
    <w:rsid w:val="164A7608"/>
    <w:rsid w:val="166851F8"/>
    <w:rsid w:val="166A2C89"/>
    <w:rsid w:val="16763FCA"/>
    <w:rsid w:val="168745A4"/>
    <w:rsid w:val="16AD2431"/>
    <w:rsid w:val="16BC7921"/>
    <w:rsid w:val="16CC553A"/>
    <w:rsid w:val="16DD1A48"/>
    <w:rsid w:val="16DE6DEC"/>
    <w:rsid w:val="16FC344F"/>
    <w:rsid w:val="17040A06"/>
    <w:rsid w:val="170901AA"/>
    <w:rsid w:val="1745748A"/>
    <w:rsid w:val="174A7B18"/>
    <w:rsid w:val="17617E3A"/>
    <w:rsid w:val="17663A8F"/>
    <w:rsid w:val="176843C2"/>
    <w:rsid w:val="179E5E00"/>
    <w:rsid w:val="17A52BAD"/>
    <w:rsid w:val="17B52398"/>
    <w:rsid w:val="17B91E75"/>
    <w:rsid w:val="17BD106B"/>
    <w:rsid w:val="17C03800"/>
    <w:rsid w:val="17C96A5F"/>
    <w:rsid w:val="17D305CC"/>
    <w:rsid w:val="17F044BB"/>
    <w:rsid w:val="182151BB"/>
    <w:rsid w:val="18481B03"/>
    <w:rsid w:val="18620929"/>
    <w:rsid w:val="1866159E"/>
    <w:rsid w:val="18723A7A"/>
    <w:rsid w:val="187F5883"/>
    <w:rsid w:val="189E6E47"/>
    <w:rsid w:val="18B670C7"/>
    <w:rsid w:val="18D761E7"/>
    <w:rsid w:val="191D394E"/>
    <w:rsid w:val="19312618"/>
    <w:rsid w:val="193D2C37"/>
    <w:rsid w:val="19555864"/>
    <w:rsid w:val="195564C0"/>
    <w:rsid w:val="1955786B"/>
    <w:rsid w:val="19585362"/>
    <w:rsid w:val="19786FEF"/>
    <w:rsid w:val="198D598A"/>
    <w:rsid w:val="19A906DB"/>
    <w:rsid w:val="19AD147D"/>
    <w:rsid w:val="1A134E7C"/>
    <w:rsid w:val="1A17056E"/>
    <w:rsid w:val="1A4C7F98"/>
    <w:rsid w:val="1A532264"/>
    <w:rsid w:val="1A6B27E9"/>
    <w:rsid w:val="1A817436"/>
    <w:rsid w:val="1A9A03F2"/>
    <w:rsid w:val="1AAB71D8"/>
    <w:rsid w:val="1AB97EFF"/>
    <w:rsid w:val="1AFC0D15"/>
    <w:rsid w:val="1B092FFC"/>
    <w:rsid w:val="1B1836F5"/>
    <w:rsid w:val="1B260A3D"/>
    <w:rsid w:val="1B36105C"/>
    <w:rsid w:val="1B387AE8"/>
    <w:rsid w:val="1B413556"/>
    <w:rsid w:val="1B5A6511"/>
    <w:rsid w:val="1B5C79EE"/>
    <w:rsid w:val="1B6131B6"/>
    <w:rsid w:val="1B70048F"/>
    <w:rsid w:val="1BC851F8"/>
    <w:rsid w:val="1BE92B9B"/>
    <w:rsid w:val="1BED7467"/>
    <w:rsid w:val="1BF91BF0"/>
    <w:rsid w:val="1C0035CB"/>
    <w:rsid w:val="1C1B282F"/>
    <w:rsid w:val="1C373DD3"/>
    <w:rsid w:val="1C454A97"/>
    <w:rsid w:val="1C4E118F"/>
    <w:rsid w:val="1C582685"/>
    <w:rsid w:val="1C5854B8"/>
    <w:rsid w:val="1C66022A"/>
    <w:rsid w:val="1C8703D1"/>
    <w:rsid w:val="1CC4430C"/>
    <w:rsid w:val="1CC61913"/>
    <w:rsid w:val="1CD85416"/>
    <w:rsid w:val="1D0965AF"/>
    <w:rsid w:val="1D262DCE"/>
    <w:rsid w:val="1D7E3B96"/>
    <w:rsid w:val="1D867974"/>
    <w:rsid w:val="1D93117E"/>
    <w:rsid w:val="1DBF2BAD"/>
    <w:rsid w:val="1DC85F2F"/>
    <w:rsid w:val="1DD54E2C"/>
    <w:rsid w:val="1DD92F14"/>
    <w:rsid w:val="1DE5724E"/>
    <w:rsid w:val="1DE57565"/>
    <w:rsid w:val="1DE82A70"/>
    <w:rsid w:val="1DFA630A"/>
    <w:rsid w:val="1E043224"/>
    <w:rsid w:val="1E1C76D8"/>
    <w:rsid w:val="1E231004"/>
    <w:rsid w:val="1E2842B2"/>
    <w:rsid w:val="1E325F40"/>
    <w:rsid w:val="1E333610"/>
    <w:rsid w:val="1E6B17C8"/>
    <w:rsid w:val="1E6D300F"/>
    <w:rsid w:val="1EA12B94"/>
    <w:rsid w:val="1ECF1E4E"/>
    <w:rsid w:val="1ED725BC"/>
    <w:rsid w:val="1EF26ED3"/>
    <w:rsid w:val="1EFD0C20"/>
    <w:rsid w:val="1F130A28"/>
    <w:rsid w:val="1F1669F9"/>
    <w:rsid w:val="1F285F0C"/>
    <w:rsid w:val="1F390921"/>
    <w:rsid w:val="1F3A21A0"/>
    <w:rsid w:val="1F464B37"/>
    <w:rsid w:val="1F4D7099"/>
    <w:rsid w:val="1F512BA1"/>
    <w:rsid w:val="1F5F3627"/>
    <w:rsid w:val="1F722BC9"/>
    <w:rsid w:val="1F87765F"/>
    <w:rsid w:val="1F9241B1"/>
    <w:rsid w:val="1F947C54"/>
    <w:rsid w:val="1FA501AC"/>
    <w:rsid w:val="1FAD248E"/>
    <w:rsid w:val="1FAD5172"/>
    <w:rsid w:val="1FCD233D"/>
    <w:rsid w:val="1FCD3AD2"/>
    <w:rsid w:val="1FD17F7C"/>
    <w:rsid w:val="1FE4271D"/>
    <w:rsid w:val="1FE6423F"/>
    <w:rsid w:val="1FE70F8F"/>
    <w:rsid w:val="1FF14777"/>
    <w:rsid w:val="1FF508FD"/>
    <w:rsid w:val="20084E74"/>
    <w:rsid w:val="202F1C80"/>
    <w:rsid w:val="204E4D40"/>
    <w:rsid w:val="207905DA"/>
    <w:rsid w:val="207D1888"/>
    <w:rsid w:val="20871976"/>
    <w:rsid w:val="209365FB"/>
    <w:rsid w:val="209A67A0"/>
    <w:rsid w:val="20AB5C06"/>
    <w:rsid w:val="20C81F3E"/>
    <w:rsid w:val="20F05643"/>
    <w:rsid w:val="2130766A"/>
    <w:rsid w:val="2136703E"/>
    <w:rsid w:val="21431727"/>
    <w:rsid w:val="21784D2E"/>
    <w:rsid w:val="21C61D16"/>
    <w:rsid w:val="21DE6509"/>
    <w:rsid w:val="21FA3ED1"/>
    <w:rsid w:val="220B4D2C"/>
    <w:rsid w:val="224F55E0"/>
    <w:rsid w:val="225547D2"/>
    <w:rsid w:val="225D66A6"/>
    <w:rsid w:val="225F3445"/>
    <w:rsid w:val="22965E3B"/>
    <w:rsid w:val="229E3EE4"/>
    <w:rsid w:val="22AD1DA8"/>
    <w:rsid w:val="22C50602"/>
    <w:rsid w:val="22E55D71"/>
    <w:rsid w:val="22F41430"/>
    <w:rsid w:val="23061C5A"/>
    <w:rsid w:val="23141990"/>
    <w:rsid w:val="231879BF"/>
    <w:rsid w:val="236A06C0"/>
    <w:rsid w:val="238833EA"/>
    <w:rsid w:val="238A09AC"/>
    <w:rsid w:val="238D0F5B"/>
    <w:rsid w:val="23A37151"/>
    <w:rsid w:val="23A7517C"/>
    <w:rsid w:val="23B57ECF"/>
    <w:rsid w:val="23D96493"/>
    <w:rsid w:val="23DF11BF"/>
    <w:rsid w:val="241661E6"/>
    <w:rsid w:val="24196362"/>
    <w:rsid w:val="241B2666"/>
    <w:rsid w:val="241B2D65"/>
    <w:rsid w:val="24410CAB"/>
    <w:rsid w:val="244A484B"/>
    <w:rsid w:val="247618D0"/>
    <w:rsid w:val="2481651E"/>
    <w:rsid w:val="249B6619"/>
    <w:rsid w:val="24A3120A"/>
    <w:rsid w:val="24AE202F"/>
    <w:rsid w:val="24C24699"/>
    <w:rsid w:val="24D2160A"/>
    <w:rsid w:val="24D912C4"/>
    <w:rsid w:val="24EA0420"/>
    <w:rsid w:val="250855D4"/>
    <w:rsid w:val="25093F8E"/>
    <w:rsid w:val="25260E21"/>
    <w:rsid w:val="25793C1A"/>
    <w:rsid w:val="258239A8"/>
    <w:rsid w:val="258544DA"/>
    <w:rsid w:val="25925B4C"/>
    <w:rsid w:val="25AD51E7"/>
    <w:rsid w:val="25BE30F7"/>
    <w:rsid w:val="25E02B1E"/>
    <w:rsid w:val="25E0401F"/>
    <w:rsid w:val="25EF5D48"/>
    <w:rsid w:val="260C6243"/>
    <w:rsid w:val="26122614"/>
    <w:rsid w:val="263D2D31"/>
    <w:rsid w:val="2674101D"/>
    <w:rsid w:val="267819FC"/>
    <w:rsid w:val="26846309"/>
    <w:rsid w:val="268B1152"/>
    <w:rsid w:val="268E2F80"/>
    <w:rsid w:val="26B46891"/>
    <w:rsid w:val="26C061C8"/>
    <w:rsid w:val="26CF5FF0"/>
    <w:rsid w:val="26ED660D"/>
    <w:rsid w:val="26F12187"/>
    <w:rsid w:val="271D74FC"/>
    <w:rsid w:val="272C5B4C"/>
    <w:rsid w:val="27370515"/>
    <w:rsid w:val="273D1C81"/>
    <w:rsid w:val="278A6159"/>
    <w:rsid w:val="27953349"/>
    <w:rsid w:val="27B16C26"/>
    <w:rsid w:val="27BA595F"/>
    <w:rsid w:val="27C1482B"/>
    <w:rsid w:val="27CE3ED6"/>
    <w:rsid w:val="27D04FA0"/>
    <w:rsid w:val="27DE4AA5"/>
    <w:rsid w:val="27FB5CFC"/>
    <w:rsid w:val="281849D6"/>
    <w:rsid w:val="28222EFD"/>
    <w:rsid w:val="2849202A"/>
    <w:rsid w:val="2857270F"/>
    <w:rsid w:val="2885293B"/>
    <w:rsid w:val="28892B14"/>
    <w:rsid w:val="28A86B13"/>
    <w:rsid w:val="28DC66FE"/>
    <w:rsid w:val="28F73826"/>
    <w:rsid w:val="29065372"/>
    <w:rsid w:val="29077DA5"/>
    <w:rsid w:val="292379AB"/>
    <w:rsid w:val="295D1CB9"/>
    <w:rsid w:val="2971526B"/>
    <w:rsid w:val="2988777A"/>
    <w:rsid w:val="298F0F96"/>
    <w:rsid w:val="29900C9E"/>
    <w:rsid w:val="29916843"/>
    <w:rsid w:val="29AE0E7E"/>
    <w:rsid w:val="29B03BA4"/>
    <w:rsid w:val="2A0A2319"/>
    <w:rsid w:val="2A272C87"/>
    <w:rsid w:val="2A3A0927"/>
    <w:rsid w:val="2A6204C9"/>
    <w:rsid w:val="2A8471B4"/>
    <w:rsid w:val="2AA1079C"/>
    <w:rsid w:val="2AC85C52"/>
    <w:rsid w:val="2ACE1317"/>
    <w:rsid w:val="2AD20850"/>
    <w:rsid w:val="2AE55798"/>
    <w:rsid w:val="2AF9225C"/>
    <w:rsid w:val="2B0F74ED"/>
    <w:rsid w:val="2B1F1760"/>
    <w:rsid w:val="2B2168EA"/>
    <w:rsid w:val="2B265E16"/>
    <w:rsid w:val="2B364008"/>
    <w:rsid w:val="2B4A449C"/>
    <w:rsid w:val="2B4D7D43"/>
    <w:rsid w:val="2B543F83"/>
    <w:rsid w:val="2B840C2C"/>
    <w:rsid w:val="2B9A0F6D"/>
    <w:rsid w:val="2BD041A4"/>
    <w:rsid w:val="2BD15A72"/>
    <w:rsid w:val="2BE30B8E"/>
    <w:rsid w:val="2BEF4F30"/>
    <w:rsid w:val="2C1F22FF"/>
    <w:rsid w:val="2C245412"/>
    <w:rsid w:val="2C3E0213"/>
    <w:rsid w:val="2C46613D"/>
    <w:rsid w:val="2C5A7895"/>
    <w:rsid w:val="2C7660D9"/>
    <w:rsid w:val="2C81771D"/>
    <w:rsid w:val="2CE16A18"/>
    <w:rsid w:val="2D201952"/>
    <w:rsid w:val="2D2E4D4E"/>
    <w:rsid w:val="2D2E65B4"/>
    <w:rsid w:val="2D3A6C8A"/>
    <w:rsid w:val="2D705F87"/>
    <w:rsid w:val="2D9363FD"/>
    <w:rsid w:val="2DB45BE5"/>
    <w:rsid w:val="2DB90B9C"/>
    <w:rsid w:val="2DC80AD6"/>
    <w:rsid w:val="2DF15093"/>
    <w:rsid w:val="2DF44921"/>
    <w:rsid w:val="2E041CE8"/>
    <w:rsid w:val="2E090084"/>
    <w:rsid w:val="2E0D6FCC"/>
    <w:rsid w:val="2E147A38"/>
    <w:rsid w:val="2E206D8D"/>
    <w:rsid w:val="2E304E8F"/>
    <w:rsid w:val="2E4F35F8"/>
    <w:rsid w:val="2E5C10C2"/>
    <w:rsid w:val="2E624103"/>
    <w:rsid w:val="2E64411F"/>
    <w:rsid w:val="2E7E3867"/>
    <w:rsid w:val="2E7F5FE1"/>
    <w:rsid w:val="2E984ED5"/>
    <w:rsid w:val="2EA806B7"/>
    <w:rsid w:val="2EC333C2"/>
    <w:rsid w:val="2EE17A49"/>
    <w:rsid w:val="2EEE5EEA"/>
    <w:rsid w:val="2F162E75"/>
    <w:rsid w:val="2F337FF7"/>
    <w:rsid w:val="2F342AF8"/>
    <w:rsid w:val="2F4A33C6"/>
    <w:rsid w:val="2F704960"/>
    <w:rsid w:val="2F9C10A8"/>
    <w:rsid w:val="2FC16050"/>
    <w:rsid w:val="2FC61817"/>
    <w:rsid w:val="2FC722C7"/>
    <w:rsid w:val="2FE53F8D"/>
    <w:rsid w:val="2FEA159D"/>
    <w:rsid w:val="2FF421E5"/>
    <w:rsid w:val="300A10F6"/>
    <w:rsid w:val="301A5435"/>
    <w:rsid w:val="303E048D"/>
    <w:rsid w:val="30443506"/>
    <w:rsid w:val="304C349B"/>
    <w:rsid w:val="30952E2E"/>
    <w:rsid w:val="30A43B31"/>
    <w:rsid w:val="30A473F8"/>
    <w:rsid w:val="30BC1A32"/>
    <w:rsid w:val="30C737CB"/>
    <w:rsid w:val="30CC4639"/>
    <w:rsid w:val="31155535"/>
    <w:rsid w:val="311F7F3F"/>
    <w:rsid w:val="313F4C02"/>
    <w:rsid w:val="31695A55"/>
    <w:rsid w:val="31751179"/>
    <w:rsid w:val="319A1C15"/>
    <w:rsid w:val="31E71099"/>
    <w:rsid w:val="321A74BF"/>
    <w:rsid w:val="32377664"/>
    <w:rsid w:val="32AB10FB"/>
    <w:rsid w:val="32B51C15"/>
    <w:rsid w:val="32FC7B4E"/>
    <w:rsid w:val="33013E9E"/>
    <w:rsid w:val="3327303B"/>
    <w:rsid w:val="33297643"/>
    <w:rsid w:val="33372783"/>
    <w:rsid w:val="333A11CE"/>
    <w:rsid w:val="333A3C19"/>
    <w:rsid w:val="33487FC0"/>
    <w:rsid w:val="337D7460"/>
    <w:rsid w:val="339375F7"/>
    <w:rsid w:val="339E2AD5"/>
    <w:rsid w:val="33A16890"/>
    <w:rsid w:val="33A91CF9"/>
    <w:rsid w:val="33AB138F"/>
    <w:rsid w:val="33F12C6E"/>
    <w:rsid w:val="33F5797B"/>
    <w:rsid w:val="33FC3626"/>
    <w:rsid w:val="34002911"/>
    <w:rsid w:val="3401391A"/>
    <w:rsid w:val="3401631A"/>
    <w:rsid w:val="34147A40"/>
    <w:rsid w:val="341E7429"/>
    <w:rsid w:val="34251FC5"/>
    <w:rsid w:val="342A4E49"/>
    <w:rsid w:val="3444244F"/>
    <w:rsid w:val="347A2FC7"/>
    <w:rsid w:val="347F2492"/>
    <w:rsid w:val="34846046"/>
    <w:rsid w:val="349D75F4"/>
    <w:rsid w:val="34B24E39"/>
    <w:rsid w:val="34D571B6"/>
    <w:rsid w:val="34F06410"/>
    <w:rsid w:val="34F13162"/>
    <w:rsid w:val="35022147"/>
    <w:rsid w:val="350B4F2D"/>
    <w:rsid w:val="351208A8"/>
    <w:rsid w:val="354D0A07"/>
    <w:rsid w:val="35576328"/>
    <w:rsid w:val="35A57E33"/>
    <w:rsid w:val="35AD17A7"/>
    <w:rsid w:val="35C7691C"/>
    <w:rsid w:val="35C862F4"/>
    <w:rsid w:val="35DA30A9"/>
    <w:rsid w:val="35DC1D05"/>
    <w:rsid w:val="35DE2725"/>
    <w:rsid w:val="35E604B3"/>
    <w:rsid w:val="35FD63B5"/>
    <w:rsid w:val="361E673D"/>
    <w:rsid w:val="36341008"/>
    <w:rsid w:val="3638291D"/>
    <w:rsid w:val="36490DB1"/>
    <w:rsid w:val="36846589"/>
    <w:rsid w:val="36941FD1"/>
    <w:rsid w:val="36A5326E"/>
    <w:rsid w:val="36B509B7"/>
    <w:rsid w:val="36CC1D8E"/>
    <w:rsid w:val="36EA595D"/>
    <w:rsid w:val="36F85A9C"/>
    <w:rsid w:val="370347C3"/>
    <w:rsid w:val="37210ED4"/>
    <w:rsid w:val="372D7054"/>
    <w:rsid w:val="372E25F7"/>
    <w:rsid w:val="372E5682"/>
    <w:rsid w:val="37397D6F"/>
    <w:rsid w:val="376570F8"/>
    <w:rsid w:val="378C3B0C"/>
    <w:rsid w:val="378E27BA"/>
    <w:rsid w:val="37C10D5E"/>
    <w:rsid w:val="37CC3C01"/>
    <w:rsid w:val="37DF2558"/>
    <w:rsid w:val="37F36E43"/>
    <w:rsid w:val="37F55B9D"/>
    <w:rsid w:val="38101018"/>
    <w:rsid w:val="381628CD"/>
    <w:rsid w:val="384D4B25"/>
    <w:rsid w:val="3888291B"/>
    <w:rsid w:val="389437D5"/>
    <w:rsid w:val="389747E4"/>
    <w:rsid w:val="38AF5A95"/>
    <w:rsid w:val="38C2732A"/>
    <w:rsid w:val="38C960A8"/>
    <w:rsid w:val="38E27D39"/>
    <w:rsid w:val="38E519FF"/>
    <w:rsid w:val="38F745B0"/>
    <w:rsid w:val="392F4087"/>
    <w:rsid w:val="39705C06"/>
    <w:rsid w:val="39767A6B"/>
    <w:rsid w:val="397C5CC3"/>
    <w:rsid w:val="399B05D2"/>
    <w:rsid w:val="39AD4B75"/>
    <w:rsid w:val="39B5745C"/>
    <w:rsid w:val="39D819CA"/>
    <w:rsid w:val="3A043EF3"/>
    <w:rsid w:val="3A185461"/>
    <w:rsid w:val="3A2C2AFE"/>
    <w:rsid w:val="3A3F28AB"/>
    <w:rsid w:val="3A5A7E97"/>
    <w:rsid w:val="3A667A56"/>
    <w:rsid w:val="3A6A709C"/>
    <w:rsid w:val="3ACC06E5"/>
    <w:rsid w:val="3AD634F2"/>
    <w:rsid w:val="3AD82D1F"/>
    <w:rsid w:val="3AEA0383"/>
    <w:rsid w:val="3AF058DE"/>
    <w:rsid w:val="3AF90196"/>
    <w:rsid w:val="3B0F3428"/>
    <w:rsid w:val="3B355E52"/>
    <w:rsid w:val="3B37167E"/>
    <w:rsid w:val="3B3D2EA9"/>
    <w:rsid w:val="3B46306A"/>
    <w:rsid w:val="3B4D3D6D"/>
    <w:rsid w:val="3B501EC3"/>
    <w:rsid w:val="3B753D29"/>
    <w:rsid w:val="3B8054C4"/>
    <w:rsid w:val="3B9745C5"/>
    <w:rsid w:val="3B9F4596"/>
    <w:rsid w:val="3BA90CA9"/>
    <w:rsid w:val="3BD50136"/>
    <w:rsid w:val="3BF41E11"/>
    <w:rsid w:val="3BF94547"/>
    <w:rsid w:val="3C25331D"/>
    <w:rsid w:val="3C521893"/>
    <w:rsid w:val="3C6C11A0"/>
    <w:rsid w:val="3C6F44A0"/>
    <w:rsid w:val="3C96092A"/>
    <w:rsid w:val="3CAD3590"/>
    <w:rsid w:val="3CBF0FE3"/>
    <w:rsid w:val="3CE24A93"/>
    <w:rsid w:val="3CF11857"/>
    <w:rsid w:val="3D450F96"/>
    <w:rsid w:val="3D58019B"/>
    <w:rsid w:val="3D6C59D3"/>
    <w:rsid w:val="3D775824"/>
    <w:rsid w:val="3DA92FAB"/>
    <w:rsid w:val="3DD47804"/>
    <w:rsid w:val="3DE91CEF"/>
    <w:rsid w:val="3E35768E"/>
    <w:rsid w:val="3E3E7555"/>
    <w:rsid w:val="3E423A01"/>
    <w:rsid w:val="3E5749FA"/>
    <w:rsid w:val="3E670C00"/>
    <w:rsid w:val="3E760D41"/>
    <w:rsid w:val="3E876BA6"/>
    <w:rsid w:val="3EA53351"/>
    <w:rsid w:val="3EB1046D"/>
    <w:rsid w:val="3EB57DE2"/>
    <w:rsid w:val="3EB82B58"/>
    <w:rsid w:val="3EBB6157"/>
    <w:rsid w:val="3EC1128E"/>
    <w:rsid w:val="3EC375D3"/>
    <w:rsid w:val="3ED12F0B"/>
    <w:rsid w:val="3EF0792C"/>
    <w:rsid w:val="3EF32610"/>
    <w:rsid w:val="3F14362E"/>
    <w:rsid w:val="3F144A33"/>
    <w:rsid w:val="3F1D2409"/>
    <w:rsid w:val="3F21566F"/>
    <w:rsid w:val="3F2D4D41"/>
    <w:rsid w:val="3F53563B"/>
    <w:rsid w:val="3F840BEB"/>
    <w:rsid w:val="3F955D7F"/>
    <w:rsid w:val="3FA74CCC"/>
    <w:rsid w:val="3FAD745E"/>
    <w:rsid w:val="3FB35633"/>
    <w:rsid w:val="3FC02DF0"/>
    <w:rsid w:val="3FCD3487"/>
    <w:rsid w:val="3FDB276A"/>
    <w:rsid w:val="3FE26F5A"/>
    <w:rsid w:val="3FEB6EA5"/>
    <w:rsid w:val="3FFE340A"/>
    <w:rsid w:val="3FFE52F2"/>
    <w:rsid w:val="40011201"/>
    <w:rsid w:val="400521C4"/>
    <w:rsid w:val="400A4D7F"/>
    <w:rsid w:val="401A24AC"/>
    <w:rsid w:val="4035190C"/>
    <w:rsid w:val="403C6396"/>
    <w:rsid w:val="404C35C1"/>
    <w:rsid w:val="407A5CF9"/>
    <w:rsid w:val="40826979"/>
    <w:rsid w:val="40944C58"/>
    <w:rsid w:val="409D37D7"/>
    <w:rsid w:val="409E3DDD"/>
    <w:rsid w:val="40B53E66"/>
    <w:rsid w:val="40D13ABB"/>
    <w:rsid w:val="40DA5F88"/>
    <w:rsid w:val="410A7ED6"/>
    <w:rsid w:val="41136E80"/>
    <w:rsid w:val="41182FDD"/>
    <w:rsid w:val="414535AE"/>
    <w:rsid w:val="41593037"/>
    <w:rsid w:val="417C3481"/>
    <w:rsid w:val="417D3231"/>
    <w:rsid w:val="417E1734"/>
    <w:rsid w:val="41EF478E"/>
    <w:rsid w:val="41FD075C"/>
    <w:rsid w:val="420F5B95"/>
    <w:rsid w:val="42370894"/>
    <w:rsid w:val="42500504"/>
    <w:rsid w:val="425676C8"/>
    <w:rsid w:val="42630B12"/>
    <w:rsid w:val="42B6502E"/>
    <w:rsid w:val="42CB2D29"/>
    <w:rsid w:val="42DE1E32"/>
    <w:rsid w:val="42E90C37"/>
    <w:rsid w:val="42F01621"/>
    <w:rsid w:val="42F75C15"/>
    <w:rsid w:val="431F21AB"/>
    <w:rsid w:val="43323EF3"/>
    <w:rsid w:val="433D1FDE"/>
    <w:rsid w:val="434D2EFF"/>
    <w:rsid w:val="437237E7"/>
    <w:rsid w:val="43745CBC"/>
    <w:rsid w:val="4389258D"/>
    <w:rsid w:val="43C376C9"/>
    <w:rsid w:val="43C477CA"/>
    <w:rsid w:val="43D70496"/>
    <w:rsid w:val="43E33895"/>
    <w:rsid w:val="43F161FC"/>
    <w:rsid w:val="44146D88"/>
    <w:rsid w:val="4431637B"/>
    <w:rsid w:val="44715449"/>
    <w:rsid w:val="448563B6"/>
    <w:rsid w:val="449D58EB"/>
    <w:rsid w:val="44A777C4"/>
    <w:rsid w:val="44D256AE"/>
    <w:rsid w:val="44D60E1C"/>
    <w:rsid w:val="44D72FFE"/>
    <w:rsid w:val="44E656DE"/>
    <w:rsid w:val="44F32EFF"/>
    <w:rsid w:val="44F977C2"/>
    <w:rsid w:val="44FD084A"/>
    <w:rsid w:val="452E63D8"/>
    <w:rsid w:val="454E4D39"/>
    <w:rsid w:val="45653A43"/>
    <w:rsid w:val="457F0F5A"/>
    <w:rsid w:val="45875964"/>
    <w:rsid w:val="458D5306"/>
    <w:rsid w:val="45EC5B80"/>
    <w:rsid w:val="460D7A5F"/>
    <w:rsid w:val="46254D2C"/>
    <w:rsid w:val="463A775A"/>
    <w:rsid w:val="463D5704"/>
    <w:rsid w:val="46487BE1"/>
    <w:rsid w:val="46691B31"/>
    <w:rsid w:val="466F54E4"/>
    <w:rsid w:val="469B2CA2"/>
    <w:rsid w:val="46AF7CC0"/>
    <w:rsid w:val="46B30F08"/>
    <w:rsid w:val="46BC5594"/>
    <w:rsid w:val="46F3473D"/>
    <w:rsid w:val="47060924"/>
    <w:rsid w:val="47064C0F"/>
    <w:rsid w:val="470A6016"/>
    <w:rsid w:val="47147642"/>
    <w:rsid w:val="472E3414"/>
    <w:rsid w:val="474257EB"/>
    <w:rsid w:val="475F1DC9"/>
    <w:rsid w:val="47B57BD1"/>
    <w:rsid w:val="47CE3E00"/>
    <w:rsid w:val="47CE4631"/>
    <w:rsid w:val="47E516EE"/>
    <w:rsid w:val="48012BB8"/>
    <w:rsid w:val="481A5BD1"/>
    <w:rsid w:val="481F6986"/>
    <w:rsid w:val="4829014C"/>
    <w:rsid w:val="482F5426"/>
    <w:rsid w:val="48663A8B"/>
    <w:rsid w:val="489B43DA"/>
    <w:rsid w:val="48B2663A"/>
    <w:rsid w:val="48B91610"/>
    <w:rsid w:val="48CC01A9"/>
    <w:rsid w:val="48D13B63"/>
    <w:rsid w:val="48F76F9C"/>
    <w:rsid w:val="49305629"/>
    <w:rsid w:val="493F6ABE"/>
    <w:rsid w:val="49460A71"/>
    <w:rsid w:val="494A7A66"/>
    <w:rsid w:val="494B73E6"/>
    <w:rsid w:val="497B2422"/>
    <w:rsid w:val="4996653C"/>
    <w:rsid w:val="49B7085C"/>
    <w:rsid w:val="49BE5977"/>
    <w:rsid w:val="49EA3552"/>
    <w:rsid w:val="49F73575"/>
    <w:rsid w:val="49F7626E"/>
    <w:rsid w:val="4A022DEE"/>
    <w:rsid w:val="4A1C73F1"/>
    <w:rsid w:val="4A402C3C"/>
    <w:rsid w:val="4A414016"/>
    <w:rsid w:val="4A487748"/>
    <w:rsid w:val="4A5A430B"/>
    <w:rsid w:val="4A604F28"/>
    <w:rsid w:val="4A6A4E09"/>
    <w:rsid w:val="4A715229"/>
    <w:rsid w:val="4A77310E"/>
    <w:rsid w:val="4A85282F"/>
    <w:rsid w:val="4A9851A0"/>
    <w:rsid w:val="4AA57BAF"/>
    <w:rsid w:val="4ACC65CF"/>
    <w:rsid w:val="4AE15B4A"/>
    <w:rsid w:val="4AEF13D0"/>
    <w:rsid w:val="4AF51257"/>
    <w:rsid w:val="4B29291D"/>
    <w:rsid w:val="4B2B1AAB"/>
    <w:rsid w:val="4B3F19C3"/>
    <w:rsid w:val="4B963EFD"/>
    <w:rsid w:val="4BDC24D9"/>
    <w:rsid w:val="4BEC1458"/>
    <w:rsid w:val="4BF04AA8"/>
    <w:rsid w:val="4BF31F3A"/>
    <w:rsid w:val="4BF4790C"/>
    <w:rsid w:val="4C1B1405"/>
    <w:rsid w:val="4C237665"/>
    <w:rsid w:val="4C314685"/>
    <w:rsid w:val="4C5F605F"/>
    <w:rsid w:val="4C62565F"/>
    <w:rsid w:val="4CA665A2"/>
    <w:rsid w:val="4CB3413B"/>
    <w:rsid w:val="4CD11885"/>
    <w:rsid w:val="4D0D0B8E"/>
    <w:rsid w:val="4D193BE7"/>
    <w:rsid w:val="4D1D7ACC"/>
    <w:rsid w:val="4D3702A1"/>
    <w:rsid w:val="4D5358E8"/>
    <w:rsid w:val="4D737E0D"/>
    <w:rsid w:val="4D8F4D61"/>
    <w:rsid w:val="4DBE79EE"/>
    <w:rsid w:val="4DDE33F9"/>
    <w:rsid w:val="4DF54EC5"/>
    <w:rsid w:val="4E021629"/>
    <w:rsid w:val="4E13317F"/>
    <w:rsid w:val="4E2C07A3"/>
    <w:rsid w:val="4E445C81"/>
    <w:rsid w:val="4E482218"/>
    <w:rsid w:val="4E6F50E9"/>
    <w:rsid w:val="4E73591E"/>
    <w:rsid w:val="4E860654"/>
    <w:rsid w:val="4E8C6AD5"/>
    <w:rsid w:val="4E937451"/>
    <w:rsid w:val="4F0D1615"/>
    <w:rsid w:val="4F11273D"/>
    <w:rsid w:val="4F125A8E"/>
    <w:rsid w:val="4F165D76"/>
    <w:rsid w:val="4F22371D"/>
    <w:rsid w:val="4F2668EE"/>
    <w:rsid w:val="4F391349"/>
    <w:rsid w:val="4F3C3BE1"/>
    <w:rsid w:val="4F505272"/>
    <w:rsid w:val="4F552D9D"/>
    <w:rsid w:val="4F662E23"/>
    <w:rsid w:val="4F665BF4"/>
    <w:rsid w:val="4F715166"/>
    <w:rsid w:val="4F7817A0"/>
    <w:rsid w:val="4F9317E0"/>
    <w:rsid w:val="4FD30679"/>
    <w:rsid w:val="4FD621E7"/>
    <w:rsid w:val="501D7108"/>
    <w:rsid w:val="50291C03"/>
    <w:rsid w:val="50432770"/>
    <w:rsid w:val="50511A7A"/>
    <w:rsid w:val="50531F26"/>
    <w:rsid w:val="506474E0"/>
    <w:rsid w:val="50882AF1"/>
    <w:rsid w:val="50C7382E"/>
    <w:rsid w:val="50D87629"/>
    <w:rsid w:val="50DC798D"/>
    <w:rsid w:val="50FA7C89"/>
    <w:rsid w:val="511E0AA0"/>
    <w:rsid w:val="51284CDE"/>
    <w:rsid w:val="51370727"/>
    <w:rsid w:val="51465B00"/>
    <w:rsid w:val="516312FD"/>
    <w:rsid w:val="516C2957"/>
    <w:rsid w:val="517550FA"/>
    <w:rsid w:val="51AB5464"/>
    <w:rsid w:val="51CE48DC"/>
    <w:rsid w:val="522B4B17"/>
    <w:rsid w:val="52313B8C"/>
    <w:rsid w:val="52347520"/>
    <w:rsid w:val="5261606D"/>
    <w:rsid w:val="526623F5"/>
    <w:rsid w:val="52711EA4"/>
    <w:rsid w:val="52780B24"/>
    <w:rsid w:val="5281087F"/>
    <w:rsid w:val="529F53F5"/>
    <w:rsid w:val="52A1044C"/>
    <w:rsid w:val="52B86A1E"/>
    <w:rsid w:val="52CC0796"/>
    <w:rsid w:val="531F04FC"/>
    <w:rsid w:val="533F27D5"/>
    <w:rsid w:val="535136CE"/>
    <w:rsid w:val="53652E58"/>
    <w:rsid w:val="53687376"/>
    <w:rsid w:val="536A4A7E"/>
    <w:rsid w:val="53706378"/>
    <w:rsid w:val="53724FD9"/>
    <w:rsid w:val="53742E69"/>
    <w:rsid w:val="537D633E"/>
    <w:rsid w:val="539472B1"/>
    <w:rsid w:val="53953709"/>
    <w:rsid w:val="53C56C4D"/>
    <w:rsid w:val="53C921A4"/>
    <w:rsid w:val="53E37C2D"/>
    <w:rsid w:val="53EA5803"/>
    <w:rsid w:val="54172B53"/>
    <w:rsid w:val="54315F3B"/>
    <w:rsid w:val="54570EA4"/>
    <w:rsid w:val="546272CA"/>
    <w:rsid w:val="54905235"/>
    <w:rsid w:val="54B465C9"/>
    <w:rsid w:val="54C72E6C"/>
    <w:rsid w:val="54C74C8F"/>
    <w:rsid w:val="54D53546"/>
    <w:rsid w:val="54D8406F"/>
    <w:rsid w:val="54EC459F"/>
    <w:rsid w:val="5504141A"/>
    <w:rsid w:val="551172B5"/>
    <w:rsid w:val="551A14AB"/>
    <w:rsid w:val="551A5C3D"/>
    <w:rsid w:val="551E17AC"/>
    <w:rsid w:val="554A5EA8"/>
    <w:rsid w:val="554B0355"/>
    <w:rsid w:val="5564184D"/>
    <w:rsid w:val="559B46A5"/>
    <w:rsid w:val="559C1C75"/>
    <w:rsid w:val="55B96550"/>
    <w:rsid w:val="55C86BBB"/>
    <w:rsid w:val="55CE21B4"/>
    <w:rsid w:val="55D00B4A"/>
    <w:rsid w:val="55D5210F"/>
    <w:rsid w:val="55E15BBF"/>
    <w:rsid w:val="55E8612E"/>
    <w:rsid w:val="55F26363"/>
    <w:rsid w:val="563816EF"/>
    <w:rsid w:val="56520C35"/>
    <w:rsid w:val="56683EC8"/>
    <w:rsid w:val="56694468"/>
    <w:rsid w:val="56B01D79"/>
    <w:rsid w:val="56FF6B6F"/>
    <w:rsid w:val="571B7421"/>
    <w:rsid w:val="572F5F1F"/>
    <w:rsid w:val="57342378"/>
    <w:rsid w:val="57583919"/>
    <w:rsid w:val="577459A8"/>
    <w:rsid w:val="579D1E52"/>
    <w:rsid w:val="57A93771"/>
    <w:rsid w:val="57AD2690"/>
    <w:rsid w:val="57C848EA"/>
    <w:rsid w:val="57F3726B"/>
    <w:rsid w:val="57F95454"/>
    <w:rsid w:val="5815634F"/>
    <w:rsid w:val="583D0176"/>
    <w:rsid w:val="58516912"/>
    <w:rsid w:val="58656C21"/>
    <w:rsid w:val="586D2BA0"/>
    <w:rsid w:val="587135A5"/>
    <w:rsid w:val="58AB4F98"/>
    <w:rsid w:val="58D40269"/>
    <w:rsid w:val="58EB7D37"/>
    <w:rsid w:val="58F72595"/>
    <w:rsid w:val="59177A4C"/>
    <w:rsid w:val="59451991"/>
    <w:rsid w:val="5948487B"/>
    <w:rsid w:val="595576AD"/>
    <w:rsid w:val="596002B5"/>
    <w:rsid w:val="59737617"/>
    <w:rsid w:val="59A311F5"/>
    <w:rsid w:val="59C47800"/>
    <w:rsid w:val="59CD5C3B"/>
    <w:rsid w:val="59D66906"/>
    <w:rsid w:val="59E82618"/>
    <w:rsid w:val="59F546A4"/>
    <w:rsid w:val="5A0B7A4E"/>
    <w:rsid w:val="5A172B56"/>
    <w:rsid w:val="5A2A17EA"/>
    <w:rsid w:val="5A2B52C2"/>
    <w:rsid w:val="5A353090"/>
    <w:rsid w:val="5A3F4160"/>
    <w:rsid w:val="5A5078D7"/>
    <w:rsid w:val="5A5F12B7"/>
    <w:rsid w:val="5A694B5B"/>
    <w:rsid w:val="5A787758"/>
    <w:rsid w:val="5A96731C"/>
    <w:rsid w:val="5A975B12"/>
    <w:rsid w:val="5AB363AE"/>
    <w:rsid w:val="5AB77232"/>
    <w:rsid w:val="5ADB72FB"/>
    <w:rsid w:val="5AED099A"/>
    <w:rsid w:val="5AF115F3"/>
    <w:rsid w:val="5AFE63DF"/>
    <w:rsid w:val="5B000593"/>
    <w:rsid w:val="5B17010C"/>
    <w:rsid w:val="5B33558E"/>
    <w:rsid w:val="5B3C115A"/>
    <w:rsid w:val="5B3D788F"/>
    <w:rsid w:val="5B6801F2"/>
    <w:rsid w:val="5B814369"/>
    <w:rsid w:val="5BCB3067"/>
    <w:rsid w:val="5C3E3A29"/>
    <w:rsid w:val="5C6826C8"/>
    <w:rsid w:val="5CA128EA"/>
    <w:rsid w:val="5CB336E1"/>
    <w:rsid w:val="5CB90466"/>
    <w:rsid w:val="5CBF38FE"/>
    <w:rsid w:val="5CCD4317"/>
    <w:rsid w:val="5CE95DBE"/>
    <w:rsid w:val="5CF35FDF"/>
    <w:rsid w:val="5CFF5A42"/>
    <w:rsid w:val="5D1D0E96"/>
    <w:rsid w:val="5D4370F3"/>
    <w:rsid w:val="5D4A7760"/>
    <w:rsid w:val="5D6A7317"/>
    <w:rsid w:val="5D8D3198"/>
    <w:rsid w:val="5D8E21A8"/>
    <w:rsid w:val="5D9A078E"/>
    <w:rsid w:val="5D9F4031"/>
    <w:rsid w:val="5DBE3DC1"/>
    <w:rsid w:val="5DE23CD9"/>
    <w:rsid w:val="5DF64007"/>
    <w:rsid w:val="5E0B6DE2"/>
    <w:rsid w:val="5E2A02DB"/>
    <w:rsid w:val="5E5146F4"/>
    <w:rsid w:val="5E8B7702"/>
    <w:rsid w:val="5E9B5D58"/>
    <w:rsid w:val="5EB323FD"/>
    <w:rsid w:val="5EC877DE"/>
    <w:rsid w:val="5EC95EEE"/>
    <w:rsid w:val="5ED00419"/>
    <w:rsid w:val="5F061A09"/>
    <w:rsid w:val="5F1A738C"/>
    <w:rsid w:val="5F1E4081"/>
    <w:rsid w:val="5F39263C"/>
    <w:rsid w:val="5F490931"/>
    <w:rsid w:val="5F4F1C3E"/>
    <w:rsid w:val="5F637D28"/>
    <w:rsid w:val="5F70360C"/>
    <w:rsid w:val="5F795A01"/>
    <w:rsid w:val="5F7B2060"/>
    <w:rsid w:val="5F9E7774"/>
    <w:rsid w:val="5FAD243F"/>
    <w:rsid w:val="5FCB5C2F"/>
    <w:rsid w:val="5FD55609"/>
    <w:rsid w:val="5FDC47D6"/>
    <w:rsid w:val="600F580D"/>
    <w:rsid w:val="601318C0"/>
    <w:rsid w:val="602A32D4"/>
    <w:rsid w:val="602F055B"/>
    <w:rsid w:val="60431878"/>
    <w:rsid w:val="60B00A2F"/>
    <w:rsid w:val="60DB2825"/>
    <w:rsid w:val="60DF2C38"/>
    <w:rsid w:val="60E3258B"/>
    <w:rsid w:val="60E92E17"/>
    <w:rsid w:val="60FA1FA5"/>
    <w:rsid w:val="6113044E"/>
    <w:rsid w:val="61270186"/>
    <w:rsid w:val="61282E3F"/>
    <w:rsid w:val="613F6C96"/>
    <w:rsid w:val="61423906"/>
    <w:rsid w:val="61456C1A"/>
    <w:rsid w:val="618C0A58"/>
    <w:rsid w:val="61905CE2"/>
    <w:rsid w:val="61AB1FA3"/>
    <w:rsid w:val="61F574BE"/>
    <w:rsid w:val="61F912FD"/>
    <w:rsid w:val="621365E6"/>
    <w:rsid w:val="621C364E"/>
    <w:rsid w:val="621E6B51"/>
    <w:rsid w:val="621F53E5"/>
    <w:rsid w:val="622343FE"/>
    <w:rsid w:val="622E6E53"/>
    <w:rsid w:val="622F4139"/>
    <w:rsid w:val="62354DC9"/>
    <w:rsid w:val="624410D8"/>
    <w:rsid w:val="62661237"/>
    <w:rsid w:val="626A7161"/>
    <w:rsid w:val="6279227F"/>
    <w:rsid w:val="628B0CDE"/>
    <w:rsid w:val="628C541B"/>
    <w:rsid w:val="629B6DC4"/>
    <w:rsid w:val="62CB76A9"/>
    <w:rsid w:val="62ED4524"/>
    <w:rsid w:val="62F41323"/>
    <w:rsid w:val="62FB78A8"/>
    <w:rsid w:val="63495BDB"/>
    <w:rsid w:val="634A0B32"/>
    <w:rsid w:val="63584EC5"/>
    <w:rsid w:val="635B5BB7"/>
    <w:rsid w:val="63694BA6"/>
    <w:rsid w:val="637A58AE"/>
    <w:rsid w:val="637D668F"/>
    <w:rsid w:val="63951B31"/>
    <w:rsid w:val="63B13736"/>
    <w:rsid w:val="63D619A4"/>
    <w:rsid w:val="63EA44C0"/>
    <w:rsid w:val="63EB7E00"/>
    <w:rsid w:val="640468D2"/>
    <w:rsid w:val="6415021B"/>
    <w:rsid w:val="64166AD9"/>
    <w:rsid w:val="64197EB4"/>
    <w:rsid w:val="64233DC2"/>
    <w:rsid w:val="64365554"/>
    <w:rsid w:val="64493A7A"/>
    <w:rsid w:val="644D37A7"/>
    <w:rsid w:val="64535B93"/>
    <w:rsid w:val="64540D62"/>
    <w:rsid w:val="6480794E"/>
    <w:rsid w:val="648A38C0"/>
    <w:rsid w:val="64A02B82"/>
    <w:rsid w:val="64A27F60"/>
    <w:rsid w:val="64A746E1"/>
    <w:rsid w:val="64B3016C"/>
    <w:rsid w:val="64D81B7A"/>
    <w:rsid w:val="64EF2EE5"/>
    <w:rsid w:val="64F2559E"/>
    <w:rsid w:val="65003643"/>
    <w:rsid w:val="65014D53"/>
    <w:rsid w:val="65193B1B"/>
    <w:rsid w:val="651A6C9A"/>
    <w:rsid w:val="65303805"/>
    <w:rsid w:val="65394867"/>
    <w:rsid w:val="65467D78"/>
    <w:rsid w:val="658B748F"/>
    <w:rsid w:val="658E3D44"/>
    <w:rsid w:val="659074F0"/>
    <w:rsid w:val="65AD207C"/>
    <w:rsid w:val="65AE2921"/>
    <w:rsid w:val="65B85B72"/>
    <w:rsid w:val="65C03912"/>
    <w:rsid w:val="65C11895"/>
    <w:rsid w:val="65C836E3"/>
    <w:rsid w:val="65D777DB"/>
    <w:rsid w:val="65EA7107"/>
    <w:rsid w:val="6635272D"/>
    <w:rsid w:val="663B39A6"/>
    <w:rsid w:val="66470285"/>
    <w:rsid w:val="66543B89"/>
    <w:rsid w:val="665E6BAB"/>
    <w:rsid w:val="666B277F"/>
    <w:rsid w:val="666E7BDC"/>
    <w:rsid w:val="66797754"/>
    <w:rsid w:val="667B21A0"/>
    <w:rsid w:val="668657F4"/>
    <w:rsid w:val="6694282A"/>
    <w:rsid w:val="66A745E2"/>
    <w:rsid w:val="66A826DF"/>
    <w:rsid w:val="66C420E9"/>
    <w:rsid w:val="66F06059"/>
    <w:rsid w:val="66F103CF"/>
    <w:rsid w:val="672D5E90"/>
    <w:rsid w:val="675B3197"/>
    <w:rsid w:val="677539D8"/>
    <w:rsid w:val="6780716C"/>
    <w:rsid w:val="67A5080C"/>
    <w:rsid w:val="67D568A7"/>
    <w:rsid w:val="67DD6D43"/>
    <w:rsid w:val="67FB3817"/>
    <w:rsid w:val="685C2E49"/>
    <w:rsid w:val="68A47915"/>
    <w:rsid w:val="68A55F8E"/>
    <w:rsid w:val="68D8694D"/>
    <w:rsid w:val="68F7770E"/>
    <w:rsid w:val="690E5F1A"/>
    <w:rsid w:val="690F33BB"/>
    <w:rsid w:val="693034E6"/>
    <w:rsid w:val="69384B87"/>
    <w:rsid w:val="69607655"/>
    <w:rsid w:val="698266C0"/>
    <w:rsid w:val="69882671"/>
    <w:rsid w:val="698F7301"/>
    <w:rsid w:val="69903A3C"/>
    <w:rsid w:val="69DA3FAD"/>
    <w:rsid w:val="69DB3BF9"/>
    <w:rsid w:val="69E9096B"/>
    <w:rsid w:val="69EA3B90"/>
    <w:rsid w:val="69F17737"/>
    <w:rsid w:val="69F26195"/>
    <w:rsid w:val="69F5398D"/>
    <w:rsid w:val="6A0A5054"/>
    <w:rsid w:val="6A0E4830"/>
    <w:rsid w:val="6A1069C5"/>
    <w:rsid w:val="6A1A0CBD"/>
    <w:rsid w:val="6A2A3260"/>
    <w:rsid w:val="6A556A86"/>
    <w:rsid w:val="6A68521D"/>
    <w:rsid w:val="6A68570F"/>
    <w:rsid w:val="6A7B73C8"/>
    <w:rsid w:val="6A8172AC"/>
    <w:rsid w:val="6A82571E"/>
    <w:rsid w:val="6AA85DF1"/>
    <w:rsid w:val="6AAA7B89"/>
    <w:rsid w:val="6AC7006F"/>
    <w:rsid w:val="6B204A6A"/>
    <w:rsid w:val="6B23053E"/>
    <w:rsid w:val="6B374868"/>
    <w:rsid w:val="6B497C97"/>
    <w:rsid w:val="6B4C6329"/>
    <w:rsid w:val="6B6B141E"/>
    <w:rsid w:val="6B892A4F"/>
    <w:rsid w:val="6BA14BF9"/>
    <w:rsid w:val="6BA573BF"/>
    <w:rsid w:val="6BAE4DF7"/>
    <w:rsid w:val="6BDF3A57"/>
    <w:rsid w:val="6BE324AE"/>
    <w:rsid w:val="6BF0338D"/>
    <w:rsid w:val="6BF36875"/>
    <w:rsid w:val="6BF931DB"/>
    <w:rsid w:val="6C1E477F"/>
    <w:rsid w:val="6C21360B"/>
    <w:rsid w:val="6C341568"/>
    <w:rsid w:val="6C3934BC"/>
    <w:rsid w:val="6C4416A0"/>
    <w:rsid w:val="6C7647A9"/>
    <w:rsid w:val="6C874F11"/>
    <w:rsid w:val="6C92398E"/>
    <w:rsid w:val="6CB716E2"/>
    <w:rsid w:val="6CEF0AA6"/>
    <w:rsid w:val="6CF37728"/>
    <w:rsid w:val="6CF5311C"/>
    <w:rsid w:val="6D2229C0"/>
    <w:rsid w:val="6D3C7304"/>
    <w:rsid w:val="6D436172"/>
    <w:rsid w:val="6D4C2D6E"/>
    <w:rsid w:val="6D5D3C13"/>
    <w:rsid w:val="6D7E2B56"/>
    <w:rsid w:val="6D7F291E"/>
    <w:rsid w:val="6D88617A"/>
    <w:rsid w:val="6D90393E"/>
    <w:rsid w:val="6D96189B"/>
    <w:rsid w:val="6DC754DA"/>
    <w:rsid w:val="6DD22F01"/>
    <w:rsid w:val="6DD44C12"/>
    <w:rsid w:val="6DEF0A4B"/>
    <w:rsid w:val="6DF215E1"/>
    <w:rsid w:val="6E346019"/>
    <w:rsid w:val="6E4B7AE5"/>
    <w:rsid w:val="6EAD0847"/>
    <w:rsid w:val="6EB63615"/>
    <w:rsid w:val="6EC13A98"/>
    <w:rsid w:val="6EC213E6"/>
    <w:rsid w:val="6EC45714"/>
    <w:rsid w:val="6ECB2DF0"/>
    <w:rsid w:val="6EE31C94"/>
    <w:rsid w:val="6F201C5E"/>
    <w:rsid w:val="6F2836EC"/>
    <w:rsid w:val="6F2A48CD"/>
    <w:rsid w:val="6F3450D1"/>
    <w:rsid w:val="6F3C68A7"/>
    <w:rsid w:val="6F4D524A"/>
    <w:rsid w:val="6F6E7B49"/>
    <w:rsid w:val="6F9102DB"/>
    <w:rsid w:val="6F9A2306"/>
    <w:rsid w:val="6F9B6D97"/>
    <w:rsid w:val="6FC55D8F"/>
    <w:rsid w:val="6FDB2DA2"/>
    <w:rsid w:val="6FE97E02"/>
    <w:rsid w:val="6FFE4634"/>
    <w:rsid w:val="70032553"/>
    <w:rsid w:val="700A0C84"/>
    <w:rsid w:val="7045006E"/>
    <w:rsid w:val="704A0E15"/>
    <w:rsid w:val="705B0F77"/>
    <w:rsid w:val="70643A69"/>
    <w:rsid w:val="70660612"/>
    <w:rsid w:val="706B167F"/>
    <w:rsid w:val="706D43C2"/>
    <w:rsid w:val="708E50D1"/>
    <w:rsid w:val="709D42A8"/>
    <w:rsid w:val="70A05689"/>
    <w:rsid w:val="70A54213"/>
    <w:rsid w:val="70A87E12"/>
    <w:rsid w:val="70B8625C"/>
    <w:rsid w:val="70C638A2"/>
    <w:rsid w:val="70C81042"/>
    <w:rsid w:val="70E52C78"/>
    <w:rsid w:val="7100479D"/>
    <w:rsid w:val="71023DE8"/>
    <w:rsid w:val="71041437"/>
    <w:rsid w:val="711A4539"/>
    <w:rsid w:val="713B7855"/>
    <w:rsid w:val="7143212D"/>
    <w:rsid w:val="716A60C5"/>
    <w:rsid w:val="716F72F6"/>
    <w:rsid w:val="71861831"/>
    <w:rsid w:val="718720DA"/>
    <w:rsid w:val="71953338"/>
    <w:rsid w:val="71AD351D"/>
    <w:rsid w:val="71C560DF"/>
    <w:rsid w:val="71DC5D02"/>
    <w:rsid w:val="71F15F9C"/>
    <w:rsid w:val="71F91B58"/>
    <w:rsid w:val="71FB2E8D"/>
    <w:rsid w:val="72062D9C"/>
    <w:rsid w:val="720E50D2"/>
    <w:rsid w:val="721A55D0"/>
    <w:rsid w:val="721D0128"/>
    <w:rsid w:val="725A542C"/>
    <w:rsid w:val="72AD7CAA"/>
    <w:rsid w:val="72BF5954"/>
    <w:rsid w:val="72C57CD0"/>
    <w:rsid w:val="72C70D40"/>
    <w:rsid w:val="72D107CC"/>
    <w:rsid w:val="72D24F89"/>
    <w:rsid w:val="72D77865"/>
    <w:rsid w:val="72DB7974"/>
    <w:rsid w:val="72DE65C8"/>
    <w:rsid w:val="73061F5E"/>
    <w:rsid w:val="732A06B2"/>
    <w:rsid w:val="73345678"/>
    <w:rsid w:val="733E41E2"/>
    <w:rsid w:val="73580739"/>
    <w:rsid w:val="73BF4E65"/>
    <w:rsid w:val="740521BF"/>
    <w:rsid w:val="74722547"/>
    <w:rsid w:val="74913E1F"/>
    <w:rsid w:val="749C385C"/>
    <w:rsid w:val="74AB1C76"/>
    <w:rsid w:val="74BF04A2"/>
    <w:rsid w:val="74CF706F"/>
    <w:rsid w:val="74E75B90"/>
    <w:rsid w:val="74E96096"/>
    <w:rsid w:val="750304A0"/>
    <w:rsid w:val="750A2ED4"/>
    <w:rsid w:val="753E2385"/>
    <w:rsid w:val="755B24F9"/>
    <w:rsid w:val="75884563"/>
    <w:rsid w:val="7595111D"/>
    <w:rsid w:val="75AE4BC2"/>
    <w:rsid w:val="75B165A8"/>
    <w:rsid w:val="75B305B0"/>
    <w:rsid w:val="75C0502B"/>
    <w:rsid w:val="75C36675"/>
    <w:rsid w:val="75D677E2"/>
    <w:rsid w:val="760A2889"/>
    <w:rsid w:val="760A64FF"/>
    <w:rsid w:val="760C500E"/>
    <w:rsid w:val="760C7CC8"/>
    <w:rsid w:val="76466B1B"/>
    <w:rsid w:val="76843503"/>
    <w:rsid w:val="769D0169"/>
    <w:rsid w:val="76F94549"/>
    <w:rsid w:val="772E34D5"/>
    <w:rsid w:val="772E7B9B"/>
    <w:rsid w:val="775C3790"/>
    <w:rsid w:val="7763727A"/>
    <w:rsid w:val="77646E9B"/>
    <w:rsid w:val="77657A64"/>
    <w:rsid w:val="779B2E69"/>
    <w:rsid w:val="77AD394D"/>
    <w:rsid w:val="77B5570C"/>
    <w:rsid w:val="77B626D9"/>
    <w:rsid w:val="77B871FC"/>
    <w:rsid w:val="77DF5423"/>
    <w:rsid w:val="78344749"/>
    <w:rsid w:val="786811D3"/>
    <w:rsid w:val="788A76C9"/>
    <w:rsid w:val="78922D0F"/>
    <w:rsid w:val="789578C9"/>
    <w:rsid w:val="78E94FF8"/>
    <w:rsid w:val="78FB0901"/>
    <w:rsid w:val="78FE0550"/>
    <w:rsid w:val="79207CFE"/>
    <w:rsid w:val="79237E38"/>
    <w:rsid w:val="79270A00"/>
    <w:rsid w:val="794401D4"/>
    <w:rsid w:val="79485426"/>
    <w:rsid w:val="794E3000"/>
    <w:rsid w:val="7962013A"/>
    <w:rsid w:val="798C19A2"/>
    <w:rsid w:val="799353FA"/>
    <w:rsid w:val="799D2555"/>
    <w:rsid w:val="79AF6E97"/>
    <w:rsid w:val="79BD200A"/>
    <w:rsid w:val="79C40AF0"/>
    <w:rsid w:val="79D94663"/>
    <w:rsid w:val="79DA37BC"/>
    <w:rsid w:val="7A05634E"/>
    <w:rsid w:val="7A061131"/>
    <w:rsid w:val="7A2A115E"/>
    <w:rsid w:val="7A2B5C0C"/>
    <w:rsid w:val="7A4E6FEC"/>
    <w:rsid w:val="7A762B4C"/>
    <w:rsid w:val="7A901C25"/>
    <w:rsid w:val="7A946891"/>
    <w:rsid w:val="7A974E47"/>
    <w:rsid w:val="7A9E356C"/>
    <w:rsid w:val="7AA25D2E"/>
    <w:rsid w:val="7AA62681"/>
    <w:rsid w:val="7AB309D3"/>
    <w:rsid w:val="7AB51206"/>
    <w:rsid w:val="7ABA2C76"/>
    <w:rsid w:val="7ABA7215"/>
    <w:rsid w:val="7AC836DA"/>
    <w:rsid w:val="7AD0491F"/>
    <w:rsid w:val="7ADC3836"/>
    <w:rsid w:val="7ADF17BC"/>
    <w:rsid w:val="7ADF641A"/>
    <w:rsid w:val="7AF2159F"/>
    <w:rsid w:val="7AF36261"/>
    <w:rsid w:val="7B4658ED"/>
    <w:rsid w:val="7B4F1511"/>
    <w:rsid w:val="7B726925"/>
    <w:rsid w:val="7B920AC9"/>
    <w:rsid w:val="7BC03822"/>
    <w:rsid w:val="7BE350E7"/>
    <w:rsid w:val="7BF117BD"/>
    <w:rsid w:val="7BF574E0"/>
    <w:rsid w:val="7C1246C5"/>
    <w:rsid w:val="7C194E83"/>
    <w:rsid w:val="7C4815D7"/>
    <w:rsid w:val="7C664F9D"/>
    <w:rsid w:val="7C8D1528"/>
    <w:rsid w:val="7C8E4992"/>
    <w:rsid w:val="7C9D3B6F"/>
    <w:rsid w:val="7CB644DF"/>
    <w:rsid w:val="7CBC3B25"/>
    <w:rsid w:val="7CCA5986"/>
    <w:rsid w:val="7CD91F12"/>
    <w:rsid w:val="7CEC02AA"/>
    <w:rsid w:val="7CEC37EC"/>
    <w:rsid w:val="7CEC4D23"/>
    <w:rsid w:val="7CF11A42"/>
    <w:rsid w:val="7CFA2CA6"/>
    <w:rsid w:val="7D2B0426"/>
    <w:rsid w:val="7D5C6EC3"/>
    <w:rsid w:val="7D737275"/>
    <w:rsid w:val="7D740FE0"/>
    <w:rsid w:val="7D7C717C"/>
    <w:rsid w:val="7D8A6705"/>
    <w:rsid w:val="7D935EC7"/>
    <w:rsid w:val="7DBE0F8F"/>
    <w:rsid w:val="7DC2619E"/>
    <w:rsid w:val="7DDD6E38"/>
    <w:rsid w:val="7DE947C3"/>
    <w:rsid w:val="7E3719A1"/>
    <w:rsid w:val="7E3930DC"/>
    <w:rsid w:val="7E4930D7"/>
    <w:rsid w:val="7E6F48FE"/>
    <w:rsid w:val="7E8303CF"/>
    <w:rsid w:val="7E96194C"/>
    <w:rsid w:val="7EC4429E"/>
    <w:rsid w:val="7EFA49C3"/>
    <w:rsid w:val="7EFC577F"/>
    <w:rsid w:val="7F2A0955"/>
    <w:rsid w:val="7F3F40F8"/>
    <w:rsid w:val="7F400D59"/>
    <w:rsid w:val="7F4E1B78"/>
    <w:rsid w:val="7F585E5F"/>
    <w:rsid w:val="7F826DA6"/>
    <w:rsid w:val="7F9403C8"/>
    <w:rsid w:val="7FDF5B81"/>
    <w:rsid w:val="7FED289E"/>
    <w:rsid w:val="7FF53FEF"/>
    <w:rsid w:val="7FF60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2"/>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570" w:lineRule="exact"/>
      <w:ind w:firstLine="616"/>
    </w:pPr>
    <w:rPr>
      <w:rFonts w:ascii="Times New Roman" w:eastAsia="方正仿宋_GBK"/>
      <w:spacing w:val="-6"/>
    </w:rPr>
  </w:style>
  <w:style w:type="paragraph" w:styleId="7">
    <w:name w:val="toc 7"/>
    <w:basedOn w:val="1"/>
    <w:next w:val="1"/>
    <w:unhideWhenUsed/>
    <w:qFormat/>
    <w:uiPriority w:val="39"/>
    <w:pPr>
      <w:ind w:left="1800"/>
      <w:jc w:val="left"/>
    </w:pPr>
    <w:rPr>
      <w:rFonts w:asciiTheme="minorHAnsi" w:hAnsiTheme="minorHAnsi" w:cstheme="minorHAnsi"/>
      <w:sz w:val="18"/>
      <w:szCs w:val="18"/>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link w:val="36"/>
    <w:unhideWhenUsed/>
    <w:qFormat/>
    <w:uiPriority w:val="99"/>
    <w:pPr>
      <w:jc w:val="left"/>
    </w:pPr>
  </w:style>
  <w:style w:type="paragraph" w:styleId="10">
    <w:name w:val="Body Text"/>
    <w:basedOn w:val="1"/>
    <w:link w:val="43"/>
    <w:qFormat/>
    <w:uiPriority w:val="1"/>
    <w:pPr>
      <w:ind w:left="119"/>
      <w:jc w:val="left"/>
    </w:pPr>
    <w:rPr>
      <w:rFonts w:ascii="仿宋_GB2312" w:hAnsi="仿宋_GB2312" w:eastAsia="仿宋_GB2312" w:cstheme="minorBidi"/>
      <w:kern w:val="0"/>
      <w:szCs w:val="30"/>
      <w:lang w:eastAsia="en-US"/>
    </w:rPr>
  </w:style>
  <w:style w:type="paragraph" w:styleId="11">
    <w:name w:val="toc 5"/>
    <w:basedOn w:val="1"/>
    <w:next w:val="1"/>
    <w:unhideWhenUsed/>
    <w:qFormat/>
    <w:uiPriority w:val="39"/>
    <w:pPr>
      <w:ind w:left="1200"/>
      <w:jc w:val="left"/>
    </w:pPr>
    <w:rPr>
      <w:rFonts w:asciiTheme="minorHAnsi" w:hAnsiTheme="minorHAnsi" w:cstheme="minorHAnsi"/>
      <w:sz w:val="18"/>
      <w:szCs w:val="18"/>
    </w:rPr>
  </w:style>
  <w:style w:type="paragraph" w:styleId="12">
    <w:name w:val="toc 3"/>
    <w:basedOn w:val="1"/>
    <w:next w:val="1"/>
    <w:unhideWhenUsed/>
    <w:qFormat/>
    <w:uiPriority w:val="39"/>
    <w:pPr>
      <w:ind w:left="600"/>
      <w:jc w:val="left"/>
    </w:pPr>
    <w:rPr>
      <w:rFonts w:asciiTheme="minorHAnsi" w:hAnsiTheme="minorHAnsi" w:cstheme="minorHAnsi"/>
      <w:i/>
      <w:iCs/>
      <w:sz w:val="20"/>
      <w:szCs w:val="20"/>
    </w:rPr>
  </w:style>
  <w:style w:type="paragraph" w:styleId="13">
    <w:name w:val="toc 8"/>
    <w:basedOn w:val="1"/>
    <w:next w:val="1"/>
    <w:unhideWhenUsed/>
    <w:qFormat/>
    <w:uiPriority w:val="39"/>
    <w:pPr>
      <w:ind w:left="2100"/>
      <w:jc w:val="left"/>
    </w:pPr>
    <w:rPr>
      <w:rFonts w:asciiTheme="minorHAnsi" w:hAnsiTheme="minorHAnsi" w:cstheme="minorHAnsi"/>
      <w:sz w:val="18"/>
      <w:szCs w:val="18"/>
    </w:rPr>
  </w:style>
  <w:style w:type="paragraph" w:styleId="14">
    <w:name w:val="Balloon Text"/>
    <w:basedOn w:val="1"/>
    <w:link w:val="35"/>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8">
    <w:name w:val="toc 4"/>
    <w:basedOn w:val="1"/>
    <w:next w:val="1"/>
    <w:unhideWhenUsed/>
    <w:qFormat/>
    <w:uiPriority w:val="39"/>
    <w:pPr>
      <w:ind w:left="900"/>
      <w:jc w:val="left"/>
    </w:pPr>
    <w:rPr>
      <w:rFonts w:asciiTheme="minorHAnsi" w:hAnsiTheme="minorHAnsi" w:cstheme="minorHAnsi"/>
      <w:sz w:val="18"/>
      <w:szCs w:val="18"/>
    </w:rPr>
  </w:style>
  <w:style w:type="paragraph" w:styleId="19">
    <w:name w:val="toc 6"/>
    <w:basedOn w:val="1"/>
    <w:next w:val="1"/>
    <w:unhideWhenUsed/>
    <w:qFormat/>
    <w:uiPriority w:val="39"/>
    <w:pPr>
      <w:ind w:left="1500"/>
      <w:jc w:val="left"/>
    </w:pPr>
    <w:rPr>
      <w:rFonts w:asciiTheme="minorHAnsi" w:hAnsiTheme="minorHAnsi" w:cstheme="minorHAnsi"/>
      <w:sz w:val="18"/>
      <w:szCs w:val="18"/>
    </w:rPr>
  </w:style>
  <w:style w:type="paragraph" w:styleId="20">
    <w:name w:val="toc 2"/>
    <w:basedOn w:val="1"/>
    <w:next w:val="1"/>
    <w:unhideWhenUsed/>
    <w:qFormat/>
    <w:uiPriority w:val="39"/>
    <w:pPr>
      <w:ind w:left="300"/>
      <w:jc w:val="left"/>
    </w:pPr>
    <w:rPr>
      <w:rFonts w:asciiTheme="minorHAnsi" w:hAnsiTheme="minorHAnsi" w:cstheme="minorHAnsi"/>
      <w:smallCaps/>
      <w:sz w:val="20"/>
      <w:szCs w:val="20"/>
    </w:rPr>
  </w:style>
  <w:style w:type="paragraph" w:styleId="21">
    <w:name w:val="toc 9"/>
    <w:basedOn w:val="1"/>
    <w:next w:val="1"/>
    <w:unhideWhenUsed/>
    <w:qFormat/>
    <w:uiPriority w:val="39"/>
    <w:pPr>
      <w:ind w:left="2400"/>
      <w:jc w:val="left"/>
    </w:pPr>
    <w:rPr>
      <w:rFonts w:asciiTheme="minorHAnsi" w:hAnsiTheme="minorHAnsi" w:cstheme="minorHAnsi"/>
      <w:sz w:val="18"/>
      <w:szCs w:val="18"/>
    </w:rPr>
  </w:style>
  <w:style w:type="paragraph" w:styleId="22">
    <w:name w:val="annotation subject"/>
    <w:basedOn w:val="9"/>
    <w:next w:val="9"/>
    <w:link w:val="37"/>
    <w:semiHidden/>
    <w:unhideWhenUsed/>
    <w:qFormat/>
    <w:uiPriority w:val="99"/>
    <w:rPr>
      <w:b/>
      <w:bCs/>
    </w:rPr>
  </w:style>
  <w:style w:type="table" w:styleId="24">
    <w:name w:val="Table Grid"/>
    <w:basedOn w:val="2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age number"/>
    <w:basedOn w:val="25"/>
    <w:qFormat/>
    <w:uiPriority w:val="0"/>
  </w:style>
  <w:style w:type="character" w:styleId="27">
    <w:name w:val="Emphasis"/>
    <w:basedOn w:val="25"/>
    <w:qFormat/>
    <w:uiPriority w:val="20"/>
    <w:rPr>
      <w:i/>
    </w:rPr>
  </w:style>
  <w:style w:type="character" w:styleId="28">
    <w:name w:val="Hyperlink"/>
    <w:basedOn w:val="25"/>
    <w:unhideWhenUsed/>
    <w:qFormat/>
    <w:uiPriority w:val="99"/>
    <w:rPr>
      <w:color w:val="0000FF" w:themeColor="hyperlink"/>
      <w:u w:val="single"/>
    </w:rPr>
  </w:style>
  <w:style w:type="character" w:styleId="29">
    <w:name w:val="annotation reference"/>
    <w:basedOn w:val="25"/>
    <w:semiHidden/>
    <w:unhideWhenUsed/>
    <w:qFormat/>
    <w:uiPriority w:val="99"/>
    <w:rPr>
      <w:sz w:val="21"/>
      <w:szCs w:val="21"/>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99"/>
    <w:rPr>
      <w:rFonts w:ascii="Cambria" w:hAnsi="Cambria" w:eastAsia="宋体" w:cs="Times New Roman"/>
      <w:b/>
      <w:bCs/>
      <w:kern w:val="0"/>
      <w:sz w:val="32"/>
      <w:szCs w:val="32"/>
    </w:rPr>
  </w:style>
  <w:style w:type="character" w:customStyle="1" w:styleId="32">
    <w:name w:val="标题 3 字符"/>
    <w:basedOn w:val="25"/>
    <w:link w:val="5"/>
    <w:qFormat/>
    <w:uiPriority w:val="99"/>
    <w:rPr>
      <w:rFonts w:ascii="Times New Roman" w:hAnsi="Times New Roman" w:eastAsia="宋体" w:cs="Times New Roman"/>
      <w:b/>
      <w:bCs/>
      <w:kern w:val="0"/>
      <w:sz w:val="32"/>
      <w:szCs w:val="32"/>
    </w:rPr>
  </w:style>
  <w:style w:type="character" w:customStyle="1" w:styleId="33">
    <w:name w:val="页眉 字符"/>
    <w:basedOn w:val="25"/>
    <w:link w:val="16"/>
    <w:qFormat/>
    <w:uiPriority w:val="99"/>
    <w:rPr>
      <w:sz w:val="18"/>
      <w:szCs w:val="18"/>
    </w:rPr>
  </w:style>
  <w:style w:type="character" w:customStyle="1" w:styleId="34">
    <w:name w:val="页脚 字符"/>
    <w:basedOn w:val="25"/>
    <w:link w:val="15"/>
    <w:qFormat/>
    <w:uiPriority w:val="99"/>
    <w:rPr>
      <w:sz w:val="18"/>
      <w:szCs w:val="18"/>
    </w:rPr>
  </w:style>
  <w:style w:type="character" w:customStyle="1" w:styleId="35">
    <w:name w:val="批注框文本 字符"/>
    <w:basedOn w:val="25"/>
    <w:link w:val="14"/>
    <w:semiHidden/>
    <w:qFormat/>
    <w:uiPriority w:val="99"/>
    <w:rPr>
      <w:rFonts w:ascii="Times New Roman" w:hAnsi="Times New Roman" w:eastAsia="宋体" w:cs="Times New Roman"/>
      <w:sz w:val="18"/>
      <w:szCs w:val="18"/>
    </w:rPr>
  </w:style>
  <w:style w:type="character" w:customStyle="1" w:styleId="36">
    <w:name w:val="批注文字 字符"/>
    <w:basedOn w:val="25"/>
    <w:link w:val="9"/>
    <w:qFormat/>
    <w:uiPriority w:val="99"/>
    <w:rPr>
      <w:rFonts w:ascii="Times New Roman" w:hAnsi="Times New Roman" w:eastAsia="宋体" w:cs="Times New Roman"/>
      <w:szCs w:val="21"/>
    </w:rPr>
  </w:style>
  <w:style w:type="character" w:customStyle="1" w:styleId="37">
    <w:name w:val="批注主题 字符"/>
    <w:basedOn w:val="36"/>
    <w:link w:val="22"/>
    <w:semiHidden/>
    <w:qFormat/>
    <w:uiPriority w:val="99"/>
    <w:rPr>
      <w:rFonts w:ascii="Times New Roman" w:hAnsi="Times New Roman" w:eastAsia="宋体" w:cs="Times New Roman"/>
      <w:b/>
      <w:bCs/>
      <w:szCs w:val="21"/>
    </w:rPr>
  </w:style>
  <w:style w:type="character" w:customStyle="1" w:styleId="38">
    <w:name w:val="文档结构图 字符"/>
    <w:basedOn w:val="25"/>
    <w:link w:val="8"/>
    <w:semiHidden/>
    <w:qFormat/>
    <w:uiPriority w:val="99"/>
    <w:rPr>
      <w:rFonts w:ascii="宋体" w:hAnsi="Times New Roman" w:eastAsia="宋体" w:cs="Times New Roman"/>
      <w:sz w:val="18"/>
      <w:szCs w:val="18"/>
    </w:rPr>
  </w:style>
  <w:style w:type="paragraph" w:customStyle="1" w:styleId="39">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4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41">
    <w:name w:val="页码 New New"/>
    <w:basedOn w:val="25"/>
    <w:qFormat/>
    <w:uiPriority w:val="0"/>
  </w:style>
  <w:style w:type="paragraph" w:styleId="42">
    <w:name w:val="List Paragraph"/>
    <w:basedOn w:val="1"/>
    <w:link w:val="49"/>
    <w:qFormat/>
    <w:uiPriority w:val="34"/>
    <w:pPr>
      <w:ind w:firstLine="420" w:firstLineChars="200"/>
    </w:pPr>
  </w:style>
  <w:style w:type="character" w:customStyle="1" w:styleId="43">
    <w:name w:val="正文文本 字符"/>
    <w:basedOn w:val="25"/>
    <w:link w:val="10"/>
    <w:qFormat/>
    <w:uiPriority w:val="1"/>
    <w:rPr>
      <w:rFonts w:ascii="仿宋_GB2312" w:hAnsi="仿宋_GB2312" w:eastAsia="仿宋_GB2312"/>
      <w:kern w:val="0"/>
      <w:sz w:val="30"/>
      <w:szCs w:val="30"/>
      <w:lang w:eastAsia="en-US"/>
    </w:rPr>
  </w:style>
  <w:style w:type="character" w:customStyle="1" w:styleId="44">
    <w:name w:val="未处理的提及1"/>
    <w:basedOn w:val="25"/>
    <w:semiHidden/>
    <w:unhideWhenUsed/>
    <w:qFormat/>
    <w:uiPriority w:val="99"/>
    <w:rPr>
      <w:color w:val="605E5C"/>
      <w:shd w:val="clear" w:color="auto" w:fill="E1DFDD"/>
    </w:rPr>
  </w:style>
  <w:style w:type="paragraph" w:customStyle="1" w:styleId="45">
    <w:name w:val="修订2"/>
    <w:hidden/>
    <w:unhideWhenUsed/>
    <w:qFormat/>
    <w:uiPriority w:val="99"/>
    <w:rPr>
      <w:rFonts w:ascii="仿宋" w:hAnsi="Times New Roman" w:eastAsia="仿宋" w:cs="Times New Roman"/>
      <w:kern w:val="30"/>
      <w:sz w:val="30"/>
      <w:szCs w:val="21"/>
      <w:lang w:val="en-US" w:eastAsia="zh-CN" w:bidi="ar-SA"/>
    </w:rPr>
  </w:style>
  <w:style w:type="paragraph" w:customStyle="1" w:styleId="46">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7">
    <w:name w:val="标题 4 字符"/>
    <w:basedOn w:val="25"/>
    <w:link w:val="6"/>
    <w:qFormat/>
    <w:uiPriority w:val="9"/>
    <w:rPr>
      <w:rFonts w:asciiTheme="majorHAnsi" w:hAnsiTheme="majorHAnsi" w:eastAsiaTheme="majorEastAsia" w:cstheme="majorBidi"/>
      <w:b/>
      <w:bCs/>
      <w:kern w:val="30"/>
      <w:sz w:val="28"/>
      <w:szCs w:val="28"/>
    </w:rPr>
  </w:style>
  <w:style w:type="paragraph" w:customStyle="1" w:styleId="48">
    <w:name w:val="Char Char Char1 Char"/>
    <w:basedOn w:val="1"/>
    <w:semiHidden/>
    <w:qFormat/>
    <w:uiPriority w:val="0"/>
    <w:pPr>
      <w:spacing w:line="360" w:lineRule="auto"/>
      <w:ind w:firstLine="200" w:firstLineChars="200"/>
    </w:pPr>
    <w:rPr>
      <w:rFonts w:ascii="宋体" w:hAnsi="宋体" w:eastAsia="宋体" w:cs="宋体"/>
      <w:kern w:val="2"/>
      <w:sz w:val="24"/>
      <w:szCs w:val="24"/>
    </w:rPr>
  </w:style>
  <w:style w:type="character" w:customStyle="1" w:styleId="49">
    <w:name w:val="列出段落 字符"/>
    <w:basedOn w:val="25"/>
    <w:link w:val="42"/>
    <w:qFormat/>
    <w:uiPriority w:val="34"/>
    <w:rPr>
      <w:rFonts w:ascii="仿宋" w:eastAsia="仿宋"/>
      <w:kern w:val="30"/>
      <w:sz w:val="30"/>
      <w:szCs w:val="21"/>
    </w:rPr>
  </w:style>
  <w:style w:type="paragraph" w:customStyle="1" w:styleId="50">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3DFB9-EC50-45E3-8F9E-8537151D160D}">
  <ds:schemaRefs/>
</ds:datastoreItem>
</file>

<file path=docProps/app.xml><?xml version="1.0" encoding="utf-8"?>
<Properties xmlns="http://schemas.openxmlformats.org/officeDocument/2006/extended-properties" xmlns:vt="http://schemas.openxmlformats.org/officeDocument/2006/docPropsVTypes">
  <Template>Normal</Template>
  <Pages>35</Pages>
  <Words>15334</Words>
  <Characters>16072</Characters>
  <Lines>130</Lines>
  <Paragraphs>36</Paragraphs>
  <TotalTime>0</TotalTime>
  <ScaleCrop>false</ScaleCrop>
  <LinksUpToDate>false</LinksUpToDate>
  <CharactersWithSpaces>16186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2021-07-31T15:45:00Z</dcterms:created>
  <cp:lastPrinted>2020-09-11T01:55:00Z</cp:lastPrinted>
  <dcterms:modified xsi:type="dcterms:W3CDTF">2026-07-06T08:27:08Z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471B6BE969A14C3EB2E3A869BF39C9B5</vt:lpwstr>
  </property>
  <property fmtid="{D5CDD505-2E9C-101B-9397-08002B2CF9AE}" pid="4" name="KSOTemplateDocerSaveRecord">
    <vt:lpwstr>eyJoZGlkIjoiZjRmYWUxOWJhMWE5OGFmZGQyNzA0NjBkZTNhOGRjMDEiLCJ1c2VySWQiOiIyNDg4ODMzNzUifQ==</vt:lpwstr>
  </property>
</Properties>
</file>